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2026-01-12</w:t>
      </w:r>
    </w:p>
    <w:p>
      <w:pPr>
        <w:spacing w:before="160" w:after="40" w:line="240" w:lineRule="auto"/>
      </w:pPr>
      <w:r>
        <w:rPr>
          <w:b/>
        </w:rPr>
        <w:t xml:space="preserve">[1] </w:t>
      </w:r>
      <w:hyperlink r:id="rId9">
        <w:r>
          <w:rPr>
            <w:color w:val="1155CC"/>
            <w:u w:val="single"/>
          </w:rPr>
          <w:t>利用机械学习,大规模模拟太阳能水泵太阳能水泵</w:t>
        </w:r>
      </w:hyperlink>
    </w:p>
    <w:p>
      <w:pPr>
        <w:spacing w:before="0" w:after="80"/>
      </w:pPr>
      <w:r>
        <w:rPr>
          <w:i/>
          <w:sz w:val="20"/>
        </w:rPr>
        <w:t>EN: Large-scale modeling of solar water pumps using machine learning</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一种发光虫的诗意生与死</w:t>
        </w:r>
      </w:hyperlink>
    </w:p>
    <w:p>
      <w:pPr>
        <w:spacing w:before="0" w:after="80"/>
      </w:pPr>
      <w:r>
        <w:rPr>
          <w:i/>
          <w:sz w:val="20"/>
        </w:rPr>
        <w:t>EN: The poetic life and death of a glow-worm</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具有可再生能源互动的岛屿上微型电网的经济自主运行:卫星辅助的超空联合强化学习方法</w:t>
        </w:r>
      </w:hyperlink>
    </w:p>
    <w:p>
      <w:pPr>
        <w:spacing w:before="0" w:after="80"/>
      </w:pPr>
      <w:r>
        <w:rPr>
          <w:i/>
          <w:sz w:val="20"/>
        </w:rPr>
        <w:t>EN: Economic autonomous operation of microgrids on islands with renewable energy interactions: A satellite-aided over-the-air federated reinforcement learning approach</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
        <w:r>
          <w:rPr>
            <w:color w:val="1155CC"/>
            <w:u w:val="single"/>
          </w:rPr>
          <w:t>能源投资和包容性增长方面的公私伙伴关系</w:t>
        </w:r>
      </w:hyperlink>
    </w:p>
    <w:p>
      <w:pPr>
        <w:spacing w:before="0" w:after="80"/>
      </w:pPr>
      <w:r>
        <w:rPr>
          <w:i/>
          <w:sz w:val="20"/>
        </w:rPr>
        <w:t>EN: Public-private partnership in energy investment and inclusive growth</w:t>
      </w:r>
    </w:p>
    <w:p>
      <w:pPr>
        <w:spacing w:before="0" w:after="120"/>
      </w:pPr>
      <w:r>
        <w:rPr>
          <w:b/>
        </w:rPr>
        <w:t xml:space="preserve">Source: </w:t>
      </w:r>
      <w:r>
        <w:t>ScienceDirect Publication: Energy Policy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
        <w:r>
          <w:rPr>
            <w:color w:val="1155CC"/>
            <w:u w:val="single"/>
          </w:rPr>
          <w:t>托马托斯:潜在热热能储存装置的地形和材料优化</w:t>
        </w:r>
      </w:hyperlink>
    </w:p>
    <w:p>
      <w:pPr>
        <w:spacing w:before="0" w:after="80"/>
      </w:pPr>
      <w:r>
        <w:rPr>
          <w:i/>
          <w:sz w:val="20"/>
        </w:rPr>
        <w:t>EN: TOMATOES: Topology and material optimization for latent heat thermal energy storage devices</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
        <w:r>
          <w:rPr>
            <w:color w:val="1155CC"/>
            <w:u w:val="single"/>
          </w:rPr>
          <w:t>绿色电力贸易的市场化和新能源企业的投资决定</w:t>
        </w:r>
      </w:hyperlink>
    </w:p>
    <w:p>
      <w:pPr>
        <w:spacing w:before="0" w:after="80"/>
      </w:pPr>
      <w:r>
        <w:rPr>
          <w:i/>
          <w:sz w:val="20"/>
        </w:rPr>
        <w:t>EN: The marketization of green electricity trading and investment decisions of new energy enterprises</w:t>
      </w:r>
    </w:p>
    <w:p>
      <w:pPr>
        <w:spacing w:before="0" w:after="120"/>
      </w:pPr>
      <w:r>
        <w:rPr>
          <w:b/>
        </w:rPr>
        <w:t xml:space="preserve">Source: </w:t>
      </w:r>
      <w:r>
        <w:t>ScienceDirect Publication: Energy Policy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5">
        <w:r>
          <w:rPr>
            <w:color w:val="1155CC"/>
            <w:u w:val="single"/>
          </w:rPr>
          <w:t>帮助小规模金矿开采者逐步不再使用汞</w:t>
        </w:r>
      </w:hyperlink>
    </w:p>
    <w:p>
      <w:pPr>
        <w:spacing w:before="0" w:after="80"/>
      </w:pPr>
      <w:r>
        <w:rPr>
          <w:i/>
          <w:sz w:val="20"/>
        </w:rPr>
        <w:t>EN: Help small-scale gold miners to transition away from mercury use</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6">
        <w:r>
          <w:rPr>
            <w:color w:val="1155CC"/>
            <w:u w:val="single"/>
          </w:rPr>
          <w:t>地缘政治分裂和能源过渡不平等:气候政策的不确定性、制裁以及石油和天然气部门</w:t>
        </w:r>
      </w:hyperlink>
    </w:p>
    <w:p>
      <w:pPr>
        <w:spacing w:before="0" w:after="80"/>
      </w:pPr>
      <w:r>
        <w:rPr>
          <w:i/>
          <w:sz w:val="20"/>
        </w:rPr>
        <w:t>EN: Geopolitical fragmentation and energy transition inequalities: Climate policy uncertainty, sanctions, and the oil and gas sector</w:t>
      </w:r>
    </w:p>
    <w:p>
      <w:pPr>
        <w:spacing w:before="0" w:after="120"/>
      </w:pPr>
      <w:r>
        <w:rPr>
          <w:b/>
        </w:rPr>
        <w:t xml:space="preserve">Source: </w:t>
      </w:r>
      <w:r>
        <w:t>ScienceDirect Publication: Energy Policy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7">
        <w:r>
          <w:rPr>
            <w:color w:val="1155CC"/>
            <w:u w:val="single"/>
          </w:rPr>
          <w:t>为提高抵御气候变化的能力,跟踪持续情况</w:t>
        </w:r>
      </w:hyperlink>
    </w:p>
    <w:p>
      <w:pPr>
        <w:spacing w:before="0" w:after="80"/>
      </w:pPr>
      <w:r>
        <w:rPr>
          <w:i/>
          <w:sz w:val="20"/>
        </w:rPr>
        <w:t>EN: To improve resilience to climate change, track what endures</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8">
        <w:r>
          <w:rPr>
            <w:color w:val="1155CC"/>
            <w:u w:val="single"/>
          </w:rPr>
          <w:t>重新思考我们如何建立大赦国际,以便有效地缓解气候变化</w:t>
        </w:r>
      </w:hyperlink>
    </w:p>
    <w:p>
      <w:pPr>
        <w:spacing w:before="0" w:after="80"/>
      </w:pPr>
      <w:r>
        <w:rPr>
          <w:i/>
          <w:sz w:val="20"/>
        </w:rPr>
        <w:t>EN: Rethink how we build AI to enable effective climate-change mitigation</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9">
        <w:r>
          <w:rPr>
            <w:color w:val="1155CC"/>
            <w:u w:val="single"/>
          </w:rPr>
          <w:t>先进的红氧化物流动电池功能性膜设计的创新和前景</w:t>
        </w:r>
      </w:hyperlink>
    </w:p>
    <w:p>
      <w:pPr>
        <w:spacing w:before="0" w:after="80"/>
      </w:pPr>
      <w:r>
        <w:rPr>
          <w:i/>
          <w:sz w:val="20"/>
        </w:rPr>
        <w:t>EN: Innovations and prospects on functional membrane design for advanced redox flow batteries</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0">
        <w:r>
          <w:rPr>
            <w:color w:val="1155CC"/>
            <w:u w:val="single"/>
          </w:rPr>
          <w:t>科学词汇中的退休`seminal '</w:t>
        </w:r>
      </w:hyperlink>
    </w:p>
    <w:p>
      <w:pPr>
        <w:spacing w:before="0" w:after="80"/>
      </w:pPr>
      <w:r>
        <w:rPr>
          <w:i/>
          <w:sz w:val="20"/>
        </w:rPr>
        <w:t>EN: Retire ‘seminal’ from the scientific vocabulary</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1">
        <w:r>
          <w:rPr>
            <w:color w:val="1155CC"/>
            <w:u w:val="single"/>
          </w:rPr>
          <w:t>每日简报:没有大脑的动物也睡不着——暗示为什么我们睡觉</w:t>
        </w:r>
      </w:hyperlink>
    </w:p>
    <w:p>
      <w:pPr>
        <w:spacing w:before="0" w:after="80"/>
      </w:pPr>
      <w:r>
        <w:rPr>
          <w:i/>
          <w:sz w:val="20"/>
        </w:rPr>
        <w:t>EN: Daily briefing: Animals without brains sleep too — hinting at why we sleep at all</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2">
        <w:r>
          <w:rPr>
            <w:color w:val="1155CC"/>
            <w:u w:val="single"/>
          </w:rPr>
          <w:t>东盟燃煤发电厂氨水联燃</w:t>
        </w:r>
      </w:hyperlink>
    </w:p>
    <w:p>
      <w:pPr>
        <w:spacing w:before="0" w:after="80"/>
      </w:pPr>
      <w:r>
        <w:rPr>
          <w:i/>
          <w:sz w:val="20"/>
        </w:rPr>
        <w:t>EN: Co-combustion of ammonia in coal-fired power plants in ASEAN</w:t>
      </w:r>
    </w:p>
    <w:p>
      <w:pPr>
        <w:spacing w:before="0" w:after="120"/>
      </w:pPr>
      <w:r>
        <w:rPr>
          <w:b/>
        </w:rPr>
        <w:t xml:space="preserve">Source: </w:t>
      </w:r>
      <w:r>
        <w:t>ScienceDirect Publication: Energy Policy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3">
        <w:r>
          <w:rPr>
            <w:color w:val="1155CC"/>
            <w:u w:val="single"/>
          </w:rPr>
          <w:t>城市规模屋顶改造优先事项:将热性能、能源影响、城市形态学和人口接触联系起来</w:t>
        </w:r>
      </w:hyperlink>
    </w:p>
    <w:p>
      <w:pPr>
        <w:spacing w:before="0" w:after="80"/>
      </w:pPr>
      <w:r>
        <w:rPr>
          <w:i/>
          <w:sz w:val="20"/>
        </w:rPr>
        <w:t>EN: City-scale rooftop retrofit prioritization: linking thermal performance, energy impacts, urban morphology, and population exposure</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4">
        <w:r>
          <w:rPr>
            <w:color w:val="1155CC"/>
            <w:u w:val="single"/>
          </w:rPr>
          <w:t>下一代海洋引擎和越野发动机的变量阀阀阀起动(VVVA):全面审查未来排放立法的遵守情况</w:t>
        </w:r>
      </w:hyperlink>
    </w:p>
    <w:p>
      <w:pPr>
        <w:spacing w:before="0" w:after="80"/>
      </w:pPr>
      <w:r>
        <w:rPr>
          <w:i/>
          <w:sz w:val="20"/>
        </w:rPr>
        <w:t>EN: Variable valve actuation (VVA) for next-generation marine and off-road engines: a comprehensive review for meeting future emissions legislation</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5">
        <w:r>
          <w:rPr>
            <w:color w:val="1155CC"/>
            <w:u w:val="single"/>
          </w:rPr>
          <w:t>加拿大艾伯塔省高温盐溶盐电热能储存系统的设计、技术经济分析和比较评估</w:t>
        </w:r>
      </w:hyperlink>
    </w:p>
    <w:p>
      <w:pPr>
        <w:spacing w:before="0" w:after="80"/>
      </w:pPr>
      <w:r>
        <w:rPr>
          <w:i/>
          <w:sz w:val="20"/>
        </w:rPr>
        <w:t>EN: Design, techno-economic analysis, and comparative assessment of high-temperature molten salt electric thermal energy storage systems for industrial heat decarbonization in Alberta, Canada</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6">
        <w:r>
          <w:rPr>
            <w:color w:val="1155CC"/>
            <w:u w:val="single"/>
          </w:rPr>
          <w:t>多边能源系统的两级协调操作,通过两阶段的随机方案编制办法,考虑以碳为导向的合作定价机制</w:t>
        </w:r>
      </w:hyperlink>
    </w:p>
    <w:p>
      <w:pPr>
        <w:spacing w:before="0" w:after="80"/>
      </w:pPr>
      <w:r>
        <w:rPr>
          <w:i/>
          <w:sz w:val="20"/>
        </w:rPr>
        <w:t>EN: Two-layer coordinated operation of multi-energy system considering carbon-oriented collaborative pricing mechanism via two-stage stochastic programming approach</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7">
        <w:r>
          <w:rPr>
            <w:color w:val="1155CC"/>
            <w:u w:val="single"/>
          </w:rPr>
          <w:t>为什么癌症会在几年后复发——以及如何阻止癌症</w:t>
        </w:r>
      </w:hyperlink>
    </w:p>
    <w:p>
      <w:pPr>
        <w:spacing w:before="0" w:after="80"/>
      </w:pPr>
      <w:r>
        <w:rPr>
          <w:i/>
          <w:sz w:val="20"/>
        </w:rPr>
        <w:t>EN: Why cancer can come back years later — and how to stop it</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28">
        <w:r>
          <w:rPr>
            <w:color w:val="1155CC"/>
            <w:u w:val="single"/>
          </w:rPr>
          <w:t>在灵活能源市场下为微型电网建立以学习为基础的深入强化学习多目标能源管理系统</w:t>
        </w:r>
      </w:hyperlink>
    </w:p>
    <w:p>
      <w:pPr>
        <w:spacing w:before="0" w:after="80"/>
      </w:pPr>
      <w:r>
        <w:rPr>
          <w:i/>
          <w:sz w:val="20"/>
        </w:rPr>
        <w:t>EN: Deep reinforcement learning-based multi-objective energy management system for microgrids under flexible energy market</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29">
        <w:r>
          <w:rPr>
            <w:color w:val="1155CC"/>
            <w:u w:val="single"/>
          </w:rPr>
          <w:t>加强具有代表性的光电光电场景情景提取,用于多个发电站,采用共享重量和适应性结合的图形组合组合法</w:t>
        </w:r>
      </w:hyperlink>
    </w:p>
    <w:p>
      <w:pPr>
        <w:spacing w:before="0" w:after="80"/>
      </w:pPr>
      <w:r>
        <w:rPr>
          <w:i/>
          <w:sz w:val="20"/>
        </w:rPr>
        <w:t>EN: Enhancing representative photovoltaic scenario extraction for multiple power stations with a shared-weight and adaptively fused graph clustering method</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30">
        <w:r>
          <w:rPr>
            <w:color w:val="1155CC"/>
            <w:u w:val="single"/>
          </w:rPr>
          <w:t>从用于早期设计的单一视角概念图像对办公楼能源使用情况的AI-动力预测</w:t>
        </w:r>
      </w:hyperlink>
    </w:p>
    <w:p>
      <w:pPr>
        <w:spacing w:before="0" w:after="80"/>
      </w:pPr>
      <w:r>
        <w:rPr>
          <w:i/>
          <w:sz w:val="20"/>
        </w:rPr>
        <w:t>EN: AI-empowered prediction of office building energy use from single-view conceptual images for early-stage design</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1">
        <w:r>
          <w:rPr>
            <w:color w:val="1155CC"/>
            <w:u w:val="single"/>
          </w:rPr>
          <w:t>Jellyfish人睡得像人一样,</w:t>
        </w:r>
      </w:hyperlink>
    </w:p>
    <w:p>
      <w:pPr>
        <w:spacing w:before="0" w:after="80"/>
      </w:pPr>
      <w:r>
        <w:rPr>
          <w:i/>
          <w:sz w:val="20"/>
        </w:rPr>
        <w:t>EN: Jellyfish sleep like humans — even though they don’t have brains</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2">
        <w:r>
          <w:rPr>
            <w:color w:val="1155CC"/>
            <w:u w:val="single"/>
          </w:rPr>
          <w:t>使我们的化学世界消毒</w:t>
        </w:r>
      </w:hyperlink>
    </w:p>
    <w:p>
      <w:pPr>
        <w:spacing w:before="0" w:after="80"/>
      </w:pPr>
      <w:r>
        <w:rPr>
          <w:i/>
          <w:sz w:val="20"/>
        </w:rPr>
        <w:t>EN: Defossilize our chemical world</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33">
        <w:r>
          <w:rPr>
            <w:color w:val="1155CC"/>
            <w:u w:val="single"/>
          </w:rPr>
          <w:t>以PI-DRA-PPO为基础的适应性家庭能源管理,用于综合电、氢和热储存系统</w:t>
        </w:r>
      </w:hyperlink>
    </w:p>
    <w:p>
      <w:pPr>
        <w:spacing w:before="0" w:after="80"/>
      </w:pPr>
      <w:r>
        <w:rPr>
          <w:i/>
          <w:sz w:val="20"/>
        </w:rPr>
        <w:t>EN: Adaptive home energy management based on PI-DRA-PPO for integrated electricity, hydrogen, and heat storage systems</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34">
        <w:r>
          <w:rPr>
            <w:color w:val="1155CC"/>
            <w:u w:val="single"/>
          </w:rPr>
          <w:t>将甲烷部分氧化和热电生成纳入瑞士滚动反应堆:氢和电力双重生产和生命周期评估</w:t>
        </w:r>
      </w:hyperlink>
    </w:p>
    <w:p>
      <w:pPr>
        <w:spacing w:before="0" w:after="80"/>
      </w:pPr>
      <w:r>
        <w:rPr>
          <w:i/>
          <w:sz w:val="20"/>
        </w:rPr>
        <w:t>EN: Integrating methane partial oxidation and thermoelectric generation in a Swiss-roll reactor: Hydrogen and electricity dual production and life cycle assessment</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35">
        <w:r>
          <w:rPr>
            <w:color w:val="1155CC"/>
            <w:u w:val="single"/>
          </w:rPr>
          <w:t>电动公共汽车电池更换补贴分配平等:中国各省市的证据</w:t>
        </w:r>
      </w:hyperlink>
    </w:p>
    <w:p>
      <w:pPr>
        <w:spacing w:before="0" w:after="80"/>
      </w:pPr>
      <w:r>
        <w:rPr>
          <w:i/>
          <w:sz w:val="20"/>
        </w:rPr>
        <w:t>EN: Allocation equality of battery replacement subsidy for electric buses: Evidence from provinces and cities in China</w:t>
      </w:r>
    </w:p>
    <w:p>
      <w:pPr>
        <w:spacing w:before="0" w:after="120"/>
      </w:pPr>
      <w:r>
        <w:rPr>
          <w:b/>
        </w:rPr>
        <w:t xml:space="preserve">Source: </w:t>
      </w:r>
      <w:r>
        <w:t>ScienceDirect Publication: Energy Policy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36">
        <w:r>
          <w:rPr>
            <w:color w:val="1155CC"/>
            <w:u w:val="single"/>
          </w:rPr>
          <w:t>使用适应性操作条件处理的高效电源系统矫正控制:基于GATN-RL的方法</w:t>
        </w:r>
      </w:hyperlink>
    </w:p>
    <w:p>
      <w:pPr>
        <w:spacing w:before="0" w:after="80"/>
      </w:pPr>
      <w:r>
        <w:rPr>
          <w:i/>
          <w:sz w:val="20"/>
        </w:rPr>
        <w:t>EN: Efficient power system corrective control with adaptive operation condition handling: A GATN-RL based method</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37">
        <w:r>
          <w:rPr>
            <w:color w:val="1155CC"/>
            <w:u w:val="single"/>
          </w:rPr>
          <w:t>GC内容对重新基因出生的影响</w:t>
        </w:r>
      </w:hyperlink>
    </w:p>
    <w:p>
      <w:pPr>
        <w:spacing w:before="0" w:after="80"/>
      </w:pPr>
      <w:r>
        <w:rPr>
          <w:i/>
          <w:sz w:val="20"/>
        </w:rPr>
        <w:t>EN: Impact of GC content on de novo gene birth</w:t>
      </w:r>
    </w:p>
    <w:p>
      <w:pPr>
        <w:spacing w:before="0" w:after="120"/>
      </w:pPr>
      <w:r>
        <w:rPr>
          <w:b/>
        </w:rPr>
        <w:t xml:space="preserve">Source: </w:t>
      </w:r>
      <w:r>
        <w:t>Nature Communications</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eukaryotes的非编码区域表现广泛,是新微蛋白的重要来源,其中一些被固定为新基因,但是,这些未演化的产品的结构特性和促使其固定的特征仍然不甚清楚。特别是,核分裂物成分(GC内容)对其结构特性和进化轨迹的影响仍然不清楚。在这里,我们预测了在3,379个含GC成分为18%至79%的无编码开放阅读框架(ORFs)中可能编码的数以百万计微蛋白的折叠性和序列特性,这些微蛋白可能具有3,379个含GC成分为18%至79%的无编码电子蛋白基因组。根据GC内容,这些微蛋白具有不同的结构特性,表明非源区域具有不同的细胞影响。</w:t>
      </w:r>
    </w:p>
    <w:p>
      <w:pPr>
        <w:spacing w:before="0" w:after="200" w:lineRule="auto" w:line="276"/>
      </w:pPr>
      <w:r>
        <w:rPr>
          <w:b/>
        </w:rPr>
        <w:t xml:space="preserve">Abstract (EN): </w:t>
      </w:r>
      <w:r>
        <w:t>Noncoding regions in eukaryotes are extensively expressed and represent a significant source of novel microproteins, some of which become fixed as de novo genes. However, the structural properties of these unevolved products and the features driving their fixation remain poorly understood. Particularly, the influence of nucleotide composition (GC content) on their structural properties and evolutionary trajectories is still unclear. Here, we predict the foldability and sequence properties of millions of microproteins potentially encoded in the noncoding open reading frames (ORFs) of 3,379 eukaryotic genomes with GC contents ranging from 18% to 79%. Depending on GC content, these microproteins exhibit distinct structural properties, suggesting different cellular impacts if non-genic regions are pervasively expressed. Using phylostratigraphy, de novo gene search, and ancestral sequence reconstruction, we trace the evolution of several hundred de novo proteins across 22 organisms with varying GC contents. We show that de novo genes preferentially emerge from GC-rich ORFs with folding potential, revealing that the interplay between GC content and foldability - rooted in the structure of the genetic code - shapes the emergence of novel genes.</w:t>
      </w:r>
    </w:p>
    <w:p>
      <w:pPr>
        <w:spacing w:before="120" w:after="120"/>
      </w:pPr>
      <w:r>
        <w:rPr>
          <w:sz w:val="18"/>
        </w:rPr>
        <w:t>——————————————————————————————————————————————————————————————————————</w:t>
      </w:r>
    </w:p>
    <w:p>
      <w:pPr>
        <w:spacing w:before="160" w:after="40" w:line="240" w:lineRule="auto"/>
      </w:pPr>
      <w:r>
        <w:rPr>
          <w:b/>
        </w:rPr>
        <w:t xml:space="preserve">[30] </w:t>
      </w:r>
      <w:hyperlink r:id="rId38">
        <w:r>
          <w:rPr>
            <w:color w:val="1155CC"/>
            <w:u w:val="single"/>
          </w:rPr>
          <w:t>太阳能燃料技术能够相互学习什么</w:t>
        </w:r>
      </w:hyperlink>
    </w:p>
    <w:p>
      <w:pPr>
        <w:spacing w:before="0" w:after="80"/>
      </w:pPr>
      <w:r>
        <w:rPr>
          <w:i/>
          <w:sz w:val="20"/>
        </w:rPr>
        <w:t>EN: What solar fuel technologies can learn from each other</w:t>
      </w:r>
    </w:p>
    <w:p>
      <w:pPr>
        <w:spacing w:before="0" w:after="120"/>
      </w:pPr>
      <w:r>
        <w:rPr>
          <w:b/>
        </w:rPr>
        <w:t xml:space="preserve">Source: </w:t>
      </w:r>
      <w:r>
        <w:t>Nature Reviews Clean Technology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太阳能燃料技术利用阳光合成可用作可再生燃料或化学原料的增值分子,它们共同使用化学债券转换和储存太阳能和其他可再生能源的共同原则,但在回收机制、催化工艺和使用的系统方面有所不同。这些区别导致不同的优势、挑战、成熟度和可部署前景。从这个角度,我们对五大主要太阳能燃料平台——光解、光电驱动电解电解(PV+EC)、光电化学、光热热和光光解(Plasmoniculization)——进行跨学科分析,以确定可转移的洞见和设计原则。太阳对氢的效率(通常为0.1%至15%)和氢的平化成本(2美元至30美元)。</w:t>
      </w:r>
    </w:p>
    <w:p>
      <w:pPr>
        <w:spacing w:before="0" w:after="200" w:lineRule="auto" w:line="276"/>
      </w:pPr>
      <w:r>
        <w:rPr>
          <w:b/>
        </w:rPr>
        <w:t xml:space="preserve">Abstract (EN): </w:t>
      </w:r>
      <w:r>
        <w:t>Solar fuel technologies use sunlight to synthesize value-added molecules that can be used as renewable fuels or chemical feedstock. They share the common principle of converting and storing solar and other renewable energy in chemical bonds, but differ in the harvesting mechanisms, catalytic processes and systems used. These distinctions lead to different advantages, challenges, maturity and deployability prospects. In this Perspective, we provide a cross-disciplinary view of five major solar fuel platforms — photocatalysis, photovoltaic-driven electrolysis (PV + EC), photoelectrochemical, photothermal and plasmonic catalysis — to identify transferable insights and design principles. The wide span of solar-to-hydrogen efficiency (typically 0.1–15%) and levelized cost of hydrogen (US$2–30 kg−1 H2) depending on the system reflect both mechanistic limitations and system-level constraints that keep performance below theoretical limits. Common bottlenecks emerge, including spectral mismatch, charge-management and heat-management losses, stability in harsh operating environments and dependence on critical materials. At the same time, shared design principles — such as defect and facet engineering, multi-absorber architectures, plasmonic and photothermal enhancement, interface stabilization and catalyst–reactor co-design — offer transferable strategies capable of improving performance across platforms. Together, these insights provide a transversal unifying vision on how advances in one solar fuel technology can accelerate progress in others and inform pathways towards scalable, efficient and economically viable solar fuel production.</w:t>
      </w:r>
    </w:p>
    <w:p>
      <w:pPr>
        <w:spacing w:before="120" w:after="120"/>
      </w:pPr>
      <w:r>
        <w:rPr>
          <w:sz w:val="18"/>
        </w:rPr>
        <w:t>——————————————————————————————————————————————————————————————————————</w:t>
      </w:r>
    </w:p>
    <w:p>
      <w:pPr>
        <w:spacing w:before="160" w:after="40" w:line="240" w:lineRule="auto"/>
      </w:pPr>
      <w:r>
        <w:rPr>
          <w:b/>
        </w:rPr>
        <w:t xml:space="preserve">[31] </w:t>
      </w:r>
      <w:hyperlink r:id="rId39">
        <w:r>
          <w:rPr>
            <w:color w:val="1155CC"/>
            <w:u w:val="single"/>
          </w:rPr>
          <w:t>高性能固体氧化物电化学电池的 细菌间板机的战略缺陷工程</w:t>
        </w:r>
      </w:hyperlink>
    </w:p>
    <w:p>
      <w:pPr>
        <w:spacing w:before="0" w:after="80"/>
      </w:pPr>
      <w:r>
        <w:rPr>
          <w:i/>
          <w:sz w:val="20"/>
        </w:rPr>
        <w:t>EN: Strategic defect engineering in ceria interlayer for high-performing solid oxide electrochemical cells</w:t>
      </w:r>
    </w:p>
    <w:p>
      <w:pPr>
        <w:spacing w:before="0" w:after="120"/>
      </w:pPr>
      <w:r>
        <w:rPr>
          <w:b/>
        </w:rPr>
        <w:t xml:space="preserve">Source: </w:t>
      </w:r>
      <w:r>
        <w:t>ScienceDirect Publication: Materials Today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40">
        <w:r>
          <w:rPr>
            <w:color w:val="1155CC"/>
            <w:u w:val="single"/>
          </w:rPr>
          <w:t>基于原子层沉积的全氮超导超导</w:t>
        </w:r>
      </w:hyperlink>
    </w:p>
    <w:p>
      <w:pPr>
        <w:spacing w:before="0" w:after="80"/>
      </w:pPr>
      <w:r>
        <w:rPr>
          <w:i/>
          <w:sz w:val="20"/>
        </w:rPr>
        <w:t>EN: All-nitride superconducting qubits based on atomic layer deposition</w:t>
      </w:r>
    </w:p>
    <w:p>
      <w:pPr>
        <w:spacing w:before="0" w:after="120"/>
      </w:pPr>
      <w:r>
        <w:rPr>
          <w:b/>
        </w:rPr>
        <w:t xml:space="preserve">Source: </w:t>
      </w:r>
      <w:r>
        <w:t>Nature Materials</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大型量子处理器的发展得益于超导量子处理器的发展,超导量子处理器可以在高温下运行,并用可缩放的、与铸造相容的工艺制造。原子层沉积(ALD)正日益被作为薄膜生长的工业标准,特别是在需要精确控制层厚度和成分的应用程序中。我们在这里报告基于完全由ALD沉积的NbN/AlN/NbN三层的超导量子处理器。我们通过改变用于形成AlN屏障的ALD周期的数量,实现了Josephson通过不同厚度的屏障挖洞,目前的临界密度跨越七级,表明了这一过程的统一性和多功能性。由于N的高临界温度,我们实现了约瑟森的隧道。</w:t>
      </w:r>
    </w:p>
    <w:p>
      <w:pPr>
        <w:spacing w:before="0" w:after="200" w:lineRule="auto" w:line="276"/>
      </w:pPr>
      <w:r>
        <w:rPr>
          <w:b/>
        </w:rPr>
        <w:t xml:space="preserve">Abstract (EN): </w:t>
      </w:r>
      <w:r>
        <w:t>The development of large-scale quantum processors benefits from superconducting qubits that can operate at elevated temperatures and be fabricated with scalable, foundry-compatible processes. Atomic layer deposition (ALD) is increasingly being adopted as an industrial standard for thin-film growth, particularly in applications requiring precise control over layer thickness and composition. Here we report superconducting qubits based on NbN/AlN/NbN trilayers deposited entirely by ALD. By varying the number of ALD cycles used to form the AlN barrier, we achieve Josephson tunnelling through barriers of different thicknesses, with critical current density spanning seven orders of magnitude, demonstrating the uniformity and versatility of the process. Owing to the high critical temperature of NbN, transmon qubits based on these all-nitride trilayers exhibit microsecond-scale relaxation times, even at temperatures above 300 mK. These results establish ALD as a viable low-temperature deposition technique for superconducting quantum circuits and position all-nitride ALD qubits as a promising platform for operation at elevated temperatures.</w:t>
      </w:r>
    </w:p>
    <w:p>
      <w:pPr>
        <w:spacing w:before="120" w:after="120"/>
      </w:pPr>
      <w:r>
        <w:rPr>
          <w:sz w:val="18"/>
        </w:rPr>
        <w:t>——————————————————————————————————————————————————————————————————————</w:t>
      </w:r>
    </w:p>
    <w:p>
      <w:pPr>
        <w:spacing w:before="160" w:after="40" w:line="240" w:lineRule="auto"/>
      </w:pPr>
      <w:r>
        <w:rPr>
          <w:b/>
        </w:rPr>
        <w:t xml:space="preserve">[33] </w:t>
      </w:r>
      <w:hyperlink r:id="rId41">
        <w:r>
          <w:rPr>
            <w:color w:val="1155CC"/>
            <w:u w:val="single"/>
          </w:rPr>
          <w:t>单立单体细胞在乳房细胞结构能够使血管动脉切乳机受体用于生物现实学悬浮芯片的骨缩缩集集成</w:t>
        </w:r>
      </w:hyperlink>
    </w:p>
    <w:p>
      <w:pPr>
        <w:spacing w:before="0" w:after="80"/>
      </w:pPr>
      <w:r>
        <w:rPr>
          <w:i/>
          <w:sz w:val="20"/>
        </w:rPr>
        <w:t>EN: Monolithic cell-on-memristor architecture enables wafer-scale integration of oscillatory chemoreceptors for bio-realistic gustatory chips</w:t>
      </w:r>
    </w:p>
    <w:p>
      <w:pPr>
        <w:spacing w:before="0" w:after="120"/>
      </w:pPr>
      <w:r>
        <w:rPr>
          <w:b/>
        </w:rPr>
        <w:t xml:space="preserve">Source: </w:t>
      </w:r>
      <w:r>
        <w:t>Nature Materials</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在实际生物应用中,人工螺旋动动脉切乳机构造和电动电动电动构件的晶片结合对于使生物模拟芯片与生物现实感应在生物实际应用中具有生物-现实感应至关重要,然而,基于传统结构的现有切乳机受体由于固有的物质或结构缺陷,需要尖端或非可缩放的制造技术。 我们在这里引入一个单体细胞乳房(CoM)感应结构,其特点是自动生物感应和原位加注编码的独特振动机制。 通过合理物质选择和补充金属-氧化-半导体-兼容制造,我们实现了瓦法10x10COM阵列的演示,其空间分辨率为每英寸51个像素和极小的像素大小 o。</w:t>
      </w:r>
    </w:p>
    <w:p>
      <w:pPr>
        <w:spacing w:before="0" w:after="200" w:lineRule="auto" w:line="276"/>
      </w:pPr>
      <w:r>
        <w:rPr>
          <w:b/>
        </w:rPr>
        <w:t xml:space="preserve">Abstract (EN): </w:t>
      </w:r>
      <w:r>
        <w:t>Array fabrication and the wafer-scale integration of artificial oscillatory chemoreceptors are crucial for enabling biomimetic chips with bio-realistic chemoreception in practical bioapplications. However, existing chemoreceptors based on conventional architectures require sophisticated or non-scalable fabrication techniques due to inherent material or structural defects. Here we introduce a monolithic cell-on-memristor (CoM) chemoreceptive architecture featuring a unique oscillation mechanism for self-powered biosensing and in situ spike encoding. Through rational material selection and complementary metal–oxide–semiconductor-compatible fabrication, we realize the demonstration of a wafer-scale 10 × 10 CoM array with a spatial resolution of 51 pixels per inch and a very small pixel size of 150 μm, with potential for further scaling down. Using its bio-plausible ion-modulated voltage oscillations with spatiotemporal probabilistic spiking information, we exploit the CoM-array-based gustatory chip to replicate gustation for accuracy salty taste classification. Our CoM architecture offers a general and scalable approach for implementing chemoreceptive oscillatory systems aimed at human–machine biointegration applications.</w:t>
      </w:r>
    </w:p>
    <w:p>
      <w:pPr>
        <w:spacing w:before="120" w:after="120"/>
      </w:pPr>
      <w:r>
        <w:rPr>
          <w:sz w:val="18"/>
        </w:rPr>
        <w:t>——————————————————————————————————————————————————————————————————————</w:t>
      </w:r>
    </w:p>
    <w:p>
      <w:pPr>
        <w:spacing w:before="160" w:after="40" w:line="240" w:lineRule="auto"/>
      </w:pPr>
      <w:r>
        <w:rPr>
          <w:b/>
        </w:rPr>
        <w:t xml:space="preserve">[34] </w:t>
      </w:r>
      <w:hyperlink r:id="rId42">
        <w:r>
          <w:rPr>
            <w:color w:val="1155CC"/>
            <w:u w:val="single"/>
          </w:rPr>
          <w:t>生命末期的燃料贫困风险需要紧急关注</w:t>
        </w:r>
      </w:hyperlink>
    </w:p>
    <w:p>
      <w:pPr>
        <w:spacing w:before="0" w:after="80"/>
      </w:pPr>
      <w:r>
        <w:rPr>
          <w:i/>
          <w:sz w:val="20"/>
        </w:rPr>
        <w:t>EN: Fuel poverty risk at the end of life needs urgent attention</w:t>
      </w:r>
    </w:p>
    <w:p>
      <w:pPr>
        <w:spacing w:before="0" w:after="120"/>
      </w:pPr>
      <w:r>
        <w:rPr>
          <w:b/>
        </w:rPr>
        <w:t xml:space="preserve">Source: </w:t>
      </w:r>
      <w:r>
        <w:t>Nature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43">
        <w:r>
          <w:rPr>
            <w:color w:val="1155CC"/>
            <w:u w:val="single"/>
          </w:rPr>
          <w:t>甜甜分子容器</w:t>
        </w:r>
      </w:hyperlink>
    </w:p>
    <w:p>
      <w:pPr>
        <w:spacing w:before="0" w:after="80"/>
      </w:pPr>
      <w:r>
        <w:rPr>
          <w:i/>
          <w:sz w:val="20"/>
        </w:rPr>
        <w:t>EN: Sweet molecular containers</w:t>
      </w:r>
    </w:p>
    <w:p>
      <w:pPr>
        <w:spacing w:before="0" w:after="120"/>
      </w:pPr>
      <w:r>
        <w:rPr>
          <w:b/>
        </w:rPr>
        <w:t xml:space="preserve">Source: </w:t>
      </w:r>
      <w:r>
        <w:t>Nature Chemistry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44">
        <w:r>
          <w:rPr>
            <w:color w:val="1155CC"/>
            <w:u w:val="single"/>
          </w:rPr>
          <w:t>量量夸夸声</w:t>
        </w:r>
      </w:hyperlink>
    </w:p>
    <w:p>
      <w:pPr>
        <w:spacing w:before="0" w:after="80"/>
      </w:pPr>
      <w:r>
        <w:rPr>
          <w:i/>
          <w:sz w:val="20"/>
        </w:rPr>
        <w:t>EN: Quantum quacks</w:t>
      </w:r>
    </w:p>
    <w:p>
      <w:pPr>
        <w:spacing w:before="0" w:after="120"/>
      </w:pPr>
      <w:r>
        <w:rPr>
          <w:b/>
        </w:rPr>
        <w:t xml:space="preserve">Source: </w:t>
      </w:r>
      <w:r>
        <w:t>Nature Chemistry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45">
        <w:r>
          <w:rPr>
            <w:color w:val="1155CC"/>
            <w:u w:val="single"/>
          </w:rPr>
          <w:t>Skew-tetramantane的定型选择性全面合成</w:t>
        </w:r>
      </w:hyperlink>
    </w:p>
    <w:p>
      <w:pPr>
        <w:spacing w:before="0" w:after="80"/>
      </w:pPr>
      <w:r>
        <w:rPr>
          <w:i/>
          <w:sz w:val="20"/>
        </w:rPr>
        <w:t>EN: Stereoselective total synthesis of skew-tetramantane</w:t>
      </w:r>
    </w:p>
    <w:p>
      <w:pPr>
        <w:spacing w:before="0" w:after="120"/>
      </w:pPr>
      <w:r>
        <w:rPr>
          <w:b/>
        </w:rPr>
        <w:t xml:space="preserve">Source: </w:t>
      </w:r>
      <w:r>
        <w:t>Nature Chemistry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钻石的基本手性成分 — — skew-tetramantane — — 特征是极端僵硬、稳定和精确界定的几何特征,代表了-希里坦的母体结构。 虽然-特异曼丹自然地出现在化石燃料的微小部分中,但几十年来为选择性合成而付出的努力仍然不尽如人意。 随着最近光化催化和将金属催化转换成驯服基和碳化物种的进展,我们现在通过立体选择性的选择性高超笼子扩展,设计出一个目标的、完全合成的-特异曼丹。 第一次封顶是用光催化基子反应进行的,而用内分子C(sp3 ) - 插入Davies 的菌来实现显著的重组、干涉和对应控制。</w:t>
      </w:r>
    </w:p>
    <w:p>
      <w:pPr>
        <w:spacing w:before="0" w:after="200" w:lineRule="auto" w:line="276"/>
      </w:pPr>
      <w:r>
        <w:rPr>
          <w:b/>
        </w:rPr>
        <w:t xml:space="preserve">Abstract (EN): </w:t>
      </w:r>
      <w:r>
        <w:t>Diamond’s elementary chiral constituent—skew-tetramantane—features extreme rigidity, stability and a precisely defined geometry, epitomizing the parent structure of a σ-helicene. While skew-tetramantane is naturally occurring in trace fractions in fossil fuels, efforts over several decades towards its selective synthesis remained unfruitful. With the recent advances in photocatalysis and transition metal catalysis to tame radical and carbene species, we have now devised a targeted total synthesis of skew-tetramantane by means of a stereoselective adamantalogous cage extension. A first cap attachment was effected by a photocatalytic Giese reaction, while remarkable regio-, diastereo- and enantiocontrol were achieved by an intramolecular C(sp3)−H insertion using Davies’ chiral rhodium catalysts. After a Buchner–Curtius–Schlotterbeck ring expansion and a stereoselective Mukaiyama hydration, the fusion to the adamantine skew-tetramantane structure was completed by an intramolecular C(sp3)−H insertion of a non-stabilized carbenoid. Here we show that this approach provides access to synthetic skew-tetramantane in isomerically pure form with σ-helicity defined by the catalyst, marking a selective pathway to higher diamondoids.</w:t>
      </w:r>
    </w:p>
    <w:p>
      <w:pPr>
        <w:spacing w:before="120" w:after="120"/>
      </w:pPr>
      <w:r>
        <w:rPr>
          <w:sz w:val="18"/>
        </w:rPr>
        <w:t>——————————————————————————————————————————————————————————————————————</w:t>
      </w:r>
    </w:p>
    <w:p>
      <w:pPr>
        <w:spacing w:before="160" w:after="40" w:line="240" w:lineRule="auto"/>
      </w:pPr>
      <w:r>
        <w:rPr>
          <w:b/>
        </w:rPr>
        <w:t xml:space="preserve">[38] </w:t>
      </w:r>
      <w:hyperlink r:id="rId46">
        <w:r>
          <w:rPr>
            <w:color w:val="1155CC"/>
            <w:u w:val="single"/>
          </w:rPr>
          <w:t>两条通往锂核核的公路</w:t>
        </w:r>
      </w:hyperlink>
    </w:p>
    <w:p>
      <w:pPr>
        <w:spacing w:before="0" w:after="80"/>
      </w:pPr>
      <w:r>
        <w:rPr>
          <w:i/>
          <w:sz w:val="20"/>
        </w:rPr>
        <w:t>EN: Two roads to lithium nucleation</w:t>
      </w:r>
    </w:p>
    <w:p>
      <w:pPr>
        <w:spacing w:before="0" w:after="120"/>
      </w:pPr>
      <w:r>
        <w:rPr>
          <w:b/>
        </w:rPr>
        <w:t xml:space="preserve">Source: </w:t>
      </w:r>
      <w:r>
        <w:t>Nature Chemistry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47">
        <w:r>
          <w:rPr>
            <w:color w:val="1155CC"/>
            <w:u w:val="single"/>
          </w:rPr>
          <w:t>塔坦锌电解从根到打破锌在实际锌电池中的利用/能力障碍</w:t>
        </w:r>
      </w:hyperlink>
    </w:p>
    <w:p>
      <w:pPr>
        <w:spacing w:before="0" w:after="80"/>
      </w:pPr>
      <w:r>
        <w:rPr>
          <w:i/>
          <w:sz w:val="20"/>
        </w:rPr>
        <w:t>EN: Taming Zinc Electrodeposition from the Root to Break Zinc Utilization/Capacity Barriers in Practical Zinc Batteries</w:t>
      </w:r>
    </w:p>
    <w:p>
      <w:pPr>
        <w:spacing w:before="0" w:after="120"/>
      </w:pPr>
      <w:r>
        <w:rPr>
          <w:b/>
        </w:rPr>
        <w:t xml:space="preserve">Source: </w:t>
      </w:r>
      <w:r>
        <w:t>RSC - Energy Environ. Sci. latest articles</w:t>
      </w:r>
      <w:r>
        <w:t xml:space="preserve">    </w:t>
      </w:r>
      <w:r>
        <w:rPr>
          <w:b/>
        </w:rPr>
        <w:t xml:space="preserve">Pub date: </w:t>
      </w:r>
      <w:r>
        <w:t>2026-01-06 00:00:00+00:00</w:t>
      </w:r>
    </w:p>
    <w:p>
      <w:pPr>
        <w:spacing w:before="0" w:after="120"/>
      </w:pPr>
      <w:r>
        <w:rPr>
          <w:b/>
        </w:rPr>
        <w:t xml:space="preserve">Notes: </w:t>
      </w:r>
      <w:r>
        <w:t>abstract_source=rsc_html</w:t>
      </w:r>
    </w:p>
    <w:p>
      <w:pPr>
        <w:spacing w:before="0" w:after="80" w:lineRule="auto" w:line="276"/>
      </w:pPr>
      <w:r>
        <w:rPr>
          <w:b/>
        </w:rPr>
        <w:t xml:space="preserve">摘要（ZH）: </w:t>
      </w:r>
      <w:r>
        <w:t>开发实用锌(Zn)电池需要从源头驯化Zn电极,以抑制相关的不利反应,同时提高商业相关分区能力的Zn利用效率(10 mAh cm-2),这项工作克服了Zn利用(在半细胞中为99%)方面的关键限制,并通过对Zn电化学系统进行量身定做的电流收集的基本了解,克服了这种能力。</w:t>
      </w:r>
    </w:p>
    <w:p>
      <w:pPr>
        <w:spacing w:before="0" w:after="200" w:lineRule="auto" w:line="276"/>
      </w:pPr>
      <w:r>
        <w:rPr>
          <w:b/>
        </w:rPr>
        <w:t xml:space="preserve">Abstract (EN): </w:t>
      </w:r>
      <w:r>
        <w:t>Developing practical zinc (Zn) batteries necessitates taming Zn electrodeposition at source to suppress associated unfavorable reactions while enhancing Zn utilization efficiency at commercially relevant areal capacities (≥10 mAh cm-2). This work overcomes key limitations in Zn utilization (99% in half-cells) and areal capacity through fundamental insights into Zn electrochemistry on tailored current collects. Complementary in-situ characterization and simulations reveal that the tailored brass (Cu0.7Zn0.3) establishes a zincophilic interface, homogeneous electric field distribution, and proton-rejecting properties. This synergy promotes uniform Zn diffusion and progressive nucleation, enabling dendrite-free deposition and effective suppression of water-induced side reactions. The Zn|Brass half-cell achieves an ultrahigh areal capacity of 50 mAh cm-2. In a static Zn-Br2 battery, it delivers 20000 stable cycles at 1 mAh cm-2, while exhibits a scalable areal capacity up to 50 mAh cm-2. A 200 mAh Zn-Br2 pouch cell sustains 1000 cycles, with high reversibility extending to 1000 mAh. The pouch cell offers a practical energy density of 61 Wh kg-1, safe operation, and compatibility with renewable energy integration. This work establishes design guidelines of current collectors for Zn anodes, paving the way for the advancement of practical Zn battery technologies.</w:t>
      </w:r>
    </w:p>
    <w:p>
      <w:pPr>
        <w:spacing w:before="120" w:after="120"/>
      </w:pPr>
      <w:r>
        <w:rPr>
          <w:sz w:val="18"/>
        </w:rPr>
        <w:t>——————————————————————————————————————————————————————————————————————</w:t>
      </w:r>
    </w:p>
    <w:p>
      <w:pPr>
        <w:spacing w:before="160" w:after="40" w:line="240" w:lineRule="auto"/>
      </w:pPr>
      <w:r>
        <w:rPr>
          <w:b/>
        </w:rPr>
        <w:t xml:space="preserve">[40] </w:t>
      </w:r>
      <w:hyperlink r:id="rId48">
        <w:r>
          <w:rPr>
            <w:color w:val="1155CC"/>
            <w:u w:val="single"/>
          </w:rPr>
          <w:t>将跨系统级联作为净零向零过渡过程中电气化路径的驱动力</w:t>
        </w:r>
      </w:hyperlink>
    </w:p>
    <w:p>
      <w:pPr>
        <w:spacing w:before="0" w:after="80"/>
      </w:pPr>
      <w:r>
        <w:rPr>
          <w:i/>
          <w:sz w:val="20"/>
        </w:rPr>
        <w:t>EN: Cross-system cascades as drivers of the electrification pathway in net-zero transitions</w:t>
      </w:r>
    </w:p>
    <w:p>
      <w:pPr>
        <w:spacing w:before="0" w:after="120"/>
      </w:pPr>
      <w:r>
        <w:rPr>
          <w:b/>
        </w:rPr>
        <w:t xml:space="preserve">Source: </w:t>
      </w:r>
      <w:r>
        <w:t>Nature Sustainability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虽然对跨系统互动的负面可持续性影响进行了充分研究,但对积极的跨系统级联没有很好地理解,这一视角表明,这些级联动态在净零电气化转型中已经很重要,而且由于核心创新(包括太阳-光伏、风力、电池、热泵、电炉和绿色氢)、关键资源(净-零电)和各种互补创新之间的积极互动,这些级联动态在未来几年可能会变得更加重要。这一视角讨论了跨技术、资源、行为体和机构层面的12个跨系统级联流程。《愿景》还为进一步刺激积极的跨系统级联和机制层面提供了可操作的政策建议。</w:t>
      </w:r>
    </w:p>
    <w:p>
      <w:pPr>
        <w:spacing w:before="0" w:after="200" w:lineRule="auto" w:line="276"/>
      </w:pPr>
      <w:r>
        <w:rPr>
          <w:b/>
        </w:rPr>
        <w:t xml:space="preserve">Abstract (EN): </w:t>
      </w:r>
      <w:r>
        <w:t>While negative sustainability effects of cross-system interactions are well studied, positive cross-system cascades are less well understood. This Perspective shows that these cascade dynamics are already important in net-zero electrification transitions and will probably become more important in the coming years due to positive interactions between core innovations (including solar-photovoltaics, wind power, batteries, heat pumps, electric furnaces and green hydrogen), a key resource (net-zero electricity) and various complementary innovations. This Perspective discusses 12 cross-system cascade processes across technology, resource, actor and institutional dimensions. The Perspective also provides actionable policy recommendations for further stimulating positive cross-system cascades and accelerating net-zero transitions.</w:t>
      </w:r>
    </w:p>
    <w:p>
      <w:pPr>
        <w:spacing w:before="120" w:after="120"/>
      </w:pPr>
      <w:r>
        <w:rPr>
          <w:sz w:val="18"/>
        </w:rPr>
        <w:t>——————————————————————————————————————————————————————————————————————</w:t>
      </w:r>
    </w:p>
    <w:p>
      <w:pPr>
        <w:spacing w:before="160" w:after="40" w:line="240" w:lineRule="auto"/>
      </w:pPr>
      <w:r>
        <w:rPr>
          <w:b/>
        </w:rPr>
        <w:t xml:space="preserve">[41] </w:t>
      </w:r>
      <w:hyperlink r:id="rId49">
        <w:r>
          <w:rPr>
            <w:color w:val="1155CC"/>
            <w:u w:val="single"/>
          </w:rPr>
          <w:t>通过氟化氢气箱盔甲堵塞多面降解路径,用于稳定无气太阳能电池</w:t>
        </w:r>
      </w:hyperlink>
    </w:p>
    <w:p>
      <w:pPr>
        <w:spacing w:before="0" w:after="80"/>
      </w:pPr>
      <w:r>
        <w:rPr>
          <w:i/>
          <w:sz w:val="20"/>
        </w:rPr>
        <w:t>EN: Blocking multifaceted degradation pathways via fluorinated hydrogen-bond armor for stable perovskite solar cells</w:t>
      </w:r>
    </w:p>
    <w:p>
      <w:pPr>
        <w:spacing w:before="0" w:after="120"/>
      </w:pPr>
      <w:r>
        <w:rPr>
          <w:b/>
        </w:rPr>
        <w:t xml:space="preserve">Source: </w:t>
      </w:r>
      <w:r>
        <w:t>RSC - Energy Environ. Sci. latest articles</w:t>
      </w:r>
      <w:r>
        <w:t xml:space="preserve">    </w:t>
      </w:r>
      <w:r>
        <w:rPr>
          <w:b/>
        </w:rPr>
        <w:t xml:space="preserve">Pub date: </w:t>
      </w:r>
      <w:r>
        <w:t>2026-01-06 00:00:00+00:00</w:t>
      </w:r>
    </w:p>
    <w:p>
      <w:pPr>
        <w:spacing w:before="0" w:after="120"/>
      </w:pPr>
      <w:r>
        <w:rPr>
          <w:b/>
        </w:rPr>
        <w:t xml:space="preserve">Notes: </w:t>
      </w:r>
      <w:r>
        <w:t>abstract_source=rsc_html</w:t>
      </w:r>
    </w:p>
    <w:p>
      <w:pPr>
        <w:spacing w:before="0" w:after="80" w:lineRule="auto" w:line="276"/>
      </w:pPr>
      <w:r>
        <w:rPr>
          <w:b/>
        </w:rPr>
        <w:t xml:space="preserve">摘要（ZH）: </w:t>
      </w:r>
      <w:r>
        <w:t>在这项研究中,我们提出了一个“氟化氢气箱”战略,以全面保护红化、防氧化的碘化(I-)防护和抑制离子迁移。 6-氟-氟-氟-苯米多醇-2-硫醇(F-MBI)通过氢结合形成与FA+稳定的复合体。</w:t>
      </w:r>
    </w:p>
    <w:p>
      <w:pPr>
        <w:spacing w:before="0" w:after="200" w:lineRule="auto" w:line="276"/>
      </w:pPr>
      <w:r>
        <w:rPr>
          <w:b/>
        </w:rPr>
        <w:t xml:space="preserve">Abstract (EN): </w:t>
      </w:r>
      <w:r>
        <w:t>The long-term operational stability of perovskite solar cells (PSCs) is governed by a complex interplay of multiple coupled degradation mechanisms rather than isolated factors. Key processes including organic cation decomposition, halide anion oxidation, and ion migration do not occur independently but synergistically interact, ultimately leading to progressive lattice degradation and irreversible device failure. In this study, we propose a “fluorinated hydrogen-bond armor” strategy to comprehensively safeguard formamidinium cations (FA+) against deprotonation, shield iodide (I−) from oxidation, and suppress ion migration. 6-Fluoro-lH-benzimidazole-2-thiol (F-MBI) forms a stabilized complex with FA+ through hydrogen bonding. The strongly electronegative fluorine substituent induces local electronic redistribution via a hydrogen-bond-mediated electronic bridge, passivating proton-active sites and mitigating FA+ deprotonation. Simultaneously, the thiol (–SH) group in F-MBI acts as a reducing agent, protecting I from oxidative degradation. Moreover, F-MBI homogenizes the vertical concentration distribution of Cs+ and FA+ within the perovskite, eliminating the concentration gradient that drives ion migration. The F-MBI modified PSCs achieved an outstanding power conversion efficiency (PCE) of 26.51% (stabilized PCE of 25.85%) and retained over 90% of their initial efficiency after continuous maximum power point tracking (MPP) for 1950 hours under the ISOS-L-2 protocol. Furthermore, the incorporation of F-MBI into the fabrication of large-area modules (active area = 64.68 cm2) yielded an impressive PCE of 20.99%, highlighting the broad applicability and scalability. Our work lays a solid scientific foundation for the comprehensive enhancement of perovskite device photostability and the accelerated advancement toward commercialization.</w:t>
      </w:r>
    </w:p>
    <w:p>
      <w:pPr>
        <w:spacing w:before="120" w:after="120"/>
      </w:pPr>
      <w:r>
        <w:rPr>
          <w:sz w:val="18"/>
        </w:rPr>
        <w:t>——————————————————————————————————————————————————————————————————————</w:t>
      </w:r>
    </w:p>
    <w:p>
      <w:pPr>
        <w:spacing w:before="160" w:after="40" w:line="240" w:lineRule="auto"/>
      </w:pPr>
      <w:r>
        <w:rPr>
          <w:b/>
        </w:rPr>
        <w:t xml:space="preserve">[42] </w:t>
      </w:r>
      <w:hyperlink r:id="rId50">
        <w:r>
          <w:rPr>
            <w:color w:val="1155CC"/>
            <w:u w:val="single"/>
          </w:rPr>
          <w:t>小分子螺旋发射体</w:t>
        </w:r>
      </w:hyperlink>
    </w:p>
    <w:p>
      <w:pPr>
        <w:spacing w:before="0" w:after="80"/>
      </w:pPr>
      <w:r>
        <w:rPr>
          <w:i/>
          <w:sz w:val="20"/>
        </w:rPr>
        <w:t>EN: Small molecule helical emitters</w:t>
      </w:r>
    </w:p>
    <w:p>
      <w:pPr>
        <w:spacing w:before="0" w:after="120"/>
      </w:pPr>
      <w:r>
        <w:rPr>
          <w:b/>
        </w:rPr>
        <w:t xml:space="preserve">Source: </w:t>
      </w:r>
      <w:r>
        <w:t>RSC - Chem. Soc. Rev. latest articles</w:t>
      </w:r>
      <w:r>
        <w:t xml:space="preserve">    </w:t>
      </w:r>
      <w:r>
        <w:rPr>
          <w:b/>
        </w:rPr>
        <w:t xml:space="preserve">Pub date: </w:t>
      </w:r>
      <w:r>
        <w:t>2026-01-06 00:00:00+00:00</w:t>
      </w:r>
    </w:p>
    <w:p>
      <w:pPr>
        <w:spacing w:before="0" w:after="120"/>
      </w:pPr>
      <w:r>
        <w:rPr>
          <w:b/>
        </w:rPr>
        <w:t xml:space="preserve">Notes: </w:t>
      </w:r>
      <w:r>
        <w:t>abstract_source=rsc_html</w:t>
      </w:r>
    </w:p>
    <w:p>
      <w:pPr>
        <w:spacing w:before="0" w:after="80" w:lineRule="auto" w:line="276"/>
      </w:pPr>
      <w:r>
        <w:rPr>
          <w:b/>
        </w:rPr>
        <w:t xml:space="preserve">摘要（ZH）: </w:t>
      </w:r>
      <w:r>
        <w:t>开发显示循环两极化发光材料(CPL)是下一代光学技术研究的一个关键领域,包括3D显示和安全通信,该领域的中心目标是创造具有高光度不对称性(gCPL)因子(gCPL),这是测量排放体性的一个尺度。虽然在理论上达到 +2, 小型有机分子的实际价值历来要低得多,大约为0.001或更少。本摘要概述了分子设计的核心战略,重点是最近促成重大突破的升温发射物,将G值推到0.01阈值之外。G系数的大小由电(μ)和磁(μ)底醇三角之间的角的正弦决定。</w:t>
      </w:r>
    </w:p>
    <w:p>
      <w:pPr>
        <w:spacing w:before="0" w:after="200" w:lineRule="auto" w:line="276"/>
      </w:pPr>
      <w:r>
        <w:rPr>
          <w:b/>
        </w:rPr>
        <w:t xml:space="preserve">Abstract (EN): </w:t>
      </w:r>
      <w:r>
        <w:t>The development of materials exhibiting circularly polarized luminescence (CPL) is a key area of research for next-generation optical technologies, including 3D displays and secure communications. The central goal in this field is to create chiral emitters with a high luminescence dissymmetry (gCPL) factor, a measure of the emission's chirality. While theoretically reaching ±2, practical values in small organic molecules have historically been much lower, on the order of 0.001 or less. This summary outlines the core strategies in molecular design focusing on helical emitters that have recently enabled significant breakthroughs, pushing g values beyond the 0.01 threshold. The magnitude of g factor is determined by the cosine of the angle between the electric (μe) and magnetic (μm) dipole transition moments, as well as their respective magnitudes. Consequently, the most successful research has moved beyond simple screening and has focused on rationally engineering molecules to optimize this relationship. One of the most direct strategies has been to design rigid, helical molecules where high symmetry forces the μe and μm to be parallel. By enforcing D2 and other symmetry in certain helicenes, helical nanographenes and related structures, researchers have minimized the angle between the moments, thus maximizing the cosine term and leading to a significant enhancement in the g factor value. A second, distinct approach targets the magnitude of the μm. In most organic chromophores, μm is inherently small, limiting the potential g factor intensity. To overcome this, researchers have designed for example belt-shaped macrocyclic molecules that function as molecular-scale solenoids. The cyclic arrangement of chromophores induces a large, circulating electric current in the excited state, which in turn generates a powerful μm along the cylinder's axis. A third innovative strategy circumvents the limitation of a small intrinsic μm by leveraging exciton coupling between two and more chromophores. In these systems, two π-conjugated units such as pyrene are held in a fixed, chiral arrangement. Upon photoexcitation, they form an intramolecular excimer, a transient excited-state complex with a well-defined helical geometry. The resulting CPL signal originates from the chiral interaction of the two strong electric transition moments, generating a large rotational strength and a high g factor without relying on the weak magnetic moment of the individual units. The progress in CPL-active materials is a testament to the power of targeted molecular engineering. As seen in the state-of-the-art examples in the review, the field has matured to a point where the fundamental photophysical principles governing CPL are being directly translated into synthetic molecular designs. While current high-performing materials are often complex and synthetically challenging, these proof-of-concept molecules validate the core design strategies.</w:t>
      </w:r>
    </w:p>
    <w:p>
      <w:pPr>
        <w:spacing w:before="120" w:after="120"/>
      </w:pPr>
      <w:r>
        <w:rPr>
          <w:sz w:val="18"/>
        </w:rPr>
        <w:t>——————————————————————————————————————————————————————————————————————</w:t>
      </w:r>
    </w:p>
    <w:p>
      <w:pPr>
        <w:spacing w:before="160" w:after="40" w:line="240" w:lineRule="auto"/>
      </w:pPr>
      <w:r>
        <w:rPr>
          <w:b/>
        </w:rPr>
        <w:t xml:space="preserve">[43] </w:t>
      </w:r>
      <w:hyperlink r:id="rId51">
        <w:r>
          <w:rPr>
            <w:color w:val="1155CC"/>
            <w:u w:val="single"/>
          </w:rPr>
          <w:t>具有催化作用的对等选择性[1,2] -- -- 维蒂格重新排列合金醚级联</w:t>
        </w:r>
      </w:hyperlink>
    </w:p>
    <w:p>
      <w:pPr>
        <w:spacing w:before="0" w:after="80"/>
      </w:pPr>
      <w:r>
        <w:rPr>
          <w:i/>
          <w:sz w:val="20"/>
        </w:rPr>
        <w:t>EN: The catalytic enantioselective [1,2]-Wittig rearrangement cascade of allylic ethers</w:t>
      </w:r>
    </w:p>
    <w:p>
      <w:pPr>
        <w:spacing w:before="0" w:after="120"/>
      </w:pPr>
      <w:r>
        <w:rPr>
          <w:b/>
        </w:rPr>
        <w:t xml:space="preserve">Source: </w:t>
      </w:r>
      <w:r>
        <w:t>Nature Chemistry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刺激性对应选择性选择[1,2,2]-维蒂克重新排列合苯醚是一个公认的合成挑战,因为传统上人们认为,这是一个公认的合成挑战,因为传统上认为它产生于通过形成和重组基对配方而形成的非封闭反应路径。 在这里,我们展示了一种对这一挑战的催化性对应选择性解决办法,表明[1,2]-维蒂格产品是通过传统教条的替代反应级联产生的。 发达过程使用一种手性双功能性二功能性非氮磷化催化剂来推动初始的对应性选择性[2,3]-光学重新排列。随后的一个基础推广、立体趋同、碎裂性再组合过程,该过程在形式上相当于伍德沃德-霍夫曼(Woodward-Hoffmann)禁止设置。</w:t>
      </w:r>
    </w:p>
    <w:p>
      <w:pPr>
        <w:spacing w:before="0" w:after="200" w:lineRule="auto" w:line="276"/>
      </w:pPr>
      <w:r>
        <w:rPr>
          <w:b/>
        </w:rPr>
        <w:t xml:space="preserve">Abstract (EN): </w:t>
      </w:r>
      <w:r>
        <w:t>The catalytic enantioselective [1,2]-Wittig rearrangement of allylic ethers constitutes a recognized synthetic challenge as it is traditionally considered to arise from a non-concerted reaction pathway via formation and recombination of radical pairs. Here we show a catalytic enantioselective solution to this challenge, demonstrating that [1,2]-Wittig products are generated via an alternative reaction cascade to traditional dogma. The developed process employs a chiral bifunctional iminophosphorane catalyst to promote an initial enantioselective [2,3]-sigmatropic rearrangement. A subsequent base-promoted, stereoconvergent, fragmentation–recombination process that proceeds with high enantiospecificity and retention of configuration, formally equivalent to a Woodward–Hoffmann forbidden thermal [1,3]-sigmatropic rearrangement, generates [1,2]-Wittig products in up to 97:3 enantiomeric ratio. Supported by extensive quantum chemistry calculations, this chirality transfer process will have broad implications for fundamental stereocontrol in organic transformations.</w:t>
      </w:r>
    </w:p>
    <w:p>
      <w:pPr>
        <w:spacing w:before="120" w:after="120"/>
      </w:pPr>
      <w:r>
        <w:rPr>
          <w:sz w:val="18"/>
        </w:rPr>
        <w:t>——————————————————————————————————————————————————————————————————————</w:t>
      </w:r>
    </w:p>
    <w:p>
      <w:pPr>
        <w:spacing w:before="160" w:after="40" w:line="240" w:lineRule="auto"/>
      </w:pPr>
      <w:r>
        <w:rPr>
          <w:b/>
        </w:rPr>
        <w:t xml:space="preserve">[44] </w:t>
      </w:r>
      <w:hyperlink r:id="rId52">
        <w:r>
          <w:rPr>
            <w:color w:val="1155CC"/>
            <w:u w:val="single"/>
          </w:rPr>
          <w:t>转让及其他转让:二维材料装置制造方面新出现的战略和趋势</w:t>
        </w:r>
      </w:hyperlink>
    </w:p>
    <w:p>
      <w:pPr>
        <w:spacing w:before="0" w:after="80"/>
      </w:pPr>
      <w:r>
        <w:rPr>
          <w:i/>
          <w:sz w:val="20"/>
        </w:rPr>
        <w:t>EN: Transfer and beyond: emerging strategies and trends in two-dimensional material device fabrication</w:t>
      </w:r>
    </w:p>
    <w:p>
      <w:pPr>
        <w:spacing w:before="0" w:after="120"/>
      </w:pPr>
      <w:r>
        <w:rPr>
          <w:b/>
        </w:rPr>
        <w:t xml:space="preserve">Source: </w:t>
      </w:r>
      <w:r>
        <w:t>RSC - Chem. Soc. Rev. latest articles</w:t>
      </w:r>
      <w:r>
        <w:t xml:space="preserve">    </w:t>
      </w:r>
      <w:r>
        <w:rPr>
          <w:b/>
        </w:rPr>
        <w:t xml:space="preserve">Pub date: </w:t>
      </w:r>
      <w:r>
        <w:t>2026-01-06 00:00:00+00:00</w:t>
      </w:r>
    </w:p>
    <w:p>
      <w:pPr>
        <w:spacing w:before="0" w:after="120"/>
      </w:pPr>
      <w:r>
        <w:rPr>
          <w:b/>
        </w:rPr>
        <w:t xml:space="preserve">Notes: </w:t>
      </w:r>
      <w:r>
        <w:t>abstract_source=rsc_html</w:t>
      </w:r>
    </w:p>
    <w:p>
      <w:pPr>
        <w:spacing w:before="0" w:after="80" w:lineRule="auto" w:line="276"/>
      </w:pPr>
      <w:r>
        <w:rPr>
          <w:b/>
        </w:rPr>
        <w:t xml:space="preserve">摘要（ZH）: </w:t>
      </w:r>
      <w:r>
        <w:t>二维(2D)材料领域取得了显著进展,这得益于其独特的电子、光学和机械特性,2D材料除了本身的特性外,还原状薄,很容易与各种装置结合,为新一代的芯片技术提供了超越电子和光学的各个领域的巨大潜力。2D设备制造的核心是开发有效的转让方法,这些方法对于维护清洁材料界面和完整材料特性至关重要。然而,作为一些最基本的技术,2D材料的转让方法极其多样,对各种方法的导航提出了挑战。本审查对状态和状态进行了全面分析。</w:t>
      </w:r>
    </w:p>
    <w:p>
      <w:pPr>
        <w:spacing w:before="0" w:after="200" w:lineRule="auto" w:line="276"/>
      </w:pPr>
      <w:r>
        <w:rPr>
          <w:b/>
        </w:rPr>
        <w:t xml:space="preserve">Abstract (EN): </w:t>
      </w:r>
      <w:r>
        <w:t>The field of two-dimensional (2D) materials has seen remarkable progress, driven by their exceptional electronic, optical, and mechanical properties. In addition to their intrinsic qualities, 2D materials are atomically thin and readily integrated with a wide range of devices, offering immense potential for next-generation on-chip technologies across various domains, beyond just electronics and optics. Central to the fabrication of 2D devices is the development of effective transfer methods, which are crucial for maintaining clean material interfaces and intact material properties. However, as some of the most fundamental techniques, transfer methods are incredibly diverse, making it challenging to navigate the various approaches. This review provides a comprehensive analysis of the state-of-the-art transfer methods, including a preliminary discussion on high-quality 2D material preparation, along with evaluation of the strengths and weaknesses of various transfer techniques. Furthermore, despite being a foundational field, there are still many significant tasks to be undertaken, with several bottlenecks awaiting breakthroughs. We also highlight emerging trends, such as reconfigurable transfer, all-transfer for chip manufacturing, and the application of transfer techniques to low-dimensional materials across broader research fields, such as chemistry, polariton, tribology, haptics, thermal transport, thermodynamic control, quantum science, neuromorphic computing, electrocatalysts, and energy, offering insights into future directions for 2D material integration.</w:t>
      </w:r>
    </w:p>
    <w:p>
      <w:pPr>
        <w:spacing w:before="120" w:after="120"/>
      </w:pPr>
      <w:r>
        <w:rPr>
          <w:sz w:val="18"/>
        </w:rPr>
        <w:t>——————————————————————————————————————————————————————————————————————</w:t>
      </w:r>
    </w:p>
    <w:p>
      <w:pPr>
        <w:spacing w:before="160" w:after="40" w:line="240" w:lineRule="auto"/>
      </w:pPr>
      <w:r>
        <w:rPr>
          <w:b/>
        </w:rPr>
        <w:t xml:space="preserve">[45] </w:t>
      </w:r>
      <w:hyperlink r:id="rId53">
        <w:r>
          <w:rPr>
            <w:color w:val="1155CC"/>
            <w:u w:val="single"/>
          </w:rPr>
          <w:t>美国联邦环境犯罪起诉模式的社会因素</w:t>
        </w:r>
      </w:hyperlink>
    </w:p>
    <w:p>
      <w:pPr>
        <w:spacing w:before="0" w:after="80"/>
      </w:pPr>
      <w:r>
        <w:rPr>
          <w:i/>
          <w:sz w:val="20"/>
        </w:rPr>
        <w:t>EN: Social factors shape federal environmental crime prosecution patterns in the USA</w:t>
      </w:r>
    </w:p>
    <w:p>
      <w:pPr>
        <w:spacing w:before="0" w:after="120"/>
      </w:pPr>
      <w:r>
        <w:rPr>
          <w:b/>
        </w:rPr>
        <w:t xml:space="preserve">Source: </w:t>
      </w:r>
      <w:r>
        <w:t>Nature Sustainability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环境法律法规的实施对于实现更清洁的环境和减轻环境损害的不公平分布至关重要。 我们在此审视2011年至2020年美国联邦环境犯罪起诉的地理格局。 结果表明,社会经济地位较高的州平均拥有更多的环境刑事诉讼,而空气和水质等环境条件对环境犯罪起诉模式没有影响。</w:t>
      </w:r>
    </w:p>
    <w:p>
      <w:pPr>
        <w:spacing w:before="0" w:after="200" w:lineRule="auto" w:line="276"/>
      </w:pPr>
      <w:r>
        <w:rPr>
          <w:b/>
        </w:rPr>
        <w:t xml:space="preserve">Abstract (EN): </w:t>
      </w:r>
      <w:r>
        <w:t>Enforcement of environmental laws and regulations is critical to achieving a cleaner environment and alleviating inequitable distributions of environmental harms. Here we examine the geographic patterning of US federal environmental crime prosecutions from 2011 to 2020. Results show that counties with higher levels of socioeconomic status have more environmental criminal prosecutions, on average, while environmental conditions such as air and water quality have no effect on environmental crime prosecution patterns.</w:t>
      </w:r>
    </w:p>
    <w:p>
      <w:pPr>
        <w:spacing w:before="120" w:after="120"/>
      </w:pPr>
      <w:r>
        <w:rPr>
          <w:sz w:val="18"/>
        </w:rPr>
        <w:t>——————————————————————————————————————————————————————————————————————</w:t>
      </w:r>
    </w:p>
    <w:p>
      <w:pPr>
        <w:spacing w:before="160" w:after="40" w:line="240" w:lineRule="auto"/>
      </w:pPr>
      <w:r>
        <w:rPr>
          <w:b/>
        </w:rPr>
        <w:t xml:space="preserve">[46] </w:t>
      </w:r>
      <w:hyperlink r:id="rId54">
        <w:r>
          <w:rPr>
            <w:color w:val="1155CC"/>
            <w:u w:val="single"/>
          </w:rPr>
          <w:t>通过基于代理机构的环境框架评估采用电动车辆的政策干预措施</w:t>
        </w:r>
      </w:hyperlink>
    </w:p>
    <w:p>
      <w:pPr>
        <w:spacing w:before="0" w:after="80"/>
      </w:pPr>
      <w:r>
        <w:rPr>
          <w:i/>
          <w:sz w:val="20"/>
        </w:rPr>
        <w:t>EN: Assessing policy interventions for electric vehicle adoption through an agent-based environmental framework</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55">
        <w:r>
          <w:rPr>
            <w:color w:val="1155CC"/>
            <w:u w:val="single"/>
          </w:rPr>
          <w:t>水中气候变化引起的污染物</w:t>
        </w:r>
      </w:hyperlink>
    </w:p>
    <w:p>
      <w:pPr>
        <w:spacing w:before="0" w:after="80"/>
      </w:pPr>
      <w:r>
        <w:rPr>
          <w:i/>
          <w:sz w:val="20"/>
        </w:rPr>
        <w:t>EN: Climate change-driven contaminants in water</w:t>
      </w:r>
    </w:p>
    <w:p>
      <w:pPr>
        <w:spacing w:before="0" w:after="120"/>
      </w:pPr>
      <w:r>
        <w:rPr>
          <w:b/>
        </w:rPr>
        <w:t xml:space="preserve">Source: </w:t>
      </w:r>
      <w:r>
        <w:t>Nature Sustainability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56">
        <w:r>
          <w:rPr>
            <w:color w:val="1155CC"/>
            <w:u w:val="single"/>
          </w:rPr>
          <w:t>在评估空调系统可持续性方面采用水能Nexus方法</w:t>
        </w:r>
      </w:hyperlink>
    </w:p>
    <w:p>
      <w:pPr>
        <w:spacing w:before="0" w:after="80"/>
      </w:pPr>
      <w:r>
        <w:rPr>
          <w:i/>
          <w:sz w:val="20"/>
        </w:rPr>
        <w:t>EN: Application of the Water-Energy Nexus approach to assess the sustainability of air conditioning systems</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57">
        <w:r>
          <w:rPr>
            <w:color w:val="1155CC"/>
            <w:u w:val="single"/>
          </w:rPr>
          <w:t>无碳乙烯无乙烯电解解液化电池改用更好的锂离子电池</w:t>
        </w:r>
      </w:hyperlink>
    </w:p>
    <w:p>
      <w:pPr>
        <w:spacing w:before="0" w:after="80"/>
      </w:pPr>
      <w:r>
        <w:rPr>
          <w:i/>
          <w:sz w:val="20"/>
        </w:rPr>
        <w:t>EN: Ethylene carbonate-free electrolytes toward better lithium-ion batteries</w:t>
      </w:r>
    </w:p>
    <w:p>
      <w:pPr>
        <w:spacing w:before="0" w:after="120"/>
      </w:pPr>
      <w:r>
        <w:rPr>
          <w:b/>
        </w:rPr>
        <w:t xml:space="preserve">Source: </w:t>
      </w:r>
      <w:r>
        <w:t>Joule</w:t>
      </w:r>
      <w:r>
        <w:t xml:space="preserve">    </w:t>
      </w:r>
      <w:r>
        <w:rPr>
          <w:b/>
        </w:rPr>
        <w:t xml:space="preserve">Pub date: </w:t>
      </w:r>
      <w:r>
        <w:t>2026-01-06 00:00:00+00:00</w:t>
      </w:r>
    </w:p>
    <w:p>
      <w:pPr>
        <w:spacing w:before="0" w:after="120"/>
      </w:pPr>
      <w:r>
        <w:rPr>
          <w:b/>
        </w:rPr>
        <w:t xml:space="preserve">Notes: </w:t>
      </w:r>
      <w:r>
        <w:t>abstract_source=rss_cell</w:t>
      </w:r>
    </w:p>
    <w:p>
      <w:pPr>
        <w:spacing w:before="0" w:after="80" w:lineRule="auto" w:line="276"/>
      </w:pPr>
      <w:r>
        <w:rPr>
          <w:b/>
        </w:rPr>
        <w:t xml:space="preserve">摘要（ZH）: </w:t>
      </w:r>
      <w:r>
        <w:t>几十年来,碳酸乙烯(EC)一直是锂离子电池中一个必要但有问题的组成部分,造成了安全问题和性能限制。 这一审查表明,去除EC并不是一个损失,而是一个突破。 通过设计没有EC的更聪明电解解槽,电池可以同时变得更加安全、支持更高的电压、从北极冷到沙漠热的操作以及超快的充电,为更强大和强大的能源储存铺平了道路。</w:t>
      </w:r>
    </w:p>
    <w:p>
      <w:pPr>
        <w:spacing w:before="0" w:after="200" w:lineRule="auto" w:line="276"/>
      </w:pPr>
      <w:r>
        <w:rPr>
          <w:b/>
        </w:rPr>
        <w:t xml:space="preserve">Abstract (EN): </w:t>
      </w:r>
      <w:r>
        <w:t>For decades, ethylene carbonate (EC) has been an essential but problematic component in lithium-ion batteries, causing safety issues and performance limits. This review demonstrates that removing EC is not a loss but a breakthrough. By designing smarter electrolytes without EC, batteries can simultaneously become safer, support higher voltages, operate from arctic cold to desert heat, and charge extraordinarily fast, paving the way for more robust and powerful energy storage.</w:t>
      </w:r>
    </w:p>
    <w:p>
      <w:pPr>
        <w:spacing w:before="120" w:after="120"/>
      </w:pPr>
      <w:r>
        <w:rPr>
          <w:sz w:val="18"/>
        </w:rPr>
        <w:t>——————————————————————————————————————————————————————————————————————</w:t>
      </w:r>
    </w:p>
    <w:p>
      <w:pPr>
        <w:spacing w:before="160" w:after="40" w:line="240" w:lineRule="auto"/>
      </w:pPr>
      <w:r>
        <w:rPr>
          <w:b/>
        </w:rPr>
        <w:t xml:space="preserve">[50] </w:t>
      </w:r>
      <w:hyperlink r:id="rId58">
        <w:r>
          <w:rPr>
            <w:color w:val="1155CC"/>
            <w:u w:val="single"/>
          </w:rPr>
          <w:t>在有形制约下通过基于SKR的神经网络进行冷却器性能模型模拟的方法</w:t>
        </w:r>
      </w:hyperlink>
    </w:p>
    <w:p>
      <w:pPr>
        <w:spacing w:before="0" w:after="80"/>
      </w:pPr>
      <w:r>
        <w:rPr>
          <w:i/>
          <w:sz w:val="20"/>
        </w:rPr>
        <w:t>EN: A method for chiller performance modeling via SKR-based neural network under physical constraints</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 </w:t>
      </w:r>
      <w:hyperlink r:id="rId59">
        <w:r>
          <w:rPr>
            <w:color w:val="1155CC"/>
            <w:u w:val="single"/>
          </w:rPr>
          <w:t>对电网的惯性估计:对方法、挑战和未来前景的审查</w:t>
        </w:r>
      </w:hyperlink>
    </w:p>
    <w:p>
      <w:pPr>
        <w:spacing w:before="0" w:after="80"/>
      </w:pPr>
      <w:r>
        <w:rPr>
          <w:i/>
          <w:sz w:val="20"/>
        </w:rPr>
        <w:t>EN: Inertia estimation for power grids: A review of methods, challenges, and future prospects</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60">
        <w:r>
          <w:rPr>
            <w:color w:val="1155CC"/>
            <w:u w:val="single"/>
          </w:rPr>
          <w:t>合成细胞的分子系统工程</w:t>
        </w:r>
      </w:hyperlink>
    </w:p>
    <w:p>
      <w:pPr>
        <w:spacing w:before="0" w:after="80"/>
      </w:pPr>
      <w:r>
        <w:rPr>
          <w:i/>
          <w:sz w:val="20"/>
        </w:rPr>
        <w:t>EN: Molecular systems engineering of synthetic cells</w:t>
      </w:r>
    </w:p>
    <w:p>
      <w:pPr>
        <w:spacing w:before="0" w:after="120"/>
      </w:pPr>
      <w:r>
        <w:rPr>
          <w:b/>
        </w:rPr>
        <w:t xml:space="preserve">Source: </w:t>
      </w:r>
      <w:r>
        <w:t>Nature Chemistry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建立自下而上的生物细胞合成版本,为理解生命规则和利用生物技术中的细胞能力提供了一个前所未有的机会,虽然在总结基本细胞功能方面取得了实质性进展,但我们认为,加速合成细胞工程的工程需要改变研究实践。 主导方法——理性地设计和整合功能模块——在处理与生命有关的极其复杂的生物化学路径时,特别是在设计原则仍然不明确时,具有限制性。 我们主张从理论上的合理设计转向以图书馆生成为核心的数据驱动模型。 受系统化学视角的启发,这一战略具有先验性。</w:t>
      </w:r>
    </w:p>
    <w:p>
      <w:pPr>
        <w:spacing w:before="0" w:after="200" w:lineRule="auto" w:line="276"/>
      </w:pPr>
      <w:r>
        <w:rPr>
          <w:b/>
        </w:rPr>
        <w:t xml:space="preserve">Abstract (EN): </w:t>
      </w:r>
      <w:r>
        <w:t>Building synthetic versions of biological cells from the bottom up offers an unprecedented opportunity to understand the rules of life and harness cellular capabilities in biotechnology. Whereas substantial progress has been made in recapitulating elementary cell functions, we argue that accelerating the engineering of synthetic cells requires a shift in research practices. The dominant approach—rationally designing and integrating functional modules—becomes restrictive when dealing with the massively complex biochemical pathways associated with life, especially when design principles remain unclear. We advocate moving away from theoretical rational design towards a data-driven model that is centred on library generation. Inspired by a systems chemistry perspective, this strategy prioritizes the systematic creation and distribution of composition–function libraries. To enable this, experimental strategies must integrate high-throughput synthetic cell generation, automation and closed-feedback control of workflows. Broad adoption will also require greater emphasis on quantitative benchmarking, and the de-skilling of techniques, supporting effective laboratory-to-laboratory collaboration.</w:t>
      </w:r>
    </w:p>
    <w:p>
      <w:pPr>
        <w:spacing w:before="120" w:after="120"/>
      </w:pPr>
      <w:r>
        <w:rPr>
          <w:sz w:val="18"/>
        </w:rPr>
        <w:t>——————————————————————————————————————————————————————————————————————</w:t>
      </w:r>
    </w:p>
    <w:p>
      <w:pPr>
        <w:spacing w:before="160" w:after="40" w:line="240" w:lineRule="auto"/>
      </w:pPr>
      <w:r>
        <w:rPr>
          <w:b/>
        </w:rPr>
        <w:t xml:space="preserve">[53] </w:t>
      </w:r>
      <w:hyperlink r:id="rId61">
        <w:r>
          <w:rPr>
            <w:color w:val="1155CC"/>
            <w:u w:val="single"/>
          </w:rPr>
          <w:t>一个可缩放的超导超导纳米线内存阵列,有行 - 列 地址</w:t>
        </w:r>
      </w:hyperlink>
    </w:p>
    <w:p>
      <w:pPr>
        <w:spacing w:before="0" w:after="80"/>
      </w:pPr>
      <w:r>
        <w:rPr>
          <w:i/>
          <w:sz w:val="20"/>
        </w:rPr>
        <w:t>EN: A scalable superconducting nanowire memory array with row–column addressing</w:t>
      </w:r>
    </w:p>
    <w:p>
      <w:pPr>
        <w:spacing w:before="0" w:after="120"/>
      </w:pPr>
      <w:r>
        <w:rPr>
          <w:b/>
        </w:rPr>
        <w:t xml:space="preserve">Source: </w:t>
      </w:r>
      <w:r>
        <w:t>Nature Electronics</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开发低能超导超导计算机和防故障量子计算机需要可缩缩超导内存。常规超导逻辑式的逻辑内存细胞拥有巨大的足足足,限制缩放;超导超导超导内存细胞尽管更为紧凑,但纳米电线型超导内存细胞的误差率较高,这阻碍了与大型阵列的整合。这里我们报告了用于可缩放行列操作的4×4超导超导超导超导内存阵列,其功能密度为2.6 mbit cm-2。 每个内存细胞都基于由两个依赖温度的超导开关和一个可变动感动感应器组成的纳米回路环。这些阵列以1.3 K 运行,我们在那里执行并描述多流量夸坦州存储和破坏性读取功能。</w:t>
      </w:r>
    </w:p>
    <w:p>
      <w:pPr>
        <w:spacing w:before="0" w:after="200" w:lineRule="auto" w:line="276"/>
      </w:pPr>
      <w:r>
        <w:rPr>
          <w:b/>
        </w:rPr>
        <w:t xml:space="preserve">Abstract (EN): </w:t>
      </w:r>
      <w:r>
        <w:t>Scalable superconducting memory is required for the development of low-energy superconducting computers and fault-tolerant quantum computers. Conventional superconducting logic-based memory cells possess a large footprint that limits scaling; nanowire-based superconducting memory cells, although more compact, have high error rates, which hinders integration into large arrays. Here we report a 4 × 4 superconducting nanowire memory array that is designed for scalable row–column operations and has a functional density of 2.6 Mbit cm−2. Each memory cell is based on a nanowire loop consisting of two temperature-dependent superconducting switches and a variable kinetic inductor. The arrays operate at 1.3 K, where we implement and characterize multiflux quanta state storage and destructive read-out. By optimizing the write- and read-pulse sequences, we minimize bit errors and maximize operating margins. We achieve a minimum bit error rate of 10−5. We also use circuit-level simulations to understand the memory cell’s dynamics, performance limits and stability under varying pulse amplitudes.</w:t>
      </w:r>
    </w:p>
    <w:p>
      <w:pPr>
        <w:spacing w:before="120" w:after="120"/>
      </w:pPr>
      <w:r>
        <w:rPr>
          <w:sz w:val="18"/>
        </w:rPr>
        <w:t>——————————————————————————————————————————————————————————————————————</w:t>
      </w:r>
    </w:p>
    <w:p>
      <w:pPr>
        <w:spacing w:before="160" w:after="40" w:line="240" w:lineRule="auto"/>
      </w:pPr>
      <w:r>
        <w:rPr>
          <w:b/>
        </w:rPr>
        <w:t xml:space="preserve">[54] </w:t>
      </w:r>
      <w:hyperlink r:id="rId62">
        <w:r>
          <w:rPr>
            <w:color w:val="1155CC"/>
            <w:u w:val="single"/>
          </w:rPr>
          <w:t>通过光纤菌株测量对电池包充电状态的适应性估计</w:t>
        </w:r>
      </w:hyperlink>
    </w:p>
    <w:p>
      <w:pPr>
        <w:spacing w:before="0" w:after="80"/>
      </w:pPr>
      <w:r>
        <w:rPr>
          <w:i/>
          <w:sz w:val="20"/>
        </w:rPr>
        <w:t>EN: Adaptive estimation of battery pack state of charge with optical fibre strain measurements</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 </w:t>
      </w:r>
      <w:hyperlink r:id="rId63">
        <w:r>
          <w:rPr>
            <w:color w:val="1155CC"/>
            <w:u w:val="single"/>
          </w:rPr>
          <w:t>无阳无阳性锂金属和锂-硫电池的失效机制和可缩放性</w:t>
        </w:r>
      </w:hyperlink>
    </w:p>
    <w:p>
      <w:pPr>
        <w:spacing w:before="0" w:after="80"/>
      </w:pPr>
      <w:r>
        <w:rPr>
          <w:i/>
          <w:sz w:val="20"/>
        </w:rPr>
        <w:t>EN: Failure mechanisms and scalability of anode-free lithium-metal and lithium–sulfur batteries</w:t>
      </w:r>
    </w:p>
    <w:p>
      <w:pPr>
        <w:spacing w:before="0" w:after="120"/>
      </w:pPr>
      <w:r>
        <w:rPr>
          <w:b/>
        </w:rPr>
        <w:t xml:space="preserve">Source: </w:t>
      </w:r>
      <w:r>
        <w:t>Nature Reviews Clean Technology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无阳性锂金属电池组(AFLMBs)的组装没有活性阴极材料,并且将高能量密度(~500Whk千克-1-1)与简化制造结合起来,然而,材料选择对能源密度、可缩缩缩性和环境影响的影响与常规的利金属电池相比,仍然没有充分理解。在本审查中,我们讨论了以液态电解液基亚化金属电池组(AFLMBs)的故障机制、缓解战略和规模,包括以氧化阴极为基础的AFLMBs和以硫化阴极无阴极的李硫电池组(AFLSBsbs),由于通过提高性能的定向战略可以缓解的多种根源,导致的电离子容量比低于1时,就会发生阳性方衰败。</w:t>
      </w:r>
    </w:p>
    <w:p>
      <w:pPr>
        <w:spacing w:before="0" w:after="200" w:lineRule="auto" w:line="276"/>
      </w:pPr>
      <w:r>
        <w:rPr>
          <w:b/>
        </w:rPr>
        <w:t xml:space="preserve">Abstract (EN): </w:t>
      </w:r>
      <w:r>
        <w:t>Anode-free lithium-metal batteries (AFLMBs) are assembled without active anode material and combine high energy density (~500 Wh kg−1) with simplified manufacturing. However, the influence of material selection on energy density, scalability and environmental impact remains insufficiently understood compared with conventional Li-metal batteries. In this Review, we discuss failure mechanisms, mitigation strategies and scaling of liquid-electrolyte-based AFLMBs, including both oxide-cathode-based AFLMBs and sulfide-cathode-based anode-free Li–sulfur batteries (AFLSBs). Anode-side failures occur when the anodic-to-cathodic capacity ratio falls below 1, arising from multiple root causes that can be mitigated through targeted strategies to enhance performance. Eliminating metallic Li in as-prepared AFLMBs enables simpler fabrication, easier scalability, a 10–15% higher gravimetric energy density and more efficient end-of-life handling, and reduces greenhouse gas emissions by over 9.5% compared with conventional Li-metal batteries. Efficient materials and designs, focusing on the use of high-loading cathodes, lean electrolytes, and thin separators and current collectors, enhance the feasibility of AFLMBs. Advancing electrolyte design, interface stabilization and resource-efficient cell architectures will be crucial for translating AFLMBs from laboratory prototypes to scalable energy storage systems.</w:t>
      </w:r>
    </w:p>
    <w:p>
      <w:pPr>
        <w:spacing w:before="120" w:after="120"/>
      </w:pPr>
      <w:r>
        <w:rPr>
          <w:sz w:val="18"/>
        </w:rPr>
        <w:t>——————————————————————————————————————————————————————————————————————</w:t>
      </w:r>
    </w:p>
    <w:p>
      <w:pPr>
        <w:spacing w:before="160" w:after="40" w:line="240" w:lineRule="auto"/>
      </w:pPr>
      <w:r>
        <w:rPr>
          <w:b/>
        </w:rPr>
        <w:t xml:space="preserve">[56] </w:t>
      </w:r>
      <w:hyperlink r:id="rId64">
        <w:r>
          <w:rPr>
            <w:color w:val="1155CC"/>
            <w:u w:val="single"/>
          </w:rPr>
          <w:t>人造皮肤模仿章鱼的伪装艺术</w:t>
        </w:r>
      </w:hyperlink>
    </w:p>
    <w:p>
      <w:pPr>
        <w:spacing w:before="0" w:after="80"/>
      </w:pPr>
      <w:r>
        <w:rPr>
          <w:i/>
          <w:sz w:val="20"/>
        </w:rPr>
        <w:t>EN: Artificial skin mimics the octopus’s art of disguise</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65">
        <w:r>
          <w:rPr>
            <w:color w:val="1155CC"/>
            <w:u w:val="single"/>
          </w:rPr>
          <w:t>基于潜在扩散的中期概率负载预测生成模型模型</w:t>
        </w:r>
      </w:hyperlink>
    </w:p>
    <w:p>
      <w:pPr>
        <w:spacing w:before="0" w:after="80"/>
      </w:pPr>
      <w:r>
        <w:rPr>
          <w:i/>
          <w:sz w:val="20"/>
        </w:rPr>
        <w:t>EN: Generative modeling for mid-term probabilistic load forecasting based on latent diffusion</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66">
        <w:r>
          <w:rPr>
            <w:color w:val="1155CC"/>
            <w:u w:val="single"/>
          </w:rPr>
          <w:t>H 动态移动到 HH+++,通过氢化化学循环循环实现</w:t>
        </w:r>
      </w:hyperlink>
    </w:p>
    <w:p>
      <w:pPr>
        <w:spacing w:before="0" w:after="80"/>
      </w:pPr>
      <w:r>
        <w:rPr>
          <w:i/>
          <w:sz w:val="20"/>
        </w:rPr>
        <w:t>EN: Dynamic Modulation of H· to H−&amp;H+ Enabled by Chemical Looping for Hydrogenation‐Dehydrogenation Tandem Reaction</w:t>
      </w:r>
    </w:p>
    <w:p>
      <w:pPr>
        <w:spacing w:before="0" w:after="120"/>
      </w:pPr>
      <w:r>
        <w:rPr>
          <w:b/>
        </w:rPr>
        <w:t xml:space="preserve">Source: </w:t>
      </w:r>
      <w:r>
        <w:t>Wiley: Angewandte Chemie International Edition: Table of Contents</w:t>
      </w:r>
      <w:r>
        <w:t xml:space="preserve">    </w:t>
      </w:r>
      <w:r>
        <w:rPr>
          <w:b/>
        </w:rPr>
        <w:t xml:space="preserve">Pub date: </w:t>
      </w:r>
      <w:r>
        <w:t>2026-01-06 04:55:24+00:00</w:t>
      </w:r>
      <w:r>
        <w:t xml:space="preserve">    </w:t>
      </w:r>
      <w:r>
        <w:rPr>
          <w:b/>
        </w:rPr>
        <w:t xml:space="preserve">DOI: </w:t>
      </w:r>
      <w:hyperlink r:id="rId67">
        <w:r>
          <w:rPr>
            <w:color w:val="1155CC"/>
            <w:u w:val="single"/>
          </w:rPr>
          <w:t>10.1002/anie.202519253</w:t>
        </w:r>
      </w:hyperlink>
    </w:p>
    <w:p>
      <w:pPr>
        <w:spacing w:before="0" w:after="120"/>
      </w:pPr>
      <w:r>
        <w:rPr>
          <w:b/>
        </w:rPr>
        <w:t xml:space="preserve">Notes: </w:t>
      </w:r>
      <w:r>
        <w:t>abstract_source=crossref</w:t>
      </w:r>
    </w:p>
    <w:p>
      <w:pPr>
        <w:spacing w:before="0" w:after="80" w:lineRule="auto" w:line="276"/>
      </w:pPr>
      <w:r>
        <w:rPr>
          <w:b/>
        </w:rPr>
        <w:t xml:space="preserve">摘要（ZH）: </w:t>
      </w:r>
      <w:r>
        <w:t>氢化和脱氢脱氢的抽象合成物具有重大意义,因为两者都是关键的联结重建模式,在大约10%的化学合成物中共同存在。然而,由于声光测量不平衡,往往需要外生氢,从而导致“视觉效应”,抑制脱氢,挑战热力和同步过程的动能。在这里,我们提出了一个以化学循环为基础的动态战略,以调制氢种为基础。我们设计了Ru n@NiCuV M催化剂,用金属空隙(V M)诱导的“电动加速器”特性,从而能够通过化学环流进行可逆电子捕捉和释放。</w:t>
      </w:r>
    </w:p>
    <w:p>
      <w:pPr>
        <w:spacing w:before="0" w:after="200" w:lineRule="auto" w:line="276"/>
      </w:pPr>
      <w:r>
        <w:rPr>
          <w:b/>
        </w:rPr>
        <w:t xml:space="preserve">Abstract (EN): </w:t>
      </w:r>
      <w:r>
        <w:t>Coupling hydrogenation and dehydrogenation is of great significance, as both are pivotal bond reconstruction modes and co‐occur in about 10% of chemical syntheses. However, stoichiometric imbalance often necessitates exogenous hydrogen, which causes “seesaw effect” and inhibits dehydrogenation, challenging thermodynamics and kinetics of tandem process. Herein, we propose a dynamic strategy based on chemical looping to modulate hydrogen species. We designed Ru</w:t>
      </w:r>
      <w:r>
        <w:t xml:space="preserve"> </w:t>
      </w:r>
      <w:r>
        <w:t>n</w:t>
      </w:r>
      <w:r>
        <w:t xml:space="preserve"> </w:t>
      </w:r>
      <w:r>
        <w:t>@NiCu‐V</w:t>
      </w:r>
      <w:r>
        <w:t xml:space="preserve"> </w:t>
      </w:r>
      <w:r>
        <w:t>M</w:t>
      </w:r>
      <w:r>
        <w:t xml:space="preserve"> </w:t>
      </w:r>
      <w:r>
        <w:t>catalyst with metal vacancy (V</w:t>
      </w:r>
      <w:r>
        <w:t xml:space="preserve"> </w:t>
      </w:r>
      <w:r>
        <w:t>M</w:t>
      </w:r>
      <w:r>
        <w:t xml:space="preserve"> </w:t>
      </w:r>
      <w:r>
        <w:t>) induced “electron allocator” properties, enabling reversible electron capture and release via chemical looping, which drives the neutral H· to convert into H</w:t>
      </w:r>
      <w:r>
        <w:t xml:space="preserve"> </w:t>
      </w:r>
      <w:r>
        <w:t>−</w:t>
      </w:r>
      <w:r>
        <w:t>&amp;amp;H</w:t>
      </w:r>
      <w:r>
        <w:t xml:space="preserve"> </w:t>
      </w:r>
      <w:r>
        <w:t>+</w:t>
      </w:r>
      <w:r>
        <w:t xml:space="preserve"> </w:t>
      </w:r>
      <w:r>
        <w:t>, while simultaneously completing electron cycling. The converted H</w:t>
      </w:r>
      <w:r>
        <w:t xml:space="preserve"> </w:t>
      </w:r>
      <w:r>
        <w:t>−</w:t>
      </w:r>
      <w:r>
        <w:t>&amp;amp;H</w:t>
      </w:r>
      <w:r>
        <w:t xml:space="preserve"> </w:t>
      </w:r>
      <w:r>
        <w:t>+</w:t>
      </w:r>
      <w:r>
        <w:t xml:space="preserve"> </w:t>
      </w:r>
      <w:r>
        <w:t>promote hydrogenation of polar ─C═N bonds in the tandem reaction of 5‐hydroxymethylfurfural to 2,5‐furandimethanamine, while neutral H· enhances the dehydrogenation rate by avoiding charge repulsion with H</w:t>
      </w:r>
      <w:r>
        <w:t xml:space="preserve"> </w:t>
      </w:r>
      <w:r>
        <w:t>−</w:t>
      </w:r>
      <w:r>
        <w:t>&amp;amp;H</w:t>
      </w:r>
      <w:r>
        <w:t xml:space="preserve"> </w:t>
      </w:r>
      <w:r>
        <w:t>+</w:t>
      </w:r>
      <w:r>
        <w:t xml:space="preserve"> </w:t>
      </w:r>
      <w:r>
        <w:t>generated from dehydrogenation of ─CH</w:t>
      </w:r>
      <w:r>
        <w:rPr>
          <w:vertAlign w:val="subscript"/>
        </w:rPr>
        <w:t>2</w:t>
      </w:r>
      <w:r>
        <w:t>OH. The coupled hydrogenation‐dehydrogenation process achieves a 1.7‐fold rate enhancement, delivers 92% 2,5‐furandimethanamine yield, outperforms most reported catalysts, and exhibits broad substrate applicability.</w:t>
      </w:r>
    </w:p>
    <w:p>
      <w:pPr>
        <w:spacing w:before="120" w:after="120"/>
      </w:pPr>
      <w:r>
        <w:rPr>
          <w:sz w:val="18"/>
        </w:rPr>
        <w:t>——————————————————————————————————————————————————————————————————————</w:t>
      </w:r>
    </w:p>
    <w:p>
      <w:pPr>
        <w:spacing w:before="160" w:after="40" w:line="240" w:lineRule="auto"/>
      </w:pPr>
      <w:r>
        <w:rPr>
          <w:b/>
        </w:rPr>
        <w:t xml:space="preserve">[59] </w:t>
      </w:r>
      <w:hyperlink r:id="rId68">
        <w:r>
          <w:rPr>
            <w:color w:val="1155CC"/>
            <w:u w:val="single"/>
          </w:rPr>
          <w:t>CO 开始重建CunZrOx催化催化致甲醇的协同CO2/CO CO-Hydrogenization</w:t>
        </w:r>
      </w:hyperlink>
    </w:p>
    <w:p>
      <w:pPr>
        <w:spacing w:before="0" w:after="80"/>
      </w:pPr>
      <w:r>
        <w:rPr>
          <w:i/>
          <w:sz w:val="20"/>
        </w:rPr>
        <w:t>EN: CO‐Induced Reconstruction of Cu–ZnZrOx Catalyst Enables Synergistic CO2/CO Co‐Hydrogenation to Methanol</w:t>
      </w:r>
    </w:p>
    <w:p>
      <w:pPr>
        <w:spacing w:before="0" w:after="120"/>
      </w:pPr>
      <w:r>
        <w:rPr>
          <w:b/>
        </w:rPr>
        <w:t xml:space="preserve">Source: </w:t>
      </w:r>
      <w:r>
        <w:t>Wiley: Angewandte Chemie International Edition: Table of Contents</w:t>
      </w:r>
      <w:r>
        <w:t xml:space="preserve">    </w:t>
      </w:r>
      <w:r>
        <w:rPr>
          <w:b/>
        </w:rPr>
        <w:t xml:space="preserve">Pub date: </w:t>
      </w:r>
      <w:r>
        <w:t>2026-01-06 04:57:52+00:00</w:t>
      </w:r>
      <w:r>
        <w:t xml:space="preserve">    </w:t>
      </w:r>
      <w:r>
        <w:rPr>
          <w:b/>
        </w:rPr>
        <w:t xml:space="preserve">DOI: </w:t>
      </w:r>
      <w:hyperlink r:id="rId69">
        <w:r>
          <w:rPr>
            <w:color w:val="1155CC"/>
            <w:u w:val="single"/>
          </w:rPr>
          <w:t>10.1002/anie.202525886</w:t>
        </w:r>
      </w:hyperlink>
    </w:p>
    <w:p>
      <w:pPr>
        <w:spacing w:before="0" w:after="120"/>
      </w:pPr>
      <w:r>
        <w:rPr>
          <w:b/>
        </w:rPr>
        <w:t xml:space="preserve">Notes: </w:t>
      </w:r>
      <w:r>
        <w:t>abstract_source=crossref</w:t>
      </w:r>
    </w:p>
    <w:p>
      <w:pPr>
        <w:spacing w:before="0" w:after="80" w:lineRule="auto" w:line="276"/>
      </w:pPr>
      <w:r>
        <w:rPr>
          <w:b/>
        </w:rPr>
        <w:t xml:space="preserve">摘要（ZH）: </w:t>
      </w:r>
      <w:r>
        <w:t>摘要催化作用阶段在很大程度上取决于反应条件。 在CO2 氢化中,努力主要强调CO2的激活,同时忽略了如何设计用于CO2和动力特性不同的副产品COCO的共转化和动力化的积极阶段。 这里发现,在CO2 - H2中增加CO2,通过明显协同促进CO2和CunZrOx的CO氢化,增加CO2 - H2进料可提高甲醇的生产率,最高可达2.2倍。</w:t>
      </w:r>
    </w:p>
    <w:p>
      <w:pPr>
        <w:spacing w:before="0" w:after="200" w:lineRule="auto" w:line="276"/>
      </w:pPr>
      <w:r>
        <w:rPr>
          <w:b/>
        </w:rPr>
        <w:t xml:space="preserve">Abstract (EN): </w:t>
      </w:r>
      <w:r>
        <w:t>Catalytically active phase depends strongly on reaction conditions. In CO</w:t>
      </w:r>
      <w:r>
        <w:rPr>
          <w:vertAlign w:val="subscript"/>
        </w:rPr>
        <w:t>2</w:t>
      </w:r>
      <w:r>
        <w:t>hydrogenation, efforts have largely emphasized CO</w:t>
      </w:r>
      <w:r>
        <w:rPr>
          <w:vertAlign w:val="subscript"/>
        </w:rPr>
        <w:t>2</w:t>
      </w:r>
      <w:r>
        <w:t>activation while overlooking how to design active phase for the co‐conversion of CO</w:t>
      </w:r>
      <w:r>
        <w:rPr>
          <w:vertAlign w:val="subscript"/>
        </w:rPr>
        <w:t>2</w:t>
      </w:r>
      <w:r>
        <w:t>and the kinetically distinct byproduct CO. Here, it is found that adding CO to CO</w:t>
      </w:r>
      <w:r>
        <w:rPr>
          <w:vertAlign w:val="subscript"/>
        </w:rPr>
        <w:t>2</w:t>
      </w:r>
      <w:r>
        <w:t>–H</w:t>
      </w:r>
      <w:r>
        <w:rPr>
          <w:vertAlign w:val="subscript"/>
        </w:rPr>
        <w:t>2</w:t>
      </w:r>
      <w:r>
        <w:t>feeds boosts methanol productivity by up to 2.2‐fold via a pronounced synergistic promotion of both CO</w:t>
      </w:r>
      <w:r>
        <w:rPr>
          <w:vertAlign w:val="subscript"/>
        </w:rPr>
        <w:t>2</w:t>
      </w:r>
      <w:r>
        <w:t>and CO hydrogenation over a Cu–ZnZrO</w:t>
      </w:r>
      <w:r>
        <w:t xml:space="preserve"> </w:t>
      </w:r>
      <w:r>
        <w:t>x</w:t>
      </w:r>
      <w:r>
        <w:t xml:space="preserve"> </w:t>
      </w:r>
      <w:r>
        <w:t>catalyst. In situ spectroscopy reveals that CO accelerates Zn reduction and migration onto Cu, increasing Zn</w:t>
      </w:r>
      <w:r>
        <w:rPr>
          <w:vertAlign w:val="subscript"/>
        </w:rPr>
        <w:t>0</w:t>
      </w:r>
      <w:r>
        <w:t>/Cu ratio, Zn</w:t>
      </w:r>
      <w:r>
        <w:t xml:space="preserve"> </w:t>
      </w:r>
      <w:r>
        <w:t>2+</w:t>
      </w:r>
      <w:r>
        <w:t xml:space="preserve"> </w:t>
      </w:r>
      <w:r>
        <w:t>/Cu, and Cu</w:t>
      </w:r>
      <w:r>
        <w:t xml:space="preserve"> </w:t>
      </w:r>
      <w:r>
        <w:t>+</w:t>
      </w:r>
      <w:r>
        <w:t xml:space="preserve"> </w:t>
      </w:r>
      <w:r>
        <w:t>/Cu fraction, while reducing exposed surface Cu from 42% to 19%. This CO‐induced restructuring enriches Zn exposure, drives CuZn alloy formation, and creates abundant CuZn alloy–ZnO</w:t>
      </w:r>
      <w:r>
        <w:t xml:space="preserve"> </w:t>
      </w:r>
      <w:r>
        <w:t>x</w:t>
      </w:r>
      <w:r>
        <w:t xml:space="preserve"> </w:t>
      </w:r>
      <w:r>
        <w:t>interfaces that stabilize Cu</w:t>
      </w:r>
      <w:r>
        <w:t xml:space="preserve"> </w:t>
      </w:r>
      <w:r>
        <w:t>+</w:t>
      </w:r>
      <w:r>
        <w:t xml:space="preserve"> </w:t>
      </w:r>
      <w:r>
        <w:t>sites. These interfaces enable a cooperative dual‐pathway mechanism: CO</w:t>
      </w:r>
      <w:r>
        <w:rPr>
          <w:vertAlign w:val="subscript"/>
        </w:rPr>
        <w:t>2</w:t>
      </w:r>
      <w:r>
        <w:t>is hydrogenated mainly via the formate route at alloy–ZnO</w:t>
      </w:r>
      <w:r>
        <w:t xml:space="preserve"> </w:t>
      </w:r>
      <w:r>
        <w:t>x</w:t>
      </w:r>
      <w:r>
        <w:t xml:space="preserve"> </w:t>
      </w:r>
      <w:r>
        <w:t>sites, whereas CO follows the formyl route on Cu sites. Additionally, in situ‐formed water accelerates conversion of the rate‐determining CH</w:t>
      </w:r>
      <w:r>
        <w:rPr>
          <w:vertAlign w:val="subscript"/>
        </w:rPr>
        <w:t>3</w:t>
      </w:r>
      <w:r>
        <w:t>O</w:t>
      </w:r>
      <w:r>
        <w:t xml:space="preserve"> </w:t>
      </w:r>
      <w:r>
        <w:t>*</w:t>
      </w:r>
      <w:r>
        <w:t xml:space="preserve"> </w:t>
      </w:r>
      <w:r>
        <w:t>intermediate in the CO pathway. Together, CO‐driven evolution of active sites, synergistic dual‐pathway catalysis, and water‐assisted promotion yield highly efficient methanol synthesis from mixed CO–CO</w:t>
      </w:r>
      <w:r>
        <w:rPr>
          <w:vertAlign w:val="subscript"/>
        </w:rPr>
        <w:t>2</w:t>
      </w:r>
      <w:r>
        <w:t>feeds.</w:t>
      </w:r>
    </w:p>
    <w:p>
      <w:pPr>
        <w:spacing w:before="120" w:after="120"/>
      </w:pPr>
      <w:r>
        <w:rPr>
          <w:sz w:val="18"/>
        </w:rPr>
        <w:t>——————————————————————————————————————————————————————————————————————</w:t>
      </w:r>
    </w:p>
    <w:p>
      <w:pPr>
        <w:spacing w:before="160" w:after="40" w:line="240" w:lineRule="auto"/>
      </w:pPr>
      <w:r>
        <w:rPr>
          <w:b/>
        </w:rPr>
        <w:t xml:space="preserve">[60] </w:t>
      </w:r>
      <w:hyperlink r:id="rId70">
        <w:r>
          <w:rPr>
            <w:color w:val="1155CC"/>
            <w:u w:val="single"/>
          </w:rPr>
          <w:t>一个像Eu30这样的减少二氧化碳照片的催化器,其更替数字超过1000万。</w:t>
        </w:r>
      </w:hyperlink>
    </w:p>
    <w:p>
      <w:pPr>
        <w:spacing w:before="0" w:after="80"/>
      </w:pPr>
      <w:r>
        <w:rPr>
          <w:i/>
          <w:sz w:val="20"/>
        </w:rPr>
        <w:t>EN: A Doughnut‐Like Eu30 Catalyst for CO2 Photoreduction with Turnover Numbers Over Ten Million</w:t>
      </w:r>
    </w:p>
    <w:p>
      <w:pPr>
        <w:spacing w:before="0" w:after="120"/>
      </w:pPr>
      <w:r>
        <w:rPr>
          <w:b/>
        </w:rPr>
        <w:t xml:space="preserve">Source: </w:t>
      </w:r>
      <w:r>
        <w:t>Wiley: Angewandte Chemie International Edition: Table of Contents</w:t>
      </w:r>
      <w:r>
        <w:t xml:space="preserve">    </w:t>
      </w:r>
      <w:r>
        <w:rPr>
          <w:b/>
        </w:rPr>
        <w:t xml:space="preserve">Pub date: </w:t>
      </w:r>
      <w:r>
        <w:t>2026-01-06 04:58:53+00:00</w:t>
      </w:r>
      <w:r>
        <w:t xml:space="preserve">    </w:t>
      </w:r>
      <w:r>
        <w:rPr>
          <w:b/>
        </w:rPr>
        <w:t xml:space="preserve">DOI: </w:t>
      </w:r>
      <w:hyperlink r:id="rId71">
        <w:r>
          <w:rPr>
            <w:color w:val="1155CC"/>
            <w:u w:val="single"/>
          </w:rPr>
          <w:t>10.1002/anie.202525260</w:t>
        </w:r>
      </w:hyperlink>
    </w:p>
    <w:p>
      <w:pPr>
        <w:spacing w:before="0" w:after="120"/>
      </w:pPr>
      <w:r>
        <w:rPr>
          <w:b/>
        </w:rPr>
        <w:t xml:space="preserve">Notes: </w:t>
      </w:r>
      <w:r>
        <w:t>abstract_source=crossref</w:t>
      </w:r>
    </w:p>
    <w:p>
      <w:pPr>
        <w:spacing w:before="0" w:after="80" w:lineRule="auto" w:line="276"/>
      </w:pPr>
      <w:r>
        <w:rPr>
          <w:b/>
        </w:rPr>
        <w:t xml:space="preserve">摘要（ZH）: </w:t>
      </w:r>
      <w:r>
        <w:t>由于多个活跃中心之间独特的空间结构,抽象金属集聚体可能成为CO2减排的高性能催化剂,因为多个活跃中心具有独特的空间结构,因此,在逐步取消增长机制之后,通过现场协同反应合成了两个30个核甜甜甜圈类兰沙尼德(Eu30和Dy30)组(Eu30和Dy30),与基于DyQ的模拟相比,Eu30在可见光驱动CO2的转换中起到了高性能催化剂的作用,有98%的选择性和创纪录的高营业次数达到1.720×10。</w:t>
      </w:r>
    </w:p>
    <w:p>
      <w:pPr>
        <w:spacing w:before="0" w:after="200" w:lineRule="auto" w:line="276"/>
      </w:pPr>
      <w:r>
        <w:rPr>
          <w:b/>
        </w:rPr>
        <w:t xml:space="preserve">Abstract (EN): </w:t>
      </w:r>
      <w:r>
        <w:t>Polynuclear metal clusters can be potentially high‐performance catalysts for the CO</w:t>
      </w:r>
      <w:r>
        <w:rPr>
          <w:vertAlign w:val="subscript"/>
        </w:rPr>
        <w:t>2</w:t>
      </w:r>
      <w:r>
        <w:t>reduction owing to the unique spatial structures among multiple active centers. Herein, two 30‐nuclear doughnut‐like lanthanide clusters (</w:t>
      </w:r>
      <w:r>
        <w:t xml:space="preserve"> </w:t>
      </w:r>
      <w:r>
        <w:t>Eu30</w:t>
      </w:r>
      <w:r>
        <w:t xml:space="preserve"> </w:t>
      </w:r>
      <w:r>
        <w:t>and</w:t>
      </w:r>
      <w:r>
        <w:t xml:space="preserve"> </w:t>
      </w:r>
      <w:r>
        <w:t>Dy30</w:t>
      </w:r>
      <w:r>
        <w:t xml:space="preserve"> </w:t>
      </w:r>
      <w:r>
        <w:t>) were synthesized via in situ tandem reaction following a stepwise annular growth mechanism. In contrast to the Dy‐based analog,</w:t>
      </w:r>
      <w:r>
        <w:t xml:space="preserve"> </w:t>
      </w:r>
      <w:r>
        <w:t>Eu30</w:t>
      </w:r>
      <w:r>
        <w:t xml:space="preserve"> </w:t>
      </w:r>
      <w:r>
        <w:t>serves as a high‐performance catalyst in visible‐light‐driven CO</w:t>
      </w:r>
      <w:r>
        <w:rPr>
          <w:vertAlign w:val="subscript"/>
        </w:rPr>
        <w:t>2</w:t>
      </w:r>
      <w:r>
        <w:t>‐to‐CO conversion with 98% selectivity and a record‐high turnover number reaching 1.720 × 10</w:t>
      </w:r>
      <w:r>
        <w:rPr>
          <w:vertAlign w:val="subscript"/>
        </w:rPr>
        <w:t>7</w:t>
      </w:r>
      <w:r>
        <w:t>, a rare case with only lanthanide metals as the active centers. Experimental and computational results indicate that the excellent performance of</w:t>
      </w:r>
      <w:r>
        <w:t xml:space="preserve"> </w:t>
      </w:r>
      <w:r>
        <w:t>Eu30</w:t>
      </w:r>
      <w:r>
        <w:t xml:space="preserve"> </w:t>
      </w:r>
      <w:r>
        <w:t>, as the first example of pure lanthanide cluster catalyst, can be attributed to its high redox activity with an appropriate LUMO energy level.</w:t>
      </w:r>
    </w:p>
    <w:p>
      <w:pPr>
        <w:spacing w:before="120" w:after="120"/>
      </w:pPr>
      <w:r>
        <w:rPr>
          <w:sz w:val="18"/>
        </w:rPr>
        <w:t>——————————————————————————————————————————————————————————————————————</w:t>
      </w:r>
    </w:p>
    <w:p>
      <w:pPr>
        <w:spacing w:before="160" w:after="40" w:line="240" w:lineRule="auto"/>
      </w:pPr>
      <w:r>
        <w:rPr>
          <w:b/>
        </w:rPr>
        <w:t xml:space="preserve">[61] </w:t>
      </w:r>
      <w:hyperlink r:id="rId72">
        <w:r>
          <w:rPr>
            <w:color w:val="1155CC"/>
            <w:u w:val="single"/>
          </w:rPr>
          <w:t>用于高效选择性有氧氧氧化作用的协同工程推进器 Alkynyl-Copper光电分离</w:t>
        </w:r>
      </w:hyperlink>
    </w:p>
    <w:p>
      <w:pPr>
        <w:spacing w:before="0" w:after="80"/>
      </w:pPr>
      <w:r>
        <w:rPr>
          <w:i/>
          <w:sz w:val="20"/>
        </w:rPr>
        <w:t>EN: Conjugation Engineering Boosts Alkynyl‐Copper Photocatalysis for Efficient Selective Aerobic Oxidation</w:t>
      </w:r>
    </w:p>
    <w:p>
      <w:pPr>
        <w:spacing w:before="0" w:after="120"/>
      </w:pPr>
      <w:r>
        <w:rPr>
          <w:b/>
        </w:rPr>
        <w:t xml:space="preserve">Source: </w:t>
      </w:r>
      <w:r>
        <w:t>Wiley: Angewandte Chemie International Edition: Table of Contents</w:t>
      </w:r>
      <w:r>
        <w:t xml:space="preserve">    </w:t>
      </w:r>
      <w:r>
        <w:rPr>
          <w:b/>
        </w:rPr>
        <w:t xml:space="preserve">Pub date: </w:t>
      </w:r>
      <w:r>
        <w:t>2026-01-06 04:59:55+00:00</w:t>
      </w:r>
      <w:r>
        <w:t xml:space="preserve">    </w:t>
      </w:r>
      <w:r>
        <w:rPr>
          <w:b/>
        </w:rPr>
        <w:t xml:space="preserve">DOI: </w:t>
      </w:r>
      <w:hyperlink r:id="rId73">
        <w:r>
          <w:rPr>
            <w:color w:val="1155CC"/>
            <w:u w:val="single"/>
          </w:rPr>
          <w:t>10.1002/anie.202521533</w:t>
        </w:r>
      </w:hyperlink>
    </w:p>
    <w:p>
      <w:pPr>
        <w:spacing w:before="0" w:after="120"/>
      </w:pPr>
      <w:r>
        <w:rPr>
          <w:b/>
        </w:rPr>
        <w:t xml:space="preserve">Notes: </w:t>
      </w:r>
      <w:r>
        <w:t>abstract_source=crossref</w:t>
      </w:r>
    </w:p>
    <w:p>
      <w:pPr>
        <w:spacing w:before="0" w:after="80" w:lineRule="auto" w:line="276"/>
      </w:pPr>
      <w:r>
        <w:rPr>
          <w:b/>
        </w:rPr>
        <w:t xml:space="preserve">摘要（ZH）: </w:t>
      </w:r>
      <w:r>
        <w:t>抽象颗粒菊酯(PACu)是铜催化交叉相交结合体中一个重要的光活中间体,具有有限的可见光吸收作用、快速的辐射再组合和光化性差,妨碍了其实际应用。 我们在此报告了一项协同工程战略,通过以扩展的系统(如2-苯乙烯(NA)、9-苯乙烯苯丙胺(Fa)和1-苯丙苯乙烯(BA)取代苯乙烯来应对这些挑战。 实验和理论研究显示,强化的conjugation将宽幅缩小至1.95 eV(BACu),将吸收范围扩大到600纳米以上,促进电荷分离,并抑制Cu。</w:t>
      </w:r>
    </w:p>
    <w:p>
      <w:pPr>
        <w:spacing w:before="0" w:after="200" w:lineRule="auto" w:line="276"/>
      </w:pPr>
      <w:r>
        <w:rPr>
          <w:b/>
        </w:rPr>
        <w:t xml:space="preserve">Abstract (EN): </w:t>
      </w:r>
      <w:r>
        <w:t>Phenylacetylide‐copper (PACu), as an important photoactive intermediate in copper‐catalyzed cross‐couplings, suffers from limited visible‐light absorption, rapid radiative recombination, and poor photostability, hindering its practical application. Herein, we report a conjugation engineering strategy to address these challenges by replacing phenylacetylene with extended π‐system ligands, such as 2‐ethynylnaphthalene (NA), 9‐ethynylphenanthrene (FA), and 1‐ethynylpyrene (BA), yielding a series of new alkynyl‐copper photocatalysts (NACu, FACu, BACu). Experimental and theoretical studies reveal that enhanced π‐conjugation narrows the band gap to 1.95 eV (BACu), extends absorption beyond 600 nm, promotes charge separation, and suppresses Cu</w:t>
      </w:r>
      <w:r>
        <w:t xml:space="preserve"> </w:t>
      </w:r>
      <w:r>
        <w:t>I</w:t>
      </w:r>
      <w:r>
        <w:t xml:space="preserve"> </w:t>
      </w:r>
      <w:r>
        <w:t>oxidation during photocatalysis. The optimized BACu demonstrates exceptional photocatalytic activity and stability in [4 + 2] cycloaddition, Glaser coupling, and benzylamine oxidation, achieving &amp;gt;99% conversion and selectivity with excellent recyclability. This work provides fundamental insights into electronic structure modulation via conjugation engineering, offering a universal strategy for designing efficient and stable metal‐alkynyl photocatalysts.</w:t>
      </w:r>
    </w:p>
    <w:p>
      <w:pPr>
        <w:spacing w:before="120" w:after="120"/>
      </w:pPr>
      <w:r>
        <w:rPr>
          <w:sz w:val="18"/>
        </w:rPr>
        <w:t>——————————————————————————————————————————————————————————————————————</w:t>
      </w:r>
    </w:p>
    <w:p>
      <w:pPr>
        <w:spacing w:before="160" w:after="40" w:line="240" w:lineRule="auto"/>
      </w:pPr>
      <w:r>
        <w:rPr>
          <w:b/>
        </w:rPr>
        <w:t xml:space="preserve">[62] </w:t>
      </w:r>
      <w:hyperlink r:id="rId74">
        <w:r>
          <w:rPr>
            <w:color w:val="1155CC"/>
            <w:u w:val="single"/>
          </w:rPr>
          <w:t>未激活的C(sp3)-H Bond</w:t>
        </w:r>
      </w:hyperlink>
    </w:p>
    <w:p>
      <w:pPr>
        <w:spacing w:before="0" w:after="80"/>
      </w:pPr>
      <w:r>
        <w:rPr>
          <w:i/>
          <w:sz w:val="20"/>
        </w:rPr>
        <w:t>EN: Intermolecular Enantioselective Nickel‐Catalyzed Arylation of Un‐Activated C(sp3)─H Bond</w:t>
      </w:r>
    </w:p>
    <w:p>
      <w:pPr>
        <w:spacing w:before="0" w:after="120"/>
      </w:pPr>
      <w:r>
        <w:rPr>
          <w:b/>
        </w:rPr>
        <w:t xml:space="preserve">Source: </w:t>
      </w:r>
      <w:r>
        <w:t>Wiley: Angewandte Chemie International Edition: Table of Contents</w:t>
      </w:r>
      <w:r>
        <w:t xml:space="preserve">    </w:t>
      </w:r>
      <w:r>
        <w:rPr>
          <w:b/>
        </w:rPr>
        <w:t xml:space="preserve">Pub date: </w:t>
      </w:r>
      <w:r>
        <w:t>2026-01-06 05:00:31+00:00</w:t>
      </w:r>
      <w:r>
        <w:t xml:space="preserve">    </w:t>
      </w:r>
      <w:r>
        <w:rPr>
          <w:b/>
        </w:rPr>
        <w:t xml:space="preserve">DOI: </w:t>
      </w:r>
      <w:hyperlink r:id="rId75">
        <w:r>
          <w:rPr>
            <w:color w:val="1155CC"/>
            <w:u w:val="single"/>
          </w:rPr>
          <w:t>10.1002/anie.202523241</w:t>
        </w:r>
      </w:hyperlink>
    </w:p>
    <w:p>
      <w:pPr>
        <w:spacing w:before="0" w:after="120"/>
      </w:pPr>
      <w:r>
        <w:rPr>
          <w:b/>
        </w:rPr>
        <w:t xml:space="preserve">Notes: </w:t>
      </w:r>
      <w:r>
        <w:t>abstract_source=crossref</w:t>
      </w:r>
    </w:p>
    <w:p>
      <w:pPr>
        <w:spacing w:before="0" w:after="80" w:lineRule="auto" w:line="276"/>
      </w:pPr>
      <w:r>
        <w:rPr>
          <w:b/>
        </w:rPr>
        <w:t xml:space="preserve">摘要（ZH）: </w:t>
      </w:r>
      <w:r>
        <w:t>我们报告了一个中间分子、对应选择性的Ni(II)催化C(sp 3)-H 的中间分子、对应选择性的Ni(II)-催化C(sp 3)-H 相互调节的第一个例子,它提供了直接进入所有碳四氟制立体中心的机会。这一成功的关键是使用一个专门设计的BINOL衍生的离心法,通过一个速度和对立的C-H激活步骤,使宝石二甲基组能够有效地脱污。这一催化系统显示了显著的功能性群体容忍度,为高产量(高达85%)和极佳的对应性(高达95:5 e.r.)提供各种近效的近效产品。</w:t>
      </w:r>
    </w:p>
    <w:p>
      <w:pPr>
        <w:spacing w:before="0" w:after="200" w:lineRule="auto" w:line="276"/>
      </w:pPr>
      <w:r>
        <w:rPr>
          <w:b/>
        </w:rPr>
        <w:t xml:space="preserve">Abstract (EN): </w:t>
      </w:r>
      <w:r>
        <w:t>We report the first example of an intermolecular, enantioselective Ni(II)‐catalyzed C(sp</w:t>
      </w:r>
      <w:r>
        <w:rPr>
          <w:vertAlign w:val="subscript"/>
        </w:rPr>
        <w:t>3</w:t>
      </w:r>
      <w:r>
        <w:t>)─H arylation, providing direct access to challenging all‐carbon quaternary stereogenic centers. Key to this success is the use of a specially designed BINOL‐derived ligand, which enables efficient desymmetrization of gem‐dimethyl groups through a rate‐ and enantio‐determining C─H activation step. This catalytic system demonstrates remarkable functional group tolerance, affording a wide variety of arylated products in high yields (up to 85%) and with excellent enantioselectivities (up to 95:5 e.r.). Mechanistic studies, combining kinetic isotope effect measurements, deuterium labeling, and DFT calculations, reveal that the Ni–BINOL complex promotes a unique concerted metalation–deprotonation pathway assisted by ligand coordination and π–π interactions. This work establishes nickel as a powerful and sustainable alternative to precious metals for asymmetric C─H activation, opening new perspectives for the construction of enantioenriched quaternary carbon centers of high relevance in drug discovery and materials science.</w:t>
      </w:r>
    </w:p>
    <w:p>
      <w:pPr>
        <w:spacing w:before="120" w:after="120"/>
      </w:pPr>
      <w:r>
        <w:rPr>
          <w:sz w:val="18"/>
        </w:rPr>
        <w:t>——————————————————————————————————————————————————————————————————————</w:t>
      </w:r>
    </w:p>
    <w:p>
      <w:pPr>
        <w:spacing w:before="160" w:after="40" w:line="240" w:lineRule="auto"/>
      </w:pPr>
      <w:r>
        <w:rPr>
          <w:b/>
        </w:rPr>
        <w:t xml:space="preserve">[63] </w:t>
      </w:r>
      <w:hyperlink r:id="rId76">
        <w:r>
          <w:rPr>
            <w:color w:val="1155CC"/>
            <w:u w:val="single"/>
          </w:rPr>
          <w:t>通过甲基溴/Nickel中继催化剂催化1,3-Bis-Carbo的功能化,使1 和1 子子环丁烷的释放多样化</w:t>
        </w:r>
      </w:hyperlink>
    </w:p>
    <w:p>
      <w:pPr>
        <w:spacing w:before="0" w:after="80"/>
      </w:pPr>
      <w:r>
        <w:rPr>
          <w:i/>
          <w:sz w:val="20"/>
        </w:rPr>
        <w:t>EN: Strain‐Release Diversification of 1‐Azabicyclobutanes via Bromide/Nickel Relay Catalyzed 1,3‐Bis‐Carbofunctionalization</w:t>
      </w:r>
    </w:p>
    <w:p>
      <w:pPr>
        <w:spacing w:before="0" w:after="120"/>
      </w:pPr>
      <w:r>
        <w:rPr>
          <w:b/>
        </w:rPr>
        <w:t xml:space="preserve">Source: </w:t>
      </w:r>
      <w:r>
        <w:t>Wiley: Angewandte Chemie International Edition: Table of Contents</w:t>
      </w:r>
      <w:r>
        <w:t xml:space="preserve">    </w:t>
      </w:r>
      <w:r>
        <w:rPr>
          <w:b/>
        </w:rPr>
        <w:t xml:space="preserve">Pub date: </w:t>
      </w:r>
      <w:r>
        <w:t>2026-01-06 05:00:33+00:00</w:t>
      </w:r>
      <w:r>
        <w:t xml:space="preserve">    </w:t>
      </w:r>
      <w:r>
        <w:rPr>
          <w:b/>
        </w:rPr>
        <w:t xml:space="preserve">DOI: </w:t>
      </w:r>
      <w:hyperlink r:id="rId77">
        <w:r>
          <w:rPr>
            <w:color w:val="1155CC"/>
            <w:u w:val="single"/>
          </w:rPr>
          <w:t>10.1002/anie.202522817</w:t>
        </w:r>
      </w:hyperlink>
    </w:p>
    <w:p>
      <w:pPr>
        <w:spacing w:before="0" w:after="120"/>
      </w:pPr>
      <w:r>
        <w:rPr>
          <w:b/>
        </w:rPr>
        <w:t xml:space="preserve">Notes: </w:t>
      </w:r>
      <w:r>
        <w:t>abstract_source=crossref</w:t>
      </w:r>
    </w:p>
    <w:p>
      <w:pPr>
        <w:spacing w:before="0" w:after="80" w:lineRule="auto" w:line="276"/>
      </w:pPr>
      <w:r>
        <w:rPr>
          <w:b/>
        </w:rPr>
        <w:t xml:space="preserve">摘要（ZH）: </w:t>
      </w:r>
      <w:r>
        <w:t>摘要摘要:尽管对作为药用化学方面特权分子的安眠药的需求很高,但高效合成平台仍有限,无法迅速制作各种装饰的安眠药,尽管高度紧张的1-氮环甲丁烷(ABB)的二等-子机能化一直是合成结构多样的安眠药的最可行、模块化和多功能的方法之一,但向ABB催化安装脂质支解剂的催化性装置仍然未受到充分探讨。</w:t>
      </w:r>
    </w:p>
    <w:p>
      <w:pPr>
        <w:spacing w:before="0" w:after="200" w:lineRule="auto" w:line="276"/>
      </w:pPr>
      <w:r>
        <w:rPr>
          <w:b/>
        </w:rPr>
        <w:t xml:space="preserve">Abstract (EN): </w:t>
      </w:r>
      <w:r>
        <w:t>Despite the high demands for azetidines as privileged motifs in medicinal chemistry, efficient synthesis platforms that enable the rapid preparation of diversely decorated azetidines remain limited. Although the</w:t>
      </w:r>
      <w:r>
        <w:t xml:space="preserve"> </w:t>
      </w:r>
      <w:r>
        <w:t>bis</w:t>
      </w:r>
      <w:r>
        <w:t xml:space="preserve"> </w:t>
      </w:r>
      <w:r>
        <w:t>‐functionalization of highly strained 1‐azabicyclobutane (ABB) has been one of the most viable, modular, and versatile methods for the synthesis of structurally diverse azetidines, the catalytic installation of aliphatic pendants to ABB remains underexplored. In this work, we report the multicomponent synthesis of the elusive all‐carbon quaternary azetidines from ABBs through the radical addition of azetidines to various</w:t>
      </w:r>
      <w:r>
        <w:t xml:space="preserve"> </w:t>
      </w:r>
      <w:r>
        <w:t>α,β</w:t>
      </w:r>
      <w:r>
        <w:t xml:space="preserve"> </w:t>
      </w:r>
      <w:r>
        <w:t>‐unsaturated esters, amides, ketones, a 1,3‐enyne, and a vinylphosphonate ester. The reaction is facilitated by a bromide/nickel dual‐catalyzed polar‐radical relay strategy, enabling the radical difunctionalization of</w:t>
      </w:r>
      <w:r>
        <w:t xml:space="preserve"> </w:t>
      </w:r>
      <w:r>
        <w:t>α,β</w:t>
      </w:r>
      <w:r>
        <w:t xml:space="preserve"> </w:t>
      </w:r>
      <w:r>
        <w:t>‐unsaturated carbonyl compounds via sequential ring‐strain‐release azetidinylation and Suzuki‐type arylation or alkenylation. Variation in the individual components enabled the synthesis of &amp;gt;60 azetidine derivatives, including modifications of selected biorelevant molecules. The functional group interconversion of representative azetidine derivatives illustrates the method's potential to produce unprecedented spirocyclic azetidine hybrids, which may be useful for exploring uncharted areas of chemical space in drug design. Additionally, a diastereoselective synthesis using Evans’ oxazolidinone enabled the preparation of an enantiopure azetidine, potentially useful as a platform for library preparation of stereochemically diverse azetidines.</w:t>
      </w:r>
    </w:p>
    <w:p>
      <w:pPr>
        <w:spacing w:before="120" w:after="120"/>
      </w:pPr>
      <w:r>
        <w:rPr>
          <w:sz w:val="18"/>
        </w:rPr>
        <w:t>——————————————————————————————————————————————————————————————————————</w:t>
      </w:r>
    </w:p>
    <w:p>
      <w:pPr>
        <w:spacing w:before="160" w:after="40" w:line="240" w:lineRule="auto"/>
      </w:pPr>
      <w:r>
        <w:rPr>
          <w:b/>
        </w:rPr>
        <w:t xml:space="preserve">[64] </w:t>
      </w:r>
      <w:hyperlink r:id="rId78">
        <w:r>
          <w:rPr>
            <w:color w:val="1155CC"/>
            <w:u w:val="single"/>
          </w:rPr>
          <w:t>用于将CO2光光减到乙酸的建筑中 磁性活性界面</w:t>
        </w:r>
      </w:hyperlink>
    </w:p>
    <w:p>
      <w:pPr>
        <w:spacing w:before="0" w:after="80"/>
      </w:pPr>
      <w:r>
        <w:rPr>
          <w:i/>
          <w:sz w:val="20"/>
        </w:rPr>
        <w:t>EN: Epitaxial Active Interface to Construct Intralattice‐Bonded Asymmetric Bi1─O─Bi2 Sites for Robust CO2 Photoreduction to Acetic Acid</w:t>
      </w:r>
    </w:p>
    <w:p>
      <w:pPr>
        <w:spacing w:before="0" w:after="120"/>
      </w:pPr>
      <w:r>
        <w:rPr>
          <w:b/>
        </w:rPr>
        <w:t xml:space="preserve">Source: </w:t>
      </w:r>
      <w:r>
        <w:t>Wiley: Angewandte Chemie International Edition: Table of Contents</w:t>
      </w:r>
      <w:r>
        <w:t xml:space="preserve">    </w:t>
      </w:r>
      <w:r>
        <w:rPr>
          <w:b/>
        </w:rPr>
        <w:t xml:space="preserve">Pub date: </w:t>
      </w:r>
      <w:r>
        <w:t>2026-01-06 05:02:04+00:00</w:t>
      </w:r>
      <w:r>
        <w:t xml:space="preserve">    </w:t>
      </w:r>
      <w:r>
        <w:rPr>
          <w:b/>
        </w:rPr>
        <w:t xml:space="preserve">DOI: </w:t>
      </w:r>
      <w:hyperlink r:id="rId79">
        <w:r>
          <w:rPr>
            <w:color w:val="1155CC"/>
            <w:u w:val="single"/>
          </w:rPr>
          <w:t>10.1002/anie.202524970</w:t>
        </w:r>
      </w:hyperlink>
    </w:p>
    <w:p>
      <w:pPr>
        <w:spacing w:before="0" w:after="120"/>
      </w:pPr>
      <w:r>
        <w:rPr>
          <w:b/>
        </w:rPr>
        <w:t xml:space="preserve">Notes: </w:t>
      </w:r>
      <w:r>
        <w:t>abstract_source=crossref</w:t>
      </w:r>
    </w:p>
    <w:p>
      <w:pPr>
        <w:spacing w:before="0" w:after="80" w:lineRule="auto" w:line="276"/>
      </w:pPr>
      <w:r>
        <w:rPr>
          <w:b/>
        </w:rPr>
        <w:t xml:space="preserve">摘要（ZH）: </w:t>
      </w:r>
      <w:r>
        <w:t>摘要 Solar 驱动的C 2化学物的C 2化学物从CO 2 选择性合成是碳循环的重要途径,但受到C-C 混合的高动能屏障的限制。本研究为lattice-bond不对称地点提出了一个上层增长战略。 通过在Bi 3 NbO 7 NbO 7 Nm_dots/Bi 3 O 4 O 4 Br纳米表(BNO/BBB)接口建造一个B 1 - OO - Bi 2 站点,以促进乙酸生产的C-C连接,光催化炉。</w:t>
      </w:r>
    </w:p>
    <w:p>
      <w:pPr>
        <w:spacing w:before="0" w:after="200" w:lineRule="auto" w:line="276"/>
      </w:pPr>
      <w:r>
        <w:rPr>
          <w:b/>
        </w:rPr>
        <w:t xml:space="preserve">Abstract (EN): </w:t>
      </w:r>
      <w:r>
        <w:t>Solar‐driven selective synthesis of C</w:t>
      </w:r>
      <w:r>
        <w:rPr>
          <w:vertAlign w:val="subscript"/>
        </w:rPr>
        <w:t>2</w:t>
      </w:r>
      <w:r>
        <w:t>chemicals from CO</w:t>
      </w:r>
      <w:r>
        <w:rPr>
          <w:vertAlign w:val="subscript"/>
        </w:rPr>
        <w:t>2</w:t>
      </w:r>
      <w:r>
        <w:t>is a crucial pathway for carbon cycling, but it is limited by the high kinetic barrier of C─C coupling. This study proposes an epitaxial growth strategy for lattice‐bonded asymmetric sites. By constructing a Bi</w:t>
      </w:r>
      <w:r>
        <w:rPr>
          <w:vertAlign w:val="subscript"/>
        </w:rPr>
        <w:t>1</w:t>
      </w:r>
      <w:r>
        <w:t>─O─Bi</w:t>
      </w:r>
      <w:r>
        <w:rPr>
          <w:vertAlign w:val="subscript"/>
        </w:rPr>
        <w:t>2</w:t>
      </w:r>
      <w:r>
        <w:t>site at the Bi</w:t>
      </w:r>
      <w:r>
        <w:rPr>
          <w:vertAlign w:val="subscript"/>
        </w:rPr>
        <w:t>3</w:t>
      </w:r>
      <w:r>
        <w:t>NbO</w:t>
      </w:r>
      <w:r>
        <w:rPr>
          <w:vertAlign w:val="subscript"/>
        </w:rPr>
        <w:t>7</w:t>
      </w:r>
      <w:r>
        <w:t>nano‐dots/Bi</w:t>
      </w:r>
      <w:r>
        <w:rPr>
          <w:vertAlign w:val="subscript"/>
        </w:rPr>
        <w:t>3</w:t>
      </w:r>
      <w:r>
        <w:t>O</w:t>
      </w:r>
      <w:r>
        <w:rPr>
          <w:vertAlign w:val="subscript"/>
        </w:rPr>
        <w:t>4</w:t>
      </w:r>
      <w:r>
        <w:t>Br nanosheet (BNO/BOB) interface to promote C─C coupling for acetic acid production, the photocatalytic conversion rate of CO</w:t>
      </w:r>
      <w:r>
        <w:rPr>
          <w:vertAlign w:val="subscript"/>
        </w:rPr>
        <w:t>2</w:t>
      </w:r>
      <w:r>
        <w:t>to acetic acid can reach 192.3 µmol·g</w:t>
      </w:r>
      <w:r>
        <w:t xml:space="preserve"> </w:t>
      </w:r>
      <w:r>
        <w:t>−1</w:t>
      </w:r>
      <w:r>
        <w:t xml:space="preserve"> </w:t>
      </w:r>
      <w:r>
        <w:t>·h</w:t>
      </w:r>
      <w:r>
        <w:t xml:space="preserve"> </w:t>
      </w:r>
      <w:r>
        <w:t>−1</w:t>
      </w:r>
      <w:r>
        <w:t xml:space="preserve"> </w:t>
      </w:r>
      <w:r>
        <w:t>, with 91.4% selectivity. The apparent quantum efficiency at 380 and 400 nm reach 9.49% and 6.57%, respectively. The key mechanism originates from a cascade electron effect triggered by the interfacial Bi</w:t>
      </w:r>
      <w:r>
        <w:rPr>
          <w:vertAlign w:val="subscript"/>
        </w:rPr>
        <w:t>1</w:t>
      </w:r>
      <w:r>
        <w:t>─O─Bi</w:t>
      </w:r>
      <w:r>
        <w:rPr>
          <w:vertAlign w:val="subscript"/>
        </w:rPr>
        <w:t>2</w:t>
      </w:r>
      <w:r>
        <w:t>sites: the interfacial charge redistribution induces a strong built‐in electric field, where high‐energy electrons selectively occupy the 2π antibonding orbitals of CO</w:t>
      </w:r>
      <w:r>
        <w:t xml:space="preserve"> </w:t>
      </w:r>
      <w:r>
        <w:t>*</w:t>
      </w:r>
      <w:r>
        <w:t xml:space="preserve"> </w:t>
      </w:r>
      <w:r>
        <w:t>intermediates, significantly weakening the C─O bond in CO</w:t>
      </w:r>
      <w:r>
        <w:t xml:space="preserve"> </w:t>
      </w:r>
      <w:r>
        <w:t>*</w:t>
      </w:r>
      <w:r>
        <w:t xml:space="preserve"> </w:t>
      </w:r>
      <w:r>
        <w:t>intermediate. Furthermore, the asymmetric charge redistribution effectively neutralizes the electrostatic repulsion between adjacent CO</w:t>
      </w:r>
      <w:r>
        <w:t xml:space="preserve"> </w:t>
      </w:r>
      <w:r>
        <w:t>*</w:t>
      </w:r>
      <w:r>
        <w:t xml:space="preserve"> </w:t>
      </w:r>
      <w:r>
        <w:t>intermediates, synergistically stabilizing the OCCO</w:t>
      </w:r>
      <w:r>
        <w:t xml:space="preserve"> </w:t>
      </w:r>
      <w:r>
        <w:t>*</w:t>
      </w:r>
      <w:r>
        <w:t xml:space="preserve"> </w:t>
      </w:r>
      <w:r>
        <w:t>transition state through d‐π electron feedback from Bi sites. The dual effects synergistically lower the energy barriers for both the C─C coupling and hydrogenation steps, ultimately steering the reaction pathway towards long‐lasting acetic acid formation.</w:t>
      </w:r>
    </w:p>
    <w:p>
      <w:pPr>
        <w:spacing w:before="120" w:after="120"/>
      </w:pPr>
      <w:r>
        <w:rPr>
          <w:sz w:val="18"/>
        </w:rPr>
        <w:t>——————————————————————————————————————————————————————————————————————</w:t>
      </w:r>
    </w:p>
    <w:p>
      <w:pPr>
        <w:spacing w:before="160" w:after="40" w:line="240" w:lineRule="auto"/>
      </w:pPr>
      <w:r>
        <w:rPr>
          <w:b/>
        </w:rPr>
        <w:t xml:space="preserve">[65] </w:t>
      </w:r>
      <w:hyperlink r:id="rId80">
        <w:r>
          <w:rPr>
            <w:color w:val="1155CC"/>
            <w:u w:val="single"/>
          </w:rPr>
          <w:t>实现非线性光学[ABa3Br2][Ga5Se10](A = Cs、Rb、K、Na)通过大型非线性拉蒂斯扭曲实现阶段性[ABa3Br2][Ga5Se10](A = Cs、Rb、K、Na)</w:t>
        </w:r>
      </w:hyperlink>
    </w:p>
    <w:p>
      <w:pPr>
        <w:spacing w:before="0" w:after="80"/>
      </w:pPr>
      <w:r>
        <w:rPr>
          <w:i/>
          <w:sz w:val="20"/>
        </w:rPr>
        <w:t>EN: Realizing Phase‐Matching of Nonlinear Optical [ABa3Br2][Ga5Se10] (A = Cs, Rb, K, Na) Through Large Anisotropic Lattice Distortion</w:t>
      </w:r>
    </w:p>
    <w:p>
      <w:pPr>
        <w:spacing w:before="0" w:after="120"/>
      </w:pPr>
      <w:r>
        <w:rPr>
          <w:b/>
        </w:rPr>
        <w:t xml:space="preserve">Source: </w:t>
      </w:r>
      <w:r>
        <w:t>Wiley: Angewandte Chemie International Edition: Table of Contents</w:t>
      </w:r>
      <w:r>
        <w:t xml:space="preserve">    </w:t>
      </w:r>
      <w:r>
        <w:rPr>
          <w:b/>
        </w:rPr>
        <w:t xml:space="preserve">Pub date: </w:t>
      </w:r>
      <w:r>
        <w:t>2026-01-06 05:09:28+00:00</w:t>
      </w:r>
      <w:r>
        <w:t xml:space="preserve">    </w:t>
      </w:r>
      <w:r>
        <w:rPr>
          <w:b/>
        </w:rPr>
        <w:t xml:space="preserve">DOI: </w:t>
      </w:r>
      <w:hyperlink r:id="rId81">
        <w:r>
          <w:rPr>
            <w:color w:val="1155CC"/>
            <w:u w:val="single"/>
          </w:rPr>
          <w:t>10.1002/anie.202524279</w:t>
        </w:r>
      </w:hyperlink>
    </w:p>
    <w:p>
      <w:pPr>
        <w:spacing w:before="0" w:after="120"/>
      </w:pPr>
      <w:r>
        <w:rPr>
          <w:b/>
        </w:rPr>
        <w:t xml:space="preserve">Notes: </w:t>
      </w:r>
      <w:r>
        <w:t>abstract_source=crossref</w:t>
      </w:r>
    </w:p>
    <w:p>
      <w:pPr>
        <w:spacing w:before="0" w:after="80" w:lineRule="auto" w:line="276"/>
      </w:pPr>
      <w:r>
        <w:rPr>
          <w:b/>
        </w:rPr>
        <w:t xml:space="preserve">摘要（ZH）: </w:t>
      </w:r>
      <w:r>
        <w:t>通过增强非线光学(NLO)晶体的双相比性,实现相相相匹配(PM)行为摘要是一个艰巨的挑战。这里,盐-内含铬化盐[ABa 3 Br 2 [Ga 5 Se 10] (A = Cs, 1 ; Rb, 2 ; K, 3 ; Na, 4 )</w:t>
      </w:r>
    </w:p>
    <w:p>
      <w:pPr>
        <w:spacing w:before="0" w:after="200" w:lineRule="auto" w:line="276"/>
      </w:pPr>
      <w:r>
        <w:rPr>
          <w:b/>
        </w:rPr>
        <w:t xml:space="preserve">Abstract (EN): </w:t>
      </w:r>
      <w:r>
        <w:t>Achieving phase‐matching (PM) behavior by enhancing the birefringence of nonlinear optical (NLO) crystals has been a formidable challenge. Herein, salt‐inclusion chalcogenides [ABa</w:t>
      </w:r>
      <w:r>
        <w:rPr>
          <w:vertAlign w:val="subscript"/>
        </w:rPr>
        <w:t>3</w:t>
      </w:r>
      <w:r>
        <w:t>Br</w:t>
      </w:r>
      <w:r>
        <w:rPr>
          <w:vertAlign w:val="subscript"/>
        </w:rPr>
        <w:t>2</w:t>
      </w:r>
      <w:r>
        <w:t>][Ga</w:t>
      </w:r>
      <w:r>
        <w:rPr>
          <w:vertAlign w:val="subscript"/>
        </w:rPr>
        <w:t>5</w:t>
      </w:r>
      <w:r>
        <w:t>Se</w:t>
      </w:r>
      <w:r>
        <w:rPr>
          <w:vertAlign w:val="subscript"/>
        </w:rPr>
        <w:t>10</w:t>
      </w:r>
      <w:r>
        <w:t>] (A = Cs,</w:t>
      </w:r>
      <w:r>
        <w:rPr>
          <w:vertAlign w:val="subscript"/>
        </w:rPr>
        <w:t>1</w:t>
      </w:r>
      <w:r>
        <w:t>; Rb,</w:t>
      </w:r>
      <w:r>
        <w:rPr>
          <w:vertAlign w:val="subscript"/>
        </w:rPr>
        <w:t>2</w:t>
      </w:r>
      <w:r>
        <w:t>; K,</w:t>
      </w:r>
      <w:r>
        <w:rPr>
          <w:vertAlign w:val="subscript"/>
        </w:rPr>
        <w:t>3</w:t>
      </w:r>
      <w:r>
        <w:t>; Na,</w:t>
      </w:r>
      <w:r>
        <w:rPr>
          <w:vertAlign w:val="subscript"/>
        </w:rPr>
        <w:t>4</w:t>
      </w:r>
      <w:r>
        <w:t>) that crystal in tetragonal system were synthesized and exhibit smaller</w:t>
      </w:r>
      <w:r>
        <w:t xml:space="preserve"> </w:t>
      </w:r>
      <w:r>
        <w:t>c</w:t>
      </w:r>
      <w:r>
        <w:t xml:space="preserve"> </w:t>
      </w:r>
      <w:r>
        <w:t>/</w:t>
      </w:r>
      <w:r>
        <w:t>a</w:t>
      </w:r>
      <w:r>
        <w:t xml:space="preserve"> </w:t>
      </w:r>
      <w:r>
        <w:t>ratios (where</w:t>
      </w:r>
      <w:r>
        <w:t xml:space="preserve"> </w:t>
      </w:r>
      <w:r>
        <w:t>a</w:t>
      </w:r>
      <w:r>
        <w:t xml:space="preserve"> </w:t>
      </w:r>
      <w:r>
        <w:t>and</w:t>
      </w:r>
      <w:r>
        <w:t xml:space="preserve"> </w:t>
      </w:r>
      <w:r>
        <w:t>c</w:t>
      </w:r>
      <w:r>
        <w:t xml:space="preserve"> </w:t>
      </w:r>
      <w:r>
        <w:t>are the lattice constants) when compared with their Cl‐analogues, indicative of an anisotropic lattice distortion. Along the</w:t>
      </w:r>
      <w:r>
        <w:t xml:space="preserve"> </w:t>
      </w:r>
      <w:r>
        <w:t>a</w:t>
      </w:r>
      <w:r>
        <w:t xml:space="preserve"> </w:t>
      </w:r>
      <w:r>
        <w:t>‐ and</w:t>
      </w:r>
      <w:r>
        <w:t xml:space="preserve"> </w:t>
      </w:r>
      <w:r>
        <w:t>c</w:t>
      </w:r>
      <w:r>
        <w:t xml:space="preserve"> </w:t>
      </w:r>
      <w:r>
        <w:t>‐axes, the refractive indices show a significant divergence, corresponding to the decrease or increase in electron density. Such anisotropic behavior significantly enhances the birefringence of compounds</w:t>
      </w:r>
      <w:r>
        <w:rPr>
          <w:vertAlign w:val="subscript"/>
        </w:rPr>
        <w:t>1</w:t>
      </w:r>
      <w:r>
        <w:t>–</w:t>
      </w:r>
      <w:r>
        <w:rPr>
          <w:vertAlign w:val="subscript"/>
        </w:rPr>
        <w:t>4</w:t>
      </w:r>
      <w:r>
        <w:t>(0.044–0.066 @546 nm), realizing the transition from non‐PM (Cl‐analogues) to PM (compounds</w:t>
      </w:r>
      <w:r>
        <w:rPr>
          <w:vertAlign w:val="subscript"/>
        </w:rPr>
        <w:t>1</w:t>
      </w:r>
      <w:r>
        <w:t>–</w:t>
      </w:r>
      <w:r>
        <w:rPr>
          <w:vertAlign w:val="subscript"/>
        </w:rPr>
        <w:t>4</w:t>
      </w:r>
      <w:r>
        <w:t>) characteristics at near 2.0 um laser. Moreover, compounds</w:t>
      </w:r>
      <w:r>
        <w:rPr>
          <w:vertAlign w:val="subscript"/>
        </w:rPr>
        <w:t>1</w:t>
      </w:r>
      <w:r>
        <w:t>–</w:t>
      </w:r>
      <w:r>
        <w:rPr>
          <w:vertAlign w:val="subscript"/>
        </w:rPr>
        <w:t>4</w:t>
      </w:r>
      <w:r>
        <w:t>represent a rare class of selenides that combine significant PM second‐harmonic generation responses (&amp;gt;1.0 × AgGaS</w:t>
      </w:r>
      <w:r>
        <w:rPr>
          <w:vertAlign w:val="subscript"/>
        </w:rPr>
        <w:t>2</w:t>
      </w:r>
      <w:r>
        <w:t>) with wide optical band gaps (&amp;gt;3.0 eV). This work achieves the critical transition from non‐PM to PM behavior through significant anisotropic lattice distortion, thereby offering a new avenue for developing NLO materials.</w:t>
      </w:r>
    </w:p>
    <w:p>
      <w:pPr>
        <w:spacing w:before="120" w:after="120"/>
      </w:pPr>
      <w:r>
        <w:rPr>
          <w:sz w:val="18"/>
        </w:rPr>
        <w:t>——————————————————————————————————————————————————————————————————————</w:t>
      </w:r>
    </w:p>
    <w:p>
      <w:pPr>
        <w:spacing w:before="160" w:after="40" w:line="240" w:lineRule="auto"/>
      </w:pPr>
      <w:r>
        <w:rPr>
          <w:b/>
        </w:rPr>
        <w:t xml:space="preserve">[66] </w:t>
      </w:r>
      <w:hyperlink r:id="rId82">
        <w:r>
          <w:rPr>
            <w:color w:val="1155CC"/>
            <w:u w:val="single"/>
          </w:rPr>
          <w:t>Energopted-transfer-enfable-encroncable-Coept-Catalyzed 直接场地-与 Alkenes 的无保护氧化物的选择性循环载荷</w:t>
        </w:r>
      </w:hyperlink>
    </w:p>
    <w:p>
      <w:pPr>
        <w:spacing w:before="0" w:after="80"/>
      </w:pPr>
      <w:r>
        <w:rPr>
          <w:i/>
          <w:sz w:val="20"/>
        </w:rPr>
        <w:t>EN: Energy‐Transfer‐Enabled Copper‐Catalyzed Direct Site‐Selective Cycloaddition of Unprotected Oximes with Alkenes</w:t>
      </w:r>
    </w:p>
    <w:p>
      <w:pPr>
        <w:spacing w:before="0" w:after="120"/>
      </w:pPr>
      <w:r>
        <w:rPr>
          <w:b/>
        </w:rPr>
        <w:t xml:space="preserve">Source: </w:t>
      </w:r>
      <w:r>
        <w:t>Wiley: Angewandte Chemie International Edition: Table of Contents</w:t>
      </w:r>
      <w:r>
        <w:t xml:space="preserve">    </w:t>
      </w:r>
      <w:r>
        <w:rPr>
          <w:b/>
        </w:rPr>
        <w:t xml:space="preserve">Pub date: </w:t>
      </w:r>
      <w:r>
        <w:t>2026-01-06 05:16:38+00:00</w:t>
      </w:r>
      <w:r>
        <w:t xml:space="preserve">    </w:t>
      </w:r>
      <w:r>
        <w:rPr>
          <w:b/>
        </w:rPr>
        <w:t xml:space="preserve">DOI: </w:t>
      </w:r>
      <w:hyperlink r:id="rId83">
        <w:r>
          <w:rPr>
            <w:color w:val="1155CC"/>
            <w:u w:val="single"/>
          </w:rPr>
          <w:t>10.1002/anie.202524475</w:t>
        </w:r>
      </w:hyperlink>
    </w:p>
    <w:p>
      <w:pPr>
        <w:spacing w:before="0" w:after="120"/>
      </w:pPr>
      <w:r>
        <w:rPr>
          <w:b/>
        </w:rPr>
        <w:t xml:space="preserve">Notes: </w:t>
      </w:r>
      <w:r>
        <w:t>abstract_source=crossref</w:t>
      </w:r>
    </w:p>
    <w:p>
      <w:pPr>
        <w:spacing w:before="0" w:after="80" w:lineRule="auto" w:line="276"/>
      </w:pPr>
      <w:r>
        <w:rPr>
          <w:b/>
        </w:rPr>
        <w:t xml:space="preserve">摘要（ZH）: </w:t>
      </w:r>
      <w:r>
        <w:t>虽然消除氧化亚氮氧化物中N-O债券的取消方法早已确立,但类似的免费氧化亚胺的激活仍然具有挑战性,这主要是由于选择性N-O债券的断裂和涉及酸性O-H酸性O-H运动的相互竞争的侧面反应造成的巨大障碍。我们在此报告一种双光和铜催化战略,通过氧化铜综合体的照片敏化,从而克服先前的限制,直接促进自由氧化氧中N-O债券的同质分解。 机械学研究,包括关键铜中间体的全面定性,支持一种能量转移途径。 这种独特的激活模式使得未受保护氧化物之间先前难以实现的分子周期性循环化。</w:t>
      </w:r>
    </w:p>
    <w:p>
      <w:pPr>
        <w:spacing w:before="0" w:after="200" w:lineRule="auto" w:line="276"/>
      </w:pPr>
      <w:r>
        <w:rPr>
          <w:b/>
        </w:rPr>
        <w:t xml:space="preserve">Abstract (EN): </w:t>
      </w:r>
      <w:r>
        <w:t>While methodologies for N─O bond scission in O‐functionalized oximes are well established, the analogous activation of free oximes remains challenging, largely due to the formidable hurdles associated with selective N─O bond cleavage and competing side reactions involving the acidic O─H moiety. Herein, we report a dual photo‐ and copper‐catalyzed strategy that directly promotes homolytic cleavage of the N─O bond in free oximes through photosensitization of oxime‐ligated copper complexes, thereby overcoming prior limitations. Mechanistic studies, including full characterization of key copper intermediates, support an energy transfer (EnT) pathway. This distinctive activation mode enables a previously elusive intermolecular cyclization between unprotected oximes and alkenes, delivering valuable 1‐pyrrolines with high efficiency.</w:t>
      </w:r>
    </w:p>
    <w:p>
      <w:pPr>
        <w:spacing w:before="120" w:after="120"/>
      </w:pPr>
      <w:r>
        <w:rPr>
          <w:sz w:val="18"/>
        </w:rPr>
        <w:t>——————————————————————————————————————————————————————————————————————</w:t>
      </w:r>
    </w:p>
    <w:p>
      <w:pPr>
        <w:spacing w:before="160" w:after="40" w:line="240" w:lineRule="auto"/>
      </w:pPr>
      <w:r>
        <w:rPr>
          <w:b/>
        </w:rPr>
        <w:t xml:space="preserve">[67] </w:t>
      </w:r>
      <w:hyperlink r:id="rId84">
        <w:r>
          <w:rPr>
            <w:color w:val="1155CC"/>
            <w:u w:val="single"/>
          </w:rPr>
          <w:t>完全真空处理 Perovskite 太阳能电池是否随 OLED 的脚印而动?</w:t>
        </w:r>
      </w:hyperlink>
    </w:p>
    <w:p>
      <w:pPr>
        <w:spacing w:before="0" w:after="80"/>
      </w:pPr>
      <w:r>
        <w:rPr>
          <w:i/>
          <w:sz w:val="20"/>
        </w:rPr>
        <w:t>EN: Can Fully Vacuum‐Processed Perovskite Solar Cells Follow the Footprint of OLEDs?</w:t>
      </w:r>
    </w:p>
    <w:p>
      <w:pPr>
        <w:spacing w:before="0" w:after="120"/>
      </w:pPr>
      <w:r>
        <w:rPr>
          <w:b/>
        </w:rPr>
        <w:t xml:space="preserve">Source: </w:t>
      </w:r>
      <w:r>
        <w:t>Wiley: Advanced Energy Materials: Table of Contents</w:t>
      </w:r>
      <w:r>
        <w:t xml:space="preserve">    </w:t>
      </w:r>
      <w:r>
        <w:rPr>
          <w:b/>
        </w:rPr>
        <w:t xml:space="preserve">Pub date: </w:t>
      </w:r>
      <w:r>
        <w:t>2026-01-06 05:37:08+00:00</w:t>
      </w:r>
      <w:r>
        <w:t xml:space="preserve">    </w:t>
      </w:r>
      <w:r>
        <w:rPr>
          <w:b/>
        </w:rPr>
        <w:t xml:space="preserve">DOI: </w:t>
      </w:r>
      <w:hyperlink r:id="rId85">
        <w:r>
          <w:rPr>
            <w:color w:val="1155CC"/>
            <w:u w:val="single"/>
          </w:rPr>
          <w:t>10.1002/aenm.202506169</w:t>
        </w:r>
      </w:hyperlink>
    </w:p>
    <w:p>
      <w:pPr>
        <w:spacing w:before="0" w:after="120"/>
      </w:pPr>
      <w:r>
        <w:rPr>
          <w:b/>
        </w:rPr>
        <w:t xml:space="preserve">Notes: </w:t>
      </w:r>
      <w:r>
        <w:t>abstract_source=crossref</w:t>
      </w:r>
    </w:p>
    <w:p>
      <w:pPr>
        <w:spacing w:before="0" w:after="80" w:lineRule="auto" w:line="276"/>
      </w:pPr>
      <w:r>
        <w:rPr>
          <w:b/>
        </w:rPr>
        <w:t xml:space="preserve">摘要（ZH）: </w:t>
      </w:r>
      <w:r>
        <w:t>Perovskite太阳能电池(ABSTACT Perovskite太阳能电池)作为一种有希望的光伏技术,已经迅速发展,在单点连接方面实现了超过27%的核证效率,在同步配置方面实现了34%的核证效率,然而,基于解决方案的制造挑战,包括溶剂毒性、跨层损害和大面积统一性差等,阻碍了商业化。本审查将基于真空的干燥加工作为一种可伸缩的替代方法,与通过真空方法成功地将有机发光二极管(OLEDs)商业化平行进行。我们系统地分析按有机、无机和混合体分类的渗透吸收器的干制;按含有机、无机、无机和混合体分类的孔和电子运输层分类的充电运输层。</w:t>
      </w:r>
    </w:p>
    <w:p>
      <w:pPr>
        <w:spacing w:before="0" w:after="200" w:lineRule="auto" w:line="276"/>
      </w:pPr>
      <w:r>
        <w:rPr>
          <w:b/>
        </w:rPr>
        <w:t xml:space="preserve">Abstract (EN): </w:t>
      </w:r>
      <w:r>
        <w:t>Perovskite solar cells (PSCs) have rapidly advanced as a promising photovoltaic technology, achieving certified efficiencies exceeding 27% for single‐junction and 34% for tandem configurations. However, commercialization is hindered by solution‐based fabrication challenges, including solvent toxicity, interlayer damage, and poor large‐area uniformity. This review examines vacuum‐based dry processing as a scalable alternative, drawing parallels with the successful commercialization of organic light‐emitting diodes (OLEDs) via vacuum methods. We systematically analyzes dry fabrication of perovskite absorbers, classified by organic‐, inorganic‐, and hybrid‐ cations; charge transport layers, categorized by hole and electron transport layers with organic, inorganic, and hybrid variants; and fully dry‐processed PSCs. Key frameworks include precursor evaporability criteria, in situ stoichiometry control, and sublayer‐templated crystallization for uniform films and stable stacks. Extensive survey tables highlight photovoltaics in terms of their dry‐process methodologies used and resulting performances. This work concludes that by leveraging the multilayer precision and patterning expertise of OLEDs, dry‐processed PSCs offer enhanced reproducibility, environmental safety, and industrial viability, positioning them to overcome current bottlenecks toward widespread deployment.</w:t>
      </w:r>
    </w:p>
    <w:p>
      <w:pPr>
        <w:spacing w:before="120" w:after="120"/>
      </w:pPr>
      <w:r>
        <w:rPr>
          <w:sz w:val="18"/>
        </w:rPr>
        <w:t>——————————————————————————————————————————————————————————————————————</w:t>
      </w:r>
    </w:p>
    <w:p>
      <w:pPr>
        <w:spacing w:before="160" w:after="40" w:line="240" w:lineRule="auto"/>
      </w:pPr>
      <w:r>
        <w:rPr>
          <w:b/>
        </w:rPr>
        <w:t xml:space="preserve">[68] </w:t>
      </w:r>
      <w:hyperlink r:id="rId86">
        <w:r>
          <w:rPr>
            <w:color w:val="1155CC"/>
            <w:u w:val="single"/>
          </w:rPr>
          <w:t>Perovskite Opto电子学:通过材料和几何方法克服限制</w:t>
        </w:r>
      </w:hyperlink>
    </w:p>
    <w:p>
      <w:pPr>
        <w:spacing w:before="0" w:after="80"/>
      </w:pPr>
      <w:r>
        <w:rPr>
          <w:i/>
          <w:sz w:val="20"/>
        </w:rPr>
        <w:t>EN: Stretchable Perovskite Optoelectronics: Overcoming Limitations via Material and Geometric Approaches</w:t>
      </w:r>
    </w:p>
    <w:p>
      <w:pPr>
        <w:spacing w:before="0" w:after="120"/>
      </w:pPr>
      <w:r>
        <w:rPr>
          <w:b/>
        </w:rPr>
        <w:t xml:space="preserve">Source: </w:t>
      </w:r>
      <w:r>
        <w:t>Wiley: Advanced Energy Materials: Table of Contents</w:t>
      </w:r>
      <w:r>
        <w:t xml:space="preserve">    </w:t>
      </w:r>
      <w:r>
        <w:rPr>
          <w:b/>
        </w:rPr>
        <w:t xml:space="preserve">Pub date: </w:t>
      </w:r>
      <w:r>
        <w:t>2026-01-06 05:41:15+00:00</w:t>
      </w:r>
      <w:r>
        <w:t xml:space="preserve">    </w:t>
      </w:r>
      <w:r>
        <w:rPr>
          <w:b/>
        </w:rPr>
        <w:t xml:space="preserve">DOI: </w:t>
      </w:r>
      <w:hyperlink r:id="rId87">
        <w:r>
          <w:rPr>
            <w:color w:val="1155CC"/>
            <w:u w:val="single"/>
          </w:rPr>
          <w:t>10.1002/aenm.202505956</w:t>
        </w:r>
      </w:hyperlink>
    </w:p>
    <w:p>
      <w:pPr>
        <w:spacing w:before="0" w:after="120"/>
      </w:pPr>
      <w:r>
        <w:rPr>
          <w:b/>
        </w:rPr>
        <w:t xml:space="preserve">Notes: </w:t>
      </w:r>
      <w:r>
        <w:t>abstract_source=crossref</w:t>
      </w:r>
    </w:p>
    <w:p>
      <w:pPr>
        <w:spacing w:before="0" w:after="80" w:lineRule="auto" w:line="276"/>
      </w:pPr>
      <w:r>
        <w:rPr>
          <w:b/>
        </w:rPr>
        <w:t xml:space="preserve">摘要（ZH）: </w:t>
      </w:r>
      <w:r>
        <w:t>推进自由成形电子产品是扩大电子产品适用性的关键,在这方面,开发具有极优超光电子特性的可伸缩性可伸缩性半导体及其系统十分必要。 在各种光电子材料候选物中,金属-卤化物(perovskite)因其高电荷可移动性、长exciton扩散长度和金枪鱼易散带宽而成为最有前景的半导体。然而,与可伸缩的有机设备相比,可伸缩性全氟化物装置很少被调查,因为普罗夫斯基人本身的机械可伸缩性很低。 在这方面,开发可伸缩性全氟化物光电子产品,确定基本条件。</w:t>
      </w:r>
    </w:p>
    <w:p>
      <w:pPr>
        <w:spacing w:before="0" w:after="200" w:lineRule="auto" w:line="276"/>
      </w:pPr>
      <w:r>
        <w:rPr>
          <w:b/>
        </w:rPr>
        <w:t xml:space="preserve">Abstract (EN): </w:t>
      </w:r>
      <w:r>
        <w:t>Advancing free‐form‐factor electronics is essential to broaden their applicability of electronics. In this regard, the development of stretchable semiconductors and their systems that offer both excellent stretchability with outstanding optoelectronic properties is imperative. Among various optoelectronic material candidates, metal‐halide perovskite has emerged as the most promising semiconductors owing to their high charge mobility, long exciton diffusion length and tunable bandgap. However, compared to stretchable organic‐based devices, stretchable perovskite devices have been rarely investigated because of perovskites’ inherently low mechanical stretchability. In this regard, to develop stretchable perovskite optoelectronics, identifying the fundamental determinants of their low mechanical deformability and establishing of strategies to overcome these limitations are crucial. In this context, this paper presents the first in‐depth overview of stretchability characteristics of perovskite‐based optoelectronic device, highlighting key strategies for realizing next‐generation stretchable platforms from material and geometric perspectives. In detail, background on mechanical deformation behaviors of stretchable devices is provided. Subsequently, we examine reported studies on stretchable perovskite optoelectronic devices according to their materials and device structures. Finally, current challenges and important issues that remain unresolved but must be addressed to enable meaningful progress are discussed.</w:t>
      </w:r>
    </w:p>
    <w:p>
      <w:pPr>
        <w:spacing w:before="120" w:after="120"/>
      </w:pPr>
      <w:r>
        <w:rPr>
          <w:sz w:val="18"/>
        </w:rPr>
        <w:t>——————————————————————————————————————————————————————————————————————</w:t>
      </w:r>
    </w:p>
    <w:p>
      <w:pPr>
        <w:spacing w:before="160" w:after="40" w:line="240" w:lineRule="auto"/>
      </w:pPr>
      <w:r>
        <w:rPr>
          <w:b/>
        </w:rPr>
        <w:t xml:space="preserve">[69] </w:t>
      </w:r>
      <w:hyperlink r:id="rId88">
        <w:r>
          <w:rPr>
            <w:color w:val="1155CC"/>
            <w:u w:val="single"/>
          </w:rPr>
          <w:t>建立氢网络以稳定Perovskite太阳能电池的双分子协同战略</w:t>
        </w:r>
      </w:hyperlink>
    </w:p>
    <w:p>
      <w:pPr>
        <w:spacing w:before="0" w:after="80"/>
      </w:pPr>
      <w:r>
        <w:rPr>
          <w:i/>
          <w:sz w:val="20"/>
        </w:rPr>
        <w:t>EN: A Bimolecular Co‐Anchoring Strategy for Constructing Hydrogen Networks to Stabilize Perovskite Solar Cells</w:t>
      </w:r>
    </w:p>
    <w:p>
      <w:pPr>
        <w:spacing w:before="0" w:after="120"/>
      </w:pPr>
      <w:r>
        <w:rPr>
          <w:b/>
        </w:rPr>
        <w:t xml:space="preserve">Source: </w:t>
      </w:r>
      <w:r>
        <w:t>Wiley: Advanced Energy Materials: Table of Contents</w:t>
      </w:r>
      <w:r>
        <w:t xml:space="preserve">    </w:t>
      </w:r>
      <w:r>
        <w:rPr>
          <w:b/>
        </w:rPr>
        <w:t xml:space="preserve">Pub date: </w:t>
      </w:r>
      <w:r>
        <w:t>2026-01-06 05:42:11+00:00</w:t>
      </w:r>
      <w:r>
        <w:t xml:space="preserve">    </w:t>
      </w:r>
      <w:r>
        <w:rPr>
          <w:b/>
        </w:rPr>
        <w:t xml:space="preserve">DOI: </w:t>
      </w:r>
      <w:hyperlink r:id="rId89">
        <w:r>
          <w:rPr>
            <w:color w:val="1155CC"/>
            <w:u w:val="single"/>
          </w:rPr>
          <w:t>10.1002/aenm.202504844</w:t>
        </w:r>
      </w:hyperlink>
    </w:p>
    <w:p>
      <w:pPr>
        <w:spacing w:before="0" w:after="120"/>
      </w:pPr>
      <w:r>
        <w:rPr>
          <w:b/>
        </w:rPr>
        <w:t xml:space="preserve">Notes: </w:t>
      </w:r>
      <w:r>
        <w:t>abstract_source=crossref</w:t>
      </w:r>
    </w:p>
    <w:p>
      <w:pPr>
        <w:spacing w:before="0" w:after="80" w:lineRule="auto" w:line="276"/>
      </w:pPr>
      <w:r>
        <w:rPr>
          <w:b/>
        </w:rPr>
        <w:t xml:space="preserve">摘要（ZH）: </w:t>
      </w:r>
      <w:r>
        <w:t>ABSTACT ABSTACT ASTRACT 3 形式的三相铅化物(FAPbI 3)太阳能电池最近的进展大大提高了光电转换效率,在第三代光电中将它们定位为主要候选产品,然而,由于从光活性 FAPBI 3 向不活动 FAPBI 3 的阶段性过渡,它们的热动力可变性——导致效率衰减,妨碍长期稳定和工业化。本研究引入了一种双分子协同定位战略来应对这些挑战:利用4-[3-(三氟甲基)3-H]3-H 3-Diazirin_3-yl]苯甲酸(H)建立多比例分子间锁网络。</w:t>
      </w:r>
    </w:p>
    <w:p>
      <w:pPr>
        <w:spacing w:before="0" w:after="200" w:lineRule="auto" w:line="276"/>
      </w:pPr>
      <w:r>
        <w:rPr>
          <w:b/>
        </w:rPr>
        <w:t xml:space="preserve">Abstract (EN): </w:t>
      </w:r>
      <w:r>
        <w:t>Recent advances in formamidinium lead triiodide (FAPbI</w:t>
      </w:r>
      <w:r>
        <w:rPr>
          <w:vertAlign w:val="subscript"/>
        </w:rPr>
        <w:t>3</w:t>
      </w:r>
      <w:r>
        <w:t>) solar cells have significantly improved their photoelectric conversion efficiency, positioning them as a leading candidate in third‐generation photovoltaics. However, their thermodynamic metastability—driven by phase transitions from photoactive α‐FAPbI</w:t>
      </w:r>
      <w:r>
        <w:rPr>
          <w:vertAlign w:val="subscript"/>
        </w:rPr>
        <w:t>3</w:t>
      </w:r>
      <w:r>
        <w:t>to inactive δ‐FAPbI</w:t>
      </w:r>
      <w:r>
        <w:rPr>
          <w:vertAlign w:val="subscript"/>
        </w:rPr>
        <w:t>3</w:t>
      </w:r>
      <w:r>
        <w:t>—causes efficiency decay, hindering long‐term stability and industrialization. This study introduces a bimolecular synergistic anchoring strategy to address these challenges: a multiscale molecular interlocking network is constructed using 4‐[3‐(trifluoromethyl)‐3H‐diazirin‐3‐yl]benzoic acid (HDA) and 2‐benzamidinyl‐5‐guanidinopentanoic acid (GS). HDA stabilizes formamidinium iodide (FAI) via carbene reactions, suppressing FA⁺ thermal escape, while GS binds under‐coordinated Pb</w:t>
      </w:r>
      <w:r>
        <w:rPr>
          <w:vertAlign w:val="subscript"/>
        </w:rPr>
        <w:t>2</w:t>
      </w:r>
      <w:r>
        <w:t>⁺ through its high dipole moment, minimizing lead leakage. Leveraging structural homology, these dual passivators synergistically stabilize A‐site (FA⁺) and B‐site (Pb</w:t>
      </w:r>
      <w:r>
        <w:rPr>
          <w:vertAlign w:val="subscript"/>
        </w:rPr>
        <w:t>2</w:t>
      </w:r>
      <w:r>
        <w:t>⁺) ions, forming a hydrogen‐bond network that optimizes crystal growth and enhances α‐FAPbI</w:t>
      </w:r>
      <w:r>
        <w:rPr>
          <w:vertAlign w:val="subscript"/>
        </w:rPr>
        <w:t>3</w:t>
      </w:r>
      <w:r>
        <w:t>phase stability and photothermal resilience. Perovskite solar cells (PSCs) optimized with HDA‐GS achieve a record power conversion efficiency of 26.07%, along with exceptional operational stability: unencapsulated devices retain 95% of initial efficiency after 1300 h at 85°C under nitrogen (thermal stability) and 91% after 1500 h of continuous light exposure (light stability). This work demonstrates that a multi‐scale molecular interlocking network effectively overcomes perovskite inherent instability, offering a scalable pathway to high‐performance, durable PSCs.</w:t>
      </w:r>
    </w:p>
    <w:p>
      <w:pPr>
        <w:spacing w:before="120" w:after="120"/>
      </w:pPr>
      <w:r>
        <w:rPr>
          <w:sz w:val="18"/>
        </w:rPr>
        <w:t>——————————————————————————————————————————————————————————————————————</w:t>
      </w:r>
    </w:p>
    <w:p>
      <w:pPr>
        <w:spacing w:before="160" w:after="40" w:line="240" w:lineRule="auto"/>
      </w:pPr>
      <w:r>
        <w:rPr>
          <w:b/>
        </w:rPr>
        <w:t xml:space="preserve">[70] </w:t>
      </w:r>
      <w:hyperlink r:id="rId90">
        <w:r>
          <w:rPr>
            <w:color w:val="1155CC"/>
            <w:u w:val="single"/>
          </w:rPr>
          <w:t>在Harsh环境中自成一体的超极端稳定水下粘合性</w:t>
        </w:r>
      </w:hyperlink>
    </w:p>
    <w:p>
      <w:pPr>
        <w:spacing w:before="0" w:after="80"/>
      </w:pPr>
      <w:r>
        <w:rPr>
          <w:i/>
          <w:sz w:val="20"/>
        </w:rPr>
        <w:t>EN: Tailored Hierarchical Bonding Networks Derive Ultra‐Stable Underwater Adhesion in Harsh Environments</w:t>
      </w:r>
    </w:p>
    <w:p>
      <w:pPr>
        <w:spacing w:before="0" w:after="120"/>
      </w:pPr>
      <w:r>
        <w:rPr>
          <w:b/>
        </w:rPr>
        <w:t xml:space="preserve">Source: </w:t>
      </w:r>
      <w:r>
        <w:t>Wiley: Angewandte Chemie International Edition: Table of Contents</w:t>
      </w:r>
      <w:r>
        <w:t xml:space="preserve">    </w:t>
      </w:r>
      <w:r>
        <w:rPr>
          <w:b/>
        </w:rPr>
        <w:t xml:space="preserve">Pub date: </w:t>
      </w:r>
      <w:r>
        <w:t>2026-01-06 07:13:23+00:00</w:t>
      </w:r>
      <w:r>
        <w:t xml:space="preserve">    </w:t>
      </w:r>
      <w:r>
        <w:rPr>
          <w:b/>
        </w:rPr>
        <w:t xml:space="preserve">DOI: </w:t>
      </w:r>
      <w:hyperlink r:id="rId91">
        <w:r>
          <w:rPr>
            <w:color w:val="1155CC"/>
            <w:u w:val="single"/>
          </w:rPr>
          <w:t>10.1002/anie.202521651</w:t>
        </w:r>
      </w:hyperlink>
    </w:p>
    <w:p>
      <w:pPr>
        <w:spacing w:before="0" w:after="120"/>
      </w:pPr>
      <w:r>
        <w:rPr>
          <w:b/>
        </w:rPr>
        <w:t xml:space="preserve">Notes: </w:t>
      </w:r>
      <w:r>
        <w:t>abstract_source=crossref</w:t>
      </w:r>
    </w:p>
    <w:p>
      <w:pPr>
        <w:spacing w:before="0" w:after="80" w:lineRule="auto" w:line="276"/>
      </w:pPr>
      <w:r>
        <w:rPr>
          <w:b/>
        </w:rPr>
        <w:t xml:space="preserve">摘要（ZH）: </w:t>
      </w:r>
      <w:r>
        <w:t>摘要 高性能抗水和水下粘合剂的开发对于推进水下技术至关重要,然而,在复杂的水下环境中实现稳健的功能粘合并长期耐久性仍然是一个重大挑战。在这里,我们提出了一个在严酷的水下条件下实现稳定粘合的等级连结网络战略。通过设计一个与密集活性互动点(包括氢氧基、苯环、碳化物和水分恐惧物)嵌入的交叉连接的聚硅氧烷脊椎,我们创造了协同的多尺度互动,既能增强凝聚性,又能增强水面间粘合性。优化粘合性实现了12.2兆帕的强大粘合力和钢上3.4兆帕的水下粘合力。</w:t>
      </w:r>
    </w:p>
    <w:p>
      <w:pPr>
        <w:spacing w:before="0" w:after="200" w:lineRule="auto" w:line="276"/>
      </w:pPr>
      <w:r>
        <w:rPr>
          <w:b/>
        </w:rPr>
        <w:t xml:space="preserve">Abstract (EN): </w:t>
      </w:r>
      <w:r>
        <w:t>The development of high‐performance water‐resistant and underwater adhesives is critical for advancing underwater technologies, yet achieving robust functional adhesion with long‐term durability in complex underwater environments remains a significant challenge. Here, we present a hierarchical bonding network strategy to realize stable adhesion under harsh underwater conditions. By engineering a cross‐linked polysiloxane backbone embedded with dense active interaction sites, including hydroxyl groups, benzene rings, cations, and hydrophobic moieties, we create synergistic multiscale interactions that amplify both cohesion and interfacial adhesion. The optimized adhesive achieves a strong bonding strength of 12.2 MPa and an underwater adhesion of 3.4 MPa on steel substrates and retains stability in corrosive underwater environments (acidic, alkaline, and saline solutions) over extended periods. It further demonstrates exceptional thermal resilience, maintaining functionality across temperatures from ‐196 to 150 °C. Integrating quaternary ammonium cations with long‐chain alkanes endows the material with potent antibacterial activity (≥99.9999% inhibition) and the highest antifungal grade. This work provides a new avenue for designing high‐performance multifunctional adhesives with strong adhesion, long‐term durability, extreme temperature resistance, and antimicrobial properties, offering broad potential for applications in demanding underwater environments.</w:t>
      </w:r>
    </w:p>
    <w:p>
      <w:pPr>
        <w:spacing w:before="120" w:after="120"/>
      </w:pPr>
      <w:r>
        <w:rPr>
          <w:sz w:val="18"/>
        </w:rPr>
        <w:t>——————————————————————————————————————————————————————————————————————</w:t>
      </w:r>
    </w:p>
    <w:p>
      <w:pPr>
        <w:spacing w:before="160" w:after="40" w:line="240" w:lineRule="auto"/>
      </w:pPr>
      <w:r>
        <w:rPr>
          <w:b/>
        </w:rPr>
        <w:t xml:space="preserve">[71] </w:t>
      </w:r>
      <w:hyperlink r:id="rId92">
        <w:r>
          <w:rPr>
            <w:color w:val="1155CC"/>
            <w:u w:val="single"/>
          </w:rPr>
          <w:t>聚二二酰乙烯聚集总量中多方向电荷分离</w:t>
        </w:r>
      </w:hyperlink>
    </w:p>
    <w:p>
      <w:pPr>
        <w:spacing w:before="0" w:after="80"/>
      </w:pPr>
      <w:r>
        <w:rPr>
          <w:i/>
          <w:sz w:val="20"/>
        </w:rPr>
        <w:t>EN: Multidirectional Charge Separation in Self‐Assembled Aggregates of Perylenebisimide‐Porphyrin Bola‐Supra‐Amphiphiles</w:t>
      </w:r>
    </w:p>
    <w:p>
      <w:pPr>
        <w:spacing w:before="0" w:after="120"/>
      </w:pPr>
      <w:r>
        <w:rPr>
          <w:b/>
        </w:rPr>
        <w:t xml:space="preserve">Source: </w:t>
      </w:r>
      <w:r>
        <w:t>Wiley: Angewandte Chemie International Edition: Table of Contents</w:t>
      </w:r>
      <w:r>
        <w:t xml:space="preserve">    </w:t>
      </w:r>
      <w:r>
        <w:rPr>
          <w:b/>
        </w:rPr>
        <w:t xml:space="preserve">Pub date: </w:t>
      </w:r>
      <w:r>
        <w:t>2026-01-06 07:13:45+00:00</w:t>
      </w:r>
      <w:r>
        <w:t xml:space="preserve">    </w:t>
      </w:r>
      <w:r>
        <w:rPr>
          <w:b/>
        </w:rPr>
        <w:t xml:space="preserve">DOI: </w:t>
      </w:r>
      <w:hyperlink r:id="rId93">
        <w:r>
          <w:rPr>
            <w:color w:val="1155CC"/>
            <w:u w:val="single"/>
          </w:rPr>
          <w:t>10.1002/anie.202523324</w:t>
        </w:r>
      </w:hyperlink>
    </w:p>
    <w:p>
      <w:pPr>
        <w:spacing w:before="0" w:after="120"/>
      </w:pPr>
      <w:r>
        <w:rPr>
          <w:b/>
        </w:rPr>
        <w:t xml:space="preserve">Notes: </w:t>
      </w:r>
      <w:r>
        <w:t>abstract_source=crossref</w:t>
      </w:r>
    </w:p>
    <w:p>
      <w:pPr>
        <w:spacing w:before="0" w:after="80" w:lineRule="auto" w:line="276"/>
      </w:pPr>
      <w:r>
        <w:rPr>
          <w:b/>
        </w:rPr>
        <w:t xml:space="preserve">摘要（ZH）: </w:t>
      </w:r>
      <w:r>
        <w:t>我们报告合成氢-bond介介质bola-type bola-bolahphie 及其在水中的组装,该组装以闪光性激素和对水的疏水性聚苯乙烯双双双乳基苯丙胺酯(PBI)为基础,这两种物质仅通过Hbonding motif形成结果的bola-forif(Hbonding motif由染色素本身的组装保护),而亚硫酸和亚硫二苯丙二苯丙二烯二烯二苯基苯并用作极头组,两种汉密尔顿受体与PBI有关,通过水/THF混合物中两种成分的统合解决方案实现大会,然后在产生稳定悬浮的纯水中进行再分解。</w:t>
      </w:r>
    </w:p>
    <w:p>
      <w:pPr>
        <w:spacing w:before="0" w:after="200" w:lineRule="auto" w:line="276"/>
      </w:pPr>
      <w:r>
        <w:rPr>
          <w:b/>
        </w:rPr>
        <w:t xml:space="preserve">Abstract (EN): </w:t>
      </w:r>
      <w:r>
        <w:t>We report on the synthesis of a hydrogen‐bond mediated bola‐type supra‐amphiphile and assembly thereof in water. The assembly is based on amphiphilic porphyrins and hydrophobic perylenebisimdes (PBI), which both form the resulting bola‐form solely through the H‐bonding motif, which is shielded by the assembly of the chromophores itself. The amphiphilic porphyrin was functionalized, on one hand, with a cyanuric acid and, on the other hand, with an oligo carboxylate dendron as polar head group. Two Hamilton receptors were linked to the PBI on each imide position. Assembly was achieved by lyophilizing solutions of both components in water/THF mixtures, followed by redispersion in pure water yielding stable suspensions. Cryogenic transmission electron microscopy (cryo‐TEM) and dynamic light scattering (DLS) reveal a spherical morphology with diameters ranging from 15 – 100 nm. Once formed, the assemblies showed broadened absorptions and quenched PBI‐centered fluorescence. Using time‐resolved absorption spectroscopy, the nature of the fluorescence quenching was confirmed to be either charge separation, by which the porphyrin donates an electron to the PBI, or symmetry breaking charge separation, by which π‐π stacked PBIs donate and accept electrons. Denaturation of the supra‐amphiphile went hand‐in‐hand with a reinstation of the PBI fluorescence and suppression of charge separation.</w:t>
      </w:r>
    </w:p>
    <w:p>
      <w:pPr>
        <w:spacing w:before="120" w:after="120"/>
      </w:pPr>
      <w:r>
        <w:rPr>
          <w:sz w:val="18"/>
        </w:rPr>
        <w:t>——————————————————————————————————————————————————————————————————————</w:t>
      </w:r>
    </w:p>
    <w:p>
      <w:pPr>
        <w:spacing w:before="160" w:after="40" w:line="240" w:lineRule="auto"/>
      </w:pPr>
      <w:r>
        <w:rPr>
          <w:b/>
        </w:rPr>
        <w:t xml:space="preserve">[72] </w:t>
      </w:r>
      <w:hyperlink r:id="rId94">
        <w:r>
          <w:rPr>
            <w:color w:val="1155CC"/>
            <w:u w:val="single"/>
          </w:rPr>
          <w:t>改为“通过DNA-Catalyst Conjugations在RNA具体安装阿里尔组的序列”</w:t>
        </w:r>
      </w:hyperlink>
    </w:p>
    <w:p>
      <w:pPr>
        <w:spacing w:before="0" w:after="80"/>
      </w:pPr>
      <w:r>
        <w:rPr>
          <w:i/>
          <w:sz w:val="20"/>
        </w:rPr>
        <w:t>EN: Correction to “Sequence‐Specific Installation of Aryl Groups in RNA via DNA‐Catalyst Conjugates”</w:t>
      </w:r>
    </w:p>
    <w:p>
      <w:pPr>
        <w:spacing w:before="0" w:after="120"/>
      </w:pPr>
      <w:r>
        <w:rPr>
          <w:b/>
        </w:rPr>
        <w:t xml:space="preserve">Source: </w:t>
      </w:r>
      <w:r>
        <w:t>Wiley: Angewandte Chemie International Edition: Table of Contents</w:t>
      </w:r>
      <w:r>
        <w:t xml:space="preserve">    </w:t>
      </w:r>
      <w:r>
        <w:rPr>
          <w:b/>
        </w:rPr>
        <w:t xml:space="preserve">Pub date: </w:t>
      </w:r>
      <w:r>
        <w:t>2026-01-06 07:21:02+00:00</w:t>
      </w:r>
      <w:r>
        <w:t xml:space="preserve">    </w:t>
      </w:r>
      <w:r>
        <w:rPr>
          <w:b/>
        </w:rPr>
        <w:t xml:space="preserve">DOI: </w:t>
      </w:r>
      <w:hyperlink r:id="rId95">
        <w:r>
          <w:rPr>
            <w:color w:val="1155CC"/>
            <w:u w:val="single"/>
          </w:rPr>
          <w:t>10.1002/anie.6505783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96">
        <w:r>
          <w:rPr>
            <w:color w:val="1155CC"/>
            <w:u w:val="single"/>
          </w:rPr>
          <w:t>通过S(VI)-Fluoride 交易所迭代活性指数增长(SUFEx IEG)确定定型聚硫化物</w:t>
        </w:r>
      </w:hyperlink>
    </w:p>
    <w:p>
      <w:pPr>
        <w:spacing w:before="0" w:after="80"/>
      </w:pPr>
      <w:r>
        <w:rPr>
          <w:i/>
          <w:sz w:val="20"/>
        </w:rPr>
        <w:t>EN: Sequence‐Defined Polysulfates via S(VI)‐Fluoride Exchange Iterative Exponential Growth (SuFEx IEG)</w:t>
      </w:r>
    </w:p>
    <w:p>
      <w:pPr>
        <w:spacing w:before="0" w:after="120"/>
      </w:pPr>
      <w:r>
        <w:rPr>
          <w:b/>
        </w:rPr>
        <w:t xml:space="preserve">Source: </w:t>
      </w:r>
      <w:r>
        <w:t>Wiley: Angewandte Chemie International Edition: Table of Contents</w:t>
      </w:r>
      <w:r>
        <w:t xml:space="preserve">    </w:t>
      </w:r>
      <w:r>
        <w:rPr>
          <w:b/>
        </w:rPr>
        <w:t xml:space="preserve">Pub date: </w:t>
      </w:r>
      <w:r>
        <w:t>2026-01-06 07:27:10+00:00</w:t>
      </w:r>
      <w:r>
        <w:t xml:space="preserve">    </w:t>
      </w:r>
      <w:r>
        <w:rPr>
          <w:b/>
        </w:rPr>
        <w:t xml:space="preserve">DOI: </w:t>
      </w:r>
      <w:hyperlink r:id="rId97">
        <w:r>
          <w:rPr>
            <w:color w:val="1155CC"/>
            <w:u w:val="single"/>
          </w:rPr>
          <w:t>10.1002/anie.202525487</w:t>
        </w:r>
      </w:hyperlink>
    </w:p>
    <w:p>
      <w:pPr>
        <w:spacing w:before="0" w:after="120"/>
      </w:pPr>
      <w:r>
        <w:rPr>
          <w:b/>
        </w:rPr>
        <w:t xml:space="preserve">Notes: </w:t>
      </w:r>
      <w:r>
        <w:t>abstract_source=crossref</w:t>
      </w:r>
    </w:p>
    <w:p>
      <w:pPr>
        <w:spacing w:before="0" w:after="80" w:lineRule="auto" w:line="276"/>
      </w:pPr>
      <w:r>
        <w:rPr>
          <w:b/>
        </w:rPr>
        <w:t xml:space="preserve">摘要（ZH）: </w:t>
      </w:r>
      <w:r>
        <w:t>利用 S(VI) 氟化物交换(SuFEx) 反应的高回动性、模块性和正方位性(SUFEx) 反应,这是对点击化学的新添加,我们在此报告S(VI) 氟化物交换(SUFEx) 反应的高回动性、模块性和正方位性(Outoraide) 反应,这是对点击化学的一种新添加,我们在此报告S(SuFEx) 迭代倍增指数增长(SuFEx) 方法), 将统一的聚合物和块状共聚物(BCPs) 与分子重量合成到 21 kDa 。 SuFEx IEG 的关键步骤是, 双苯硫化物和二苯醚的一组功能组群(SuFEX) 点点需求、 方位(Orthobonal) 和 imidzylate) 组(SUFFFFEG) 组合(SuFEX) 的合成编码。</w:t>
      </w:r>
    </w:p>
    <w:p>
      <w:pPr>
        <w:spacing w:before="0" w:after="200" w:lineRule="auto" w:line="276"/>
      </w:pPr>
      <w:r>
        <w:rPr>
          <w:b/>
        </w:rPr>
        <w:t xml:space="preserve">Abstract (EN): </w:t>
      </w:r>
      <w:r>
        <w:t>Leveraging the high reactivity, modularity, and orthogonality of the S(VI)‐fluoride exchange (SuFEx) reaction, a new addition to click chemistry, we report here the SuFEx iterative exponential growth (SuFEx IEG) method for synthesizing uniform polymers and block copolymers (BCPs) with molecular weights up to 21 kDa. The key step in SuFEx IEG was the on‐demand, orthogonal activation of the pair of functional groups, the SuFEx‐inactive tetrahydropyranyl and imidazylate groups, into SuFEx‐active</w:t>
      </w:r>
      <w:r>
        <w:t xml:space="preserve"> </w:t>
      </w:r>
      <w:r>
        <w:t>tert</w:t>
      </w:r>
      <w:r>
        <w:t xml:space="preserve"> </w:t>
      </w:r>
      <w:r>
        <w:t>‐butyldimethylsilyl (TBS) and sulfonyl fluoride. With SuFEx IEG, we demonstrate the synthetic encoding of 16‐bit information into the sequence‐defined polysulfate of diphenyl sulfide and diphenyl ether. The modular nature of the SuFEx click reaction enabled the synthesis of uniform polysulfates, including hydrophilic oligo(ethylene glycol)‐based polysulfates, that served as modules to create block copolymers (BCPs) and triblock copolymers without molecular weight distribution. The chain ends of the polymers and BCPs produced via SuFEx IEG were used to prepare uniform cyclic polymers and BCPs via intramolecular SuFEx cyclization. The SuFEx IEG method provides a robust and versatile approach for precisely constructing uniform linear and cyclic polymers, as well as sequence‐defined polymers, across a broad molecular weight range.</w:t>
      </w:r>
    </w:p>
    <w:p>
      <w:pPr>
        <w:spacing w:before="120" w:after="120"/>
      </w:pPr>
      <w:r>
        <w:rPr>
          <w:sz w:val="18"/>
        </w:rPr>
        <w:t>——————————————————————————————————————————————————————————————————————</w:t>
      </w:r>
    </w:p>
    <w:p>
      <w:pPr>
        <w:spacing w:before="160" w:after="40" w:line="240" w:lineRule="auto"/>
      </w:pPr>
      <w:r>
        <w:rPr>
          <w:b/>
        </w:rPr>
        <w:t xml:space="preserve">[74] </w:t>
      </w:r>
      <w:hyperlink r:id="rId98">
        <w:r>
          <w:rPr>
            <w:color w:val="1155CC"/>
            <w:u w:val="single"/>
          </w:rPr>
          <w:t>苏丹复杂的基因混合历史促使苏丹科普特人适应疟疾。</w:t>
        </w:r>
      </w:hyperlink>
    </w:p>
    <w:p>
      <w:pPr>
        <w:spacing w:before="0" w:after="80"/>
      </w:pPr>
      <w:r>
        <w:rPr>
          <w:i/>
          <w:sz w:val="20"/>
        </w:rPr>
        <w:t>EN: Sudan’s complex genetic admixture history drives adaptation to malaria in Sudanese Copts</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99">
        <w:r>
          <w:rPr>
            <w:color w:val="1155CC"/>
            <w:u w:val="single"/>
          </w:rPr>
          <w:t>10.1073/pnas.2516263123</w:t>
        </w:r>
      </w:hyperlink>
    </w:p>
    <w:p>
      <w:pPr>
        <w:spacing w:before="0" w:after="120"/>
      </w:pPr>
      <w:r>
        <w:rPr>
          <w:b/>
        </w:rPr>
        <w:t xml:space="preserve">Notes: </w:t>
      </w:r>
      <w:r>
        <w:t>abstract_source=crossref</w:t>
      </w:r>
    </w:p>
    <w:p>
      <w:pPr>
        <w:spacing w:before="0" w:after="80" w:lineRule="auto" w:line="276"/>
      </w:pPr>
      <w:r>
        <w:rPr>
          <w:b/>
        </w:rPr>
        <w:t xml:space="preserve">摘要（ZH）: </w:t>
      </w:r>
      <w:r>
        <w:t>苏丹位于非洲和中东的十字路口,其文化、语言和生态多样性因复杂的人口历史而具有丰富的文化、语言和生态多样性,苏丹处于非洲和中东的十字路口,我们对苏丹人口进行了全基因顺序(WGS)研究,分析了代表五个民族语言群体、共有三个语言家庭的125名人的高覆盖基因组(~30x),我们的结果显示人口结构深厚,涉及尼洛-撒哈拉、西欧亚、北非和西非祖传组成部分,以及阿拉伯扩张的标志。我们报告有100多万种新变异,包括人口特有的有害异类,突出说明需要更广泛的非洲基因组代表。值得注意的是,当地祖先的推论揭示出一个强大的信号,表明在黑社会上有适应性的混合。</w:t>
      </w:r>
    </w:p>
    <w:p>
      <w:pPr>
        <w:spacing w:before="0" w:after="200" w:lineRule="auto" w:line="276"/>
      </w:pPr>
      <w:r>
        <w:rPr>
          <w:b/>
        </w:rPr>
        <w:t xml:space="preserve">Abstract (EN): </w:t>
      </w:r>
      <w:r>
        <w:t>Sudan lies at the crossroads of Africa and the Middle East, with rich cultural, linguistic, and ecological diversity shaped by a complex demographic history. We present a whole-genome sequencing (WGS) study of Sudanese populations, analyzing high-coverage genomes (~30×) from 125 individuals representing five ethnolinguistic groups across three language families. Our results reveal deep population structure, involving Nilo-Saharan, West Eurasian, Northern African, and Western African ancestral components, as well as signatures of the Arab expansion. We report over one million novel variants, including population-specific deleterious alleles, highlighting the need for broader African genomic representation. Notably, local ancestry inference reveals a strong signal of adaptive admixture on chromosome 1 in Sudanese Copts, marked by a peak of Nilo-Saharan ancestry introduced via genetic admixture 1,000 to 1,500 y ago. At this locus, we estimate a remarkably strong selection coefficient (s = 0.0996) for SNP rs2814778 within the</w:t>
      </w:r>
      <w:r>
        <w:t xml:space="preserve"> </w:t>
      </w:r>
      <w:r>
        <w:t>ACKR1</w:t>
      </w:r>
      <w:r>
        <w:t xml:space="preserve"> </w:t>
      </w:r>
      <w:r>
        <w:t>gene, which is responsible for the Duffy-null blood group that provides resistance to</w:t>
      </w:r>
      <w:r>
        <w:t xml:space="preserve"> </w:t>
      </w:r>
      <w:r>
        <w:t>Plasmodium vivax</w:t>
      </w:r>
      <w:r>
        <w:t xml:space="preserve"> </w:t>
      </w:r>
      <w:r>
        <w:t>malaria. These findings reveal Sudan as a genomic mosaic shaped by ancient and recent migrations and provide clear evidence of admixture-driven adaptation in an understudied region of Africa.</w:t>
      </w:r>
    </w:p>
    <w:p>
      <w:pPr>
        <w:spacing w:before="120" w:after="120"/>
      </w:pPr>
      <w:r>
        <w:rPr>
          <w:sz w:val="18"/>
        </w:rPr>
        <w:t>——————————————————————————————————————————————————————————————————————</w:t>
      </w:r>
    </w:p>
    <w:p>
      <w:pPr>
        <w:spacing w:before="160" w:after="40" w:line="240" w:lineRule="auto"/>
      </w:pPr>
      <w:r>
        <w:rPr>
          <w:b/>
        </w:rPr>
        <w:t xml:space="preserve">[75] </w:t>
      </w:r>
      <w:hyperlink r:id="rId100">
        <w:r>
          <w:rPr>
            <w:color w:val="1155CC"/>
            <w:u w:val="single"/>
          </w:rPr>
          <w:t>NRVS和DFT所透露的无释放酶</w:t>
        </w:r>
      </w:hyperlink>
    </w:p>
    <w:p>
      <w:pPr>
        <w:spacing w:before="0" w:after="80"/>
      </w:pPr>
      <w:r>
        <w:rPr>
          <w:i/>
          <w:sz w:val="20"/>
        </w:rPr>
        <w:t>EN: Hydroxo-bridged active site of flavodiiron NO reductase revealed by NRVS and DFT</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101">
        <w:r>
          <w:rPr>
            <w:color w:val="1155CC"/>
            <w:u w:val="single"/>
          </w:rPr>
          <w:t>10.1073/pnas.2512429123</w:t>
        </w:r>
      </w:hyperlink>
    </w:p>
    <w:p>
      <w:pPr>
        <w:spacing w:before="0" w:after="120"/>
      </w:pPr>
      <w:r>
        <w:rPr>
          <w:b/>
        </w:rPr>
        <w:t xml:space="preserve">Notes: </w:t>
      </w:r>
      <w:r>
        <w:t>abstract_source=crossref</w:t>
      </w:r>
    </w:p>
    <w:p>
      <w:pPr>
        <w:spacing w:before="0" w:after="80" w:lineRule="auto" w:line="276"/>
      </w:pPr>
      <w:r>
        <w:rPr>
          <w:b/>
        </w:rPr>
        <w:t xml:space="preserve">摘要（ZH）: </w:t>
      </w:r>
      <w:r>
        <w:t>氧和硝酸盐作为终端电子接收器使用氧和硝酸盐为生物提供了大量可用的能量,但需要用各种方法解毒活性中间体。许多有机体中的NO和O2解毒机制涉及法老二子蛋白(FDPs),虽然协调这些酶的二环活性场点的蛋白性结壳已经牢固建立,但由于对晶体学和光谱/理论研究的解释相互矛盾,其确切的协调环境仍在争论之中。我们利用57种欧洲核共振动光谱(NRVS),辅之以Mössbauer光谱和密度功能理论,我们阐述了与红氧化物相关的结构结构。</w:t>
      </w:r>
    </w:p>
    <w:p>
      <w:pPr>
        <w:spacing w:before="0" w:after="200" w:lineRule="auto" w:line="276"/>
      </w:pPr>
      <w:r>
        <w:rPr>
          <w:b/>
        </w:rPr>
        <w:t xml:space="preserve">Abstract (EN): </w:t>
      </w:r>
      <w:r>
        <w:t>The use of oxygen and nitrate as terminal electron acceptors provides organisms with a huge amount of available energy but necessitates methods to detoxify reactive intermediates. The mechanisms of NO and O</w:t>
      </w:r>
      <w:r>
        <w:rPr>
          <w:vertAlign w:val="subscript"/>
        </w:rPr>
        <w:t>2</w:t>
      </w:r>
      <w:r>
        <w:t>detoxification in many organisms involve flavodiiron proteins (FDPs). Although the proteinaceous ligands that coordinate the diiron active site of these enzymes are well established, its exact coordination environment remains under debate due to conflicting interpretations of crystallographic and spectroscopic/theoretical studies. Using</w:t>
      </w:r>
      <w:r>
        <w:rPr>
          <w:vertAlign w:val="subscript"/>
        </w:rPr>
        <w:t>57</w:t>
      </w:r>
      <w:r>
        <w:t>Fe nuclear resonance vibrational spectroscopy (NRVS), complemented by Mössbauer spectroscopy and density functional theory, we elucidated the redox-linked structural changes in the FDP from</w:t>
      </w:r>
      <w:r>
        <w:t xml:space="preserve"> </w:t>
      </w:r>
      <w:r>
        <w:t>Escherichia coli</w:t>
      </w:r>
      <w:r>
        <w:t xml:space="preserve"> </w:t>
      </w:r>
      <w:r>
        <w:t>. The as-isolated diferric state is best described as a dihydroxo-bridged Fe(III)–(μOH</w:t>
      </w:r>
      <w:r>
        <w:t xml:space="preserve"> </w:t>
      </w:r>
      <w:r>
        <w:t>−</w:t>
      </w:r>
      <w:r>
        <w:t>)</w:t>
      </w:r>
      <w:r>
        <w:rPr>
          <w:vertAlign w:val="subscript"/>
        </w:rPr>
        <w:t>2</w:t>
      </w:r>
      <w:r>
        <w:t>–Fe(III) core, which upon reduction converts to a monohydroxo Fe(II)–(μOH</w:t>
      </w:r>
      <w:r>
        <w:t xml:space="preserve"> </w:t>
      </w:r>
      <w:r>
        <w:t>−</w:t>
      </w:r>
      <w:r>
        <w:t>)–Fe(II) center through the loss of one bridging ligand. This ligand rearrangement defines the structural basis for redox-linked reactivity in FDPs. The study further demonstrates that photoreduction of a stable metalloprotein species can occur under NRVS conditions, indicating that synchrotron-based vibrational measurements may induce subtle redox changes even under low photon flux. These findings provide a mechanistic framework for interpreting redox-linked ligand dynamics in diiron enzymes and highlight the need to collect damage-free X-ray crystal structures avoiding potential beam-induced reduction. Furthermore, diiron active sites are found in numerous other enzyme classes (e.g., methane monooxygenase), and therefore, our findings have implications way beyond the FDPs.</w:t>
      </w:r>
    </w:p>
    <w:p>
      <w:pPr>
        <w:spacing w:before="120" w:after="120"/>
      </w:pPr>
      <w:r>
        <w:rPr>
          <w:sz w:val="18"/>
        </w:rPr>
        <w:t>——————————————————————————————————————————————————————————————————————</w:t>
      </w:r>
    </w:p>
    <w:p>
      <w:pPr>
        <w:spacing w:before="160" w:after="40" w:line="240" w:lineRule="auto"/>
      </w:pPr>
      <w:r>
        <w:rPr>
          <w:b/>
        </w:rPr>
        <w:t xml:space="preserve">[76] </w:t>
      </w:r>
      <w:hyperlink r:id="rId102">
        <w:r>
          <w:rPr>
            <w:color w:val="1155CC"/>
            <w:u w:val="single"/>
          </w:rPr>
          <w:t>运动神经神经元控制早期胚胎行为,通过伽马(GABA)释放来控制早期胚胎行为。</w:t>
        </w:r>
      </w:hyperlink>
    </w:p>
    <w:p>
      <w:pPr>
        <w:spacing w:before="0" w:after="80"/>
      </w:pPr>
      <w:r>
        <w:rPr>
          <w:i/>
          <w:sz w:val="20"/>
        </w:rPr>
        <w:t>EN: Immature Caenorhabditis elegans motor neurons control early embryo behavior via both synaptic and nonsynaptic GABA release</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103">
        <w:r>
          <w:rPr>
            <w:color w:val="1155CC"/>
            <w:u w:val="single"/>
          </w:rPr>
          <w:t>10.1073/pnas.2508541123</w:t>
        </w:r>
      </w:hyperlink>
    </w:p>
    <w:p>
      <w:pPr>
        <w:spacing w:before="0" w:after="120"/>
      </w:pPr>
      <w:r>
        <w:rPr>
          <w:b/>
        </w:rPr>
        <w:t xml:space="preserve">Notes: </w:t>
      </w:r>
      <w:r>
        <w:t>abstract_source=crossref</w:t>
      </w:r>
    </w:p>
    <w:p>
      <w:pPr>
        <w:spacing w:before="0" w:after="80" w:lineRule="auto" w:line="276"/>
      </w:pPr>
      <w:r>
        <w:rPr>
          <w:b/>
        </w:rPr>
        <w:t xml:space="preserve">摘要（ZH）: </w:t>
      </w:r>
      <w:r>
        <w:t>产前脑活动对随后的神经发育具有长期的持久影响,尚不清楚早期脑活动是否以细胞内生、合成或非合成机制为主。我们通过分析在Snf-11变异体(该变异体没有血浆mbrane GABA再接收泵(orthologous to GAT1))中的细胞内生、神经合成或非合成机制来解决这一问题。在510-570分钟的授精后,在Snf-11 GAT1变异体中,胚胎运动被瞬时和强烈地抑制,这在形成大多数神经环突触之前。这种瞬时运动的抑制要求DD运动神经元的GABA合成和身体肌肉中的UNC-49 GABA受体。c</w:t>
      </w:r>
    </w:p>
    <w:p>
      <w:pPr>
        <w:spacing w:before="0" w:after="200" w:lineRule="auto" w:line="276"/>
      </w:pPr>
      <w:r>
        <w:rPr>
          <w:b/>
        </w:rPr>
        <w:t xml:space="preserve">Abstract (EN): </w:t>
      </w:r>
      <w:r>
        <w:t>Prenatal brain activity has long lasting effects on subsequent neurodevelopment. It is unclear if early brain activity is dominated by cell intrinsic, synaptic, or nonsynaptic mechanisms. We address this question by analyzing</w:t>
      </w:r>
      <w:r>
        <w:t xml:space="preserve"> </w:t>
      </w:r>
      <w:r>
        <w:t>Caenorhabditis elegans</w:t>
      </w:r>
      <w:r>
        <w:t xml:space="preserve"> </w:t>
      </w:r>
      <w:r>
        <w:t>embryo behavior in</w:t>
      </w:r>
      <w:r>
        <w:t xml:space="preserve"> </w:t>
      </w:r>
      <w:r>
        <w:t>snf-11</w:t>
      </w:r>
      <w:r>
        <w:t xml:space="preserve"> </w:t>
      </w:r>
      <w:r>
        <w:t>mutants, which lack a plasma membrane GABA reuptake pump (orthologous to GAT1). At 510 to 570 min postfertilization, embryo motion was transiently and potently inhibited in</w:t>
      </w:r>
      <w:r>
        <w:t xml:space="preserve"> </w:t>
      </w:r>
      <w:r>
        <w:t>snf-11</w:t>
      </w:r>
      <w:r>
        <w:t xml:space="preserve"> </w:t>
      </w:r>
      <w:r>
        <w:t>GAT1 mutants, which precedes formation of most nerve ring synapses. This transient motion inhibition requires GABA synthesis in DD motor neurons and UNC-49 GABA</w:t>
      </w:r>
      <w:r>
        <w:t xml:space="preserve"> </w:t>
      </w:r>
      <w:r>
        <w:t>A</w:t>
      </w:r>
      <w:r>
        <w:t xml:space="preserve"> </w:t>
      </w:r>
      <w:r>
        <w:t>receptors in body muscles. When motion inhibition occurs, DD neurons have not yet completed neurite outgrowth. Genetic analysis suggests that motion inhibition was mediated by both synaptic and tonic GABA release from DD motor neurons. These results suggest that DD neurons control embryo behavior prior to completing their developmental maturation.</w:t>
      </w:r>
    </w:p>
    <w:p>
      <w:pPr>
        <w:spacing w:before="120" w:after="120"/>
      </w:pPr>
      <w:r>
        <w:rPr>
          <w:sz w:val="18"/>
        </w:rPr>
        <w:t>——————————————————————————————————————————————————————————————————————</w:t>
      </w:r>
    </w:p>
    <w:p>
      <w:pPr>
        <w:spacing w:before="160" w:after="40" w:line="240" w:lineRule="auto"/>
      </w:pPr>
      <w:r>
        <w:rPr>
          <w:b/>
        </w:rPr>
        <w:t xml:space="preserve">[77] </w:t>
      </w:r>
      <w:hyperlink r:id="rId104">
        <w:r>
          <w:rPr>
            <w:color w:val="1155CC"/>
            <w:u w:val="single"/>
          </w:rPr>
          <w:t>氨基甲状腺纤维纤维状体的生物-溶解溶解的冷冻-EM结构可提供对AL 氨基虫病的分子洞察。</w:t>
        </w:r>
      </w:hyperlink>
    </w:p>
    <w:p>
      <w:pPr>
        <w:spacing w:before="0" w:after="80"/>
      </w:pPr>
      <w:r>
        <w:rPr>
          <w:i/>
          <w:sz w:val="20"/>
        </w:rPr>
        <w:t>EN: Biopsy-resolved cryo-EM structures of amyloid fibrils provide molecular insights into AL amyloidosis</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105">
        <w:r>
          <w:rPr>
            <w:color w:val="1155CC"/>
            <w:u w:val="single"/>
          </w:rPr>
          <w:t>10.1073/pnas.2515454123</w:t>
        </w:r>
      </w:hyperlink>
    </w:p>
    <w:p>
      <w:pPr>
        <w:spacing w:before="0" w:after="120"/>
      </w:pPr>
      <w:r>
        <w:rPr>
          <w:b/>
        </w:rPr>
        <w:t xml:space="preserve">Notes: </w:t>
      </w:r>
      <w:r>
        <w:t>abstract_source=crossref</w:t>
      </w:r>
    </w:p>
    <w:p>
      <w:pPr>
        <w:spacing w:before="0" w:after="80" w:lineRule="auto" w:line="276"/>
      </w:pPr>
      <w:r>
        <w:rPr>
          <w:b/>
        </w:rPr>
        <w:t xml:space="preserve">摘要（ZH）: </w:t>
      </w:r>
      <w:r>
        <w:t>在这项研究中,我们直接从三个AL病人的腹部脂肪和心组织生物细胞中提取了氨基纤维纤维素。我们通过冷冻-电子显微镜,确定了五个不同的光链结构(LC)氨基纤维质。我们的结果表明,不同病人的LC纤维质采用了独特的结构分解,突出了病人特有的纤维性变异。相反,从同一病人的不同组织中提取的LC纤维纤维质具有高度相似的总体纤维质结构,但显示出局部的相容性变化,可能由不同的环境同源体形成。本研究强调C。</w:t>
      </w:r>
    </w:p>
    <w:p>
      <w:pPr>
        <w:spacing w:before="0" w:after="200" w:lineRule="auto" w:line="276"/>
      </w:pPr>
      <w:r>
        <w:rPr>
          <w:b/>
        </w:rPr>
        <w:t xml:space="preserve">Abstract (EN): </w:t>
      </w:r>
      <w:r>
        <w:t>Systemic light chain amyloidosis (AL) is characterized by amyloid fibril deposition in multiple organs, often severely affecting cardiac function. In this study, we extracted amyloid fibrils directly from abdominal fat and cardiac tissue biopsies obtained from three AL patients. Using cryo-electron microscopy, we determined five distinct structures of light chain (LC) amyloid fibrils. Our results demonstrate that LC fibrils from different patients adopt unique structural conformations, highlighting patient-specific fibril variations. Conversely, LC fibrils extracted from different tissues within the same patient share highly similar overall fibril structures, yet exhibit localized conformational variations, potentially shaped by distinct environmental cofactors. This study emphasizes the combined roles of patient-specific protein sequences and tissue-specific microenvironments in defining LC fibril conformation. The determination of LC fibril structures directly from easily accessible abdominal fat biopsy provides critical molecular insights into AL amyloidosis pathology, facilitating the development of therapeutic strategies.</w:t>
      </w:r>
    </w:p>
    <w:p>
      <w:pPr>
        <w:spacing w:before="120" w:after="120"/>
      </w:pPr>
      <w:r>
        <w:rPr>
          <w:sz w:val="18"/>
        </w:rPr>
        <w:t>——————————————————————————————————————————————————————————————————————</w:t>
      </w:r>
    </w:p>
    <w:p>
      <w:pPr>
        <w:spacing w:before="160" w:after="40" w:line="240" w:lineRule="auto"/>
      </w:pPr>
      <w:r>
        <w:rPr>
          <w:b/>
        </w:rPr>
        <w:t xml:space="preserve">[78] </w:t>
      </w:r>
      <w:hyperlink r:id="rId106">
        <w:r>
          <w:rPr>
            <w:color w:val="1155CC"/>
            <w:u w:val="single"/>
          </w:rPr>
          <w:t>本问题</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107">
        <w:r>
          <w:rPr>
            <w:color w:val="1155CC"/>
            <w:u w:val="single"/>
          </w:rPr>
          <w:t>10.1073/iti0126123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 </w:t>
      </w:r>
      <w:hyperlink r:id="rId108">
        <w:r>
          <w:rPr>
            <w:color w:val="1155CC"/>
            <w:u w:val="single"/>
          </w:rPr>
          <w:t>为国家学院和我们所服务的国家绘制路线</w:t>
        </w:r>
      </w:hyperlink>
    </w:p>
    <w:p>
      <w:pPr>
        <w:spacing w:before="0" w:after="80"/>
      </w:pPr>
      <w:r>
        <w:rPr>
          <w:i/>
          <w:sz w:val="20"/>
        </w:rPr>
        <w:t>EN: Charting a course for the National Academies and the nation we serve</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109">
        <w:r>
          <w:rPr>
            <w:color w:val="1155CC"/>
            <w:u w:val="single"/>
          </w:rPr>
          <w:t>10.1073/pnas.2535307123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 </w:t>
      </w:r>
      <w:hyperlink r:id="rId110">
        <w:r>
          <w:rPr>
            <w:color w:val="1155CC"/>
            <w:u w:val="single"/>
          </w:rPr>
          <w:t>Chlamydomonas 叶板基因可容忍将基因编码压缩为51个codons</w:t>
        </w:r>
      </w:hyperlink>
    </w:p>
    <w:p>
      <w:pPr>
        <w:spacing w:before="0" w:after="80"/>
      </w:pPr>
      <w:r>
        <w:rPr>
          <w:i/>
          <w:sz w:val="20"/>
        </w:rPr>
        <w:t>EN: Chlamydomonas chloroplast genes tolerate compression of the genetic code to just 51 codons</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111">
        <w:r>
          <w:rPr>
            <w:color w:val="1155CC"/>
            <w:u w:val="single"/>
          </w:rPr>
          <w:t>10.1073/pnas.2506263123</w:t>
        </w:r>
      </w:hyperlink>
    </w:p>
    <w:p>
      <w:pPr>
        <w:spacing w:before="0" w:after="120"/>
      </w:pPr>
      <w:r>
        <w:rPr>
          <w:b/>
        </w:rPr>
        <w:t xml:space="preserve">Notes: </w:t>
      </w:r>
      <w:r>
        <w:t>abstract_source=crossref</w:t>
      </w:r>
    </w:p>
    <w:p>
      <w:pPr>
        <w:spacing w:before="0" w:after="80" w:lineRule="auto" w:line="276"/>
      </w:pPr>
      <w:r>
        <w:rPr>
          <w:b/>
        </w:rPr>
        <w:t xml:space="preserve">摘要（ZH）: </w:t>
      </w:r>
      <w:r>
        <w:t>基因组规模工程使得Codon压缩了普世遗传编码,消除了Escherichia coli的七种codon,但允许在基因组规模上测试更激进的codon压缩和再分配计划,同时避免巨大的技术挑战,需要更小、更简单的基因系统。在这里,我们报告了205 kb Chlamydomonas Reinhardtii 叶绿化石基因组的重新编码计划,其中两种停止的codon和一种或数种对正弦、甘油、异醇、莱西内和精液的codon,所有这些都存在两种共生转RNA(tNAs),将基因编码压缩到51 codons。</w:t>
      </w:r>
    </w:p>
    <w:p>
      <w:pPr>
        <w:spacing w:before="0" w:after="200" w:lineRule="auto" w:line="276"/>
      </w:pPr>
      <w:r>
        <w:rPr>
          <w:b/>
        </w:rPr>
        <w:t xml:space="preserve">Abstract (EN): </w:t>
      </w:r>
      <w:r>
        <w:t>Genome scale engineering has enabled codon compression of the universal genetic code to eliminate seven codons in</w:t>
      </w:r>
      <w:r>
        <w:t xml:space="preserve"> </w:t>
      </w:r>
      <w:r>
        <w:t>Escherichia coli</w:t>
      </w:r>
      <w:r>
        <w:t xml:space="preserve"> </w:t>
      </w:r>
      <w:r>
        <w:t>, but to allow more radical schemes for codon compression and reassignment to be tested at genome scale, while avoiding significant technical challenges, smaller, simpler genetic systems are needed. Here, we report a recoding scheme for the 205 kb</w:t>
      </w:r>
      <w:r>
        <w:t xml:space="preserve"> </w:t>
      </w:r>
      <w:r>
        <w:t>Chlamydomonas reinhardtii</w:t>
      </w:r>
      <w:r>
        <w:t xml:space="preserve"> </w:t>
      </w:r>
      <w:r>
        <w:t>chloroplast genome, in which two stop codons and one or more of the codons for arginine, glycine, isoleucine, leucine, and serine, all of which have two cognate transfer RNAs (tRNAs), are absent, compressing the genetic code to 51 codons. Several recoding strategies were tested on the essential</w:t>
      </w:r>
      <w:r>
        <w:t xml:space="preserve"> </w:t>
      </w:r>
      <w:r>
        <w:t>rpoA</w:t>
      </w:r>
      <w:r>
        <w:t xml:space="preserve"> </w:t>
      </w:r>
      <w:r>
        <w:t>gene, encoding a subunit of the chloroplast RNA polymerase. A defined compression scheme, which relied on swapping the target codons with the permitted frequent codons, could replace the native sequence without affecting expression of a reporter protein or strain fitness under standard laboratory conditions. The same strategy was successfully used for codon compression of</w:t>
      </w:r>
      <w:r>
        <w:t xml:space="preserve"> </w:t>
      </w:r>
      <w:r>
        <w:t>ycf1</w:t>
      </w:r>
      <w:r>
        <w:t xml:space="preserve"> </w:t>
      </w:r>
      <w:r>
        <w:t>, encoding a subunit of the chloroplast translocon,</w:t>
      </w:r>
      <w:r>
        <w:t xml:space="preserve"> </w:t>
      </w:r>
      <w:r>
        <w:t>psaA</w:t>
      </w:r>
      <w:r>
        <w:t xml:space="preserve"> </w:t>
      </w:r>
      <w:r>
        <w:t>and</w:t>
      </w:r>
      <w:r>
        <w:t xml:space="preserve"> </w:t>
      </w:r>
      <w:r>
        <w:t>psbA</w:t>
      </w:r>
      <w:r>
        <w:t xml:space="preserve"> </w:t>
      </w:r>
      <w:r>
        <w:t>, intron-containing highly expressed genes encoding reaction center subunits of both photosystems, and an 8.5 kb operon encoding essential and nonessential genes. Finally, we tested degeneracy of the 51-codon genetic code by exploring the combinatorial design for the large subunit of Rubisco, relying on restoration of photosynthesis in an</w:t>
      </w:r>
      <w:r>
        <w:t xml:space="preserve"> </w:t>
      </w:r>
      <w:r>
        <w:t>rbcL</w:t>
      </w:r>
      <w:r>
        <w:t xml:space="preserve"> </w:t>
      </w:r>
      <w:r>
        <w:t>mutant strain. More than 70 functional sequences with diverse codons were recovered. For all recoded genes, viable homoplasmic lines were obtained, showing the efficacy of our codon compression scheme.</w:t>
      </w:r>
    </w:p>
    <w:p>
      <w:pPr>
        <w:spacing w:before="120" w:after="120"/>
      </w:pPr>
      <w:r>
        <w:rPr>
          <w:sz w:val="18"/>
        </w:rPr>
        <w:t>——————————————————————————————————————————————————————————————————————</w:t>
      </w:r>
    </w:p>
    <w:p>
      <w:pPr>
        <w:spacing w:before="160" w:after="40" w:line="240" w:lineRule="auto"/>
      </w:pPr>
      <w:r>
        <w:rPr>
          <w:b/>
        </w:rPr>
        <w:t xml:space="preserve">[81] </w:t>
      </w:r>
      <w:hyperlink r:id="rId112">
        <w:r>
          <w:rPr>
            <w:color w:val="1155CC"/>
            <w:u w:val="single"/>
          </w:rPr>
          <w:t>重建美国流行性呼吸道病毒早期空间传播</w:t>
        </w:r>
      </w:hyperlink>
    </w:p>
    <w:p>
      <w:pPr>
        <w:spacing w:before="0" w:after="80"/>
      </w:pPr>
      <w:r>
        <w:rPr>
          <w:i/>
          <w:sz w:val="20"/>
        </w:rPr>
        <w:t>EN: Reconstructing the early spatial spread of pandemic respiratory viruses in the United States</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113">
        <w:r>
          <w:rPr>
            <w:color w:val="1155CC"/>
            <w:u w:val="single"/>
          </w:rPr>
          <w:t>10.1073/pnas.2518051123</w:t>
        </w:r>
      </w:hyperlink>
    </w:p>
    <w:p>
      <w:pPr>
        <w:spacing w:before="0" w:after="120"/>
      </w:pPr>
      <w:r>
        <w:rPr>
          <w:b/>
        </w:rPr>
        <w:t xml:space="preserve">Notes: </w:t>
      </w:r>
      <w:r>
        <w:t>abstract_source=crossref</w:t>
      </w:r>
    </w:p>
    <w:p>
      <w:pPr>
        <w:spacing w:before="0" w:after="80" w:lineRule="auto" w:line="276"/>
      </w:pPr>
      <w:r>
        <w:rPr>
          <w:b/>
        </w:rPr>
        <w:t xml:space="preserve">摘要（ZH）: </w:t>
      </w:r>
      <w:r>
        <w:t>了解新出现的呼吸道病毒的地理传播对于防范大流行病至关重要,然而,2009年H1N1流感大流行和严重急性急性呼吸道疾病冠状病毒2在美国的早期时空动态仍然不明确,尽管流动性和基因组数据揭示了大流行病空间传播的重要方面,但仍然存在几个关键问题:这两种流行病是否遵循类似的空间传播路线?它们如何迅速蔓延到美国各地?在早期空间传播方面,随机过程起什么作用?为了解决这些问题,我们把高分辨率疾病数据与一个将空中旅行、通勤流动和病原体超传播潜力结合起来的强有力、数据高效的推论框架结合起来,以重建高分辨率疾病。</w:t>
      </w:r>
    </w:p>
    <w:p>
      <w:pPr>
        <w:spacing w:before="0" w:after="200" w:lineRule="auto" w:line="276"/>
      </w:pPr>
      <w:r>
        <w:rPr>
          <w:b/>
        </w:rPr>
        <w:t xml:space="preserve">Abstract (EN): </w:t>
      </w:r>
      <w:r>
        <w:t>Understanding the geographic spread of emerging respiratory viruses is critical for pandemic preparedness, yet the early spatiotemporal dynamics of the 2009 H1N1 pandemic influenza and severe acute respiratory syndrome coronavirus 2 in the United States remain unclear. While mobility and genomic data have revealed important aspects of pandemic spatial spread, several key questions remain: Did the two pandemics follow similar spatial transmission routes? How rapidly did they spread across the United States? What role did stochastic processes play in early spatial transmission? To address these questions, we integrated high-resolution disease data with a robust, data-efficient inference framework combining air travel, commuting flows, and pathogen superspreading potentials to reconstruct their spatial spread across US metropolitan areas. The two pandemics exhibited distinct transmission pathways across locations; however, both pandemics established local circulation in most metropolitan areas within weeks, driven by several shared transmission hubs. Early spatial spread was more strongly associated with air travel than with commuting, though stochastic dynamics introduced substantial uncertainty in transmission routes, creating challenges for timely detection and control. Simulations indicate that broad wastewater surveillance coverage beyond top transmission hubs coupled with effective infection control may slow initial spatial expansion. Our findings highlight the rapid, stochastic spread of pandemic respiratory pathogens and the difficulties of early outbreak containment.</w:t>
      </w:r>
    </w:p>
    <w:p>
      <w:pPr>
        <w:spacing w:before="120" w:after="120"/>
      </w:pPr>
      <w:r>
        <w:rPr>
          <w:sz w:val="18"/>
        </w:rPr>
        <w:t>——————————————————————————————————————————————————————————————————————</w:t>
      </w:r>
    </w:p>
    <w:p>
      <w:pPr>
        <w:spacing w:before="160" w:after="40" w:line="240" w:lineRule="auto"/>
      </w:pPr>
      <w:r>
        <w:rPr>
          <w:b/>
        </w:rPr>
        <w:t xml:space="preserve">[82] </w:t>
      </w:r>
      <w:hyperlink r:id="rId114">
        <w:r>
          <w:rPr>
            <w:color w:val="1155CC"/>
            <w:u w:val="single"/>
          </w:rPr>
          <w:t>[ASAP] 含水下氧氧化合物用于氧进化的可选-稳定化纳米粒子</w:t>
        </w:r>
      </w:hyperlink>
    </w:p>
    <w:p>
      <w:pPr>
        <w:spacing w:before="0" w:after="80"/>
      </w:pPr>
      <w:r>
        <w:rPr>
          <w:i/>
          <w:sz w:val="20"/>
        </w:rPr>
        <w:t>EN: [ASAP] Electride-Stabilized Iridium Nanoparticles with Subsurface Oxygen Confinement for Oxygen Evolution Electrocatalysis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2026-01-06 09:06:56+00:00</w:t>
      </w:r>
      <w:r>
        <w:t xml:space="preserve">    </w:t>
      </w:r>
      <w:r>
        <w:rPr>
          <w:b/>
        </w:rPr>
        <w:t xml:space="preserve">DOI: </w:t>
      </w:r>
      <w:hyperlink r:id="rId115">
        <w:r>
          <w:rPr>
            <w:color w:val="1155CC"/>
            <w:u w:val="single"/>
          </w:rPr>
          <w:t>10.1021/jacs.5c12062</w:t>
        </w:r>
      </w:hyperlink>
    </w:p>
    <w:p>
      <w:pPr>
        <w:spacing w:before="0" w:after="120"/>
      </w:pPr>
      <w:r>
        <w:rPr>
          <w:b/>
        </w:rPr>
        <w:t xml:space="preserve">Notes: </w:t>
      </w:r>
      <w:r>
        <w:t>abstract_source=pubmed</w:t>
      </w:r>
    </w:p>
    <w:p>
      <w:pPr>
        <w:spacing w:before="0" w:after="80" w:lineRule="auto" w:line="276"/>
      </w:pPr>
      <w:r>
        <w:rPr>
          <w:b/>
        </w:rPr>
        <w:t xml:space="preserve">摘要（ZH）: </w:t>
      </w:r>
      <w:r>
        <w:t>具有独特的电子含量丰富的结构的电气,具有催化的变革潜力,但由于内在的不稳定和合成限制,在电化学系统中面临严峻的挑战。在这里,我们展示了对合成相相纯的 Ti3O 彩形纳米粒子的动态控制气体-固态反应,这些反应在酸性介质中表现出高导电率(617 Scm-1)和广泛的电化学稳定性窗口(-0.4至2.1 V vs RHE)。当用作对氧进化反应中的(Ir)纳米催化剂(Ir)的支持时,Ti3O 彩形显示强大的金属支持互动。这些相互作用抑制了Ir纳米粒子的形态化和凝聚。此外, Ti3O推动氧扩散到Ir lattice, le, le</w:t>
      </w:r>
    </w:p>
    <w:p>
      <w:pPr>
        <w:spacing w:before="0" w:after="200" w:lineRule="auto" w:line="276"/>
      </w:pPr>
      <w:r>
        <w:rPr>
          <w:b/>
        </w:rPr>
        <w:t xml:space="preserve">Abstract (EN): </w:t>
      </w:r>
      <w:r>
        <w:t>Electrides, with their unique electron-rich architectures, hold transformative potential for catalysis but face critical challenges in electrochemical systems due to inherent instability and synthesis limitations. Here, we present a kinetically controlled gas-solid reaction to synthesize phase-pure Ti3O electride nanoparticles, which exhibit high electrical conductivity (617 S cm-1) and broad electrochemical stability window (-0.4 to 2.1 V vs RHE) in acidic media. When used as a support for iridium (Ir) nanocatalysts in the oxygen evolution reaction (OER), the Ti3O electride demonstrates strong metal-support interactions. These interactions suppress both amorphization and coalescence of the Ir nanoparticles during the OER. Furthermore, Ti3O promotes oxygen diffusion into the Ir lattice, leading to the formation of subsurface oxygen-confined Ir nanoparticles, a previously unobserved catalytic active phase. This unique configuration shifts the OER mechanism entirely to the adsorbate evolution mechanism (AEM), avoiding participation of the lattice oxygen mechanism (LOM). Consequently, the Ir/Ti3O catalyst exhibits superior activity and stability compared to pristine Ir nanoparticles or Ir nanoparticles supported on other nonelectride titanium oxides, across both three-electrode cells and proton exchange membrane water electrolyzers. This work establishes electrides as versatile mediators for electronic structure engineering in electrocatalysis, enabling the stabilization of catalytic phases unattainable with conventional supports.</w:t>
      </w:r>
    </w:p>
    <w:p>
      <w:pPr>
        <w:spacing w:before="120" w:after="120"/>
      </w:pPr>
      <w:r>
        <w:rPr>
          <w:sz w:val="18"/>
        </w:rPr>
        <w:t>——————————————————————————————————————————————————————————————————————</w:t>
      </w:r>
    </w:p>
    <w:p>
      <w:pPr>
        <w:spacing w:before="160" w:after="40" w:line="240" w:lineRule="auto"/>
      </w:pPr>
      <w:r>
        <w:rPr>
          <w:b/>
        </w:rPr>
        <w:t xml:space="preserve">[83] </w:t>
      </w:r>
      <w:hyperlink r:id="rId116">
        <w:r>
          <w:rPr>
            <w:color w:val="1155CC"/>
            <w:u w:val="single"/>
          </w:rPr>
          <w:t>[ASAP] 革命化能源储存:AI、自动化和高级建模,作为下一轮发光突破的催化剂</w:t>
        </w:r>
      </w:hyperlink>
    </w:p>
    <w:p>
      <w:pPr>
        <w:spacing w:before="0" w:after="80"/>
      </w:pPr>
      <w:r>
        <w:rPr>
          <w:i/>
          <w:sz w:val="20"/>
        </w:rPr>
        <w:t>EN: [ASAP] Revolutionizing Energy Storage: AI, Automation, and Advanced Modeling as Catalysts for Next-Generation Breakthroughs</w:t>
      </w:r>
    </w:p>
    <w:p>
      <w:pPr>
        <w:spacing w:before="0" w:after="120"/>
      </w:pPr>
      <w:r>
        <w:rPr>
          <w:b/>
        </w:rPr>
        <w:t xml:space="preserve">Source: </w:t>
      </w:r>
      <w:r>
        <w:t>ACS Energy Letters: Latest Articles (ACS Publications)</w:t>
      </w:r>
      <w:r>
        <w:t xml:space="preserve">    </w:t>
      </w:r>
      <w:r>
        <w:rPr>
          <w:b/>
        </w:rPr>
        <w:t xml:space="preserve">Pub date: </w:t>
      </w:r>
      <w:r>
        <w:t>2026-01-06 09:12:33+00:00</w:t>
      </w:r>
      <w:r>
        <w:t xml:space="preserve">    </w:t>
      </w:r>
      <w:r>
        <w:rPr>
          <w:b/>
        </w:rPr>
        <w:t xml:space="preserve">DOI: </w:t>
      </w:r>
      <w:hyperlink r:id="rId117">
        <w:r>
          <w:rPr>
            <w:color w:val="1155CC"/>
            <w:u w:val="single"/>
          </w:rPr>
          <w:t>10.1021/acsenergylett.5c04022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[84] </w:t>
      </w:r>
      <w:hyperlink r:id="rId118">
        <w:r>
          <w:rPr>
            <w:color w:val="1155CC"/>
            <w:u w:val="single"/>
          </w:rPr>
          <w:t>通过双光成份合成晶体体:照片引发的Au(I)综合体的二极驱动器与CPVP的充电轨迹反转</w:t>
        </w:r>
      </w:hyperlink>
    </w:p>
    <w:p>
      <w:pPr>
        <w:spacing w:before="0" w:after="80"/>
      </w:pPr>
      <w:r>
        <w:rPr>
          <w:i/>
          <w:sz w:val="20"/>
        </w:rPr>
        <w:t>EN: Physical Implementation of Reinforcement Learning via a Signal Summation Process in a Dual‐Input Synaptic Transistor: Photoinduced Dipole Inversion of Au(I) Complex with Charge Traps of cPVP</w:t>
      </w:r>
    </w:p>
    <w:p>
      <w:pPr>
        <w:spacing w:before="0" w:after="120"/>
      </w:pPr>
      <w:r>
        <w:rPr>
          <w:b/>
        </w:rPr>
        <w:t xml:space="preserve">Source: </w:t>
      </w:r>
      <w:r>
        <w:t>Wiley: Advanced Materials: Table of Contents</w:t>
      </w:r>
      <w:r>
        <w:t xml:space="preserve">    </w:t>
      </w:r>
      <w:r>
        <w:rPr>
          <w:b/>
        </w:rPr>
        <w:t xml:space="preserve">Pub date: </w:t>
      </w:r>
      <w:r>
        <w:t>2026-01-06 09:54:12+00:00</w:t>
      </w:r>
      <w:r>
        <w:t xml:space="preserve">    </w:t>
      </w:r>
      <w:r>
        <w:rPr>
          <w:b/>
        </w:rPr>
        <w:t xml:space="preserve">DOI: </w:t>
      </w:r>
      <w:hyperlink r:id="rId119">
        <w:r>
          <w:rPr>
            <w:color w:val="1155CC"/>
            <w:u w:val="single"/>
          </w:rPr>
          <w:t>10.1002/adma.202516522</w:t>
        </w:r>
      </w:hyperlink>
    </w:p>
    <w:p>
      <w:pPr>
        <w:spacing w:before="0" w:after="120"/>
      </w:pPr>
      <w:r>
        <w:rPr>
          <w:b/>
        </w:rPr>
        <w:t xml:space="preserve">Notes: </w:t>
      </w:r>
      <w:r>
        <w:t>abstract_source=crossref</w:t>
      </w:r>
    </w:p>
    <w:p>
      <w:pPr>
        <w:spacing w:before="0" w:after="80" w:lineRule="auto" w:line="276"/>
      </w:pPr>
      <w:r>
        <w:rPr>
          <w:b/>
        </w:rPr>
        <w:t xml:space="preserve">摘要（ZH）: </w:t>
      </w:r>
      <w:r>
        <w:t>人工智能的快速发展推动了从软件到硬件创新的研究。为了提高计算效率,已经开发了包含大量晶体管的人工智能加速器,但这一方法仍然受到硅技术规模和热限制的限制。专门用于模拟和平行计算的合成晶体管已成为有希望的替代器。然而,仅仅取代硅晶体管在减少整体计算复杂性方面就提供了有限的改进。在这里,我们提出了一个双子合成合成晶体管,利用光和电压通过材料功能提高设备水平计算效率。线性二元光线性二元光能。</w:t>
      </w:r>
    </w:p>
    <w:p>
      <w:pPr>
        <w:spacing w:before="0" w:after="200" w:lineRule="auto" w:line="276"/>
      </w:pPr>
      <w:r>
        <w:rPr>
          <w:b/>
        </w:rPr>
        <w:t xml:space="preserve">Abstract (EN): </w:t>
      </w:r>
      <w:r>
        <w:t>The rapid advancement of artificial intelligence (AI) has driven research beyond software into hardware innovation. To improve computational efficiency, AI accelerators integrating large numbers of transistors have been developed, yet this approach remains constrained by scaling and thermal limitations of silicon technology. Synaptic transistors, specialized for analog and parallel computation, have emerged as promising alternatives. Nevertheless, simply replacing silicon transistors offers limited improvement in reducing overall computational complexity. Here, we present a dual‐input synaptic transistor that utilizes both light and voltage to enhance device‐level computational efficiency through material functionality. The linear two‐coordinate Au(I) complex, Au(</w:t>
      </w:r>
      <w:r>
        <w:t xml:space="preserve"> </w:t>
      </w:r>
      <w:r>
        <w:t>Dipp</w:t>
      </w:r>
      <w:r>
        <w:t xml:space="preserve"> </w:t>
      </w:r>
      <w:r>
        <w:t>PZI)(DPA), undergoes a ligand‐to‐ligand charge‐transfer‐induced dipole reversal upon photoexcitation, enabling photoinduced synaptic weight modulation. Complementarity, voltage‐driven modulation arises from abundant ─OH trap sites in the cPVP layer. When light and voltage signals are applied simultaneously, these materials cooperatively generate an analog summation of synaptic current within a single device. The demonstrated transistor performs weight summation in reinforcement learning algorithms without requiring complex peripheral computation units, thereby reducing computational cost. This approach provides a versatile platform applicable to various learning algorithms that rely on summation operations, offering a new strategy for efficient hardware‐level AI computation.</w:t>
      </w:r>
    </w:p>
    <w:p>
      <w:pPr>
        <w:spacing w:before="120" w:after="120"/>
      </w:pPr>
      <w:r>
        <w:rPr>
          <w:sz w:val="18"/>
        </w:rPr>
        <w:t>——————————————————————————————————————————————————————————————————————</w:t>
      </w:r>
    </w:p>
    <w:p>
      <w:pPr>
        <w:spacing w:before="160" w:after="40" w:line="240" w:lineRule="auto"/>
      </w:pPr>
      <w:r>
        <w:rPr>
          <w:b/>
        </w:rPr>
        <w:t xml:space="preserve">[85] </w:t>
      </w:r>
      <w:hyperlink r:id="rId120">
        <w:r>
          <w:rPr>
            <w:color w:val="1155CC"/>
            <w:u w:val="single"/>
          </w:rPr>
          <w:t>通过多晶晶线BiFeO3中局部拉蒂切排减影响引发的反阶段边界,使巨型极化得以实现</w:t>
        </w:r>
      </w:hyperlink>
    </w:p>
    <w:p>
      <w:pPr>
        <w:spacing w:before="0" w:after="80"/>
      </w:pPr>
      <w:r>
        <w:rPr>
          <w:i/>
          <w:sz w:val="20"/>
        </w:rPr>
        <w:t>EN: Asymmetric Ferroelectric Flux‐Non‐Closure Domain Enabling Giant Polarizations Through Local Lattice‐Defect‐Induced Antiphase Boundary in Polycrystalline BiFeO3</w:t>
      </w:r>
    </w:p>
    <w:p>
      <w:pPr>
        <w:spacing w:before="0" w:after="120"/>
      </w:pPr>
      <w:r>
        <w:rPr>
          <w:b/>
        </w:rPr>
        <w:t xml:space="preserve">Source: </w:t>
      </w:r>
      <w:r>
        <w:t>Wiley: Advanced Materials: Table of Contents</w:t>
      </w:r>
      <w:r>
        <w:t xml:space="preserve">    </w:t>
      </w:r>
      <w:r>
        <w:rPr>
          <w:b/>
        </w:rPr>
        <w:t xml:space="preserve">Pub date: </w:t>
      </w:r>
      <w:r>
        <w:t>2026-01-06 09:54:26+00:00</w:t>
      </w:r>
      <w:r>
        <w:t xml:space="preserve">    </w:t>
      </w:r>
      <w:r>
        <w:rPr>
          <w:b/>
        </w:rPr>
        <w:t xml:space="preserve">DOI: </w:t>
      </w:r>
      <w:hyperlink r:id="rId121">
        <w:r>
          <w:rPr>
            <w:color w:val="1155CC"/>
            <w:u w:val="single"/>
          </w:rPr>
          <w:t>10.1002/adma.202514332</w:t>
        </w:r>
      </w:hyperlink>
    </w:p>
    <w:p>
      <w:pPr>
        <w:spacing w:before="0" w:after="120"/>
      </w:pPr>
      <w:r>
        <w:rPr>
          <w:b/>
        </w:rPr>
        <w:t xml:space="preserve">Notes: </w:t>
      </w:r>
      <w:r>
        <w:t>abstract_source=crossref</w:t>
      </w:r>
    </w:p>
    <w:p>
      <w:pPr>
        <w:spacing w:before="0" w:after="80" w:lineRule="auto" w:line="276"/>
      </w:pPr>
      <w:r>
        <w:rPr>
          <w:b/>
        </w:rPr>
        <w:t xml:space="preserve">摘要（ZH）: </w:t>
      </w:r>
      <w:r>
        <w:t>在纳米级铁电超纬度中发现了复杂的极地层,这极大地丰富了铁电表层领域,尽管这些领域的形式、起源和长处各不相同和复杂,但通常产生于集体两极分化行为和某些机械边界条件之间的复杂相互作用,例如,在铁电超纬度中存在交织。由于大多数大型原型材料具有多种功能,陶瓷和(或)多晶胶片,很少出现极地层,甚至当显著增强的两极化同时实现时,也变得无法触及。在这里,我们展示了一个新的铁电表层领域。</w:t>
      </w:r>
    </w:p>
    <w:p>
      <w:pPr>
        <w:spacing w:before="0" w:after="200" w:lineRule="auto" w:line="276"/>
      </w:pPr>
      <w:r>
        <w:rPr>
          <w:b/>
        </w:rPr>
        <w:t xml:space="preserve">Abstract (EN): </w:t>
      </w:r>
      <w:r>
        <w:t>The discovery of complex polar topologies in nanoscale ferroelectric superlattices has greatly enriched the ferroelectric topological domains. These domains, although different and intricate in their formats, origin, and strengths, generally arise from the intricate interplay between collective polarization behaviors and certain mechanical boundary conditions, for example, interfacial strains within ferroelectric superlattices. As most extensive prototype materials afford multiple functions, ceramics and/or polycrystalline films, hardly present polar topologies, and even become unreachable when the significantly enhanced polarizations are achieved simultaneously. Herein, we demonstrate the formation of a new ferroelectric topological domain, a polarization‐asymmetric flux‐non‐closure domain (much close to vortex pattern), in polycrystalline BiFeO</w:t>
      </w:r>
      <w:r>
        <w:rPr>
          <w:vertAlign w:val="subscript"/>
        </w:rPr>
        <w:t>3</w:t>
      </w:r>
      <w:r>
        <w:t>. This asymmetric ferroelectric topology, subjected to a driving force associated with local lattice defects, induces an antiphase boundary that relaxes the anisotropic lattice strains and structural distortion, resulting in greatly increased B‐site Fe displacements and FeO</w:t>
      </w:r>
      <w:r>
        <w:rPr>
          <w:vertAlign w:val="subscript"/>
        </w:rPr>
        <w:t>6</w:t>
      </w:r>
      <w:r>
        <w:t>rotation angles. The formation of abundant asymmetric flux‐non‐closure domains also creates large net polarizations that are responsible for the significantly enhanced ferroelectric polarizations, up to 165.6 µC cm</w:t>
      </w:r>
      <w:r>
        <w:t xml:space="preserve"> </w:t>
      </w:r>
      <w:r>
        <w:t>−2</w:t>
      </w:r>
      <w:r>
        <w:t xml:space="preserve"> </w:t>
      </w:r>
      <w:r>
        <w:t>. Our findings provide a broader platform for modulating ferroelectric flux‐non‐closure patterns in extensive polycrystalline materials through facile lattice defect engineering to achieve optimized ferroelectric properties and new topological states.</w:t>
      </w:r>
    </w:p>
    <w:p>
      <w:pPr>
        <w:spacing w:before="120" w:after="120"/>
      </w:pPr>
      <w:r>
        <w:rPr>
          <w:sz w:val="18"/>
        </w:rPr>
        <w:t>——————————————————————————————————————————————————————————————————————</w:t>
      </w:r>
    </w:p>
    <w:p>
      <w:pPr>
        <w:spacing w:before="160" w:after="40" w:line="240" w:lineRule="auto"/>
      </w:pPr>
      <w:r>
        <w:rPr>
          <w:b/>
        </w:rPr>
        <w:t xml:space="preserve">[86] </w:t>
      </w:r>
      <w:hyperlink r:id="rId122">
        <w:r>
          <w:rPr>
            <w:color w:val="1155CC"/>
            <w:u w:val="single"/>
          </w:rPr>
          <w:t>在实际锂-硫电池中解锁硫反应</w:t>
        </w:r>
      </w:hyperlink>
    </w:p>
    <w:p>
      <w:pPr>
        <w:spacing w:before="0" w:after="80"/>
      </w:pPr>
      <w:r>
        <w:rPr>
          <w:i/>
          <w:sz w:val="20"/>
        </w:rPr>
        <w:t>EN: Chemo‑Electrochemical Tandem Catalysis Unlocking Sulfur Reaction in Practical Lithium–Sulfur Batteries</w:t>
      </w:r>
    </w:p>
    <w:p>
      <w:pPr>
        <w:spacing w:before="0" w:after="120"/>
      </w:pPr>
      <w:r>
        <w:rPr>
          <w:b/>
        </w:rPr>
        <w:t xml:space="preserve">Source: </w:t>
      </w:r>
      <w:r>
        <w:t>Wiley: Advanced Materials: Table of Contents</w:t>
      </w:r>
      <w:r>
        <w:t xml:space="preserve">    </w:t>
      </w:r>
      <w:r>
        <w:rPr>
          <w:b/>
        </w:rPr>
        <w:t xml:space="preserve">Pub date: </w:t>
      </w:r>
      <w:r>
        <w:t>2026-01-06 09:55:20+00:00</w:t>
      </w:r>
      <w:r>
        <w:t xml:space="preserve">    </w:t>
      </w:r>
      <w:r>
        <w:rPr>
          <w:b/>
        </w:rPr>
        <w:t xml:space="preserve">DOI: </w:t>
      </w:r>
      <w:hyperlink r:id="rId123">
        <w:r>
          <w:rPr>
            <w:color w:val="1155CC"/>
            <w:u w:val="single"/>
          </w:rPr>
          <w:t>10.1002/adma.202521611</w:t>
        </w:r>
      </w:hyperlink>
    </w:p>
    <w:p>
      <w:pPr>
        <w:spacing w:before="0" w:after="120"/>
      </w:pPr>
      <w:r>
        <w:rPr>
          <w:b/>
        </w:rPr>
        <w:t xml:space="preserve">Notes: </w:t>
      </w:r>
      <w:r>
        <w:t>abstract_source=crossref</w:t>
      </w:r>
    </w:p>
    <w:p>
      <w:pPr>
        <w:spacing w:before="0" w:after="80" w:lineRule="auto" w:line="276"/>
      </w:pPr>
      <w:r>
        <w:rPr>
          <w:b/>
        </w:rPr>
        <w:t xml:space="preserve">摘要（ZH）: </w:t>
      </w:r>
      <w:r>
        <w:t>作为下一代下一代高能电池,锂-硫(Li-S)电池由于其超高理论能量密度,是长程电动车辆有希望的解决方案。 然而,它们面临着低硫利用的基本挑战,特别是在聚硫化物无法溶解的电解冻实际条件下。 我们在这里建议化学化学化学联合催化剂Li x TIS 2,化学催化S 8/Li 2 S 8 S 8 到L 2 S 2 S 的转化。</w:t>
      </w:r>
    </w:p>
    <w:p>
      <w:pPr>
        <w:spacing w:before="0" w:after="200" w:lineRule="auto" w:line="276"/>
      </w:pPr>
      <w:r>
        <w:rPr>
          <w:b/>
        </w:rPr>
        <w:t xml:space="preserve">Abstract (EN): </w:t>
      </w:r>
      <w:r>
        <w:t>As next‐generation high‐energy batteries, lithium–sulfur (Li–S) batteries are promising solutions for long‐range electric vehicles due to their ultrahigh theoretical energy density. However, they face fundamental challenges from low sulfur utilization, particularly under electrolyte‐starved practical conditions that polysulfides are unable to dissolve. Here, we propose a chemo‐electrochemical tandem catalyst, Li</w:t>
      </w:r>
      <w:r>
        <w:t xml:space="preserve"> </w:t>
      </w:r>
      <w:r>
        <w:t>x</w:t>
      </w:r>
      <w:r>
        <w:t xml:space="preserve"> </w:t>
      </w:r>
      <w:r>
        <w:t>TiS</w:t>
      </w:r>
      <w:r>
        <w:rPr>
          <w:vertAlign w:val="subscript"/>
        </w:rPr>
        <w:t>2</w:t>
      </w:r>
      <w:r>
        <w:t>, which chemically catalyzes the transformation of S</w:t>
      </w:r>
      <w:r>
        <w:rPr>
          <w:vertAlign w:val="subscript"/>
        </w:rPr>
        <w:t>8</w:t>
      </w:r>
      <w:r>
        <w:t>/Li</w:t>
      </w:r>
      <w:r>
        <w:rPr>
          <w:vertAlign w:val="subscript"/>
        </w:rPr>
        <w:t>2</w:t>
      </w:r>
      <w:r>
        <w:t>S</w:t>
      </w:r>
      <w:r>
        <w:rPr>
          <w:vertAlign w:val="subscript"/>
        </w:rPr>
        <w:t>8</w:t>
      </w:r>
      <w:r>
        <w:t>to Li</w:t>
      </w:r>
      <w:r>
        <w:rPr>
          <w:vertAlign w:val="subscript"/>
        </w:rPr>
        <w:t>2</w:t>
      </w:r>
      <w:r>
        <w:t>S</w:t>
      </w:r>
      <w:r>
        <w:rPr>
          <w:vertAlign w:val="subscript"/>
        </w:rPr>
        <w:t>4</w:t>
      </w:r>
      <w:r>
        <w:t>and subsequently catalyzes electrochemical reduction to lithium sulfide (Li</w:t>
      </w:r>
      <w:r>
        <w:rPr>
          <w:vertAlign w:val="subscript"/>
        </w:rPr>
        <w:t>2</w:t>
      </w:r>
      <w:r>
        <w:t>S). This tandem mechanism fundamentally alters the reaction kinetics from conventional first‐order to zero‐order behavior, overcoming the limitation imposed by the solubility of sulfur species. It thus enables efficient sulfur conversion and an ultralow activation energy of ∼0.3 eV (a 50% reduction compared to without catalysts) under a low electrolyte‐to‐sulfur (E/S) ratio (5 µL mg</w:t>
      </w:r>
      <w:r>
        <w:t xml:space="preserve"> </w:t>
      </w:r>
      <w:r>
        <w:t>s</w:t>
      </w:r>
      <w:r>
        <w:t xml:space="preserve"> </w:t>
      </w:r>
      <w:r>
        <w:t>−1</w:t>
      </w:r>
      <w:r>
        <w:t xml:space="preserve"> </w:t>
      </w:r>
      <w:r>
        <w:t>), significantly improving battery performance in practical conditions. The coin cell shows an ultralow capacity decay of 0.028% per cycle over 1500 cycles, and a 2.0 Ah pouch cell achieves the high energy density of 550 Wh kg</w:t>
      </w:r>
      <w:r>
        <w:t xml:space="preserve"> </w:t>
      </w:r>
      <w:r>
        <w:t>−1</w:t>
      </w:r>
      <w:r>
        <w:t xml:space="preserve"> </w:t>
      </w:r>
      <w:r>
        <w:t>with good stability.</w:t>
      </w:r>
    </w:p>
    <w:p>
      <w:pPr>
        <w:spacing w:before="120" w:after="120"/>
      </w:pPr>
      <w:r>
        <w:rPr>
          <w:sz w:val="18"/>
        </w:rPr>
        <w:t>——————————————————————————————————————————————————————————————————————</w:t>
      </w:r>
    </w:p>
    <w:p>
      <w:pPr>
        <w:spacing w:before="160" w:after="40" w:line="240" w:lineRule="auto"/>
      </w:pPr>
      <w:r>
        <w:rPr>
          <w:b/>
        </w:rPr>
        <w:t xml:space="preserve">[87] </w:t>
      </w:r>
      <w:hyperlink r:id="rId124">
        <w:r>
          <w:rPr>
            <w:color w:val="1155CC"/>
            <w:u w:val="single"/>
          </w:rPr>
          <w:t>变异的同同质结构使高高效能高碱碱烷氢氧化反应</w:t>
        </w:r>
      </w:hyperlink>
    </w:p>
    <w:p>
      <w:pPr>
        <w:spacing w:before="0" w:after="80"/>
      </w:pPr>
      <w:r>
        <w:rPr>
          <w:i/>
          <w:sz w:val="20"/>
        </w:rPr>
        <w:t>EN: Twisted Ru Homostructures Enable High‐Efficiency Alkaline Hydrogen Oxidation Reaction</w:t>
      </w:r>
    </w:p>
    <w:p>
      <w:pPr>
        <w:spacing w:before="0" w:after="120"/>
      </w:pPr>
      <w:r>
        <w:rPr>
          <w:b/>
        </w:rPr>
        <w:t xml:space="preserve">Source: </w:t>
      </w:r>
      <w:r>
        <w:t>Wiley: Advanced Materials: Table of Contents</w:t>
      </w:r>
      <w:r>
        <w:t xml:space="preserve">    </w:t>
      </w:r>
      <w:r>
        <w:rPr>
          <w:b/>
        </w:rPr>
        <w:t xml:space="preserve">Pub date: </w:t>
      </w:r>
      <w:r>
        <w:t>2026-01-06 09:59:15+00:00</w:t>
      </w:r>
      <w:r>
        <w:t xml:space="preserve">    </w:t>
      </w:r>
      <w:r>
        <w:rPr>
          <w:b/>
        </w:rPr>
        <w:t xml:space="preserve">DOI: </w:t>
      </w:r>
      <w:hyperlink r:id="rId125">
        <w:r>
          <w:rPr>
            <w:color w:val="1155CC"/>
            <w:u w:val="single"/>
          </w:rPr>
          <w:t>10.1002/adma.202522811</w:t>
        </w:r>
      </w:hyperlink>
    </w:p>
    <w:p>
      <w:pPr>
        <w:spacing w:before="0" w:after="120"/>
      </w:pPr>
      <w:r>
        <w:rPr>
          <w:b/>
        </w:rPr>
        <w:t xml:space="preserve">Notes: </w:t>
      </w:r>
      <w:r>
        <w:t>abstract_source=crossref</w:t>
      </w:r>
    </w:p>
    <w:p>
      <w:pPr>
        <w:spacing w:before="0" w:after="80" w:lineRule="auto" w:line="276"/>
      </w:pPr>
      <w:r>
        <w:rPr>
          <w:b/>
        </w:rPr>
        <w:t xml:space="preserve">摘要（ZH）: </w:t>
      </w:r>
      <w:r>
        <w:t>ABSTACT 设计替代碱性氢氧化反应(HOR)的潜在催化剂,对于发展阴离交换膜燃料电池(AEMFCs)至关重要。基于鲁的催化剂,特别是异丁基结构,被认为是Pt最有希望的替代物。然而,基于鲁的乙基结构的活动仍然不能取代基于乙的商用丙基催化剂,这主要是因为其高活性地点数量有限,而且介质附近中间迁移的能源壁垒高。我们在此过程中,在扭曲的鲁同质结构的基础上设计了一个高效的霍氏催化剂。在扭曲的鲁同质结构的谷物边界上产生的压力效应和协调缺陷可以同时选择。</w:t>
      </w:r>
    </w:p>
    <w:p>
      <w:pPr>
        <w:spacing w:before="0" w:after="200" w:lineRule="auto" w:line="276"/>
      </w:pPr>
      <w:r>
        <w:rPr>
          <w:b/>
        </w:rPr>
        <w:t xml:space="preserve">Abstract (EN): </w:t>
      </w:r>
      <w:r>
        <w:t>Designing potential catalysts for the alkaline hydrogen oxidation reaction (HOR) to replace Pt is crucial for the development of anion exchange membrane fuel cells (AEMFCs). Ru‐based catalysts especially heterostructures are considered to be the most promising alternatives to Pt. However, the activity of Ru‐based heterostructures still falls short of displacing commercial Pt‐based catalysts, primarily due to their limited number of high‐activity sites and high energy barriers for intermediate migration near the interface. Herein, we designed an efficient HOR catalyst on the basis of twisted Ru homostructures. The stress effect and coordination deficiencies generated at the grain boundaries of twisted Ru homostructures could simultaneously optimize the thermodynamics and increase the migration kinetics of intermediates (H* and OH*), effectively overcoming the inherent drawbacks associated with heterostructure catalysts. Owing to the unique electronic structure of the twisted homostructures, our catalyst demonstrated exceptional alkaline HOR catalytic performance (</w:t>
      </w:r>
      <w:r>
        <w:t xml:space="preserve"> </w:t>
      </w:r>
      <w:r>
        <w:t>j</w:t>
      </w:r>
      <w:r>
        <w:t xml:space="preserve"> </w:t>
      </w:r>
      <w:r>
        <w:t>k</w:t>
      </w:r>
      <w:r>
        <w:t xml:space="preserve"> </w:t>
      </w:r>
      <w:r>
        <w:t>= 77.2 mA cm</w:t>
      </w:r>
      <w:r>
        <w:t xml:space="preserve"> </w:t>
      </w:r>
      <w:r>
        <w:t>−2</w:t>
      </w:r>
      <w:r>
        <w:t xml:space="preserve"> </w:t>
      </w:r>
      <w:r>
        <w:t>@ 50 mV). When evaluated in the fuel cell configuration, the catalyst achieves a record peak power density of 1.81 W cm</w:t>
      </w:r>
      <w:r>
        <w:t xml:space="preserve"> </w:t>
      </w:r>
      <w:r>
        <w:t>−2</w:t>
      </w:r>
      <w:r>
        <w:t xml:space="preserve"> </w:t>
      </w:r>
      <w:r>
        <w:t>, surpassing commercial PtRu/C (1.36 W cm</w:t>
      </w:r>
      <w:r>
        <w:t xml:space="preserve"> </w:t>
      </w:r>
      <w:r>
        <w:t>−2</w:t>
      </w:r>
      <w:r>
        <w:t xml:space="preserve"> </w:t>
      </w:r>
      <w:r>
        <w:t>) and Pt/C (1.23 W cm</w:t>
      </w:r>
      <w:r>
        <w:t xml:space="preserve"> </w:t>
      </w:r>
      <w:r>
        <w:t>−2</w:t>
      </w:r>
      <w:r>
        <w:t xml:space="preserve"> </w:t>
      </w:r>
      <w:r>
        <w:t>), representing the highest performance among reported pure metallic catalysts.</w:t>
      </w:r>
    </w:p>
    <w:p>
      <w:pPr>
        <w:spacing w:before="120" w:after="120"/>
      </w:pPr>
      <w:r>
        <w:rPr>
          <w:sz w:val="18"/>
        </w:rPr>
        <w:t>——————————————————————————————————————————————————————————————————————</w:t>
      </w:r>
    </w:p>
    <w:p>
      <w:pPr>
        <w:spacing w:before="160" w:after="40" w:line="240" w:lineRule="auto"/>
      </w:pPr>
      <w:r>
        <w:rPr>
          <w:b/>
        </w:rPr>
        <w:t xml:space="preserve">[88] </w:t>
      </w:r>
      <w:hyperlink r:id="rId126">
        <w:r>
          <w:rPr>
            <w:color w:val="1155CC"/>
            <w:u w:val="single"/>
          </w:rPr>
          <w:t>PEM 水电解</w:t>
        </w:r>
      </w:hyperlink>
    </w:p>
    <w:p>
      <w:pPr>
        <w:spacing w:before="0" w:after="80"/>
      </w:pPr>
      <w:r>
        <w:rPr>
          <w:i/>
          <w:sz w:val="20"/>
        </w:rPr>
        <w:t>EN: Porous Iridium Oxide Inverse Opal Catalysts Enable Efficient PEM Water Electrolysis</w:t>
      </w:r>
    </w:p>
    <w:p>
      <w:pPr>
        <w:spacing w:before="0" w:after="120"/>
      </w:pPr>
      <w:r>
        <w:rPr>
          <w:b/>
        </w:rPr>
        <w:t xml:space="preserve">Source: </w:t>
      </w:r>
      <w:r>
        <w:t>Wiley: Advanced Materials: Table of Contents</w:t>
      </w:r>
      <w:r>
        <w:t xml:space="preserve">    </w:t>
      </w:r>
      <w:r>
        <w:rPr>
          <w:b/>
        </w:rPr>
        <w:t xml:space="preserve">Pub date: </w:t>
      </w:r>
      <w:r>
        <w:t>2026-01-06 10:01:02+00:00</w:t>
      </w:r>
      <w:r>
        <w:t xml:space="preserve">    </w:t>
      </w:r>
      <w:r>
        <w:rPr>
          <w:b/>
        </w:rPr>
        <w:t xml:space="preserve">DOI: </w:t>
      </w:r>
      <w:hyperlink r:id="rId127">
        <w:r>
          <w:rPr>
            <w:color w:val="1155CC"/>
            <w:u w:val="single"/>
          </w:rPr>
          <w:t>10.1002/adma.202514659</w:t>
        </w:r>
      </w:hyperlink>
    </w:p>
    <w:p>
      <w:pPr>
        <w:spacing w:before="0" w:after="120"/>
      </w:pPr>
      <w:r>
        <w:rPr>
          <w:b/>
        </w:rPr>
        <w:t xml:space="preserve">Notes: </w:t>
      </w:r>
      <w:r>
        <w:t>abstract_source=crossref</w:t>
      </w:r>
    </w:p>
    <w:p>
      <w:pPr>
        <w:spacing w:before="0" w:after="80" w:lineRule="auto" w:line="276"/>
      </w:pPr>
      <w:r>
        <w:rPr>
          <w:b/>
        </w:rPr>
        <w:t xml:space="preserve">摘要（ZH）: </w:t>
      </w:r>
      <w:r>
        <w:t>质子交换膜水电解(PEMWE)产生的绿氢摘要,作为未来能源载体和化学工业的原料,已引起人们的极大关注。减少在PEMWE 阳极中使用稀有是一项关键要求。在这项工作中,以孔径大小不一的孔径基反对面结构(IrO x IO)为新颖的无支持散装洋极催化剂,其与商业替代品相比的优异性能得到了证明。孔隙和地表面积对电化学性能的影响得到了系统的调查和分类。</w:t>
      </w:r>
    </w:p>
    <w:p>
      <w:pPr>
        <w:spacing w:before="0" w:after="200" w:lineRule="auto" w:line="276"/>
      </w:pPr>
      <w:r>
        <w:rPr>
          <w:b/>
        </w:rPr>
        <w:t xml:space="preserve">Abstract (EN): </w:t>
      </w:r>
      <w:r>
        <w:t>Green hydrogen produced by proton exchange membrane water electrolysis (PEM‐WE), has gained significant attention as a future energy carrier and as a feedstock for the chemical industry. Reducing the use of scarce iridium in PEM‐WE anodes is a critical requirement. In this work, porous iridium‐based inverse opal structures (</w:t>
      </w:r>
      <w:r>
        <w:t xml:space="preserve"> </w:t>
      </w:r>
      <w:r>
        <w:t>IrO</w:t>
      </w:r>
      <w:r>
        <w:t xml:space="preserve"> </w:t>
      </w:r>
      <w:r>
        <w:t>x</w:t>
      </w:r>
      <w:r>
        <w:t xml:space="preserve"> </w:t>
      </w:r>
      <w:r>
        <w:t>‐IO</w:t>
      </w:r>
      <w:r>
        <w:t xml:space="preserve"> </w:t>
      </w:r>
      <w:r>
        <w:t>) of varying pore sizes are introduced as novel unsupported bulk anode catalysts and their superior performance compared to commercial alternatives is demonstrated. The influence of porosity and surface area on the electrochemical performance is systematically investigated and categorized using voltage breakdown analysis and equivalent circuit modeling. Efficient</w:t>
      </w:r>
      <w:r>
        <w:t xml:space="preserve"> </w:t>
      </w:r>
      <w:r>
        <w:t>IrO</w:t>
      </w:r>
      <w:r>
        <w:t xml:space="preserve"> </w:t>
      </w:r>
      <w:r>
        <w:t>x</w:t>
      </w:r>
      <w:r>
        <w:t xml:space="preserve"> </w:t>
      </w:r>
      <w:r>
        <w:t>‐IO</w:t>
      </w:r>
      <w:r>
        <w:t xml:space="preserve"> </w:t>
      </w:r>
      <w:r>
        <w:t>operation requires balancing surface area and pore size, enabling high performance up to 13 A cm</w:t>
      </w:r>
      <w:r>
        <w:t xml:space="preserve"> </w:t>
      </w:r>
      <w:r>
        <w:t>−</w:t>
      </w:r>
      <w:r>
        <w:rPr>
          <w:vertAlign w:val="subscript"/>
        </w:rPr>
        <w:t>2</w:t>
      </w:r>
      <w:r>
        <w:t>with iridium utilizations below 0.1 g</w:t>
      </w:r>
      <w:r>
        <w:t xml:space="preserve"> </w:t>
      </w:r>
      <w:r>
        <w:t>Ir</w:t>
      </w:r>
      <w:r>
        <w:t xml:space="preserve"> </w:t>
      </w:r>
      <w:r>
        <w:t>/kW at 70% efficiency. The findings advance our understanding of unsupported bulk catalysts and, more importantly, expand the range of viable anode materials by clarifying how catalyst morphology influences electrode reactivity.</w:t>
      </w:r>
    </w:p>
    <w:p>
      <w:pPr>
        <w:spacing w:before="120" w:after="120"/>
      </w:pPr>
      <w:r>
        <w:rPr>
          <w:sz w:val="18"/>
        </w:rPr>
        <w:t>——————————————————————————————————————————————————————————————————————</w:t>
      </w:r>
    </w:p>
    <w:p>
      <w:pPr>
        <w:spacing w:before="160" w:after="40" w:line="240" w:lineRule="auto"/>
      </w:pPr>
      <w:r>
        <w:rPr>
          <w:b/>
        </w:rPr>
        <w:t xml:space="preserve">[89] </w:t>
      </w:r>
      <w:hyperlink r:id="rId128">
        <w:r>
          <w:rPr>
            <w:color w:val="1155CC"/>
            <w:u w:val="single"/>
          </w:rPr>
          <w:t>阶段- 受控的波板基碳化钙多彩光度</w:t>
        </w:r>
      </w:hyperlink>
    </w:p>
    <w:p>
      <w:pPr>
        <w:spacing w:before="0" w:after="80"/>
      </w:pPr>
      <w:r>
        <w:rPr>
          <w:i/>
          <w:sz w:val="20"/>
        </w:rPr>
        <w:t>EN: Phase‐Manipulated Calcium Borate‐Based Multicolor Mechanoluminescence</w:t>
      </w:r>
    </w:p>
    <w:p>
      <w:pPr>
        <w:spacing w:before="0" w:after="120"/>
      </w:pPr>
      <w:r>
        <w:rPr>
          <w:b/>
        </w:rPr>
        <w:t xml:space="preserve">Source: </w:t>
      </w:r>
      <w:r>
        <w:t>Wiley: Advanced Materials: Table of Contents</w:t>
      </w:r>
      <w:r>
        <w:t xml:space="preserve">    </w:t>
      </w:r>
      <w:r>
        <w:rPr>
          <w:b/>
        </w:rPr>
        <w:t xml:space="preserve">Pub date: </w:t>
      </w:r>
      <w:r>
        <w:t>2026-01-06 10:03:19+00:00</w:t>
      </w:r>
      <w:r>
        <w:t xml:space="preserve">    </w:t>
      </w:r>
      <w:r>
        <w:rPr>
          <w:b/>
        </w:rPr>
        <w:t xml:space="preserve">DOI: </w:t>
      </w:r>
      <w:hyperlink r:id="rId129">
        <w:r>
          <w:rPr>
            <w:color w:val="1155CC"/>
            <w:u w:val="single"/>
          </w:rPr>
          <w:t>10.1002/adma.202522179</w:t>
        </w:r>
      </w:hyperlink>
    </w:p>
    <w:p>
      <w:pPr>
        <w:spacing w:before="0" w:after="120"/>
      </w:pPr>
      <w:r>
        <w:rPr>
          <w:b/>
        </w:rPr>
        <w:t xml:space="preserve">Notes: </w:t>
      </w:r>
      <w:r>
        <w:t>abstract_source=crossref</w:t>
      </w:r>
    </w:p>
    <w:p>
      <w:pPr>
        <w:spacing w:before="0" w:after="80" w:lineRule="auto" w:line="276"/>
      </w:pPr>
      <w:r>
        <w:rPr>
          <w:b/>
        </w:rPr>
        <w:t xml:space="preserve">摘要（ZH）: </w:t>
      </w:r>
      <w:r>
        <w:t>多色光化材料(ML)在防伪、智能皮肤、可磨损电子产品和结构健康监测方面的应用日益引起人们的关注,然而,由于现有成分稀少和恶劣的准备条件(通常要求温度超过1000°C和保护性大气),这些材料的广泛实施仍然受到很大阻碍,这里实现了以卤化物为基础的材料(Ca 2 B 2 O 5和CaB 2 O 4)的便质、低温和无大气层合成。</w:t>
      </w:r>
    </w:p>
    <w:p>
      <w:pPr>
        <w:spacing w:before="0" w:after="200" w:lineRule="auto" w:line="276"/>
      </w:pPr>
      <w:r>
        <w:rPr>
          <w:b/>
        </w:rPr>
        <w:t xml:space="preserve">Abstract (EN): </w:t>
      </w:r>
      <w:r>
        <w:t>Multicolor mechanoluminescence (ML) materials have attracted growing attention for applications in anti‐counterfeiting, smart skin, wearable electronics, and structural health monitoring. However, their widespread implementation remains significantly hindered by the scarce available compositions and harsh preparation conditions—typically requiring temperatures above 1000°C and protective atmospheres. Here, a facile, low‐temperature, and atmosphere‐free synthesis of calcium borate‐based ML materials (Ca</w:t>
      </w:r>
      <w:r>
        <w:rPr>
          <w:vertAlign w:val="subscript"/>
        </w:rPr>
        <w:t>2</w:t>
      </w:r>
      <w:r>
        <w:t>B</w:t>
      </w:r>
      <w:r>
        <w:rPr>
          <w:vertAlign w:val="subscript"/>
        </w:rPr>
        <w:t>2</w:t>
      </w:r>
      <w:r>
        <w:t>O</w:t>
      </w:r>
      <w:r>
        <w:rPr>
          <w:vertAlign w:val="subscript"/>
        </w:rPr>
        <w:t>5</w:t>
      </w:r>
      <w:r>
        <w:t>and CaB</w:t>
      </w:r>
      <w:r>
        <w:rPr>
          <w:vertAlign w:val="subscript"/>
        </w:rPr>
        <w:t>2</w:t>
      </w:r>
      <w:r>
        <w:t>O</w:t>
      </w:r>
      <w:r>
        <w:rPr>
          <w:vertAlign w:val="subscript"/>
        </w:rPr>
        <w:t>4</w:t>
      </w:r>
      <w:r>
        <w:t>) is achieved. The phase ratio of Ca</w:t>
      </w:r>
      <w:r>
        <w:rPr>
          <w:vertAlign w:val="subscript"/>
        </w:rPr>
        <w:t>2</w:t>
      </w:r>
      <w:r>
        <w:t>B</w:t>
      </w:r>
      <w:r>
        <w:rPr>
          <w:vertAlign w:val="subscript"/>
        </w:rPr>
        <w:t>2</w:t>
      </w:r>
      <w:r>
        <w:t>O</w:t>
      </w:r>
      <w:r>
        <w:rPr>
          <w:vertAlign w:val="subscript"/>
        </w:rPr>
        <w:t>5</w:t>
      </w:r>
      <w:r>
        <w:t>and CaB</w:t>
      </w:r>
      <w:r>
        <w:rPr>
          <w:vertAlign w:val="subscript"/>
        </w:rPr>
        <w:t>2</w:t>
      </w:r>
      <w:r>
        <w:t>O</w:t>
      </w:r>
      <w:r>
        <w:rPr>
          <w:vertAlign w:val="subscript"/>
        </w:rPr>
        <w:t>4</w:t>
      </w:r>
      <w:r>
        <w:t>is manipulated by adjusting the stoichiometric ratio of raw materials (H</w:t>
      </w:r>
      <w:r>
        <w:rPr>
          <w:vertAlign w:val="subscript"/>
        </w:rPr>
        <w:t>3</w:t>
      </w:r>
      <w:r>
        <w:t>BO</w:t>
      </w:r>
      <w:r>
        <w:rPr>
          <w:vertAlign w:val="subscript"/>
        </w:rPr>
        <w:t>3</w:t>
      </w:r>
      <w:r>
        <w:t>and CaO). The distinct tetrahedral and octahedral coordination of Mn</w:t>
      </w:r>
      <w:r>
        <w:t xml:space="preserve"> </w:t>
      </w:r>
      <w:r>
        <w:t>2+</w:t>
      </w:r>
      <w:r>
        <w:t xml:space="preserve"> </w:t>
      </w:r>
      <w:r>
        <w:t>in these phases gives rise to tunable ML emission spanning from green to orange (535–605 nm). When incorporated into polydimethylsiloxane (PDMS) elastomers, these materials exhibit remarkable multicolor ML suitable for multi‐level optical encryption and motion visualization. The encrypted information remains hidden under daylight or UV illumination can be deciphered only through ML activation, while the stress‐induced color variation enables real‐time monitoring of joint movement. This work not only establishes a versatile route for the design of low‐temperature, phase‐tunable ML materials but also reveals promising applications in next‐generation information security and intelligent motion‐sensing technologies.</w:t>
      </w:r>
    </w:p>
    <w:p>
      <w:pPr>
        <w:spacing w:before="120" w:after="120"/>
      </w:pPr>
      <w:r>
        <w:rPr>
          <w:sz w:val="18"/>
        </w:rPr>
        <w:t>——————————————————————————————————————————————————————————————————————</w:t>
      </w:r>
    </w:p>
    <w:p>
      <w:pPr>
        <w:spacing w:before="160" w:after="40" w:line="240" w:lineRule="auto"/>
      </w:pPr>
      <w:r>
        <w:rPr>
          <w:b/>
        </w:rPr>
        <w:t xml:space="preserve">[90] </w:t>
      </w:r>
      <w:hyperlink r:id="rId130">
        <w:r>
          <w:rPr>
            <w:color w:val="1155CC"/>
            <w:u w:val="single"/>
          </w:rPr>
          <w:t>用于适应性超强超强分辨率图像重建的红外红外光电交换器</w:t>
        </w:r>
      </w:hyperlink>
    </w:p>
    <w:p>
      <w:pPr>
        <w:spacing w:before="0" w:after="80"/>
      </w:pPr>
      <w:r>
        <w:rPr>
          <w:i/>
          <w:sz w:val="20"/>
        </w:rPr>
        <w:t>EN: Tellurium Sub‐Oxides Infrared Phototransistors for Adaptive Super‐Resolution Image Reconstruction</w:t>
      </w:r>
    </w:p>
    <w:p>
      <w:pPr>
        <w:spacing w:before="0" w:after="120"/>
      </w:pPr>
      <w:r>
        <w:rPr>
          <w:b/>
        </w:rPr>
        <w:t xml:space="preserve">Source: </w:t>
      </w:r>
      <w:r>
        <w:t>Wiley: Advanced Materials: Table of Contents</w:t>
      </w:r>
      <w:r>
        <w:t xml:space="preserve">    </w:t>
      </w:r>
      <w:r>
        <w:rPr>
          <w:b/>
        </w:rPr>
        <w:t xml:space="preserve">Pub date: </w:t>
      </w:r>
      <w:r>
        <w:t>2026-01-06 10:07:27+00:00</w:t>
      </w:r>
      <w:r>
        <w:t xml:space="preserve">    </w:t>
      </w:r>
      <w:r>
        <w:rPr>
          <w:b/>
        </w:rPr>
        <w:t xml:space="preserve">DOI: </w:t>
      </w:r>
      <w:hyperlink r:id="rId131">
        <w:r>
          <w:rPr>
            <w:color w:val="1155CC"/>
            <w:u w:val="single"/>
          </w:rPr>
          <w:t>10.1002/adma.202521147</w:t>
        </w:r>
      </w:hyperlink>
    </w:p>
    <w:p>
      <w:pPr>
        <w:spacing w:before="0" w:after="120"/>
      </w:pPr>
      <w:r>
        <w:rPr>
          <w:b/>
        </w:rPr>
        <w:t xml:space="preserve">Notes: </w:t>
      </w:r>
      <w:r>
        <w:t>abstract_source=crossref</w:t>
      </w:r>
    </w:p>
    <w:p>
      <w:pPr>
        <w:spacing w:before="0" w:after="80" w:lineRule="auto" w:line="276"/>
      </w:pPr>
      <w:r>
        <w:rPr>
          <w:b/>
        </w:rPr>
        <w:t xml:space="preserve">摘要（ZH）: </w:t>
      </w:r>
      <w:r>
        <w:t>使用晶状硅或IIIV化合物进行的红外线(IR)探测通常使用,但经常受到散装和低效率的挑战。随着自主驱动器和机视的开发,IR技术越来越需要纳入紧凑神经结构。在本研究中,IR敏感的P--N型无序亚氧化(TeO x)薄膜通过无机混合战略沉积。通过将荧光二电层、协同电荷传输和光源引发的二级Excour TeO x 以天为基地的IRV可感应传感器(IVAS)与宽带探测和备忘录相结合,将荧光电层、协同电荷传输和光源引发的二级Excurow TeO x 以天为基地的IRV可感应感应传感器(IVAS)与宽带探测和备忘录结合起来。</w:t>
      </w:r>
    </w:p>
    <w:p>
      <w:pPr>
        <w:spacing w:before="0" w:after="200" w:lineRule="auto" w:line="276"/>
      </w:pPr>
      <w:r>
        <w:rPr>
          <w:b/>
        </w:rPr>
        <w:t xml:space="preserve">Abstract (EN): </w:t>
      </w:r>
      <w:r>
        <w:t>Infrared (IR) detection using crystalline silicon or III‐V compounds is commonly utilized but often challenged by bulkiness and inefficiency. With the development of autonomous driving and machine vision, there is a growing need for IR technology to incorporate compact neural architectures. In this study, IR‐sensitive</w:t>
      </w:r>
      <w:r>
        <w:t xml:space="preserve"> </w:t>
      </w:r>
      <w:r>
        <w:t>p</w:t>
      </w:r>
      <w:r>
        <w:t xml:space="preserve"> </w:t>
      </w:r>
      <w:r>
        <w:t>‐type disordered tellurium sub‐oxides (TeO</w:t>
      </w:r>
      <w:r>
        <w:t xml:space="preserve"> </w:t>
      </w:r>
      <w:r>
        <w:t>x</w:t>
      </w:r>
      <w:r>
        <w:t xml:space="preserve"> </w:t>
      </w:r>
      <w:r>
        <w:t>) thin films are deposited via an inorganic blending strategy. By integrating a luminescent dielectric layer, synergistic charge transfer and photon‐induced secondary excitation endow TeO</w:t>
      </w:r>
      <w:r>
        <w:t xml:space="preserve"> </w:t>
      </w:r>
      <w:r>
        <w:t>x</w:t>
      </w:r>
      <w:r>
        <w:t xml:space="preserve"> </w:t>
      </w:r>
      <w:r>
        <w:t>‐based IR‐visible adaptive sensors (IVAS) with broadband detection and memory capabilities. The IR‐driven modulation of IVAS convolutional weights enables super‐resolution image reconstruction even under suboptimal conditions. This IVAS‐based system achieves a peak signal‐to‐noise ratio of 27.55 dB (compared to 26.85 dB conventionally), a structural similarity index measure of 0.94 (compared to 0.88 conventionally), and a 13.8% reduction in mean absolute error. These findings highlight TeO</w:t>
      </w:r>
      <w:r>
        <w:t xml:space="preserve"> </w:t>
      </w:r>
      <w:r>
        <w:t>x</w:t>
      </w:r>
      <w:r>
        <w:t xml:space="preserve"> </w:t>
      </w:r>
      <w:r>
        <w:t>‐based IVAS as a robust and adaptive solution for IR machine vision systems.</w:t>
      </w:r>
    </w:p>
    <w:p>
      <w:pPr>
        <w:spacing w:before="120" w:after="120"/>
      </w:pPr>
      <w:r>
        <w:rPr>
          <w:sz w:val="18"/>
        </w:rPr>
        <w:t>——————————————————————————————————————————————————————————————————————</w:t>
      </w:r>
    </w:p>
    <w:p>
      <w:pPr>
        <w:spacing w:before="160" w:after="40" w:line="240" w:lineRule="auto"/>
      </w:pPr>
      <w:r>
        <w:rPr>
          <w:b/>
        </w:rPr>
        <w:t xml:space="preserve">[91] </w:t>
      </w:r>
      <w:hyperlink r:id="rId132">
        <w:r>
          <w:rPr>
            <w:color w:val="1155CC"/>
            <w:u w:val="single"/>
          </w:rPr>
          <w:t>以水国条例通过甲苯实现的多元化为基础的固态氮热电</w:t>
        </w:r>
      </w:hyperlink>
    </w:p>
    <w:p>
      <w:pPr>
        <w:spacing w:before="0" w:after="80"/>
      </w:pPr>
      <w:r>
        <w:rPr>
          <w:i/>
          <w:sz w:val="20"/>
        </w:rPr>
        <w:t>EN: Solid‐State N‐Type Ionic Thermoelectric Based on Polyanions Enabled by Water State Regulation via MXenes</w:t>
      </w:r>
    </w:p>
    <w:p>
      <w:pPr>
        <w:spacing w:before="0" w:after="120"/>
      </w:pPr>
      <w:r>
        <w:rPr>
          <w:b/>
        </w:rPr>
        <w:t xml:space="preserve">Source: </w:t>
      </w:r>
      <w:r>
        <w:t>Wiley: Advanced Materials: Table of Contents</w:t>
      </w:r>
      <w:r>
        <w:t xml:space="preserve">    </w:t>
      </w:r>
      <w:r>
        <w:rPr>
          <w:b/>
        </w:rPr>
        <w:t xml:space="preserve">Pub date: </w:t>
      </w:r>
      <w:r>
        <w:t>2026-01-06 10:10:20+00:00</w:t>
      </w:r>
      <w:r>
        <w:t xml:space="preserve">    </w:t>
      </w:r>
      <w:r>
        <w:rPr>
          <w:b/>
        </w:rPr>
        <w:t xml:space="preserve">DOI: </w:t>
      </w:r>
      <w:hyperlink r:id="rId133">
        <w:r>
          <w:rPr>
            <w:color w:val="1155CC"/>
            <w:u w:val="single"/>
          </w:rPr>
          <w:t>10.1002/adma.202517406</w:t>
        </w:r>
      </w:hyperlink>
    </w:p>
    <w:p>
      <w:pPr>
        <w:spacing w:before="0" w:after="120"/>
      </w:pPr>
      <w:r>
        <w:rPr>
          <w:b/>
        </w:rPr>
        <w:t xml:space="preserve">Notes: </w:t>
      </w:r>
      <w:r>
        <w:t>abstract_source=crossref</w:t>
      </w:r>
    </w:p>
    <w:p>
      <w:pPr>
        <w:spacing w:before="0" w:after="80" w:lineRule="auto" w:line="276"/>
      </w:pPr>
      <w:r>
        <w:rPr>
          <w:b/>
        </w:rPr>
        <w:t xml:space="preserve">摘要（ZH）: </w:t>
      </w:r>
      <w:r>
        <w:t>ABSTACT ABSTACT 调整多电子化网络与移动阴离/电离/电离/电离/电弧之间的相互作用,通常用于开发离离热电材料(iTE),具有高离子热能和电导性,然而,n类型多电子化物的开发受到阻碍,因为电离通常显示热光性高于阴离子。在这里,我们通过利用甲基纳米表来调节氢化聚(4-苯乙烯硫酸)(PSSSH)网络的水状况,展示出一种基于多元电离的高性能、固态 n型iTE,并以此为基础,利用甲基纳米表调节水聚聚(4-苯乙烯硫酸)(PSSH)网络的水状况。</w:t>
      </w:r>
    </w:p>
    <w:p>
      <w:pPr>
        <w:spacing w:before="0" w:after="200" w:lineRule="auto" w:line="276"/>
      </w:pPr>
      <w:r>
        <w:rPr>
          <w:b/>
        </w:rPr>
        <w:t xml:space="preserve">Abstract (EN): </w:t>
      </w:r>
      <w:r>
        <w:t>Adjusting interactions between the polyelectrolyte network and mobile anions/cations is commonly used to develop ion thermoelectric (iTE) materials with a high ionic thermopower and ionic conductivity. However, the development of n‐type polyelectrolytes is hindered because cations usually exhibit higher thermophoretic mobility than anions. Here, we demonstrate a high‐performance, solid‐state n‐type iTE based on polyanions by utilizing MXene nanosheets to regulate the water state of the hydrated poly(4‐styrenesulfonic acid) (PSSH) network. MXene nanosheets featured negatively charged surfaces and positively charged edges, which allowed them to facilitate the transformation of bound water to intermediate water and promote the dissociation of protons from PSSH in the PSSH/MXene composite. Intermediate water with a low vaporization enthalpy readily evaporated on the hot side of the PSSH/MXene film, causing water and hydronium ions to flow from the cold side to the hot side. This polyanion‐based iTE film thus achieved a large thermopower of −15.55 mV/K and a high ionic conductivity of 39.03 S/m at a relative humidity of 40%, leading to a high power factor of 9.44 mW/m·K</w:t>
      </w:r>
      <w:r>
        <w:rPr>
          <w:vertAlign w:val="subscript"/>
        </w:rPr>
        <w:t>2</w:t>
      </w:r>
      <w:r>
        <w:t>at 298 K. Due to the high photothermal efficiency of MXene, a fully‐printed flexible device integrated with 30 legs of n‐type PSSH/MXene film in series generated a voltage of up to −1.64 V under 0.1 W/cm</w:t>
      </w:r>
      <w:r>
        <w:rPr>
          <w:vertAlign w:val="subscript"/>
        </w:rPr>
        <w:t>2</w:t>
      </w:r>
      <w:r>
        <w:t>simulated sunlight illumination, demonstrating its potential applications in photo‐thermoelectric devices. Our strategy of water state regulation presents a promising pathway for developing high‐performance n‐type iTE materials.</w:t>
      </w:r>
    </w:p>
    <w:p>
      <w:pPr>
        <w:spacing w:before="120" w:after="120"/>
      </w:pPr>
      <w:r>
        <w:rPr>
          <w:sz w:val="18"/>
        </w:rPr>
        <w:t>——————————————————————————————————————————————————————————————————————</w:t>
      </w:r>
    </w:p>
    <w:p>
      <w:pPr>
        <w:spacing w:before="160" w:after="40" w:line="240" w:lineRule="auto"/>
      </w:pPr>
      <w:r>
        <w:rPr>
          <w:b/>
        </w:rPr>
        <w:t xml:space="preserve">[92] </w:t>
      </w:r>
      <w:hyperlink r:id="rId134">
        <w:r>
          <w:rPr>
            <w:color w:val="1155CC"/>
            <w:u w:val="single"/>
          </w:rPr>
          <w:t>泰纳里Pt3(Co,Mn)1 用于强化减少氧氧反应的杂交金属纳米粒子</w:t>
        </w:r>
      </w:hyperlink>
    </w:p>
    <w:p>
      <w:pPr>
        <w:spacing w:before="0" w:after="80"/>
      </w:pPr>
      <w:r>
        <w:rPr>
          <w:i/>
          <w:sz w:val="20"/>
        </w:rPr>
        <w:t>EN: Tailoring Interfacial Oxygen Vacancy‐Mediated Ordering in Ternary Pt3(Co,Mn)1 Intermetallic Nanoparticles for Enhanced Oxygen Reduction Reaction</w:t>
      </w:r>
    </w:p>
    <w:p>
      <w:pPr>
        <w:spacing w:before="0" w:after="120"/>
      </w:pPr>
      <w:r>
        <w:rPr>
          <w:b/>
        </w:rPr>
        <w:t xml:space="preserve">Source: </w:t>
      </w:r>
      <w:r>
        <w:t>Wiley: Advanced Materials: Table of Contents</w:t>
      </w:r>
      <w:r>
        <w:t xml:space="preserve">    </w:t>
      </w:r>
      <w:r>
        <w:rPr>
          <w:b/>
        </w:rPr>
        <w:t xml:space="preserve">Pub date: </w:t>
      </w:r>
      <w:r>
        <w:t>2026-01-06 10:13:38+00:00</w:t>
      </w:r>
      <w:r>
        <w:t xml:space="preserve">    </w:t>
      </w:r>
      <w:r>
        <w:rPr>
          <w:b/>
        </w:rPr>
        <w:t xml:space="preserve">DOI: </w:t>
      </w:r>
      <w:hyperlink r:id="rId135">
        <w:r>
          <w:rPr>
            <w:color w:val="1155CC"/>
            <w:u w:val="single"/>
          </w:rPr>
          <w:t>10.1002/adma.202521036</w:t>
        </w:r>
      </w:hyperlink>
    </w:p>
    <w:p>
      <w:pPr>
        <w:spacing w:before="0" w:after="120"/>
      </w:pPr>
      <w:r>
        <w:rPr>
          <w:b/>
        </w:rPr>
        <w:t xml:space="preserve">Notes: </w:t>
      </w:r>
      <w:r>
        <w:t>abstract_source=crossref</w:t>
      </w:r>
    </w:p>
    <w:p>
      <w:pPr>
        <w:spacing w:before="0" w:after="80" w:lineRule="auto" w:line="276"/>
      </w:pPr>
      <w:r>
        <w:rPr>
          <w:b/>
        </w:rPr>
        <w:t xml:space="preserve">摘要（ZH）: </w:t>
      </w:r>
      <w:r>
        <w:t>阴极氧减少反应(ORR)的慢动动能和耐久性有限仍然是质子交换膜燃料电池(PEMFCs)广泛部署的主要障碍。 在这里,我们引入了低温间歇工程战略,以制造长性L1 2 corded Pt 3 (Co,Mn) 1 半金属纳米粒子。 Pt 3 Co 1 核心的符合性MNO 壳不仅抑制粒子凝聚,而且进行红氧化活化,以产生引发神经系统紊乱的气泡。</w:t>
      </w:r>
    </w:p>
    <w:p>
      <w:pPr>
        <w:spacing w:before="0" w:after="200" w:lineRule="auto" w:line="276"/>
      </w:pPr>
      <w:r>
        <w:rPr>
          <w:b/>
        </w:rPr>
        <w:t xml:space="preserve">Abstract (EN): </w:t>
      </w:r>
      <w:r>
        <w:t>The sluggish kinetics and limited durability of the oxygen reduction reaction (ORR) at the cathode remain a major barrier to the widespread deployment of proton exchange membrane fuel cells (PEMFCs). Here, we introduce a low‐temperature interfacial engineering strategy to construct ternary L1</w:t>
      </w:r>
      <w:r>
        <w:rPr>
          <w:vertAlign w:val="subscript"/>
        </w:rPr>
        <w:t>2</w:t>
      </w:r>
      <w:r>
        <w:t>‐ordered Pt</w:t>
      </w:r>
      <w:r>
        <w:rPr>
          <w:vertAlign w:val="subscript"/>
        </w:rPr>
        <w:t>3</w:t>
      </w:r>
      <w:r>
        <w:t>(Co,Mn)</w:t>
      </w:r>
      <w:r>
        <w:rPr>
          <w:vertAlign w:val="subscript"/>
        </w:rPr>
        <w:t>1</w:t>
      </w:r>
      <w:r>
        <w:t>intermetallic nanoparticles. A conformal MnO shell on Pt</w:t>
      </w:r>
      <w:r>
        <w:rPr>
          <w:vertAlign w:val="subscript"/>
        </w:rPr>
        <w:t>3</w:t>
      </w:r>
      <w:r>
        <w:t>Co</w:t>
      </w:r>
      <w:r>
        <w:rPr>
          <w:vertAlign w:val="subscript"/>
        </w:rPr>
        <w:t>1</w:t>
      </w:r>
      <w:r>
        <w:t>cores not only suppresses particle coalescence but also undergoes redox activation to generate interfacial oxygen vacancies that initiate the disorder‐to‐order transition. During thermal activation, these vacancies mediate Co–Mn atomic exchange across the core@shell interface, forming interfacial Co–O and intralattice Pt–Mn bonds that cooperatively stabilize the ordered framework. This oxygen‐vacancy‐driven interfacial evolution reconfigures the Pt electronic structure, downshifting the d‐band center, enriching electron density at Pt active sites, and optimizing oxygen‐intermediate adsorption. The resulting catalyst exhibits high intrinsic ORR activity and outstanding durability over extended accelerated cycling. When implemented into practical membrane‐electrode assemblies, it surpasses the U.S. Department of Energy (DOE) 2025 PEMFC benchmarks for both rated power density and durability, demonstrating its promise for real‐world fuel cell applications. More broadly, this work establishes redox‐active, confinement‐mediated interfacial engineering as a general paradigm for directing atomic ordering and electronic structure in complex multimetallic electrocatalysts.</w:t>
      </w:r>
    </w:p>
    <w:p>
      <w:pPr>
        <w:spacing w:before="120" w:after="120"/>
      </w:pPr>
      <w:r>
        <w:rPr>
          <w:sz w:val="18"/>
        </w:rPr>
        <w:t>——————————————————————————————————————————————————————————————————————</w:t>
      </w:r>
    </w:p>
    <w:p>
      <w:pPr>
        <w:spacing w:before="160" w:after="40" w:line="240" w:lineRule="auto"/>
      </w:pPr>
      <w:r>
        <w:rPr>
          <w:b/>
        </w:rPr>
        <w:t xml:space="preserve">[93] </w:t>
      </w:r>
      <w:hyperlink r:id="rId136">
        <w:r>
          <w:rPr>
            <w:color w:val="1155CC"/>
            <w:u w:val="single"/>
          </w:rPr>
          <w:t>改为“通过氧化液溶解对活细胞中硫磷脂甲醚进行定向检测”</w:t>
        </w:r>
      </w:hyperlink>
    </w:p>
    <w:p>
      <w:pPr>
        <w:spacing w:before="0" w:after="80"/>
      </w:pPr>
      <w:r>
        <w:rPr>
          <w:i/>
          <w:sz w:val="20"/>
        </w:rPr>
        <w:t>EN: Correction to “Targeted Detection of Phospholipid Aldehydes in Living Cells by Oxime Ligation”</w:t>
      </w:r>
    </w:p>
    <w:p>
      <w:pPr>
        <w:spacing w:before="0" w:after="120"/>
      </w:pPr>
      <w:r>
        <w:rPr>
          <w:b/>
        </w:rPr>
        <w:t xml:space="preserve">Source: </w:t>
      </w:r>
      <w:r>
        <w:t>Wiley: Angewandte Chemie International Edition: Table of Contents</w:t>
      </w:r>
      <w:r>
        <w:t xml:space="preserve">    </w:t>
      </w:r>
      <w:r>
        <w:rPr>
          <w:b/>
        </w:rPr>
        <w:t xml:space="preserve">Pub date: </w:t>
      </w:r>
      <w:r>
        <w:t>2026-01-06 11:28:40+00:00</w:t>
      </w:r>
      <w:r>
        <w:t xml:space="preserve">    </w:t>
      </w:r>
      <w:r>
        <w:rPr>
          <w:b/>
        </w:rPr>
        <w:t xml:space="preserve">DOI: </w:t>
      </w:r>
      <w:hyperlink r:id="rId137">
        <w:r>
          <w:rPr>
            <w:color w:val="1155CC"/>
            <w:u w:val="single"/>
          </w:rPr>
          <w:t>10.1002/anie.8150745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 </w:t>
      </w:r>
      <w:hyperlink r:id="rId138">
        <w:r>
          <w:rPr>
            <w:color w:val="1155CC"/>
            <w:u w:val="single"/>
          </w:rPr>
          <w:t>[ASAP] 磷酸盐基酶可采用比其原生国更稳定的地形失实的混合形式。</w:t>
        </w:r>
      </w:hyperlink>
    </w:p>
    <w:p>
      <w:pPr>
        <w:spacing w:before="0" w:after="80"/>
      </w:pPr>
      <w:r>
        <w:rPr>
          <w:i/>
          <w:sz w:val="20"/>
        </w:rPr>
        <w:t>EN: [ASAP] Phosphoglycerate Kinase Can Adopt Topologically Misfolded Forms That Are More Stable Than Its Native State</w:t>
      </w:r>
    </w:p>
    <w:p>
      <w:pPr>
        <w:spacing w:before="0" w:after="120"/>
      </w:pPr>
      <w:r>
        <w:rPr>
          <w:b/>
        </w:rPr>
        <w:t xml:space="preserve">Source: </w:t>
      </w:r>
      <w:r>
        <w:t>Journal of the American Chemical Society: Latest Articles (ACS Publications)</w:t>
      </w:r>
      <w:r>
        <w:t xml:space="preserve">    </w:t>
      </w:r>
      <w:r>
        <w:rPr>
          <w:b/>
        </w:rPr>
        <w:t xml:space="preserve">Pub date: </w:t>
      </w:r>
      <w:r>
        <w:t>2026-01-06 12:13:39+00:00</w:t>
      </w:r>
      <w:r>
        <w:t xml:space="preserve">    </w:t>
      </w:r>
      <w:r>
        <w:rPr>
          <w:b/>
        </w:rPr>
        <w:t xml:space="preserve">DOI: </w:t>
      </w:r>
      <w:hyperlink r:id="rId139">
        <w:r>
          <w:rPr>
            <w:color w:val="1155CC"/>
            <w:u w:val="single"/>
          </w:rPr>
          <w:t>10.1021/jacs.5c20740</w:t>
        </w:r>
      </w:hyperlink>
    </w:p>
    <w:p>
      <w:pPr>
        <w:spacing w:before="0" w:after="120"/>
      </w:pPr>
      <w:r>
        <w:rPr>
          <w:b/>
        </w:rPr>
        <w:t xml:space="preserve">Notes: </w:t>
      </w:r>
      <w:r>
        <w:t>abstract_source=pubmed</w:t>
      </w:r>
    </w:p>
    <w:p>
      <w:pPr>
        <w:spacing w:before="0" w:after="80" w:lineRule="auto" w:line="276"/>
      </w:pPr>
      <w:r>
        <w:rPr>
          <w:b/>
        </w:rPr>
        <w:t xml:space="preserve">摘要（ZH）: </w:t>
      </w:r>
      <w:r>
        <w:t>本地的球质蛋白质状态通常被视为各自蛋白可溶解的自由能源景观上最稳定的相容物。 这种被称为热动力假设的观点解释了为什么许多蛋白质在变色后可以反转。 我们在此报告一个令人感兴趣的反推实例。 当 E. coli 磷酸盐( PGK) 被允许在不饱和的稀释后进行翻转, 而不是返回其原状时, 它会散布一种不寻常的错误化成型, 一种单一的和本地相似的, 但它比原状更具有运动稳定性, 因为它对热力和感化作用引发的变异性变异性。 此外, 这种变异的形态即使在几天内也无法自我修正。 我们显示关键的结构特征是单一的, 并且比原状更加稳定, 因为它对热力和感官作用引发的变异性变。 此外, 这种变形无法自我修正, 甚至数日内都无法自我修正。</w:t>
      </w:r>
    </w:p>
    <w:p>
      <w:pPr>
        <w:spacing w:before="0" w:after="200" w:lineRule="auto" w:line="276"/>
      </w:pPr>
      <w:r>
        <w:rPr>
          <w:b/>
        </w:rPr>
        <w:t xml:space="preserve">Abstract (EN): </w:t>
      </w:r>
      <w:r>
        <w:t>The native states of globular proteins are typically viewed as being the most stable conformations on their respective proteins' soluble free energy landscapes. This view, known as the thermodynamic hypothesis, explains why many proteins can reversibly refold after being denatured. Here we report an intriguing counterexample to this paradigm. When E. coli phosphoglycerate kinase (PGK) is allowed to refold upon dilution from denaturant, instead of returning to its native state, it populates an unusual misfolded form that is monomeric and native-like, but which is even more kinetically stable than its native form, as based on its resistance to thermal and detergent-induced denaturation. Moreover, this misfolded form cannot self-correct, even for days. We show that the key structural feature of this misfolded form of PGK is topological in nature by demonstrating that kinetically stable misfolded forms do not form any longer if PGK is circularized, which prevents its termini from threading through other portions of the protein. Our findings demonstrate that a misfolded protein need not aggregate or form an amyloid to become stabilized with respect to the native state, and call attention to topologically misfolded proteins as a potential Achilles heel to the cellular proteostasis network.</w:t>
      </w:r>
    </w:p>
    <w:p>
      <w:pPr>
        <w:spacing w:before="120" w:after="120"/>
      </w:pPr>
      <w:r>
        <w:rPr>
          <w:sz w:val="18"/>
        </w:rPr>
        <w:t>——————————————————————————————————————————————————————————————————————</w:t>
      </w:r>
    </w:p>
    <w:p>
      <w:pPr>
        <w:spacing w:before="160" w:after="40" w:line="240" w:lineRule="auto"/>
      </w:pPr>
      <w:r>
        <w:rPr>
          <w:b/>
        </w:rPr>
        <w:t xml:space="preserve">[95] </w:t>
      </w:r>
      <w:hyperlink r:id="rId140">
        <w:r>
          <w:rPr>
            <w:color w:val="1155CC"/>
            <w:u w:val="single"/>
          </w:rPr>
          <w:t>[ASAP] 定型选择性常规化,以取代因埋积量而促成的多组奇拉尔酸</w:t>
        </w:r>
      </w:hyperlink>
    </w:p>
    <w:p>
      <w:pPr>
        <w:spacing w:before="0" w:after="80"/>
      </w:pPr>
      <w:r>
        <w:rPr>
          <w:i/>
          <w:sz w:val="20"/>
        </w:rPr>
        <w:t>EN: [ASAP] Stereoselective Generalizations over Diverse Sets of Chiral Acids Enabled by Buried Volume</w:t>
      </w:r>
    </w:p>
    <w:p>
      <w:pPr>
        <w:spacing w:before="0" w:after="120"/>
      </w:pPr>
      <w:r>
        <w:rPr>
          <w:b/>
        </w:rPr>
        <w:t xml:space="preserve">Source: </w:t>
      </w:r>
      <w:r>
        <w:t>Journal of the American Chemical Society: Latest Articles (ACS Publications)</w:t>
      </w:r>
      <w:r>
        <w:t xml:space="preserve">    </w:t>
      </w:r>
      <w:r>
        <w:rPr>
          <w:b/>
        </w:rPr>
        <w:t xml:space="preserve">Pub date: </w:t>
      </w:r>
      <w:r>
        <w:t>2026-01-06 13:00:49+00:00</w:t>
      </w:r>
      <w:r>
        <w:t xml:space="preserve">    </w:t>
      </w:r>
      <w:r>
        <w:rPr>
          <w:b/>
        </w:rPr>
        <w:t xml:space="preserve">DOI: </w:t>
      </w:r>
      <w:hyperlink r:id="rId141">
        <w:r>
          <w:rPr>
            <w:color w:val="1155CC"/>
            <w:u w:val="single"/>
          </w:rPr>
          <w:t>10.1021/jacs.5c20342</w:t>
        </w:r>
      </w:hyperlink>
    </w:p>
    <w:p>
      <w:pPr>
        <w:spacing w:before="0" w:after="120"/>
      </w:pPr>
      <w:r>
        <w:rPr>
          <w:b/>
        </w:rPr>
        <w:t xml:space="preserve">Notes: </w:t>
      </w:r>
      <w:r>
        <w:t>abstract_source=pubmed</w:t>
      </w:r>
    </w:p>
    <w:p>
      <w:pPr>
        <w:spacing w:before="0" w:after="80" w:lineRule="auto" w:line="276"/>
      </w:pPr>
      <w:r>
        <w:rPr>
          <w:b/>
        </w:rPr>
        <w:t xml:space="preserve">摘要（ZH）: </w:t>
      </w:r>
      <w:r>
        <w:t>立体选择性化学催化是复杂的范例,通过一系列具体但微弱的非共性互动,实现非对称诱导。 因此,结构-活动关系模拟立体选择性需要言语表达、高维度和(或)大型数据集,以提供生产趋势,妨碍其随后的可解释性和实用性。 我们在此报告,活跃的基于现场的埋藏量是布伦斯特酸性有机体分析家建造立体选择性模型的独特优势描述。 通过对近200个不同催化剂的50+数据集进行统计分析,我们认识到,基于现场的活性掩埋量是一种例外的代表性,既包含广泛的结构多样性(数据本身),也包含广泛的结构多样性(数据本身)。</w:t>
      </w:r>
    </w:p>
    <w:p>
      <w:pPr>
        <w:spacing w:before="0" w:after="200" w:lineRule="auto" w:line="276"/>
      </w:pPr>
      <w:r>
        <w:rPr>
          <w:b/>
        </w:rPr>
        <w:t xml:space="preserve">Abstract (EN): </w:t>
      </w:r>
      <w:r>
        <w:t>Stereoselective catalysis is a paradigm of complexity, navigating arrays of specific, yet weak, noncovalent interactions to achieve asymmetric induction. Accordingly, structure-activity relationships modeling stereoselectivity have required bespoke representations, high dimensionality, and/or large data sets to furnish productive trends, hampering their subsequent interpretability and utility. Here, we report that active site-based buried volume is a uniquely advantageous descriptor for the construction of models to stereoselectivity by Brønsted acid organocatalysts. Through statistical analyses of 50+ data sets across nearly 200 distinct catalysts, we realize active site-based buried volume is an exceptional representation, accommodating both extensive structural diversity (within data sets) and functional diversity (across data sets). We show that the descriptor's value likely relates to its surprising capacity to generalize beyond simple steric interactions and account for diverse stereoelectronic effects consequential to reported stereoselectivity. As such, we anticipate future modeling of stereoselectivity by Brønsted acid is greatly simplified via the concise representation, active site-based buried volume.</w:t>
      </w:r>
    </w:p>
    <w:p>
      <w:pPr>
        <w:spacing w:before="120" w:after="120"/>
      </w:pPr>
      <w:r>
        <w:rPr>
          <w:sz w:val="18"/>
        </w:rPr>
        <w:t>——————————————————————————————————————————————————————————————————————</w:t>
      </w:r>
    </w:p>
    <w:p>
      <w:pPr>
        <w:spacing w:before="160" w:after="40" w:line="240" w:lineRule="auto"/>
      </w:pPr>
      <w:r>
        <w:rPr>
          <w:b/>
        </w:rPr>
        <w:t xml:space="preserve">[96] </w:t>
      </w:r>
      <w:hyperlink r:id="rId142">
        <w:r>
          <w:rPr>
            <w:color w:val="1155CC"/>
            <w:u w:val="single"/>
          </w:rPr>
          <w:t>[ASAP]在Ru-Doped Mn3O4上用电化学形成一个MNO2 Nanofield,用于超常酸氧气进化催化</w:t>
        </w:r>
      </w:hyperlink>
    </w:p>
    <w:p>
      <w:pPr>
        <w:spacing w:before="0" w:after="80"/>
      </w:pPr>
      <w:r>
        <w:rPr>
          <w:i/>
          <w:sz w:val="20"/>
        </w:rPr>
        <w:t>EN: [ASAP] Electrochemical Formation of a MnO2 Nanoshield on Ru-Doped Mn3O4 for Ultrastable Acidic Oxygen Evolution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2026-01-06 13:16:23+00:00</w:t>
      </w:r>
      <w:r>
        <w:t xml:space="preserve">    </w:t>
      </w:r>
      <w:r>
        <w:rPr>
          <w:b/>
        </w:rPr>
        <w:t xml:space="preserve">DOI: </w:t>
      </w:r>
      <w:hyperlink r:id="rId143">
        <w:r>
          <w:rPr>
            <w:color w:val="1155CC"/>
            <w:u w:val="single"/>
          </w:rPr>
          <w:t>10.1021/jacs.5c18952</w:t>
        </w:r>
      </w:hyperlink>
    </w:p>
    <w:p>
      <w:pPr>
        <w:spacing w:before="0" w:after="120"/>
      </w:pPr>
      <w:r>
        <w:rPr>
          <w:b/>
        </w:rPr>
        <w:t xml:space="preserve">Notes: </w:t>
      </w:r>
      <w:r>
        <w:t>abstract_source=pubmed</w:t>
      </w:r>
    </w:p>
    <w:p>
      <w:pPr>
        <w:spacing w:before="0" w:after="80" w:lineRule="auto" w:line="276"/>
      </w:pPr>
      <w:r>
        <w:rPr>
          <w:b/>
        </w:rPr>
        <w:t xml:space="preserve">摘要（ZH）: </w:t>
      </w:r>
      <w:r>
        <w:t>质子交换膜(PEM)水电解是大规模氢生产的一项有希望的战略;然而,由于酸化环境中缺乏高度活跃和耐久的氧进化反应催化剂,其工业可行性受到阻碍。基于鲁氏催化剂的内在活性很高,但容易溶解和结构降解。为解决这一问题,本研究提出了电导“Nanoshield”战略。鲁单原子倾弃Mn3O4(Ru-Mn3O4)催化剂使得催化剂表面结构的原地自发重建成为可能。在一个电场下,Mn3O4晶体会发生层间滑动和极化旋转,从而导致催化剂表面多孔的MnO2纳米盾的生长,从而有效抑制了溶解。</w:t>
      </w:r>
    </w:p>
    <w:p>
      <w:pPr>
        <w:spacing w:before="0" w:after="200" w:lineRule="auto" w:line="276"/>
      </w:pPr>
      <w:r>
        <w:rPr>
          <w:b/>
        </w:rPr>
        <w:t xml:space="preserve">Abstract (EN): </w:t>
      </w:r>
      <w:r>
        <w:t>Proton exchange membrane (PEM) water electrolysis is a promising strategy for large-scale hydrogen production; however, its industrial feasibility is hampered by the lack of highly active and durable oxygen evolution reaction (OER) catalysts in acidic environments. Ru-based catalysts offer high intrinsic activity but are susceptible to dissolution and structural degradation. To address this, this study proposes an electrically induced "nanoshield" strategy. A Ru single atom-doped Mn3O4 (Ru-Mn3O4) catalyst enables the in situ spontaneous reconstruction of the catalyst surface structure. Under an electric field, Mn3O4 crystals undergo interlayer slip and polarization rotation, inducing the growth of a porous MnO2 nanoshield on the catalyst surface, that effectively inhibits the dissolution of Ru active sites without compromising reaction activity. The catalyst exhibits excellent OER performance, delivering 10 mA cmgeo-2 at an overpotential of only 176 mV in 0.5 M H2SO4, and remains stable for over a year (8800 h) at a current density of 50 mA cmgeo-2. The PEM electrolyzer based on Ru-Mn3O4 shows a decay rate of 0.15 mV h-1 at 1000 mA cmgeo-2 and only 0.06 mV h-1 at 500 mA cmgeo-2, outperforming commercial RuO2. This study provides a new path for the construction of high-performance acidic OER catalysts and demonstrates the great potential of the nanoshield strategy in electrocatalytic structural protection.</w:t>
      </w:r>
    </w:p>
    <w:p>
      <w:pPr>
        <w:spacing w:before="120" w:after="120"/>
      </w:pPr>
      <w:r>
        <w:rPr>
          <w:sz w:val="18"/>
        </w:rPr>
        <w:t>——————————————————————————————————————————————————————————————————————</w:t>
      </w:r>
    </w:p>
    <w:p>
      <w:pPr>
        <w:spacing w:before="160" w:after="40" w:line="240" w:lineRule="auto"/>
      </w:pPr>
      <w:r>
        <w:rPr>
          <w:b/>
        </w:rPr>
        <w:t xml:space="preserve">[97] </w:t>
      </w:r>
      <w:hyperlink r:id="rId144">
        <w:r>
          <w:rPr>
            <w:color w:val="1155CC"/>
            <w:u w:val="single"/>
          </w:rPr>
          <w:t>[ASAP]更正为“代号为Perovskite太阳能电池的奥利戈默斯分子设计:对晶化和载体动力学的促进协同控制”</w:t>
        </w:r>
      </w:hyperlink>
    </w:p>
    <w:p>
      <w:pPr>
        <w:spacing w:before="0" w:after="80"/>
      </w:pPr>
      <w:r>
        <w:rPr>
          <w:i/>
          <w:sz w:val="20"/>
        </w:rPr>
        <w:t>EN: [ASAP] Correction to “Molecular Design of Oligomers for Codeposited Perovskite Solar Cells: Enabling Synergistic Control of Crystallization and Carrier Dynamics”</w:t>
      </w:r>
    </w:p>
    <w:p>
      <w:pPr>
        <w:spacing w:before="0" w:after="120"/>
      </w:pPr>
      <w:r>
        <w:rPr>
          <w:b/>
        </w:rPr>
        <w:t xml:space="preserve">Source: </w:t>
      </w:r>
      <w:r>
        <w:t>ACS Energy Letters: Latest Articles (ACS Publications)</w:t>
      </w:r>
      <w:r>
        <w:t xml:space="preserve">    </w:t>
      </w:r>
      <w:r>
        <w:rPr>
          <w:b/>
        </w:rPr>
        <w:t xml:space="preserve">Pub date: </w:t>
      </w:r>
      <w:r>
        <w:t>2026-01-06 13:27:00+00:00</w:t>
      </w:r>
      <w:r>
        <w:t xml:space="preserve">    </w:t>
      </w:r>
      <w:r>
        <w:rPr>
          <w:b/>
        </w:rPr>
        <w:t xml:space="preserve">DOI: </w:t>
      </w:r>
      <w:hyperlink r:id="rId145">
        <w:r>
          <w:rPr>
            <w:color w:val="1155CC"/>
            <w:u w:val="single"/>
          </w:rPr>
          <w:t>10.1021/acsenergylett.5c04167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[98] </w:t>
      </w:r>
      <w:hyperlink r:id="rId146">
        <w:r>
          <w:rPr>
            <w:color w:val="1155CC"/>
            <w:u w:val="single"/>
          </w:rPr>
          <w:t>[ASAP]使用帕拉磁和生物核磁核磁共振共振光谱的模型氢酶的相互校正蛋泰因动力动力学和催化活动</w:t>
        </w:r>
      </w:hyperlink>
    </w:p>
    <w:p>
      <w:pPr>
        <w:spacing w:before="0" w:after="80"/>
      </w:pPr>
      <w:r>
        <w:rPr>
          <w:i/>
          <w:sz w:val="20"/>
        </w:rPr>
        <w:t>EN: [ASAP] Correlating Protein Dynamics and Catalytic Activity of a Model Hydrogenase Using Paramagnetic and Biological Nuclear Magnetic Resonance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2026-01-06 14:13:01+00:00</w:t>
      </w:r>
      <w:r>
        <w:t xml:space="preserve">    </w:t>
      </w:r>
      <w:r>
        <w:rPr>
          <w:b/>
        </w:rPr>
        <w:t xml:space="preserve">DOI: </w:t>
      </w:r>
      <w:hyperlink r:id="rId147">
        <w:r>
          <w:rPr>
            <w:color w:val="1155CC"/>
            <w:u w:val="single"/>
          </w:rPr>
          <w:t>10.1021/jacs.5c15958</w:t>
        </w:r>
      </w:hyperlink>
    </w:p>
    <w:p>
      <w:pPr>
        <w:spacing w:before="0" w:after="120"/>
      </w:pPr>
      <w:r>
        <w:rPr>
          <w:b/>
        </w:rPr>
        <w:t xml:space="preserve">Notes: </w:t>
      </w:r>
      <w:r>
        <w:t>abstract_source=pubmed</w:t>
      </w:r>
    </w:p>
    <w:p>
      <w:pPr>
        <w:spacing w:before="0" w:after="80" w:lineRule="auto" w:line="276"/>
      </w:pPr>
      <w:r>
        <w:rPr>
          <w:b/>
        </w:rPr>
        <w:t xml:space="preserve">摘要（ZH）: </w:t>
      </w:r>
      <w:r>
        <w:t>理性催化剂设计仍然是一项重大挑战,因为已知电子结构、静电和静电效应有助于活动,最近,动态被认为是影响催化的另一个因素,尽管查明和预测这些效应仍然遥不可及,但已认识到动态是影响催化的另一个因素,镍代代用润滑毒素(NiRd),一种以蛋白为基础的氢酶酶仿冒物,作为一种示范催化系统,可以对活动动态进行系统调查。虽然Nird的30多个次基因变异体已证明具有催化作用,但没有发现这些变异体的速率与催化超潜能或电子结构之间存在重大关联,从而引发了对调节活动的蛋白衍生因素的疑问。</w:t>
      </w:r>
    </w:p>
    <w:p>
      <w:pPr>
        <w:spacing w:before="0" w:after="200" w:lineRule="auto" w:line="276"/>
      </w:pPr>
      <w:r>
        <w:rPr>
          <w:b/>
        </w:rPr>
        <w:t xml:space="preserve">Abstract (EN): </w:t>
      </w:r>
      <w:r>
        <w:t>Rational catalyst design remains a significant challenge, with electronic structure, steric, and electrostatic effects known to contribute to activity. Recently, dynamics has been recognized as another factor that impacts catalysis, though identifying and predicting these effects have remained out of reach. Nickel-substituted rubredoxin (NiRd), a protein-based mimic of a hydrogenase enzyme, serves as a model catalytic system in which dynamics can be systematically investigated with respect to activity. While over 30 secondary-sphere mutants of NiRd have been shown to be catalytically active, no significant correlation has been observed between the rates and catalytic overpotential or electronic structure, prompting questions about the protein-derived factors that modulate activity. In this work, NMR spectroscopy was used to investigate the roles of substrate accessibility, protein dynamics, and protein stability in controlling catalysis. Significant paramagnetic effects from the nickel center (S = 1) isolate the methylene proton resonances of the metal-coordinating cysteine residues. The sensitivity of resonance positions and line widths to local environment offers an opportunity to study dynamic molecular changes around the metal center with high resolution. Machine learning algorithms were employed to identify correlations between the catalytic activity and the paramagnetic NMR spectra. These analyses revealed spectroscopic features of specific cysteine protons that report on catalytic overpotential and increased turnover rates, which are further supported by the results obtained using high-field NMR techniques. Collectively, these studies indicate the potential for multifrequency NMR techniques to resolve key contributors to catalytic activity and highlight the importance of local and outer-sphere dynamics.</w:t>
      </w:r>
    </w:p>
    <w:p>
      <w:pPr>
        <w:spacing w:before="120" w:after="120"/>
      </w:pPr>
      <w:r>
        <w:rPr>
          <w:sz w:val="18"/>
        </w:rPr>
        <w:t>——————————————————————————————————————————————————————————————————————</w:t>
      </w:r>
    </w:p>
    <w:p>
      <w:pPr>
        <w:spacing w:before="160" w:after="40" w:line="240" w:lineRule="auto"/>
      </w:pPr>
      <w:r>
        <w:rPr>
          <w:b/>
        </w:rPr>
        <w:t xml:space="preserve">[99] </w:t>
      </w:r>
      <w:hyperlink r:id="rId148">
        <w:r>
          <w:rPr>
            <w:color w:val="1155CC"/>
            <w:u w:val="single"/>
          </w:rPr>
          <w:t>[ASAP]热驱动的固态阶段一交换,用于从热柱-壳到合金纳米结构的西图过渡</w:t>
        </w:r>
      </w:hyperlink>
    </w:p>
    <w:p>
      <w:pPr>
        <w:spacing w:before="0" w:after="80"/>
      </w:pPr>
      <w:r>
        <w:rPr>
          <w:i/>
          <w:sz w:val="20"/>
        </w:rPr>
        <w:t>EN: [ASAP] Thermally Driven Solid-Phase Ion Exchange for In Situ Transition from Heterocore–Shell to Alloy Nanostructures</w:t>
      </w:r>
    </w:p>
    <w:p>
      <w:pPr>
        <w:spacing w:before="0" w:after="120"/>
      </w:pPr>
      <w:r>
        <w:rPr>
          <w:b/>
        </w:rPr>
        <w:t xml:space="preserve">Source: </w:t>
      </w:r>
      <w:r>
        <w:t>Journal of the American Chemical Society: Latest Articles (ACS Publications)</w:t>
      </w:r>
      <w:r>
        <w:t xml:space="preserve">    </w:t>
      </w:r>
      <w:r>
        <w:rPr>
          <w:b/>
        </w:rPr>
        <w:t xml:space="preserve">Pub date: </w:t>
      </w:r>
      <w:r>
        <w:t>2026-01-06 14:13:50+00:00</w:t>
      </w:r>
      <w:r>
        <w:t xml:space="preserve">    </w:t>
      </w:r>
      <w:r>
        <w:rPr>
          <w:b/>
        </w:rPr>
        <w:t xml:space="preserve">DOI: </w:t>
      </w:r>
      <w:hyperlink r:id="rId149">
        <w:r>
          <w:rPr>
            <w:color w:val="1155CC"/>
            <w:u w:val="single"/>
          </w:rPr>
          <w:t>10.1021/jacs.5c17945</w:t>
        </w:r>
      </w:hyperlink>
    </w:p>
    <w:p>
      <w:pPr>
        <w:spacing w:before="0" w:after="120"/>
      </w:pPr>
      <w:r>
        <w:rPr>
          <w:b/>
        </w:rPr>
        <w:t xml:space="preserve">Notes: </w:t>
      </w:r>
      <w:r>
        <w:t>abstract_source=pubmed</w:t>
      </w:r>
    </w:p>
    <w:p>
      <w:pPr>
        <w:spacing w:before="0" w:after="80" w:lineRule="auto" w:line="276"/>
      </w:pPr>
      <w:r>
        <w:rPr>
          <w:b/>
        </w:rPr>
        <w:t xml:space="preserve">摘要（ZH）: </w:t>
      </w:r>
      <w:r>
        <w:t>合理设计和精确控制离子交换反应是制造多元素纳米结构的基本先决条件,这些结构在纳米光电、半导体装置、光催化和电池等新兴应用中具有定制功能。在离子交换过程中,通过调节热力参数,包括温度、离子物种和离子体等,成功地合成了各种纳米结构。然而,在直接解决原子规模空间调整机制方面仍然存在重大差距,这就需要对动态离子交换行为和相关的微结构演变进行系统调查。我们利用现场电子显微镜在 heterrocore-shell n 中解析固态离子迁移路径。</w:t>
      </w:r>
    </w:p>
    <w:p>
      <w:pPr>
        <w:spacing w:before="0" w:after="200" w:lineRule="auto" w:line="276"/>
      </w:pPr>
      <w:r>
        <w:rPr>
          <w:b/>
        </w:rPr>
        <w:t xml:space="preserve">Abstract (EN): </w:t>
      </w:r>
      <w:r>
        <w:t>Rational design and precise control of ion exchange reactions constitute fundamental prerequisites for fabricating multielement nanostructures with tailored functionalities in emerging applications spanning nanophotonics, semiconductor devices, photocatalysis, and batteries. A variety of nanostructures have been successfully synthesized by regulating thermodynamic parameters, including temperature, ionic species, and ligands, during ion exchange processes. However, critical gaps persist in directly resolving the atomic-scale spatial rearrangement mechanism, which necessitates systematic investigation of dynamic ion exchange behavior and the correlated microstructure evolution. Herein, we employ in situ electron microscopy to decipher solid-state ion migration pathways in heterocore-shell nanowire systems, quantitatively analyzing formation processes and reaction kinetics under a uniform thermal field. Our findings demonstrate that thermal activation promotes Ag ion diffusion along TeXSey@Se core-shell NWs and the bulk diffusion of Te, enabling the formation of homogeneous Ag2SexTe1-x alloys through intracrystalline reorganization, differing from electron beam irradiation, which induces surface-dominated Ag ion diffusion, yielding dual-core-shell architectures. Phase-field simulations unambiguously reconstruct these divergent transport pathways and structural transformations. Besides, with a sufficient Ag supply, up to 5.5 mm migration distance can be achieved, resulting in a centimeter-scale nanofilm. This mechanistic understanding of solid-state ion kinetics and phase transition dynamics establishes a paradigm for intentional interconversion between multiphase heterostructures and monophasic systems, providing a design framework for next-generation functional nanomaterials.</w:t>
      </w:r>
    </w:p>
    <w:p>
      <w:pPr>
        <w:spacing w:before="120" w:after="120"/>
      </w:pPr>
      <w:r>
        <w:rPr>
          <w:sz w:val="18"/>
        </w:rPr>
        <w:t>——————————————————————————————————————————————————————————————————————</w:t>
      </w:r>
    </w:p>
    <w:p>
      <w:pPr>
        <w:spacing w:before="160" w:after="40" w:line="240" w:lineRule="auto"/>
      </w:pPr>
      <w:r>
        <w:rPr>
          <w:b/>
        </w:rPr>
        <w:t xml:space="preserve">[100] </w:t>
      </w:r>
      <w:hyperlink r:id="rId150">
        <w:r>
          <w:rPr>
            <w:color w:val="1155CC"/>
            <w:u w:val="single"/>
          </w:rPr>
          <w:t>[ASAP]通过双量一致性电流回旋共振方法检测在一种内在紊乱的蛋白质中突变-诱导的畸形变化</w:t>
        </w:r>
      </w:hyperlink>
    </w:p>
    <w:p>
      <w:pPr>
        <w:spacing w:before="0" w:after="80"/>
      </w:pPr>
      <w:r>
        <w:rPr>
          <w:i/>
          <w:sz w:val="20"/>
        </w:rPr>
        <w:t>EN: [ASAP] Detection of Mutation-Induced Conformational Changes in an Intrinsically Disordered Protein by Double Quantum Coherence Electron Spin Resonance Methodology</w:t>
      </w:r>
    </w:p>
    <w:p>
      <w:pPr>
        <w:spacing w:before="0" w:after="120"/>
      </w:pPr>
      <w:r>
        <w:rPr>
          <w:b/>
        </w:rPr>
        <w:t xml:space="preserve">Source: </w:t>
      </w:r>
      <w:r>
        <w:t>Journal of the American Chemical Society: Latest Articles (ACS Publications)</w:t>
      </w:r>
      <w:r>
        <w:t xml:space="preserve">    </w:t>
      </w:r>
      <w:r>
        <w:rPr>
          <w:b/>
        </w:rPr>
        <w:t xml:space="preserve">Pub date: </w:t>
      </w:r>
      <w:r>
        <w:t>2026-01-06 14:33:46+00:00</w:t>
      </w:r>
      <w:r>
        <w:t xml:space="preserve">    </w:t>
      </w:r>
      <w:r>
        <w:rPr>
          <w:b/>
        </w:rPr>
        <w:t xml:space="preserve">DOI: </w:t>
      </w:r>
      <w:hyperlink r:id="rId151">
        <w:r>
          <w:rPr>
            <w:color w:val="1155CC"/>
            <w:u w:val="single"/>
          </w:rPr>
          <w:t>10.1021/jacs.5c16298</w:t>
        </w:r>
      </w:hyperlink>
    </w:p>
    <w:p>
      <w:pPr>
        <w:spacing w:before="0" w:after="120"/>
      </w:pPr>
      <w:r>
        <w:rPr>
          <w:b/>
        </w:rPr>
        <w:t xml:space="preserve">Notes: </w:t>
      </w:r>
      <w:r>
        <w:t>abstract_source=pubmed</w:t>
      </w:r>
    </w:p>
    <w:p>
      <w:pPr>
        <w:spacing w:before="0" w:after="80" w:lineRule="auto" w:line="276"/>
      </w:pPr>
      <w:r>
        <w:rPr>
          <w:b/>
        </w:rPr>
        <w:t xml:space="preserve">摘要（ZH）: </w:t>
      </w:r>
      <w:r>
        <w:t>遗传障碍蛋白质是基本细胞功能的基础,通过突变引起的结构变化驱动神经退化性疾病,然而其异质性异质性往往逃避晶体学和冷冻-EM。 电子旋转共振(ESR)脉冲双极分光镜(PDS)决定了蛋白中一对旋转标签残留物之间的距离分布,可以提供与国内流离失所者的异质性相关的补充和有意义的信息。双量一致(DQC)是一个重要的 ESR PDS技术,能够测量很广的距离(10-至少80°),是一种可以轻易去除的单频率技术。这使得DQC成为探测国内流离失所者的理想选择。我们展示了一个完整的t。</w:t>
      </w:r>
    </w:p>
    <w:p>
      <w:pPr>
        <w:spacing w:before="0" w:after="200" w:lineRule="auto" w:line="276"/>
      </w:pPr>
      <w:r>
        <w:rPr>
          <w:b/>
        </w:rPr>
        <w:t xml:space="preserve">Abstract (EN): </w:t>
      </w:r>
      <w:r>
        <w:t>Intrinsically disordered proteins (IDPs) underlie essential cellular functions and drive neurodegenerative diseases through mutation-induced structural changes, yet their conformational heterogeneity often evades crystallography and cryo-EM. Electron spin resonance (ESR) pulsed dipolar spectroscopy (PDS), which determines distance distributions between a pair of spin-labeled residues in a protein, can provide complementary and meaningful information related to conformational heterogeneity in IDPs. Double quantum coherence (DQC) is an important ESR PDS technique, capable of measuring a wide range of distances (∼10 to at least 80 Å), and is a single-frequency technique with a small background that can be easily removed. This makes DQC an ideal candidate to probe IDPs. We present a complete theoretical framework for DQC data analysis, incorporating pseudosecular dipolar coupling and finite pulse effects, enabling rapid and accurate reconstruction of complex distance distributions in doubly nitroxide-labeled IDPs. We validate the method on rigid biradicals with known interspin distances. The application to a tau protein fragment (jR2R3) reveals distinct end-to-end distance distributions for the wild-type vs the disease-associated P301L mutant. The results expose differences in their conformational distributions, which likely govern their divergent aggregation propensities. This advance also establishes DQC ESR as a powerful, accessible tool for probing disorders in biomolecular systems.</w:t>
      </w:r>
    </w:p>
    <w:p>
      <w:pPr>
        <w:spacing w:before="120" w:after="120"/>
      </w:pPr>
      <w:r>
        <w:rPr>
          <w:sz w:val="18"/>
        </w:rPr>
        <w:t>——————————————————————————————————————————————————————————————————————</w:t>
      </w:r>
    </w:p>
    <w:p>
      <w:pPr>
        <w:spacing w:before="160" w:after="40" w:line="240" w:lineRule="auto"/>
      </w:pPr>
      <w:r>
        <w:rPr>
          <w:b/>
        </w:rPr>
        <w:t xml:space="preserve">[101] </w:t>
      </w:r>
      <w:hyperlink r:id="rId152">
        <w:r>
          <w:rPr>
            <w:color w:val="1155CC"/>
            <w:u w:val="single"/>
          </w:rPr>
          <w:t>[ASAP] 晶晶苯乙烯二极离子,通过中间光电化学分解,单电子传输链反应</w:t>
        </w:r>
      </w:hyperlink>
    </w:p>
    <w:p>
      <w:pPr>
        <w:spacing w:before="0" w:after="80"/>
      </w:pPr>
      <w:r>
        <w:rPr>
          <w:i/>
          <w:sz w:val="20"/>
        </w:rPr>
        <w:t>EN: [ASAP] Crystalline Thymine Dimers Splitting by an Interfacial Photomechanochemical Single Electron Transfer Chain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2026-01-06 14:34:40+00:00</w:t>
      </w:r>
      <w:r>
        <w:t xml:space="preserve">    </w:t>
      </w:r>
      <w:r>
        <w:rPr>
          <w:b/>
        </w:rPr>
        <w:t xml:space="preserve">DOI: </w:t>
      </w:r>
      <w:hyperlink r:id="rId153">
        <w:r>
          <w:rPr>
            <w:color w:val="1155CC"/>
            <w:u w:val="single"/>
          </w:rPr>
          <w:t>10.1021/jacs.5c17553</w:t>
        </w:r>
      </w:hyperlink>
    </w:p>
    <w:p>
      <w:pPr>
        <w:spacing w:before="0" w:after="120"/>
      </w:pPr>
      <w:r>
        <w:rPr>
          <w:b/>
        </w:rPr>
        <w:t xml:space="preserve">Notes: </w:t>
      </w:r>
      <w:r>
        <w:t>abstract_source=pubmed</w:t>
      </w:r>
    </w:p>
    <w:p>
      <w:pPr>
        <w:spacing w:before="0" w:after="80" w:lineRule="auto" w:line="276"/>
      </w:pPr>
      <w:r>
        <w:rPr>
          <w:b/>
        </w:rPr>
        <w:t xml:space="preserve">摘要（ZH）: </w:t>
      </w:r>
      <w:r>
        <w:t>在固体状态下,可通过SET光化学反应与N、N、N、N-四甲基-1、4-苯二二胺(TMPD)作为光化学还原剂的合成合成SET光化学反应,在固体状态下将芯片、合金二甲基二甲基二硝胺(TDD)分解成薄膜(T),机械磨制使TMPD敏化剂能够统一沉淀在稀释表面,而这种固体-固体混合物(TD+TMPD)的光辐照在作为链反应传播到晶体大部分的固体-固体界面上触发电子转移,探讨的变量包括敏化剂装载和准备战略,其中包括固体-固体混合以及将光敏化剂从溶液中沉入TD表面,观察到了洁净的固体-固体转化,其产品产量高达95%。</w:t>
      </w:r>
    </w:p>
    <w:p>
      <w:pPr>
        <w:spacing w:before="0" w:after="200" w:lineRule="auto" w:line="276"/>
      </w:pPr>
      <w:r>
        <w:rPr>
          <w:b/>
        </w:rPr>
        <w:t xml:space="preserve">Abstract (EN): </w:t>
      </w:r>
      <w:r>
        <w:t>Splitting of the cis, syn thymine dimer (TD) into thymine (T) can be achieved in the solid state via an interfacial SET photomechanochemical reaction with N,N,N,N-tetramethyl-1,4-phenylenediamine (TMPD) as the photochemical reductant. Mechanical grinding enabled the uniform deposition of the TMPD sensitizer on the dimer surface, and photoirradiation of this solid-solid mixture (TD+TMPD) triggered electron transfer at the solid-solid interface that was propagated into the bulk of the crystal as a chain reaction. Variables explored included sensitizer loading and preparation strategies that included solid-solid mixing and the deposition of the photosensitizer onto the TD surface from solution. Clean solid-to-solid transformations were observed with product yields as high as ∼95%.</w:t>
      </w:r>
    </w:p>
    <w:p>
      <w:pPr>
        <w:spacing w:before="120" w:after="120"/>
      </w:pPr>
      <w:r>
        <w:rPr>
          <w:sz w:val="18"/>
        </w:rPr>
        <w:t>——————————————————————————————————————————————————————————————————————</w:t>
      </w:r>
    </w:p>
    <w:p>
      <w:pPr>
        <w:spacing w:before="160" w:after="40" w:line="240" w:lineRule="auto"/>
      </w:pPr>
      <w:r>
        <w:rPr>
          <w:b/>
        </w:rPr>
        <w:t xml:space="preserve">[102] </w:t>
      </w:r>
      <w:hyperlink r:id="rId154">
        <w:r>
          <w:rPr>
            <w:color w:val="1155CC"/>
            <w:u w:val="single"/>
          </w:rPr>
          <w:t>[ASAP] 由聚(氨酸)通过微微粒纤维放大作用诱导旁观者串联毒性星环毒性的调压选择自组网络</w:t>
        </w:r>
      </w:hyperlink>
    </w:p>
    <w:p>
      <w:pPr>
        <w:spacing w:before="0" w:after="80"/>
      </w:pPr>
      <w:r>
        <w:rPr>
          <w:i/>
          <w:sz w:val="20"/>
        </w:rPr>
        <w:t>EN: [ASAP] A Tumor-Selective Self-Assembling Network of Poly(amino acid) Induces Cascading Bystander Cytotoxicity through Microvesicle Fission Amplification</w:t>
      </w:r>
    </w:p>
    <w:p>
      <w:pPr>
        <w:spacing w:before="0" w:after="120"/>
      </w:pPr>
      <w:r>
        <w:rPr>
          <w:b/>
        </w:rPr>
        <w:t xml:space="preserve">Source: </w:t>
      </w:r>
      <w:r>
        <w:t>Journal of the American Chemical Society: Latest Articles (ACS Publications)</w:t>
      </w:r>
      <w:r>
        <w:t xml:space="preserve">    </w:t>
      </w:r>
      <w:r>
        <w:rPr>
          <w:b/>
        </w:rPr>
        <w:t xml:space="preserve">Pub date: </w:t>
      </w:r>
      <w:r>
        <w:t>2026-01-06 14:35:39+00:00</w:t>
      </w:r>
      <w:r>
        <w:t xml:space="preserve">    </w:t>
      </w:r>
      <w:r>
        <w:rPr>
          <w:b/>
        </w:rPr>
        <w:t xml:space="preserve">DOI: </w:t>
      </w:r>
      <w:hyperlink r:id="rId155">
        <w:r>
          <w:rPr>
            <w:color w:val="1155CC"/>
            <w:u w:val="single"/>
          </w:rPr>
          <w:t>10.1021/jacs.5c09790</w:t>
        </w:r>
      </w:hyperlink>
    </w:p>
    <w:p>
      <w:pPr>
        <w:spacing w:before="0" w:after="120"/>
      </w:pPr>
      <w:r>
        <w:rPr>
          <w:b/>
        </w:rPr>
        <w:t xml:space="preserve">Notes: </w:t>
      </w:r>
      <w:r>
        <w:t>abstract_source=pubmed</w:t>
      </w:r>
    </w:p>
    <w:p>
      <w:pPr>
        <w:spacing w:before="0" w:after="80" w:lineRule="auto" w:line="276"/>
      </w:pPr>
      <w:r>
        <w:rPr>
          <w:b/>
        </w:rPr>
        <w:t xml:space="preserve">摘要（ZH）: </w:t>
      </w:r>
      <w:r>
        <w:t>外细胞囊囊(EVs)已成为细胞间交流和治疗性提供的关键调解者,然而,目前依靠体外操纵的以EV为基础的战略遇到了重大限制,包括非特定生物分布、有限的肿瘤积累和减少生物活动,这突出表明了在肿瘤内局部生产治疗性EV的必要性。为了解决这个问题,正在开发一种合理设计的聚(D-氨酸)共聚(D-氨酸)共聚物、甲基氧聚(乙基甘醇)-聚(甲苯基)-聚(D-lysine10)-聚(O-phos-D-tyrosine5-co-D-alayn25)(EG45-D-K-D-pYA),这种聚氨酸磷酸酯(ALP)-催化自我安葬,以形成一种按肿瘤定位的、假定的聚物。</w:t>
      </w:r>
    </w:p>
    <w:p>
      <w:pPr>
        <w:spacing w:before="0" w:after="200" w:lineRule="auto" w:line="276"/>
      </w:pPr>
      <w:r>
        <w:rPr>
          <w:b/>
        </w:rPr>
        <w:t xml:space="preserve">Abstract (EN): </w:t>
      </w:r>
      <w:r>
        <w:t>Signal transduction is essential for tumor progression and therapeutic response. Extracellular vesicles (EVs) have emerged as critical mediators of intercellular communication and therapeutic delivery. However, current EV-based strategies that rely on ex vivo manipulation encounter significant limitations, including nonspecific biodistribution, limited tumor accumulation, and diminished biological activity, underscoring the need for the localized production of therapeutic EVs within tumors. To address this, a rationally designed poly(D-amino acid) copolymer, methoxy poly(ethylene glycol)-block-poly(D-lysine10)-block-poly(O-phospho-D-tyrosine5-co-D-alanine25) (EG45-D-K-D-pYA), is developed, which undergoes alkaline phosphatase (ALP)-catalyzed self-assembly to form a tumor-localized, positively charged network. This assembly triggers the formation of localized microvesicles (MVs) and initiates a self-sustaining fission cascade, amplifying the cytotoxic signaling. Upon ALP catalysis, 88.3% of the phosphate group in EG45-D-K-D-pYA is hydrolyzed within 24 h, shifting zeta potential from -4.95 to +25.0 mV and increasing β-sheet content from 4.0% to 46.0%, promoting a morphological transition from nanoparticle to network. EG45-D-K-D-pYA disrupts tumor cell membranes, mitochondria, and nuclei, inducing potent tumor-selective cytotoxicity (IC50 = 0.58 μM at 24 h) and in situ generation of positively charged MVs (ζ = +32.9 mV). These MVs, enriched with membrane fragments, poly(amino acid)s, and mitochondrial and nuclear components, further mediate tumor-selective cell death and sustain cytotoxic propagation across four MV generations (P0-P4), with cytotoxicity rates of 53.13%, 28.71%, 36.35%, 24.69%, and 7.05%, respectively. EG45-D-K-D-pYA achieves 90.1% tumor growth inhibition and markedly suppresses metastases by forming network in vivo. This study presents a tumor-selective therapeutic approach that integrates enzyme-triggered self-assembly with MV-driven fission amplification to induce robust bystander cytotoxicity and sustained tumor suppression.</w:t>
      </w:r>
    </w:p>
    <w:p>
      <w:pPr>
        <w:spacing w:before="120" w:after="120"/>
      </w:pPr>
      <w:r>
        <w:rPr>
          <w:sz w:val="18"/>
        </w:rPr>
        <w:t>——————————————————————————————————————————————————————————————————————</w:t>
      </w:r>
    </w:p>
    <w:p>
      <w:pPr>
        <w:spacing w:before="160" w:after="40" w:line="240" w:lineRule="auto"/>
      </w:pPr>
      <w:r>
        <w:rPr>
          <w:b/>
        </w:rPr>
        <w:t xml:space="preserve">[103] </w:t>
      </w:r>
      <w:hyperlink r:id="rId156">
        <w:r>
          <w:rPr>
            <w:color w:val="1155CC"/>
            <w:u w:val="single"/>
          </w:rPr>
          <w:t>[ASAP]在T-shaped Bi(NNN)综合体中进行非生物反应和可移植的甲基转移</w:t>
        </w:r>
      </w:hyperlink>
    </w:p>
    <w:p>
      <w:pPr>
        <w:spacing w:before="0" w:after="80"/>
      </w:pPr>
      <w:r>
        <w:rPr>
          <w:i/>
          <w:sz w:val="20"/>
        </w:rPr>
        <w:t>EN: [ASAP] Ambiphilic Reactivity and Switchable Methyl Transfer at a T-Shaped Bi(NNN) Complex Enabled by a Redox-Active Pincer Ligand</w:t>
      </w:r>
    </w:p>
    <w:p>
      <w:pPr>
        <w:spacing w:before="0" w:after="120"/>
      </w:pPr>
      <w:r>
        <w:rPr>
          <w:b/>
        </w:rPr>
        <w:t xml:space="preserve">Source: </w:t>
      </w:r>
      <w:r>
        <w:t>Journal of the American Chemical Society: Latest Articles (ACS Publications)</w:t>
      </w:r>
      <w:r>
        <w:t xml:space="preserve">    </w:t>
      </w:r>
      <w:r>
        <w:rPr>
          <w:b/>
        </w:rPr>
        <w:t xml:space="preserve">Pub date: </w:t>
      </w:r>
      <w:r>
        <w:t>2026-01-06 14:36:02+00:00</w:t>
      </w:r>
      <w:r>
        <w:t xml:space="preserve">    </w:t>
      </w:r>
      <w:r>
        <w:rPr>
          <w:b/>
        </w:rPr>
        <w:t xml:space="preserve">DOI: </w:t>
      </w:r>
      <w:hyperlink r:id="rId157">
        <w:r>
          <w:rPr>
            <w:color w:val="1155CC"/>
            <w:u w:val="single"/>
          </w:rPr>
          <w:t>10.1021/jacs.5c18955</w:t>
        </w:r>
      </w:hyperlink>
    </w:p>
    <w:p>
      <w:pPr>
        <w:spacing w:before="0" w:after="120"/>
      </w:pPr>
      <w:r>
        <w:rPr>
          <w:b/>
        </w:rPr>
        <w:t xml:space="preserve">Notes: </w:t>
      </w:r>
      <w:r>
        <w:t>abstract_source=pubmed</w:t>
      </w:r>
    </w:p>
    <w:p>
      <w:pPr>
        <w:spacing w:before="0" w:after="80" w:lineRule="auto" w:line="276"/>
      </w:pPr>
      <w:r>
        <w:rPr>
          <w:b/>
        </w:rPr>
        <w:t xml:space="preserve">摘要（ZH）: </w:t>
      </w:r>
      <w:r>
        <w:t>我们报告了一个几何限制的、双双双双(III)三相对称的三相交结合体的过渡-金属反应。Bi(III)中心的平化在与使用过的NNN Pincer ligand 加上双电氧化物的轻电极(alkyl Iodides和三相配)配合时释放出Bi-C债券的形成过程,并伴之以使用NNNNNNN(M)(NNNN)]+//-红氧化状态的全电子氧化。通过单晶X射线分解和X射线吸收光分光谱法加以确认,并用理论计算加以证实。氧化离子框架的递减顺序改变了生成的双米单元的再活动,使得能够有控制地获取甲基电离子、基和离子等。完整[Bi(M)(NNNN)]+//-Rox系列的特征是使用NMR和EPR光谱法以及光谱的完整特征。</w:t>
      </w:r>
    </w:p>
    <w:p>
      <w:pPr>
        <w:spacing w:before="0" w:after="200" w:lineRule="auto" w:line="276"/>
      </w:pPr>
      <w:r>
        <w:rPr>
          <w:b/>
        </w:rPr>
        <w:t xml:space="preserve">Abstract (EN): </w:t>
      </w:r>
      <w:r>
        <w:t>We report the transition-metal-like reactivity of a geometrically constrained, ambiphilic bismuth(III) trisamide. Planarization of the Bi(III) center unlocks Bi-C bond formation when reacted with mild electrophiles (alkyl iodides and triflates) accompanied by two-electron oxidation of the utilized NNN pincer ligand. The preservation of the bismuth oxidation state is confirmed by single-crystal X-ray diffraction and X-ray absorption spectroscopy and corroborated by theoretical calculations. Sequential reduction of the oxidized ligand framework alters the reactivity of a generated Bi-Me unit, enabling controlled access to methyl cation, radical, and anion equivalents. The full [Bi(Me)(NNN)]+/•/- redox series was comprehensively characterized using NMR and EPR spectroscopy as well as spectro-electrochemistry. This work represents the first example of ligand-assisted, redox-neutral C-X bond splitting at bismuth, establishing a new paradigm for synthetic bismuth chemistry.</w:t>
      </w:r>
    </w:p>
    <w:p>
      <w:pPr>
        <w:spacing w:before="120" w:after="120"/>
      </w:pPr>
      <w:r>
        <w:rPr>
          <w:sz w:val="18"/>
        </w:rPr>
        <w:t>——————————————————————————————————————————————————————————————————————</w:t>
      </w:r>
    </w:p>
    <w:p>
      <w:pPr>
        <w:spacing w:before="160" w:after="40" w:line="240" w:lineRule="auto"/>
      </w:pPr>
      <w:r>
        <w:rPr>
          <w:b/>
        </w:rPr>
        <w:t xml:space="preserve">[104] </w:t>
      </w:r>
      <w:hyperlink r:id="rId158">
        <w:r>
          <w:rPr>
            <w:color w:val="1155CC"/>
            <w:u w:val="single"/>
          </w:rPr>
          <w:t>[ASAP]在监测微塑料等离子体经检测降解的硅SERS中</w:t>
        </w:r>
      </w:hyperlink>
    </w:p>
    <w:p>
      <w:pPr>
        <w:spacing w:before="0" w:after="80"/>
      </w:pPr>
      <w:r>
        <w:rPr>
          <w:i/>
          <w:sz w:val="20"/>
        </w:rPr>
        <w:t>EN: [ASAP] In Situ SERS Monitoring of Plasmon-Mediated Degradation of Microplastics</w:t>
      </w:r>
    </w:p>
    <w:p>
      <w:pPr>
        <w:spacing w:before="0" w:after="120"/>
      </w:pPr>
      <w:r>
        <w:rPr>
          <w:b/>
        </w:rPr>
        <w:t xml:space="preserve">Source: </w:t>
      </w:r>
      <w:r>
        <w:t>Journal of the American Chemical Society: Latest Articles (ACS Publications)</w:t>
      </w:r>
      <w:r>
        <w:t xml:space="preserve">    </w:t>
      </w:r>
      <w:r>
        <w:rPr>
          <w:b/>
        </w:rPr>
        <w:t xml:space="preserve">Pub date: </w:t>
      </w:r>
      <w:r>
        <w:t>2026-01-06 14:58:56+00:00</w:t>
      </w:r>
      <w:r>
        <w:t xml:space="preserve">    </w:t>
      </w:r>
      <w:r>
        <w:rPr>
          <w:b/>
        </w:rPr>
        <w:t xml:space="preserve">DOI: </w:t>
      </w:r>
      <w:hyperlink r:id="rId159">
        <w:r>
          <w:rPr>
            <w:color w:val="1155CC"/>
            <w:u w:val="single"/>
          </w:rPr>
          <w:t>10.1021/jacs.5c18907</w:t>
        </w:r>
      </w:hyperlink>
    </w:p>
    <w:p>
      <w:pPr>
        <w:spacing w:before="0" w:after="120"/>
      </w:pPr>
      <w:r>
        <w:rPr>
          <w:b/>
        </w:rPr>
        <w:t xml:space="preserve">Notes: </w:t>
      </w:r>
      <w:r>
        <w:t>abstract_source=pubmed</w:t>
      </w:r>
    </w:p>
    <w:p>
      <w:pPr>
        <w:spacing w:before="0" w:after="80" w:lineRule="auto" w:line="276"/>
      </w:pPr>
      <w:r>
        <w:rPr>
          <w:b/>
        </w:rPr>
        <w:t xml:space="preserve">摘要（ZH）: </w:t>
      </w:r>
      <w:r>
        <w:t>微塑料是化学上稳定的、环境上持久性的污染物,在自然生态系统中积累,对环境和人类健康都构成潜在风险。尽管人们日益关切,但针对有辱人格的MP和解释其化学变异的有效战略仍然有限。在本研究中,我们展示了利用可见光辐照下的Au纳米粒子聚集(NPCs)的水溶液中聚乙烯(PE)微塑料的颗粒中流降解。在Au NPCs内部的Nanogaps作为颗粒热点,在退化过程中产生并使用热载体,而强化的电磁场则能够通过地表增强的拉曼散射(SERS)对化学变化进行表面敏感探测。</w:t>
      </w:r>
    </w:p>
    <w:p>
      <w:pPr>
        <w:spacing w:before="0" w:after="200" w:lineRule="auto" w:line="276"/>
      </w:pPr>
      <w:r>
        <w:rPr>
          <w:b/>
        </w:rPr>
        <w:t xml:space="preserve">Abstract (EN): </w:t>
      </w:r>
      <w:r>
        <w:t>Microplastics (MPs) are chemically stable and environmentally persistent pollutants that accumulate in natural ecosystems, posing potential risks to both environmental and human health. Despite growing concern, effective strategies for degrading MPs and elucidating their chemical transformations remain limited. In this study, we demonstrate plasmon-mediated degradation of polyethylene (PE) microplastics in aqueous solution using Au nanoparticle clusters (NPCs) under visible light irradiation. Nanogaps within the Au NPCs act as plasmonic hot spots, where hot carriers are generated and utilized in the degradation process, while the enhanced electromagnetic fields enable surface-sensitive detection of chemical changes via surface-enhanced Raman scattering (SERS). By leveraging the integrated catalytic and spectroscopic capabilities of Au NPCs, we conducted real-time SERS monitoring to reveal the plasmon-mediated degradation mechanism of PE MPs.</w:t>
      </w:r>
    </w:p>
    <w:p>
      <w:pPr>
        <w:spacing w:before="120" w:after="120"/>
      </w:pPr>
      <w:r>
        <w:rPr>
          <w:sz w:val="18"/>
        </w:rPr>
        <w:t>——————————————————————————————————————————————————————————————————————</w:t>
      </w:r>
    </w:p>
    <w:p>
      <w:pPr>
        <w:spacing w:before="160" w:after="40" w:line="240" w:lineRule="auto"/>
      </w:pPr>
      <w:r>
        <w:rPr>
          <w:b/>
        </w:rPr>
        <w:t xml:space="preserve">[105] </w:t>
      </w:r>
      <w:hyperlink r:id="rId160">
        <w:r>
          <w:rPr>
            <w:color w:val="1155CC"/>
            <w:u w:val="single"/>
          </w:rPr>
          <w:t>[ASAP] 用于玻璃热传导和高热电性能的AgMnSbPbTe4中中性AgMnSbPbTe4结构差异性</w:t>
        </w:r>
      </w:hyperlink>
    </w:p>
    <w:p>
      <w:pPr>
        <w:spacing w:before="0" w:after="80"/>
      </w:pPr>
      <w:r>
        <w:rPr>
          <w:i/>
          <w:sz w:val="20"/>
        </w:rPr>
        <w:t>EN: [ASAP] Structural Heterogeneity in Medium-Entropy AgMnSbPbTe4 for Glassy Thermal Transport and High Thermoelectric Performance</w:t>
      </w:r>
    </w:p>
    <w:p>
      <w:pPr>
        <w:spacing w:before="0" w:after="120"/>
      </w:pPr>
      <w:r>
        <w:rPr>
          <w:b/>
        </w:rPr>
        <w:t xml:space="preserve">Source: </w:t>
      </w:r>
      <w:r>
        <w:t>Journal of the American Chemical Society: Latest Articles (ACS Publications)</w:t>
      </w:r>
      <w:r>
        <w:t xml:space="preserve">    </w:t>
      </w:r>
      <w:r>
        <w:rPr>
          <w:b/>
        </w:rPr>
        <w:t xml:space="preserve">Pub date: </w:t>
      </w:r>
      <w:r>
        <w:t>2026-01-06 15:45:48+00:00</w:t>
      </w:r>
      <w:r>
        <w:t xml:space="preserve">    </w:t>
      </w:r>
      <w:r>
        <w:rPr>
          <w:b/>
        </w:rPr>
        <w:t xml:space="preserve">DOI: </w:t>
      </w:r>
      <w:hyperlink r:id="rId161">
        <w:r>
          <w:rPr>
            <w:color w:val="1155CC"/>
            <w:u w:val="single"/>
          </w:rPr>
          <w:t>10.1021/jacs.5c17198</w:t>
        </w:r>
      </w:hyperlink>
    </w:p>
    <w:p>
      <w:pPr>
        <w:spacing w:before="0" w:after="120"/>
      </w:pPr>
      <w:r>
        <w:rPr>
          <w:b/>
        </w:rPr>
        <w:t xml:space="preserve">Notes: </w:t>
      </w:r>
      <w:r>
        <w:t>abstract_source=pubmed</w:t>
      </w:r>
    </w:p>
    <w:p>
      <w:pPr>
        <w:spacing w:before="0" w:after="80" w:lineRule="auto" w:line="276"/>
      </w:pPr>
      <w:r>
        <w:rPr>
          <w:b/>
        </w:rPr>
        <w:t xml:space="preserve">摘要（ZH）: </w:t>
      </w:r>
      <w:r>
        <w:t>中有机有机半导体代表了一种独特的昆虫工程材料类别,在原子混合中具有相当程度的随机性,尽管这不足以最终实现单阶段结构稳定化,与高有机材料相比,这不足以最终实现单阶段结构稳定化,从而在形成不同阶段之间形成激烈竞争,这可能导致结构异质性。在这项工作中,我们在微缩识别的中有机有机物半导体AgMnSbPbTe4中发现了内税纳米沉降物。这些纳米沉降物最初在运动稳定的AgMnSbPTe4内立方相结晶(Fm3厘米),随后在热脉冲期间演变为热动力稳定的单球级(P21/c)。</w:t>
      </w:r>
    </w:p>
    <w:p>
      <w:pPr>
        <w:spacing w:before="0" w:after="200" w:lineRule="auto" w:line="276"/>
      </w:pPr>
      <w:r>
        <w:rPr>
          <w:b/>
        </w:rPr>
        <w:t xml:space="preserve">Abstract (EN): </w:t>
      </w:r>
      <w:r>
        <w:t>Medium-entropy semiconductors represent a unique category of entropy-engineered materials. They possess a considerable level of randomness in atomic mixing, although this is not sufficient to conclusively achieve single-phase structure stabilization, in contrast to high-entropy materials. This introduces strong competition between the formation of different phases, which can potentially lead to structural heterogeneity. In this work, we uncover endotaxial nanoprecipitates in the microscopically identified homogeneous medium-entropy semiconductor AgMnSbPbTe4. These nanoprecipitates initially crystallize in a cubic phase (Fm3̅m) within kinetically stabilized AgMnSbPbTe4, subsequently evolving into a thermodynamically stable monoclinic phase (P21/c) during thermal annealing while maintaining an endotaxial relationship with the matrix lattice. This nanophase segregation and the resultant lattice mismatch at interfaces introduce strain fluctuations up to 5% at intervals of 20 nm across the entire microstructure. Within the matrix phase, atomic displacement of up to 23 pm was observed. This structural heterogeneity results in glass-like thermal transport behavior, achieving an ultralow lattice thermal conductivity κL = 0.312 Wm-1 K-1 at 800 K, which is in accordance with the amorphous limit predicted by the Cahill model. The synergy of band convergence effect and well-maintained carrier mobility leads to a maximum ZT of 1.72 at 800 K and an average ZTavg of 1.02 over the temperature range of 300-825 K. This study highlights that the underexplored structural heterogeneity in medium-entropy semiconductors can potentially yield beneficial phenomena, such as the phonon-glass electron-crystal transport behavior in this case, which holds promise for advancing thermoelectric applications.</w:t>
      </w:r>
    </w:p>
    <w:p>
      <w:pPr>
        <w:spacing w:before="120" w:after="120"/>
      </w:pPr>
      <w:r>
        <w:rPr>
          <w:sz w:val="18"/>
        </w:rPr>
        <w:t>——————————————————————————————————————————————————————————————————————</w:t>
      </w:r>
    </w:p>
    <w:p>
      <w:pPr>
        <w:spacing w:before="160" w:after="40" w:line="240" w:lineRule="auto"/>
      </w:pPr>
      <w:r>
        <w:rPr>
          <w:b/>
        </w:rPr>
        <w:t xml:space="preserve">[106] </w:t>
      </w:r>
      <w:hyperlink r:id="rId162">
        <w:r>
          <w:rPr>
            <w:color w:val="1155CC"/>
            <w:u w:val="single"/>
          </w:rPr>
          <w:t>[ASAP] W3Re2C的超导性,具有等级结构</w:t>
        </w:r>
      </w:hyperlink>
    </w:p>
    <w:p>
      <w:pPr>
        <w:spacing w:before="0" w:after="80"/>
      </w:pPr>
      <w:r>
        <w:rPr>
          <w:i/>
          <w:sz w:val="20"/>
        </w:rPr>
        <w:t>EN: [ASAP] Superconductivity in W3Re2C with Chiral Structure</w:t>
      </w:r>
    </w:p>
    <w:p>
      <w:pPr>
        <w:spacing w:before="0" w:after="120"/>
      </w:pPr>
      <w:r>
        <w:rPr>
          <w:b/>
        </w:rPr>
        <w:t xml:space="preserve">Source: </w:t>
      </w:r>
      <w:r>
        <w:t>Journal of the American Chemical Society: Latest Articles (ACS Publications)</w:t>
      </w:r>
      <w:r>
        <w:t xml:space="preserve">    </w:t>
      </w:r>
      <w:r>
        <w:rPr>
          <w:b/>
        </w:rPr>
        <w:t xml:space="preserve">Pub date: </w:t>
      </w:r>
      <w:r>
        <w:t>2026-01-06 16:44:01+00:00</w:t>
      </w:r>
      <w:r>
        <w:t xml:space="preserve">    </w:t>
      </w:r>
      <w:r>
        <w:rPr>
          <w:b/>
        </w:rPr>
        <w:t xml:space="preserve">DOI: </w:t>
      </w:r>
      <w:hyperlink r:id="rId163">
        <w:r>
          <w:rPr>
            <w:color w:val="1155CC"/>
            <w:u w:val="single"/>
          </w:rPr>
          <w:t>10.1021/jacs.5c16623</w:t>
        </w:r>
      </w:hyperlink>
    </w:p>
    <w:p>
      <w:pPr>
        <w:spacing w:before="0" w:after="120"/>
      </w:pPr>
      <w:r>
        <w:rPr>
          <w:b/>
        </w:rPr>
        <w:t xml:space="preserve">Notes: </w:t>
      </w:r>
      <w:r>
        <w:t>abstract_source=pubmed</w:t>
      </w:r>
    </w:p>
    <w:p>
      <w:pPr>
        <w:spacing w:before="0" w:after="80" w:lineRule="auto" w:line="276"/>
      </w:pPr>
      <w:r>
        <w:rPr>
          <w:b/>
        </w:rPr>
        <w:t xml:space="preserve">摘要（ZH）: </w:t>
      </w:r>
      <w:r>
        <w:t>详细描述和分析显示,W3Re2C是一种二型BCS型散装超导体,具有完全的异向差距。此外,第一原则计算表明,电-光电联动主要来自W/Re 5d电子状态与其低频光谱之间的相互作用。此外,W3Re2C的反向对称性破碎促进了电子结构中Wyl点的出现。因此,W3Re2C可以作为一个很有希望的平台,用于调查手动结构对超导性和波段地形的影响。</w:t>
      </w:r>
    </w:p>
    <w:p>
      <w:pPr>
        <w:spacing w:before="0" w:after="200" w:lineRule="auto" w:line="276"/>
      </w:pPr>
      <w:r>
        <w:rPr>
          <w:b/>
        </w:rPr>
        <w:t xml:space="preserve">Abstract (EN): </w:t>
      </w:r>
      <w:r>
        <w:t>We discover superconductivity in cubic W3Re2C with chiral structure, and the superconducting transition temperature Tc is about 6.2 K. Detailed characterizations and analysis indicate that W3Re2C is a bulk type-II BCS superconductor with a fully isotropic gap. Moreover, first-principles calculations indicate that electron-phonon coupling primarily arises from interactions between W/Re 5d electronic states and their low-frequency phonons. Furthermore, the breaking of the inversion symmetry in W3Re2C facilitates the emergence of Weyl points in the electronic structure. Therefore, W3Re2C can serve as a promising platform for investigating the influences of the chiral structure on both superconductivity and band topology.</w:t>
      </w:r>
    </w:p>
    <w:p>
      <w:pPr>
        <w:spacing w:before="120" w:after="120"/>
      </w:pPr>
      <w:r>
        <w:rPr>
          <w:sz w:val="18"/>
        </w:rPr>
        <w:t>——————————————————————————————————————————————————————————————————————</w:t>
      </w:r>
    </w:p>
    <w:p>
      <w:pPr>
        <w:spacing w:before="160" w:after="40" w:line="240" w:lineRule="auto"/>
      </w:pPr>
      <w:r>
        <w:rPr>
          <w:b/>
        </w:rPr>
        <w:t xml:space="preserve">[107] </w:t>
      </w:r>
      <w:hyperlink r:id="rId164">
        <w:r>
          <w:rPr>
            <w:color w:val="1155CC"/>
            <w:u w:val="single"/>
          </w:rPr>
          <w:t>[ASAP] 由Ciral Disulfonimides通过Brønsted基础气解作用实际收益催化的2-Amino-6-arylpyridine催化的2-Amino-6-arylpyridine的亚特罗波选择性选择性碘化:综合实验、计算和机学研究</w:t>
        </w:r>
      </w:hyperlink>
    </w:p>
    <w:p>
      <w:pPr>
        <w:spacing w:before="0" w:after="80"/>
      </w:pPr>
      <w:r>
        <w:rPr>
          <w:i/>
          <w:sz w:val="20"/>
        </w:rPr>
        <w:t>EN: [ASAP] The Atroposelective Iodination of 2-Amino-6-arylpyridines Catalyzed by Chiral Disulfonimides Actually Proceeds via Brønsted Base Catalysis: A Combined Experimental, Computational, and Machine-Learning Study</w:t>
      </w:r>
    </w:p>
    <w:p>
      <w:pPr>
        <w:spacing w:before="0" w:after="120"/>
      </w:pPr>
      <w:r>
        <w:rPr>
          <w:b/>
        </w:rPr>
        <w:t xml:space="preserve">Source: </w:t>
      </w:r>
      <w:r>
        <w:t>Journal of the American Chemical Society: Latest Articles (ACS Publications)</w:t>
      </w:r>
      <w:r>
        <w:t xml:space="preserve">    </w:t>
      </w:r>
      <w:r>
        <w:rPr>
          <w:b/>
        </w:rPr>
        <w:t xml:space="preserve">Pub date: </w:t>
      </w:r>
      <w:r>
        <w:t>2026-01-06 17:17:16+00:00</w:t>
      </w:r>
      <w:r>
        <w:t xml:space="preserve">    </w:t>
      </w:r>
      <w:r>
        <w:rPr>
          <w:b/>
        </w:rPr>
        <w:t xml:space="preserve">DOI: </w:t>
      </w:r>
      <w:hyperlink r:id="rId165">
        <w:r>
          <w:rPr>
            <w:color w:val="1155CC"/>
            <w:u w:val="single"/>
          </w:rPr>
          <w:t>10.1021/jacs.5c10238</w:t>
        </w:r>
      </w:hyperlink>
    </w:p>
    <w:p>
      <w:pPr>
        <w:spacing w:before="0" w:after="120"/>
      </w:pPr>
      <w:r>
        <w:rPr>
          <w:b/>
        </w:rPr>
        <w:t xml:space="preserve">Notes: </w:t>
      </w:r>
      <w:r>
        <w:t>abstract_source=pubmed</w:t>
      </w:r>
    </w:p>
    <w:p>
      <w:pPr>
        <w:spacing w:before="0" w:after="80" w:lineRule="auto" w:line="276"/>
      </w:pPr>
      <w:r>
        <w:rPr>
          <w:b/>
        </w:rPr>
        <w:t xml:space="preserve">摘要（ZH）: </w:t>
      </w:r>
      <w:r>
        <w:t>对N-iodoscucnimide 2-imino-6-arylpyrpyridine 使用N-iodoscucnimide 进行脱硫(DSI) 催化氮化(DSI) 催化氮化(DSI) 的亚特罗亚选择性对硫化亚化亚化物的彻底机械性调查。 虽然最初假设通过激活新谢克尔通过Brønsted-酸催化法进行催化,但实验性证据使我们重新考虑DSI催化剂的可能功能。我们现在提出了一个前所未有的机制,在这个机制中,DSI作为Brønsted的基地,在速度和立体确定步骤中,涉及对Wheland中间体进行对应的选择性解剖。实验数据用于启动DFT对反应机制的探索,在对转型国家结构和反应协调进行透彻分析后,证实了我们的订正假设。</w:t>
      </w:r>
    </w:p>
    <w:p>
      <w:pPr>
        <w:spacing w:before="0" w:after="200" w:lineRule="auto" w:line="276"/>
      </w:pPr>
      <w:r>
        <w:rPr>
          <w:b/>
        </w:rPr>
        <w:t xml:space="preserve">Abstract (EN): </w:t>
      </w:r>
      <w:r>
        <w:t>A thorough mechanistic investigation into the disulfonimide (DSI)-catalyzed atroposelective iodination of 2-amino-6-arylpyridines with N-iodosuccinimide is described. While initially hypothesized to proceed via Brønsted-acid catalysis through activation of NIS, experimental evidence led us to reconsider the possible function of the DSI catalyst. We now propose an unprecedented mechanism in which the conjugate base of the DSI functions instead as a Brønsted-base, with the rate- and stereodetermining step involving an enantioselective deprotonation of a Wheland intermediate. The experimental data was used to initiate a DFT exploration of the reaction mechanism, which, after thorough analysis of the transition state structures and reaction coordinate, confirmed our revised hypothesis. The unique structural features of the highest-performing catalyst were explored further with a chemoinformatics-based workflow, leading to a detailed elucidation of those factors contributing to the origin of enantioselection.</w:t>
      </w:r>
    </w:p>
    <w:p>
      <w:pPr>
        <w:spacing w:before="120" w:after="120"/>
      </w:pPr>
      <w:r>
        <w:rPr>
          <w:sz w:val="18"/>
        </w:rPr>
        <w:t>——————————————————————————————————————————————————————————————————————</w:t>
      </w:r>
    </w:p>
    <w:p>
      <w:pPr>
        <w:spacing w:before="160" w:after="40" w:line="240" w:lineRule="auto"/>
      </w:pPr>
      <w:r>
        <w:rPr>
          <w:b/>
        </w:rPr>
        <w:t xml:space="preserve">[108] </w:t>
      </w:r>
      <w:hyperlink r:id="rId166">
        <w:r>
          <w:rPr>
            <w:color w:val="1155CC"/>
            <w:u w:val="single"/>
          </w:rPr>
          <w:t>[ASAP] 双环通天球中光化学土星-卡本邦德裂缝</w:t>
        </w:r>
      </w:hyperlink>
    </w:p>
    <w:p>
      <w:pPr>
        <w:spacing w:before="0" w:after="80"/>
      </w:pPr>
      <w:r>
        <w:rPr>
          <w:i/>
          <w:sz w:val="20"/>
        </w:rPr>
        <w:t>EN: [ASAP] Photochemical Tungsten–Carbon Bond Cleavage in Bicyclic Tungstacyclopentanes</w:t>
      </w:r>
    </w:p>
    <w:p>
      <w:pPr>
        <w:spacing w:before="0" w:after="120"/>
      </w:pPr>
      <w:r>
        <w:rPr>
          <w:b/>
        </w:rPr>
        <w:t xml:space="preserve">Source: </w:t>
      </w:r>
      <w:r>
        <w:t>Journal of the American Chemical Society: Latest Articles (ACS Publications)</w:t>
      </w:r>
      <w:r>
        <w:t xml:space="preserve">    </w:t>
      </w:r>
      <w:r>
        <w:rPr>
          <w:b/>
        </w:rPr>
        <w:t xml:space="preserve">Pub date: </w:t>
      </w:r>
      <w:r>
        <w:t>2026-01-06 17:18:03+00:00</w:t>
      </w:r>
      <w:r>
        <w:t xml:space="preserve">    </w:t>
      </w:r>
      <w:r>
        <w:rPr>
          <w:b/>
        </w:rPr>
        <w:t xml:space="preserve">DOI: </w:t>
      </w:r>
      <w:hyperlink r:id="rId167">
        <w:r>
          <w:rPr>
            <w:color w:val="1155CC"/>
            <w:u w:val="single"/>
          </w:rPr>
          <w:t>10.1021/jacs.5c19313</w:t>
        </w:r>
      </w:hyperlink>
    </w:p>
    <w:p>
      <w:pPr>
        <w:spacing w:before="0" w:after="120"/>
      </w:pPr>
      <w:r>
        <w:rPr>
          <w:b/>
        </w:rPr>
        <w:t xml:space="preserve">Notes: </w:t>
      </w:r>
      <w:r>
        <w:t>abstract_source=pubmed</w:t>
      </w:r>
    </w:p>
    <w:p>
      <w:pPr>
        <w:spacing w:before="0" w:after="80" w:lineRule="auto" w:line="276"/>
      </w:pPr>
      <w:r>
        <w:rPr>
          <w:b/>
        </w:rPr>
        <w:t xml:space="preserve">摘要（ZH）: </w:t>
      </w:r>
      <w:r>
        <w:t>W(NCPh3)(OSiPh3)(2,C7H12)(1)和W(NAd)(OSiPh3)(2,C7H12)(2)进行光化学α-氢抽取,以形成烷基元;中性吸收研究表明,在热α-氢抽取之前先有快速W-C同解;5,5-二甲基-1-丙烯基-N-氧化(DMPO)的激进捕捉实验支持在这些反应中形成烷基极;对1和2的模型进行DFT计算,也符合最终提取α-氢形成烷基元以形成烷基元的W(V)-alkyl-弧基中间体的形成;该研究为将不催化性 d0 环-N-N-N-NO(DDPO) 转换成代代谢性烷基的反作用反应中W-C链裂提供了证据。</w:t>
      </w:r>
    </w:p>
    <w:p>
      <w:pPr>
        <w:spacing w:before="0" w:after="200" w:lineRule="auto" w:line="276"/>
      </w:pPr>
      <w:r>
        <w:rPr>
          <w:b/>
        </w:rPr>
        <w:t xml:space="preserve">Abstract (EN): </w:t>
      </w:r>
      <w:r>
        <w:t>W(NCPh3)(OSiPh3)2(C7H12) (1) and W(NAd)(OSiPh3)2(C7H12) (2) undergo photochemical α-hydrogen abstraction to form alkylidenes. Transient absorption studies suggest that fast W-C homolysis precedes thermal α-hydrogen abstraction. Radical trapping experiments in the presence of 5,5-dimethyl-1-pyrroline-N-oxide (DMPO) support formation of an alkyl radical in these reactions. DFT calculations of models of 1 and 2 are also consistent with formation of W(V)-alkyl-radical intermediates that ultimately abstract an α-hydrogen to form the alkylidene. This study provides evidence for W-C bond cleavage in reactions that convert catalytically inactive d0 tungstacyclopentanes into metathesis-active alkylidenes.</w:t>
      </w:r>
    </w:p>
    <w:p>
      <w:pPr>
        <w:spacing w:before="120" w:after="120"/>
      </w:pPr>
      <w:r>
        <w:rPr>
          <w:sz w:val="18"/>
        </w:rPr>
        <w:t>——————————————————————————————————————————————————————————————————————</w:t>
      </w:r>
    </w:p>
    <w:p>
      <w:pPr>
        <w:spacing w:before="160" w:after="40" w:line="240" w:lineRule="auto"/>
      </w:pPr>
      <w:r>
        <w:rPr>
          <w:b/>
        </w:rPr>
        <w:t xml:space="preserve">[109] </w:t>
      </w:r>
      <w:hyperlink r:id="rId168">
        <w:r>
          <w:rPr>
            <w:color w:val="1155CC"/>
            <w:u w:val="single"/>
          </w:rPr>
          <w:t>[ASAP] 氨酸残留物-Driven Nanoparticle 瞄准蛋白物质:表层化学</w:t>
        </w:r>
      </w:hyperlink>
    </w:p>
    <w:p>
      <w:pPr>
        <w:spacing w:before="0" w:after="80"/>
      </w:pPr>
      <w:r>
        <w:rPr>
          <w:i/>
          <w:sz w:val="20"/>
        </w:rPr>
        <w:t>EN: [ASAP] Amino Acid Residue-Driven Nanoparticle Targeting of Protein Cavities: Surface Chemistry Dictates Binding Specificity beyond Size Complementarity</w:t>
      </w:r>
    </w:p>
    <w:p>
      <w:pPr>
        <w:spacing w:before="0" w:after="120"/>
      </w:pPr>
      <w:r>
        <w:rPr>
          <w:b/>
        </w:rPr>
        <w:t xml:space="preserve">Source: </w:t>
      </w:r>
      <w:r>
        <w:t>Journal of the American Chemical Society: Latest Articles (ACS Publications)</w:t>
      </w:r>
      <w:r>
        <w:t xml:space="preserve">    </w:t>
      </w:r>
      <w:r>
        <w:rPr>
          <w:b/>
        </w:rPr>
        <w:t xml:space="preserve">Pub date: </w:t>
      </w:r>
      <w:r>
        <w:t>2026-01-06 17:18:47+00:00</w:t>
      </w:r>
      <w:r>
        <w:t xml:space="preserve">    </w:t>
      </w:r>
      <w:r>
        <w:rPr>
          <w:b/>
        </w:rPr>
        <w:t xml:space="preserve">DOI: </w:t>
      </w:r>
      <w:hyperlink r:id="rId169">
        <w:r>
          <w:rPr>
            <w:color w:val="1155CC"/>
            <w:u w:val="single"/>
          </w:rPr>
          <w:t>10.1021/jacs.5c15860</w:t>
        </w:r>
      </w:hyperlink>
    </w:p>
    <w:p>
      <w:pPr>
        <w:spacing w:before="0" w:after="120"/>
      </w:pPr>
      <w:r>
        <w:rPr>
          <w:b/>
        </w:rPr>
        <w:t xml:space="preserve">Notes: </w:t>
      </w:r>
      <w:r>
        <w:t>abstract_source=pubmed</w:t>
      </w:r>
    </w:p>
    <w:p>
      <w:pPr>
        <w:spacing w:before="0" w:after="80" w:lineRule="auto" w:line="276"/>
      </w:pPr>
      <w:r>
        <w:rPr>
          <w:b/>
        </w:rPr>
        <w:t xml:space="preserve">摘要（ZH）: </w:t>
      </w:r>
      <w:r>
        <w:t>蛋白质-蛋白质互动界面的裂痕被认为是“不可药用”的,因为它们浅度或大度的地貌阻碍小分子稳定地捆绑小分子,克服这一限制对于开发新疗法至关重要。适合尺寸的氧化纳米粒子(CeO2NPs)可以占据SARS-COV-2峰值的5 nm中央腔,从而抑制感染。虽然尺寸兼容性能够让洞穴进入,但其他目标参数仍然不明确。S三重特征中和横向洞穴(直径为5 nm)可以容纳NPs。为了探索关于血管定位的因素,我们比较了尺寸相配的CeO2NPs和金NPs(ANPs),评估它们与微量孔的结合,并调查其选择性互动所依据的机制。</w:t>
      </w:r>
    </w:p>
    <w:p>
      <w:pPr>
        <w:spacing w:before="0" w:after="200" w:lineRule="auto" w:line="276"/>
      </w:pPr>
      <w:r>
        <w:rPr>
          <w:b/>
        </w:rPr>
        <w:t xml:space="preserve">Abstract (EN): </w:t>
      </w:r>
      <w:r>
        <w:t>Cavities at protein-protein interaction interfaces are considered "undruggable" because their shallow or large geometries hinder stable binding by small molecules. Overcoming this limitation is essential for developing new therapies. Cerium oxide nanoparticles (CeO2NPs) of a suitable size can occupy the 5 nm central cavity of the SARS-CoV-2 spike (S) trimer, thereby inhibiting infection. Although size compatibility enables cavity access, other targeting parameters remain unclear. The S trimer features central and lateral cavities, both ∼5 nm in diameter, that can accommodate NPs. To explore factors governing cavity targeting, we compared size-matched CeO2NPs and gold NPs (AuNPs), evaluating their binding to S-trimer cavities and investigating mechanisms underlying their selective interactions. Despite comparable antiviral activity, the two NPs exhibited different binding profiles. Biolayer interferometry confirmed strong binding of both NPs to the S trimer, while only CeO2NPs selectively targeted the receptor-binding domain (RBD). CeO2NPs preferentially occupied the central cavity enriched with Asp residues. However, AuNPs bind to the lateral cavities, including the S1/S2 cleavage site, where they interact with Arg-rich motifs for furin-mediated activation of the S protein. Mechanistically, CeO2NPs achieved stable binding by coordinating with Asp carboxyl groups in the central cavity, while AuNPs bound lateral cavities primarily via electrostatic attraction with Arg residues. These findings suggest that residue-level recognition governs NP binding among sterically accessible protein cavities, with size compatibility enabling access and surface-residue matching defining binding selectivity. The insight provides a strategy for designing NPs to engage recessed features on protein surfaces previously inaccessible, enabling selective functional modulation and broader biomedical applications.</w:t>
      </w:r>
    </w:p>
    <w:p>
      <w:pPr>
        <w:spacing w:before="120" w:after="120"/>
      </w:pPr>
      <w:r>
        <w:rPr>
          <w:sz w:val="18"/>
        </w:rPr>
        <w:t>——————————————————————————————————————————————————————————————————————</w:t>
      </w:r>
    </w:p>
    <w:p>
      <w:pPr>
        <w:spacing w:before="160" w:after="40" w:line="240" w:lineRule="auto"/>
      </w:pPr>
      <w:r>
        <w:rPr>
          <w:b/>
        </w:rPr>
        <w:t xml:space="preserve">[110] </w:t>
      </w:r>
      <w:hyperlink r:id="rId170">
        <w:r>
          <w:rPr>
            <w:color w:val="1155CC"/>
            <w:u w:val="single"/>
          </w:rPr>
          <w:t>[ASAP] 通过工程化国际能源转让自行吸收无 Perovskite X射线X射线散射器</w:t>
        </w:r>
      </w:hyperlink>
    </w:p>
    <w:p>
      <w:pPr>
        <w:spacing w:before="0" w:after="80"/>
      </w:pPr>
      <w:r>
        <w:rPr>
          <w:i/>
          <w:sz w:val="20"/>
        </w:rPr>
        <w:t>EN: [ASAP] Self-Absorption-Free Perovskite X-ray Scintillators via Engineered Interfacial Energy Transfer</w:t>
      </w:r>
    </w:p>
    <w:p>
      <w:pPr>
        <w:spacing w:before="0" w:after="120"/>
      </w:pPr>
      <w:r>
        <w:rPr>
          <w:b/>
        </w:rPr>
        <w:t xml:space="preserve">Source: </w:t>
      </w:r>
      <w:r>
        <w:t>ACS Energy Letters: Latest Articles (ACS Publications)</w:t>
      </w:r>
      <w:r>
        <w:t xml:space="preserve">    </w:t>
      </w:r>
      <w:r>
        <w:rPr>
          <w:b/>
        </w:rPr>
        <w:t xml:space="preserve">Pub date: </w:t>
      </w:r>
      <w:r>
        <w:t>2026-01-06 17:20:41+00:00</w:t>
      </w:r>
      <w:r>
        <w:t xml:space="preserve">    </w:t>
      </w:r>
      <w:r>
        <w:rPr>
          <w:b/>
        </w:rPr>
        <w:t xml:space="preserve">DOI: </w:t>
      </w:r>
      <w:hyperlink r:id="rId171">
        <w:r>
          <w:rPr>
            <w:color w:val="1155CC"/>
            <w:u w:val="single"/>
          </w:rPr>
          <w:t>10.1021/acsenergylett.5c03558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[111] </w:t>
      </w:r>
      <w:hyperlink r:id="rId172">
        <w:r>
          <w:rPr>
            <w:color w:val="1155CC"/>
            <w:u w:val="single"/>
          </w:rPr>
          <w:t>[ASAP] 用于安全高压-高温-高温-离子电池的分子定制深电离电解解槽</w:t>
        </w:r>
      </w:hyperlink>
    </w:p>
    <w:p>
      <w:pPr>
        <w:spacing w:before="0" w:after="80"/>
      </w:pPr>
      <w:r>
        <w:rPr>
          <w:i/>
          <w:sz w:val="20"/>
        </w:rPr>
        <w:t>EN: [ASAP] Molecularly Tailored Deep Eutectic Electrolytes for Safe Elevated-Temperature Sodium-Ion Batteries</w:t>
      </w:r>
    </w:p>
    <w:p>
      <w:pPr>
        <w:spacing w:before="0" w:after="120"/>
      </w:pPr>
      <w:r>
        <w:rPr>
          <w:b/>
        </w:rPr>
        <w:t xml:space="preserve">Source: </w:t>
      </w:r>
      <w:r>
        <w:t>ACS Energy Letters: Latest Articles (ACS Publications)</w:t>
      </w:r>
      <w:r>
        <w:t xml:space="preserve">    </w:t>
      </w:r>
      <w:r>
        <w:rPr>
          <w:b/>
        </w:rPr>
        <w:t xml:space="preserve">Pub date: </w:t>
      </w:r>
      <w:r>
        <w:t>2026-01-06 17:21:41+00:00</w:t>
      </w:r>
      <w:r>
        <w:t xml:space="preserve">    </w:t>
      </w:r>
      <w:r>
        <w:rPr>
          <w:b/>
        </w:rPr>
        <w:t xml:space="preserve">DOI: </w:t>
      </w:r>
      <w:hyperlink r:id="rId173">
        <w:r>
          <w:rPr>
            <w:color w:val="1155CC"/>
            <w:u w:val="single"/>
          </w:rPr>
          <w:t>10.1021/acsenergylett.5c03502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[112] </w:t>
      </w:r>
      <w:hyperlink r:id="rId174">
        <w:r>
          <w:rPr>
            <w:color w:val="1155CC"/>
            <w:u w:val="single"/>
          </w:rPr>
          <w:t>[ASAP] 说明各链际互动对聚乙烯中C-H债券催化恐吓的影响</w:t>
        </w:r>
      </w:hyperlink>
    </w:p>
    <w:p>
      <w:pPr>
        <w:spacing w:before="0" w:after="80"/>
      </w:pPr>
      <w:r>
        <w:rPr>
          <w:i/>
          <w:sz w:val="20"/>
        </w:rPr>
        <w:t>EN: [ASAP] Illuminating the Effects of Interchain Interactions on the Catalytic Amidation of C–H Bonds in Polyethylenes</w:t>
      </w:r>
    </w:p>
    <w:p>
      <w:pPr>
        <w:spacing w:before="0" w:after="120"/>
      </w:pPr>
      <w:r>
        <w:rPr>
          <w:b/>
        </w:rPr>
        <w:t xml:space="preserve">Source: </w:t>
      </w:r>
      <w:r>
        <w:t>Journal of the American Chemical Society: Latest Articles (ACS Publications)</w:t>
      </w:r>
      <w:r>
        <w:t xml:space="preserve">    </w:t>
      </w:r>
      <w:r>
        <w:rPr>
          <w:b/>
        </w:rPr>
        <w:t xml:space="preserve">Pub date: </w:t>
      </w:r>
      <w:r>
        <w:t>2026-01-06 18:23:05+00:00</w:t>
      </w:r>
      <w:r>
        <w:t xml:space="preserve">    </w:t>
      </w:r>
      <w:r>
        <w:rPr>
          <w:b/>
        </w:rPr>
        <w:t xml:space="preserve">DOI: </w:t>
      </w:r>
      <w:hyperlink r:id="rId175">
        <w:r>
          <w:rPr>
            <w:color w:val="1155CC"/>
            <w:u w:val="single"/>
          </w:rPr>
          <w:t>10.1021/jacs.5c13501</w:t>
        </w:r>
      </w:hyperlink>
    </w:p>
    <w:p>
      <w:pPr>
        <w:spacing w:before="0" w:after="120"/>
      </w:pPr>
      <w:r>
        <w:rPr>
          <w:b/>
        </w:rPr>
        <w:t xml:space="preserve">Notes: </w:t>
      </w:r>
      <w:r>
        <w:t>abstract_source=pubmed</w:t>
      </w:r>
    </w:p>
    <w:p>
      <w:pPr>
        <w:spacing w:before="0" w:after="80" w:lineRule="auto" w:line="276"/>
      </w:pPr>
      <w:r>
        <w:rPr>
          <w:b/>
        </w:rPr>
        <w:t xml:space="preserve">摘要（ZH）: </w:t>
      </w:r>
      <w:r>
        <w:t>聚乙烯转化成多用途材料,可带来新的、更可持续的应用。聚乙烯中C-H键的功能化产生具有重要特性的独特聚合物,但这一方法可以获取的材料范围因适合这些碳氢化合物聚合物的反应范围狭窄而受到限制。大型分子特有的特性,例如链条缠绕和高粘度,可能影响反应的相对速度和效率。更深入地了解聚乙烯催化转化与较短的烷的催化转化的起源,将有助于设计针对这些大型分子的新反应,并最终使获得新材料成为可能。我们在这里表明,非二次反应是非二次的。</w:t>
      </w:r>
    </w:p>
    <w:p>
      <w:pPr>
        <w:spacing w:before="0" w:after="200" w:lineRule="auto" w:line="276"/>
      </w:pPr>
      <w:r>
        <w:rPr>
          <w:b/>
        </w:rPr>
        <w:t xml:space="preserve">Abstract (EN): </w:t>
      </w:r>
      <w:r>
        <w:t>Transformations of polyethylenes into more versatile materials could lead to new, more sustainable applications. Functionalization of C-H bonds in polyethylenes creates unique polymers with important properties, but the range of materials accessible by this approach is confined by the narrow scope of reactions that are amenable to these hydrocarbon polymers. Properties unique to macromolecules, such as chain-entanglements and high viscosities, could affect the relative rates and efficiencies of reactions. A deeper understanding of the origin of the differences in the catalytic transformations of polyethylenes from those of shorter alkanes would inform the design of new reactions tailored to these macromolecules and ultimately enable access to new materials. Here we show that noncovalent interactions of functionalized polymer chains affect the efficiency of the catalytic amidation of polyethylenes, limiting the maximum level of functionalization. We found that these noncovalent interactions increase with increasing levels of amide incorporation on the polymer and that these interactions alter the reaction media as the reaction progresses, ultimately suppressing catalytic amidation at later time points. We show that these effects can be mitigated by running reactions with cosolvents and that this approach allows for the highest levels of amide incorporation (up to 7 mol %, relative to monomer units). At this previously inaccessible level of functionalization, the resulting materials possess newfound properties, including dynamic cross-links that toughen the material. Ultimately, this work demonstrates that small-molecule models provide only a partial view into reactions of polyolefins and that factors unique to macromolecules must be considered to develop reactions with them.</w:t>
      </w:r>
    </w:p>
    <w:p>
      <w:pPr>
        <w:spacing w:before="120" w:after="120"/>
      </w:pPr>
      <w:r>
        <w:rPr>
          <w:sz w:val="18"/>
        </w:rPr>
        <w:t>——————————————————————————————————————————————————————————————————————</w:t>
      </w:r>
    </w:p>
    <w:p>
      <w:pPr>
        <w:spacing w:before="160" w:after="40" w:line="240" w:lineRule="auto"/>
      </w:pPr>
      <w:r>
        <w:rPr>
          <w:b/>
        </w:rPr>
        <w:t xml:space="preserve">[113] </w:t>
      </w:r>
      <w:hyperlink r:id="rId176">
        <w:r>
          <w:rPr>
            <w:color w:val="1155CC"/>
            <w:u w:val="single"/>
          </w:rPr>
          <w:t>[ASAP]500多 WH千克-1-1 使用硅聚合电解液化电解液化电解液态金属电池,具有长电聚变稳定性的固态金属电池</w:t>
        </w:r>
      </w:hyperlink>
    </w:p>
    <w:p>
      <w:pPr>
        <w:spacing w:before="0" w:after="80"/>
      </w:pPr>
      <w:r>
        <w:rPr>
          <w:i/>
          <w:sz w:val="20"/>
        </w:rPr>
        <w:t>EN: [ASAP] Over 500 Wh kg–1 Solid-State Lithium Metal Batteries with Long Cycling Stability Using In Situ Polymerized Electrolyte</w:t>
      </w:r>
    </w:p>
    <w:p>
      <w:pPr>
        <w:spacing w:before="0" w:after="120"/>
      </w:pPr>
      <w:r>
        <w:rPr>
          <w:b/>
        </w:rPr>
        <w:t xml:space="preserve">Source: </w:t>
      </w:r>
      <w:r>
        <w:t>Journal of the American Chemical Society: Latest Articles (ACS Publications)</w:t>
      </w:r>
      <w:r>
        <w:t xml:space="preserve">    </w:t>
      </w:r>
      <w:r>
        <w:rPr>
          <w:b/>
        </w:rPr>
        <w:t xml:space="preserve">Pub date: </w:t>
      </w:r>
      <w:r>
        <w:t>2026-01-06 18:50:13+00:00</w:t>
      </w:r>
      <w:r>
        <w:t xml:space="preserve">    </w:t>
      </w:r>
      <w:r>
        <w:rPr>
          <w:b/>
        </w:rPr>
        <w:t xml:space="preserve">DOI: </w:t>
      </w:r>
      <w:hyperlink r:id="rId177">
        <w:r>
          <w:rPr>
            <w:color w:val="1155CC"/>
            <w:u w:val="single"/>
          </w:rPr>
          <w:t>10.1021/jacs.5c17294</w:t>
        </w:r>
      </w:hyperlink>
    </w:p>
    <w:p>
      <w:pPr>
        <w:spacing w:before="0" w:after="120"/>
      </w:pPr>
      <w:r>
        <w:rPr>
          <w:b/>
        </w:rPr>
        <w:t xml:space="preserve">Notes: </w:t>
      </w:r>
      <w:r>
        <w:t>abstract_source=pubmed</w:t>
      </w:r>
    </w:p>
    <w:p>
      <w:pPr>
        <w:spacing w:before="0" w:after="80" w:lineRule="auto" w:line="276"/>
      </w:pPr>
      <w:r>
        <w:rPr>
          <w:b/>
        </w:rPr>
        <w:t xml:space="preserve">摘要（ZH）: </w:t>
      </w:r>
      <w:r>
        <w:t>液态金属电池(LMBs)因其具有高能量密度的潜力,被视为下一代能源储存系统(LMBs)的“热裂体”,但是,在锂金属阳极上不受控制的锂脱脂增长导致循环不稳定性差,安全风险严重,阻碍其实际部署。在这里,我们设计了一种现场聚合的基于POSS的凝胶聚聚聚体电解解液(POSS-GPE),在室温下显示高离子传导性(3.04 mS厘米-1),极好的氧化稳定性(&gt;4.9 V vs Li+/Li),与各种电极材料的广泛兼容性,以及固有的阻燃性。POSS-GPE建立了一个富离子溶化环境,促进在阴极和阳极上形成坚固的、由电源产生的电极-电极间相。</w:t>
      </w:r>
    </w:p>
    <w:p>
      <w:pPr>
        <w:spacing w:before="0" w:after="200" w:lineRule="auto" w:line="276"/>
      </w:pPr>
      <w:r>
        <w:rPr>
          <w:b/>
        </w:rPr>
        <w:t xml:space="preserve">Abstract (EN): </w:t>
      </w:r>
      <w:r>
        <w:t>Lithium metal batteries (LMBs) are regarded as the "holy grail" of next-generation energy storage systems due to their potential for high energy density. However, uncontrolled lithium dendrite growth on lithium metal anodes leads to poor cycling stability and serious safety risks, hindering their practical deployment. Herein, we design an in situ polymerized POSS-based gel polymer electrolyte (POSS-GPE) that exhibits high ionic conductivity (3.04 mS cm-1 at room temperature), excellent oxidative stability (&gt;4.9 V vs Li+/Li), broad compatibility with diverse electrode materials, and intrinsic flame retardancy. The POSS-GPE establishes an anion-rich solvation environment that promotes the formation of robust, anion-derived electrode-electrolyte interphase on both the cathode and anode, thus mitigating interfacial degradation. As a result, LiNi0.8Co0.1Mn0.1O2|POSS-GPE|Li (50 μm) full cell delivers long-term cycling stability of 500 cycles with 87.3% capacity retention. Furthermore, a 6.08 Ah pouch cell with lean electrolyte (1.40 g Ah-1) achieves a remarkable energy density of 511.2 Wh kg-1 and cycles stably for 70 cycles at 4.6 V, representing the best balance between cycling performance and energy density for polymer-electrolyte-based LMBs. The high-energy-density pouch cells also demonstrate superior safety in nail-penetration tests. This work presents a promising strategy for developing practical high-energy-density and high-safety LMBs.</w:t>
      </w:r>
    </w:p>
    <w:p>
      <w:pPr>
        <w:spacing w:before="120" w:after="120"/>
      </w:pPr>
      <w:r>
        <w:rPr>
          <w:sz w:val="18"/>
        </w:rPr>
        <w:t>——————————————————————————————————————————————————————————————————————</w:t>
      </w:r>
    </w:p>
    <w:p>
      <w:pPr>
        <w:spacing w:before="160" w:after="40" w:line="240" w:lineRule="auto"/>
      </w:pPr>
      <w:r>
        <w:rPr>
          <w:b/>
        </w:rPr>
        <w:t xml:space="preserve">[114] </w:t>
      </w:r>
      <w:hyperlink r:id="rId178">
        <w:r>
          <w:rPr>
            <w:color w:val="1155CC"/>
            <w:u w:val="single"/>
          </w:rPr>
          <w:t>[ASAP]探索在电气接口上进行微滴爆炸的机制</w:t>
        </w:r>
      </w:hyperlink>
    </w:p>
    <w:p>
      <w:pPr>
        <w:spacing w:before="0" w:after="80"/>
      </w:pPr>
      <w:r>
        <w:rPr>
          <w:i/>
          <w:sz w:val="20"/>
        </w:rPr>
        <w:t>EN: [ASAP] Exploring the Mechanism of Microdroplet Explosion on an Electrified Interface</w:t>
      </w:r>
    </w:p>
    <w:p>
      <w:pPr>
        <w:spacing w:before="0" w:after="120"/>
      </w:pPr>
      <w:r>
        <w:rPr>
          <w:b/>
        </w:rPr>
        <w:t xml:space="preserve">Source: </w:t>
      </w:r>
      <w:r>
        <w:t>Journal of the American Chemical Society: Latest Articles (ACS Publications)</w:t>
      </w:r>
      <w:r>
        <w:t xml:space="preserve">    </w:t>
      </w:r>
      <w:r>
        <w:rPr>
          <w:b/>
        </w:rPr>
        <w:t xml:space="preserve">Pub date: </w:t>
      </w:r>
      <w:r>
        <w:t>2026-01-06 18:59:49+00:00</w:t>
      </w:r>
      <w:r>
        <w:t xml:space="preserve">    </w:t>
      </w:r>
      <w:r>
        <w:rPr>
          <w:b/>
        </w:rPr>
        <w:t xml:space="preserve">DOI: </w:t>
      </w:r>
      <w:hyperlink r:id="rId179">
        <w:r>
          <w:rPr>
            <w:color w:val="1155CC"/>
            <w:u w:val="single"/>
          </w:rPr>
          <w:t>10.1021/jacs.5c18741</w:t>
        </w:r>
      </w:hyperlink>
    </w:p>
    <w:p>
      <w:pPr>
        <w:spacing w:before="0" w:after="120"/>
      </w:pPr>
      <w:r>
        <w:rPr>
          <w:b/>
        </w:rPr>
        <w:t xml:space="preserve">Notes: </w:t>
      </w:r>
      <w:r>
        <w:t>abstract_source=pubmed</w:t>
      </w:r>
    </w:p>
    <w:p>
      <w:pPr>
        <w:spacing w:before="0" w:after="80" w:lineRule="auto" w:line="276"/>
      </w:pPr>
      <w:r>
        <w:rPr>
          <w:b/>
        </w:rPr>
        <w:t xml:space="preserve">摘要（ZH）: </w:t>
      </w:r>
      <w:r>
        <w:t>微粒子的重要性已成为科学的前沿:从催化到与生物相关的反应。许多技术被用于研究这些滴子,甚至在其工作流程中更多地使用:特别重要的是电吸管与质量光谱测量和小滴基微氟化物相结合。 特别是,微粒子的电化学显微镜最近揭示了物理化学现象,例如从催化到与生物相关的反应。这里,我们使用共同的ECL系统来观察在使用减小潜力时,有机微粒粒子在氧化锡(ITO)电极表面的爆炸。此外,我们提出了一个模型,表明这些事件是由电极表面的上升引起的。</w:t>
      </w:r>
    </w:p>
    <w:p>
      <w:pPr>
        <w:spacing w:before="0" w:after="200" w:lineRule="auto" w:line="276"/>
      </w:pPr>
      <w:r>
        <w:rPr>
          <w:b/>
        </w:rPr>
        <w:t xml:space="preserve">Abstract (EN): </w:t>
      </w:r>
      <w:r>
        <w:t>The importance of microdroplets has become a forefront of science: from catalysis to biologically relevant reactions. Many techniques are used to study these droplets, and even more use them in their workflow: of notable importance is electrospray coupled with mass spectrometry and droplet-based microfluidics. Particularly, electrochemiluminescence (ECL) microscopy of microdroplets has recently elucidated physicochemical phenomena such as interfacial tension and buoyancy forces of microdroplets adsorbed to the surface of an electrode. Here, we use a common ECL system to observe the explosion of an organic microdroplet on the surface of an indium tin oxide (ITO) electrode when a reducing potential is applied. Moreover, we propose a model in which these events are caused by an increase in coulombic repulsion forces from the reduction of benzoyl peroxide, combined with the in operando surface reduction and modification of the electrode. We show that one can modulate the wetting and increase the time to explosion by over 100×, or halt the process by using surfactants and interfacial chemistry. Furthermore, by using the metal oxide electrode, a 1000x less voltage is needed compared to that of traditional electrospray techniques. These results could have broad implications for fields that have been expanded by electrospray, such as geology, materials science, synthesis, and biology.</w:t>
      </w:r>
    </w:p>
    <w:p>
      <w:pPr>
        <w:spacing w:before="120" w:after="120"/>
      </w:pPr>
      <w:r>
        <w:rPr>
          <w:sz w:val="18"/>
        </w:rPr>
        <w:t>——————————————————————————————————————————————————————————————————————</w:t>
      </w:r>
    </w:p>
    <w:p>
      <w:pPr>
        <w:spacing w:before="160" w:after="40" w:line="240" w:lineRule="auto"/>
      </w:pPr>
      <w:r>
        <w:rPr>
          <w:b/>
        </w:rPr>
        <w:t xml:space="preserve">[115] </w:t>
      </w:r>
      <w:hyperlink r:id="rId180">
        <w:r>
          <w:rPr>
            <w:color w:val="1155CC"/>
            <w:u w:val="single"/>
          </w:rPr>
          <w:t>[ASAP]主机 — 相互控制控制地点选择地点主标 — C - H 芳香化合物的恒星</w:t>
        </w:r>
      </w:hyperlink>
    </w:p>
    <w:p>
      <w:pPr>
        <w:spacing w:before="0" w:after="80"/>
      </w:pPr>
      <w:r>
        <w:rPr>
          <w:i/>
          <w:sz w:val="20"/>
        </w:rPr>
        <w:t>EN: [ASAP] Host–Guest Interaction-Controlled Site-Selective C–H Borylation of Aromatic Compounds</w:t>
      </w:r>
    </w:p>
    <w:p>
      <w:pPr>
        <w:spacing w:before="0" w:after="120"/>
      </w:pPr>
      <w:r>
        <w:rPr>
          <w:b/>
        </w:rPr>
        <w:t xml:space="preserve">Source: </w:t>
      </w:r>
      <w:r>
        <w:t>Journal of the American Chemical Society: Latest Articles (ACS Publications)</w:t>
      </w:r>
      <w:r>
        <w:t xml:space="preserve">    </w:t>
      </w:r>
      <w:r>
        <w:rPr>
          <w:b/>
        </w:rPr>
        <w:t xml:space="preserve">Pub date: </w:t>
      </w:r>
      <w:r>
        <w:t>2026-01-06 19:26:13+00:00</w:t>
      </w:r>
      <w:r>
        <w:t xml:space="preserve">    </w:t>
      </w:r>
      <w:r>
        <w:rPr>
          <w:b/>
        </w:rPr>
        <w:t xml:space="preserve">DOI: </w:t>
      </w:r>
      <w:hyperlink r:id="rId181">
        <w:r>
          <w:rPr>
            <w:color w:val="1155CC"/>
            <w:u w:val="single"/>
          </w:rPr>
          <w:t>10.1021/jacs.5c21178</w:t>
        </w:r>
      </w:hyperlink>
    </w:p>
    <w:p>
      <w:pPr>
        <w:spacing w:before="0" w:after="120"/>
      </w:pPr>
      <w:r>
        <w:rPr>
          <w:b/>
        </w:rPr>
        <w:t xml:space="preserve">Notes: </w:t>
      </w:r>
      <w:r>
        <w:t>abstract_source=pubmed</w:t>
      </w:r>
    </w:p>
    <w:p>
      <w:pPr>
        <w:spacing w:before="0" w:after="80" w:lineRule="auto" w:line="276"/>
      </w:pPr>
      <w:r>
        <w:rPr>
          <w:b/>
        </w:rPr>
        <w:t xml:space="preserve">摘要（ZH）: </w:t>
      </w:r>
      <w:r>
        <w:t>在有机合成中,对芳香化合物进行现场选择性改造仍然是一项挑战。控制现场选择性的常规方法经常使用指导组,由于需要协调功能组,限制基质的可用性。在此,我们报告了一项战略,即催化剂的循环性能通过催化剂和基质之间的宿主-观众互动认识和困住基质,使催化活跃场能够优先接近理想的反应场,从而促成现场选择性反应。这种催化剂可用于控制缺乏功能组的基质的现场选择性,而功能组在常规方法中至关重要。这些结果有可能扩大基质范围,并提供新的含汞材料。</w:t>
      </w:r>
    </w:p>
    <w:p>
      <w:pPr>
        <w:spacing w:before="0" w:after="200" w:lineRule="auto" w:line="276"/>
      </w:pPr>
      <w:r>
        <w:rPr>
          <w:b/>
        </w:rPr>
        <w:t xml:space="preserve">Abstract (EN): </w:t>
      </w:r>
      <w:r>
        <w:t>The site-selective transformation of aromatic compounds remains a challenge in organic synthesis. Conventional methods for controlling site-selectivity often use directing groups, which limit substrate availability owing to the need for coordinating functional groups. Herein, we report a strategy in which the cyclic moiety of a catalyst recognizes and traps the substrate via host-guest interaction between the catalyst and substrate, allowing the catalytically active site to preferentially approach the desired reaction site, thereby enabling site-selective reactions. This catalyst can be used to control the site-selectivity of substrates that lack functional groups, which are essential in conventional methods. These results have the potential to extend the substrate scope and provide new catalyst designs for carbon-hydrogen bond transformations.</w:t>
      </w:r>
    </w:p>
    <w:p>
      <w:pPr>
        <w:spacing w:before="120" w:after="120"/>
      </w:pPr>
      <w:r>
        <w:rPr>
          <w:sz w:val="18"/>
        </w:rPr>
        <w:t>——————————————————————————————————————————————————————————————————————</w:t>
      </w:r>
    </w:p>
    <w:p>
      <w:pPr>
        <w:spacing w:before="160" w:after="40" w:line="240" w:lineRule="auto"/>
      </w:pPr>
      <w:r>
        <w:rPr>
          <w:b/>
        </w:rPr>
        <w:t xml:space="preserve">[116] </w:t>
      </w:r>
      <w:hyperlink r:id="rId182">
        <w:r>
          <w:rPr>
            <w:color w:val="1155CC"/>
            <w:u w:val="single"/>
          </w:rPr>
          <w:t>[ASAP] 用于增强光动力催化减少二氧化碳的定制的基于三维三维多元共振共振有机框架</w:t>
        </w:r>
      </w:hyperlink>
    </w:p>
    <w:p>
      <w:pPr>
        <w:spacing w:before="0" w:after="80"/>
      </w:pPr>
      <w:r>
        <w:rPr>
          <w:i/>
          <w:sz w:val="20"/>
        </w:rPr>
        <w:t>EN: [ASAP] Tailored Metalloporphyrin-Based Three-Dimensional Covalent Organic Frameworks for Enhanced Photocatalytic CO2 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2026-01-06 20:19:40+00:00</w:t>
      </w:r>
      <w:r>
        <w:t xml:space="preserve">    </w:t>
      </w:r>
      <w:r>
        <w:rPr>
          <w:b/>
        </w:rPr>
        <w:t xml:space="preserve">DOI: </w:t>
      </w:r>
      <w:hyperlink r:id="rId183">
        <w:r>
          <w:rPr>
            <w:color w:val="1155CC"/>
            <w:u w:val="single"/>
          </w:rPr>
          <w:t>10.1021/jacs.5c17816</w:t>
        </w:r>
      </w:hyperlink>
    </w:p>
    <w:p>
      <w:pPr>
        <w:spacing w:before="0" w:after="120"/>
      </w:pPr>
      <w:r>
        <w:rPr>
          <w:b/>
        </w:rPr>
        <w:t xml:space="preserve">Notes: </w:t>
      </w:r>
      <w:r>
        <w:t>abstract_source=pubmed</w:t>
      </w:r>
    </w:p>
    <w:p>
      <w:pPr>
        <w:spacing w:before="0" w:after="80" w:lineRule="auto" w:line="276"/>
      </w:pPr>
      <w:r>
        <w:rPr>
          <w:b/>
        </w:rPr>
        <w:t xml:space="preserve">摘要（ZH）: </w:t>
      </w:r>
      <w:r>
        <w:t>开发高效的减少二氧化碳的光化催化器对于解决气候和能源问题至关重要,三维共价有机框架(3DCOF)已成为潜在的候选物;然而,合成和结构分析方面的挑战阻碍了高性能光化催化器的合理设计。在这里,我们报告了一系列高晶状金属卤素3DCOF(3D-MPor-COF,M = Co, Ni, Pt)的设计和合成,具有5倍的表层特征。光催化剂实验显示,金属中心对其活动产生了重大影响,3D-CoPor-COF的CO产量达到11.3毫米g-1h-1和91.9%的选择性。通过孔状增产3D-CoPor-Ph-COF进一步优化。</w:t>
      </w:r>
    </w:p>
    <w:p>
      <w:pPr>
        <w:spacing w:before="0" w:after="200" w:lineRule="auto" w:line="276"/>
      </w:pPr>
      <w:r>
        <w:rPr>
          <w:b/>
        </w:rPr>
        <w:t xml:space="preserve">Abstract (EN): </w:t>
      </w:r>
      <w:r>
        <w:t>The development of efficient photocatalysts for CO2 reduction is essential for addressing climate and energy issues. Three-dimensional covalent organic frameworks (3D COFs) have emerged as potential candidates; however, challenges in their synthesis and structural analysis have hindered the rational design of high-performance photocatalysts. Here, we report the design and synthesis of a series of highly crystalline metalloporphyrin-based 3D COFs (3D-MPor-COF, M = Co, Ni, Pt) featuring 5-fold pts topology. Photocatalytic experiments reveal that the metal center significantly affects their activity, with 3D-CoPor-COF achieving a CO production rate of ∼11.3 mmol g-1 h-1 and 91.9% selectivity. Further optimization through pore enlargement yields isoreticular 3D-CoPor-Ph-COF, which exhibits a substantially enhanced rate of ∼20.7 mmol g-1 h-1 and 95.4% selectivity. These results highlight the critical role of tailoring pore environments─including both catalytic site identity and pore size─to optimize 3D COFs for photocatalytic CO2 reduction, offering molecular-level insights for the development of COF-based photocatalysts in sustainable energy applications.</w:t>
      </w:r>
    </w:p>
    <w:p>
      <w:pPr>
        <w:spacing w:before="120" w:after="120"/>
      </w:pPr>
      <w:r>
        <w:rPr>
          <w:sz w:val="18"/>
        </w:rPr>
        <w:t>——————————————————————————————————————————————————————————————————————</w:t>
      </w:r>
    </w:p>
    <w:p>
      <w:pPr>
        <w:spacing w:before="160" w:after="40" w:line="240" w:lineRule="auto"/>
      </w:pPr>
      <w:r>
        <w:rPr>
          <w:b/>
        </w:rPr>
        <w:t xml:space="preserve">[117] </w:t>
      </w:r>
      <w:hyperlink r:id="rId184">
        <w:r>
          <w:rPr>
            <w:color w:val="1155CC"/>
            <w:u w:val="single"/>
          </w:rPr>
          <w:t>[ASAP] 照片-DAC:一个光基直接空中捕获</w:t>
        </w:r>
      </w:hyperlink>
    </w:p>
    <w:p>
      <w:pPr>
        <w:spacing w:before="0" w:after="80"/>
      </w:pPr>
      <w:r>
        <w:rPr>
          <w:i/>
          <w:sz w:val="20"/>
        </w:rPr>
        <w:t>EN: [ASAP] Photo-DAC: Light-Driven Ambient-Temperature Direct Air Capture by a Photobase</w:t>
      </w:r>
    </w:p>
    <w:p>
      <w:pPr>
        <w:spacing w:before="0" w:after="120"/>
      </w:pPr>
      <w:r>
        <w:rPr>
          <w:b/>
        </w:rPr>
        <w:t xml:space="preserve">Source: </w:t>
      </w:r>
      <w:r>
        <w:t>Journal of the American Chemical Society: Latest Articles (ACS Publications)</w:t>
      </w:r>
      <w:r>
        <w:t xml:space="preserve">    </w:t>
      </w:r>
      <w:r>
        <w:rPr>
          <w:b/>
        </w:rPr>
        <w:t xml:space="preserve">Pub date: </w:t>
      </w:r>
      <w:r>
        <w:t>2026-01-06 20:44:03+00:00</w:t>
      </w:r>
      <w:r>
        <w:t xml:space="preserve">    </w:t>
      </w:r>
      <w:r>
        <w:rPr>
          <w:b/>
        </w:rPr>
        <w:t xml:space="preserve">DOI: </w:t>
      </w:r>
      <w:hyperlink r:id="rId185">
        <w:r>
          <w:rPr>
            <w:color w:val="1155CC"/>
            <w:u w:val="single"/>
          </w:rPr>
          <w:t>10.1021/jacs.5c18831</w:t>
        </w:r>
      </w:hyperlink>
    </w:p>
    <w:p>
      <w:pPr>
        <w:spacing w:before="0" w:after="120"/>
      </w:pPr>
      <w:r>
        <w:rPr>
          <w:b/>
        </w:rPr>
        <w:t xml:space="preserve">Notes: </w:t>
      </w:r>
      <w:r>
        <w:t>abstract_source=pubmed</w:t>
      </w:r>
    </w:p>
    <w:p>
      <w:pPr>
        <w:spacing w:before="0" w:after="80" w:lineRule="auto" w:line="276"/>
      </w:pPr>
      <w:r>
        <w:rPr>
          <w:b/>
        </w:rPr>
        <w:t xml:space="preserve">摘要（ZH）: </w:t>
      </w:r>
      <w:r>
        <w:t>直接捕获空气(DAC)可能会将大气CO2浓度降低到工业化前的水平,但当前DAC技术所涉及的高能和高温阻碍了大规模部署。在水基CO2吸收剂的情况下,热驱动溶剂再生所需的取暖和沸水将受到高强度惩罚。这可以通过光化学驱动的pH 摇动(pH pH ) 来避免,包括光酸或光基,以及利用丰富的和可再生的太阳能,尽管在现实的多周期DAC进程中有效的溶剂再生和再循环仍然具有挑战性。</w:t>
      </w:r>
    </w:p>
    <w:p>
      <w:pPr>
        <w:spacing w:before="0" w:after="200" w:lineRule="auto" w:line="276"/>
      </w:pPr>
      <w:r>
        <w:rPr>
          <w:b/>
        </w:rPr>
        <w:t xml:space="preserve">Abstract (EN): </w:t>
      </w:r>
      <w:r>
        <w:t>Direct air capture (DAC) may reduce atmospheric CO2 concentrations to preindustrial levels, yet the high energies and temperatures involved in current DAC technologies hinder large-scale deployment. In the case of aqueous-based CO2 absorbents, a large energetic penalty is associated with heating and boiling off water, as required for thermally driven solvent regeneration. This could be avoided via photochemically driven pH swings involving photoacids or photobases, and harnessing abundant and renewable solar energy, though efficient solvent regeneration and recycling in a realistic multicycle DAC process remains challenging. Herein, we report a photochemically driven DAC process (photo-DAC) in which atmospheric CO2 capture by an aqueous glycylglycine (GlyGly) solution is enabled through a pH swing by a pyridine-substituted diiminoguanidine (PyDIG) photobase. Upon irradiation with UV light, the PyDIG photobase undergoes photoisomerization from the E,E to the Z,Z isomer, corresponding to a pKa increase of 2.8 units that activates GlyGly for DAC through deprotonation. After the GlyGly/PyDIG solvent is saturated with atmospheric carbon dioxide, leaving it in the dark under ambient conditions leads to the isomerization of PyDIG from the Z,Z back to the E,E isomer, which is accompanied by a pH drop and CO2 release. To demonstrate the recyclability of the GlyGly/PyDIG solvent, we have completed six consecutive DAC cycles, with a measured average cyclic capacity in the range of 0.21-0.26 mol CO2 per mol of GlyGly/PyDIG. These results open the prospect for energy-efficient DAC cycles completed entirely at ambient conditions, thereby avoiding the significant energy penalties associated with heating and boiling aqueous solvents.</w:t>
      </w:r>
    </w:p>
    <w:p>
      <w:pPr>
        <w:spacing w:before="120" w:after="120"/>
      </w:pPr>
      <w:r>
        <w:rPr>
          <w:sz w:val="18"/>
        </w:rPr>
        <w:t>——————————————————————————————————————————————————————————————————————</w:t>
      </w:r>
    </w:p>
    <w:p>
      <w:pPr>
        <w:spacing w:before="160" w:after="40" w:line="240" w:lineRule="auto"/>
      </w:pPr>
      <w:r>
        <w:rPr>
          <w:b/>
        </w:rPr>
        <w:t xml:space="preserve">[118] </w:t>
      </w:r>
      <w:hyperlink r:id="rId186">
        <w:r>
          <w:rPr>
            <w:color w:val="1155CC"/>
            <w:u w:val="single"/>
          </w:rPr>
          <w:t>[ASAP]三电导化学反应:连接机械能源和可持续化学</w:t>
        </w:r>
      </w:hyperlink>
    </w:p>
    <w:p>
      <w:pPr>
        <w:spacing w:before="0" w:after="80"/>
      </w:pPr>
      <w:r>
        <w:rPr>
          <w:i/>
          <w:sz w:val="20"/>
        </w:rPr>
        <w:t>EN: [ASAP] Triboelectrically Induced Chemical Reactions: Bridging Mechanical Energy and Sustainable Chemistry</w:t>
      </w:r>
    </w:p>
    <w:p>
      <w:pPr>
        <w:spacing w:before="0" w:after="120"/>
      </w:pPr>
      <w:r>
        <w:rPr>
          <w:b/>
        </w:rPr>
        <w:t xml:space="preserve">Source: </w:t>
      </w:r>
      <w:r>
        <w:t>ACS Energy Letters: Latest Articles (ACS Publications)</w:t>
      </w:r>
      <w:r>
        <w:t xml:space="preserve">    </w:t>
      </w:r>
      <w:r>
        <w:rPr>
          <w:b/>
        </w:rPr>
        <w:t xml:space="preserve">Pub date: </w:t>
      </w:r>
      <w:r>
        <w:t>2026-01-06 20:48:40+00:00</w:t>
      </w:r>
      <w:r>
        <w:t xml:space="preserve">    </w:t>
      </w:r>
      <w:r>
        <w:rPr>
          <w:b/>
        </w:rPr>
        <w:t xml:space="preserve">DOI: </w:t>
      </w:r>
      <w:hyperlink r:id="rId187">
        <w:r>
          <w:rPr>
            <w:color w:val="1155CC"/>
            <w:u w:val="single"/>
          </w:rPr>
          <w:t>10.1021/acsenergylett.5c03297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[119] </w:t>
      </w:r>
      <w:hyperlink r:id="rId188">
        <w:r>
          <w:rPr>
            <w:color w:val="1155CC"/>
            <w:u w:val="single"/>
          </w:rPr>
          <w:t>[ASAP] 海洋二氧化碳的清除和储存</w:t>
        </w:r>
      </w:hyperlink>
    </w:p>
    <w:p>
      <w:pPr>
        <w:spacing w:before="0" w:after="80"/>
      </w:pPr>
      <w:r>
        <w:rPr>
          <w:i/>
          <w:sz w:val="20"/>
        </w:rPr>
        <w:t>EN: [ASAP] Ocean Carbon Dioxide Removal and Storage</w:t>
      </w:r>
    </w:p>
    <w:p>
      <w:pPr>
        <w:spacing w:before="0" w:after="120"/>
      </w:pPr>
      <w:r>
        <w:rPr>
          <w:b/>
        </w:rPr>
        <w:t xml:space="preserve">Source: </w:t>
      </w:r>
      <w:r>
        <w:t>Chemical Reviews: Latest Articles (ACS Publications)</w:t>
      </w:r>
      <w:r>
        <w:t xml:space="preserve">    </w:t>
      </w:r>
      <w:r>
        <w:rPr>
          <w:b/>
        </w:rPr>
        <w:t xml:space="preserve">Pub date: </w:t>
      </w:r>
      <w:r>
        <w:t>2026-01-06 20:51:34+00:00</w:t>
      </w:r>
      <w:r>
        <w:t xml:space="preserve">    </w:t>
      </w:r>
      <w:r>
        <w:rPr>
          <w:b/>
        </w:rPr>
        <w:t xml:space="preserve">DOI: </w:t>
      </w:r>
      <w:hyperlink r:id="rId189">
        <w:r>
          <w:rPr>
            <w:color w:val="1155CC"/>
            <w:u w:val="single"/>
          </w:rPr>
          <w:t>10.1021/acs.chemrev.5c00433</w:t>
        </w:r>
      </w:hyperlink>
    </w:p>
    <w:p>
      <w:pPr>
        <w:spacing w:before="0" w:after="120"/>
      </w:pPr>
      <w:r>
        <w:rPr>
          <w:b/>
        </w:rPr>
        <w:t xml:space="preserve">Notes: </w:t>
      </w:r>
      <w:r>
        <w:t>abstract_source=pubmed</w:t>
      </w:r>
    </w:p>
    <w:p>
      <w:pPr>
        <w:spacing w:before="0" w:after="80" w:lineRule="auto" w:line="276"/>
      </w:pPr>
      <w:r>
        <w:rPr>
          <w:b/>
        </w:rPr>
        <w:t xml:space="preserve">摘要（ZH）: </w:t>
      </w:r>
      <w:r>
        <w:t>直接观测表明,全球海洋每年净碳吸收量为2.6-3.0兆兆吨碳,占人为二氧化碳排放量的近30%。本审查审查了海洋碳循环的两个主要领域。第一个领域是人为二氧化碳的自然吸收和储存,重点是海洋碳酸盐系统的反应和吸收碳的空间分布。第二个领域是新出现的海洋二氧化碳清除战略,特别是海洋碱性增强和大型藻类方法。海洋碱性增强的目的是提高海水缓冲法西利塔特的能力。</w:t>
      </w:r>
    </w:p>
    <w:p>
      <w:pPr>
        <w:spacing w:before="0" w:after="200" w:lineRule="auto" w:line="276"/>
      </w:pPr>
      <w:r>
        <w:rPr>
          <w:b/>
        </w:rPr>
        <w:t xml:space="preserve">Abstract (EN): </w:t>
      </w:r>
      <w:r>
        <w:t>The ocean, Earth's largest carbon reservoir, exerts a central role over atmospheric CO2 through its capacity to store carbon primarily as bicarbonate ions. Direct observations indicate that the global ocean has a net carbon uptake of 2.6-3.0 petagrams of carbon annually, representing nearly 30% of anthropogenic CO2 emissions. This review examines two principal domains of oceanic carbon cycling. The first concerns the natural uptake and storage of anthropogenic CO2, with emphasis on the response of the marine carbonate system and the spatial distribution of absorbed carbon. The second addresses emerging marine CO2 removal strategies, especially ocean alkalinity enhancement and macroalgae-based approaches. Ocean alkalinity enhancement aims to increase seawater buffering capacity to facilitate greater CO2 uptake, whereas macroalgae-based strategies rely on photosynthetic fixation and the subsequent storage of organic and inorganic carbon in various reservoirs. Effective implementation of these approaches necessitates rigorous monitoring, reporting, and verification frameworks to ensure their quantifiable efficacy and environmental integrity.</w:t>
      </w:r>
    </w:p>
    <w:p>
      <w:pPr>
        <w:spacing w:before="120" w:after="120"/>
      </w:pPr>
      <w:r>
        <w:rPr>
          <w:sz w:val="18"/>
        </w:rPr>
        <w:t>——————————————————————————————————————————————————————————————————————</w:t>
      </w:r>
    </w:p>
    <w:p>
      <w:pPr>
        <w:spacing w:before="160" w:after="40" w:line="240" w:lineRule="auto"/>
      </w:pPr>
      <w:r>
        <w:rPr>
          <w:b/>
        </w:rPr>
        <w:t xml:space="preserve">[120] </w:t>
      </w:r>
      <w:hyperlink r:id="rId190">
        <w:r>
          <w:rPr>
            <w:color w:val="1155CC"/>
            <w:u w:val="single"/>
          </w:rPr>
          <w:t>[ASAP] Anion-Exchange 膜燃料电池能用环境空气操作吗?</w:t>
        </w:r>
      </w:hyperlink>
    </w:p>
    <w:p>
      <w:pPr>
        <w:spacing w:before="0" w:after="80"/>
      </w:pPr>
      <w:r>
        <w:rPr>
          <w:i/>
          <w:sz w:val="20"/>
        </w:rPr>
        <w:t>EN: [ASAP] Can Anion-Exchange Membrane Fuel Cells Operate with Ambient Air?</w:t>
      </w:r>
    </w:p>
    <w:p>
      <w:pPr>
        <w:spacing w:before="0" w:after="120"/>
      </w:pPr>
      <w:r>
        <w:rPr>
          <w:b/>
        </w:rPr>
        <w:t xml:space="preserve">Source: </w:t>
      </w:r>
      <w:r>
        <w:t>ACS Energy Letters: Latest Articles (ACS Publications)</w:t>
      </w:r>
      <w:r>
        <w:t xml:space="preserve">    </w:t>
      </w:r>
      <w:r>
        <w:rPr>
          <w:b/>
        </w:rPr>
        <w:t xml:space="preserve">Pub date: </w:t>
      </w:r>
      <w:r>
        <w:t>2026-01-06 20:53:45+00:00</w:t>
      </w:r>
      <w:r>
        <w:t xml:space="preserve">    </w:t>
      </w:r>
      <w:r>
        <w:rPr>
          <w:b/>
        </w:rPr>
        <w:t xml:space="preserve">DOI: </w:t>
      </w:r>
      <w:hyperlink r:id="rId191">
        <w:r>
          <w:rPr>
            <w:color w:val="1155CC"/>
            <w:u w:val="single"/>
          </w:rPr>
          <w:t>10.1021/acsenergylett.5c03124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[121] </w:t>
      </w:r>
      <w:hyperlink r:id="rId192">
        <w:r>
          <w:rPr>
            <w:color w:val="1155CC"/>
            <w:u w:val="single"/>
          </w:rPr>
          <w:t>[ASAP] 电催化5-Hydroxy甲基硫磺(HMF)氧化为2,5-Furandicarboxyymerical酸(FDCA),与绿色H2生产结合:目前的挑战和未来途径</w:t>
        </w:r>
      </w:hyperlink>
    </w:p>
    <w:p>
      <w:pPr>
        <w:spacing w:before="0" w:after="80"/>
      </w:pPr>
      <w:r>
        <w:rPr>
          <w:i/>
          <w:sz w:val="20"/>
        </w:rPr>
        <w:t>EN: [ASAP] Electrocatalytic 5-Hydroxymethylfurfural (HMF) Oxidation to 2,5-Furandicarboxylic Acid (FDCA) Coupled to Green H2 Production: Current Challenges and Future Pathways</w:t>
      </w:r>
    </w:p>
    <w:p>
      <w:pPr>
        <w:spacing w:before="0" w:after="120"/>
      </w:pPr>
      <w:r>
        <w:rPr>
          <w:b/>
        </w:rPr>
        <w:t xml:space="preserve">Source: </w:t>
      </w:r>
      <w:r>
        <w:t>ACS Energy Letters: Latest Articles (ACS Publications)</w:t>
      </w:r>
      <w:r>
        <w:t xml:space="preserve">    </w:t>
      </w:r>
      <w:r>
        <w:rPr>
          <w:b/>
        </w:rPr>
        <w:t xml:space="preserve">Pub date: </w:t>
      </w:r>
      <w:r>
        <w:t>2026-01-06 20:54:34+00:00</w:t>
      </w:r>
      <w:r>
        <w:t xml:space="preserve">    </w:t>
      </w:r>
      <w:r>
        <w:rPr>
          <w:b/>
        </w:rPr>
        <w:t xml:space="preserve">DOI: </w:t>
      </w:r>
      <w:hyperlink r:id="rId193">
        <w:r>
          <w:rPr>
            <w:color w:val="1155CC"/>
            <w:u w:val="single"/>
          </w:rPr>
          <w:t>10.1021/acsenergylett.5c03733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[122] </w:t>
      </w:r>
      <w:hyperlink r:id="rId194">
        <w:r>
          <w:rPr>
            <w:color w:val="1155CC"/>
            <w:u w:val="single"/>
          </w:rPr>
          <w:t>[ASAP] 高排零排中中层排气阴极</w:t>
        </w:r>
      </w:hyperlink>
    </w:p>
    <w:p>
      <w:pPr>
        <w:spacing w:before="0" w:after="80"/>
      </w:pPr>
      <w:r>
        <w:rPr>
          <w:i/>
          <w:sz w:val="20"/>
        </w:rPr>
        <w:t>EN: [ASAP] High-Voltage Zero-Strain Mid-Mn Layered Cathode</w:t>
      </w:r>
    </w:p>
    <w:p>
      <w:pPr>
        <w:spacing w:before="0" w:after="120"/>
      </w:pPr>
      <w:r>
        <w:rPr>
          <w:b/>
        </w:rPr>
        <w:t xml:space="preserve">Source: </w:t>
      </w:r>
      <w:r>
        <w:t>ACS Energy Letters: Latest Articles (ACS Publications)</w:t>
      </w:r>
      <w:r>
        <w:t xml:space="preserve">    </w:t>
      </w:r>
      <w:r>
        <w:rPr>
          <w:b/>
        </w:rPr>
        <w:t xml:space="preserve">Pub date: </w:t>
      </w:r>
      <w:r>
        <w:t>2026-01-06 20:54:51+00:00</w:t>
      </w:r>
      <w:r>
        <w:t xml:space="preserve">    </w:t>
      </w:r>
      <w:r>
        <w:rPr>
          <w:b/>
        </w:rPr>
        <w:t xml:space="preserve">DOI: </w:t>
      </w:r>
      <w:hyperlink r:id="rId195">
        <w:r>
          <w:rPr>
            <w:color w:val="1155CC"/>
            <w:u w:val="single"/>
          </w:rPr>
          <w:t>10.1021/acsenergylett.5c03855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[123] </w:t>
      </w:r>
      <w:hyperlink r:id="rId196">
        <w:r>
          <w:rPr>
            <w:color w:val="1155CC"/>
            <w:u w:val="single"/>
          </w:rPr>
          <w:t>压力控制着异异异异血色质通过h3 直方H3 万象传承的传承。</w:t>
        </w:r>
      </w:hyperlink>
    </w:p>
    <w:p>
      <w:pPr>
        <w:spacing w:before="0" w:after="80"/>
      </w:pPr>
      <w:r>
        <w:rPr>
          <w:i/>
          <w:sz w:val="20"/>
        </w:rPr>
        <w:t>EN: Stress controls heterochromatin inheritance via histone H3 ubiquitylation</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以H3淋巴素9甲基甲基化为标志的乙酸色色素通过细胞分解1、2、3、保持基因抑制以保持细胞特性并能适应环境挑战,2、3、4、5、6。 有关Schizosaccharoomyces pombe的研究显示,乙酸色色素的传播取决于读写机制,在这个机制中,H3K9M3经过H3改良的核素的足够密度,通过胸膜脱氧素稳定,在染色素上浓缩Clr4SUV39H,以进一步促进H3K9甲基化物的沉积,7、8、9。 其他机制是否控制异色色素通过Cr4SUV39H(E3 Ubiquitin ligase IIcrC10、11、12)的子单位传播。我们在这里发现了一个以直基丁为依附的雌激素的雌激素染色素调控管中心。</w:t>
      </w:r>
    </w:p>
    <w:p>
      <w:pPr>
        <w:spacing w:before="0" w:after="200" w:lineRule="auto" w:line="276"/>
      </w:pPr>
      <w:r>
        <w:rPr>
          <w:b/>
        </w:rPr>
        <w:t xml:space="preserve">Abstract (EN): </w:t>
      </w:r>
      <w:r>
        <w:t>Heterochromatin, marked by histone H3 lysine 9 methylation, can be epigenetically inherited through cell division1,2,3, maintaining gene repression that preserves cell identity and enables adaptation to environmental challenges2,3,4,5,6. Studies on Schizosaccharomyces pombe have shown that heterochromatin propagation depends on the read–write mechanism, wherein a sufficient density of H3K9me3-modified nucleosomes, stabilized by histone deacetylases, concentrates Clr4SUV39H on chromatin to promote further deposition of H3K9 methylation7,8,9. Whether other mechanisms control heterochromatin propagation by means of Clr4SUV39H, a subunit of the E3 ubiquitin ligase complex ClrC10,11,12, was unknown. Here we uncover a ubiquitin-dependent heterochromatin heritability regulatory hub (HRH) that broadly governs heterochromatin propagation, even without histone deacetylase activity. The HRH is tuned by the limiting factor Raf1DDB2, a substrate receptor for the ClrC ubiquitin ligase. In addition to linking Clr4SUV39H to other ClrC components on chromatin, Raf1DDB2 acts in a dosage-dependent manner to promote ubiquitination of histone H3 at lysine 14 (H3K14ub), which is critical for heterochromatin self-propagation. HRH is intricately linked to environmentally responsive pathways, including nonsense-mediated decay (NMD) and target of rapamycin (TOR) signalling, enabling cells to adapt to changing conditions. By modulating heterochromatin propagation, cells leverage the HRH to gain resistance to antifungal agents and adapt to high temperature. Thus, heterochromatin self-propagation is actively regulated by means of H3K14ub in response to external stimuli, with broad implications for understanding mechanisms governing rapid changes in the epigenetic landscape in physiology and disease.</w:t>
      </w:r>
    </w:p>
    <w:p>
      <w:pPr>
        <w:spacing w:before="120" w:after="120"/>
      </w:pPr>
      <w:r>
        <w:rPr>
          <w:sz w:val="18"/>
        </w:rPr>
        <w:t>——————————————————————————————————————————————————————————————————————</w:t>
      </w:r>
    </w:p>
    <w:p>
      <w:pPr>
        <w:spacing w:before="160" w:after="40" w:line="240" w:lineRule="auto"/>
      </w:pPr>
      <w:r>
        <w:rPr>
          <w:b/>
        </w:rPr>
        <w:t xml:space="preserve">[124] </w:t>
      </w:r>
      <w:hyperlink r:id="rId197">
        <w:r>
          <w:rPr>
            <w:color w:val="1155CC"/>
            <w:u w:val="single"/>
          </w:rPr>
          <w:t>在石墨中看到的外表准粒子</w:t>
        </w:r>
      </w:hyperlink>
    </w:p>
    <w:p>
      <w:pPr>
        <w:spacing w:before="0" w:after="80"/>
      </w:pPr>
      <w:r>
        <w:rPr>
          <w:i/>
          <w:sz w:val="20"/>
        </w:rPr>
        <w:t>EN: Exotic quasiparticles glimpsed in graphene</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[125] </w:t>
      </w:r>
      <w:hyperlink r:id="rId198">
        <w:r>
          <w:rPr>
            <w:color w:val="1155CC"/>
            <w:u w:val="single"/>
          </w:rPr>
          <w:t>一张通往你平板行星的 排除故障指南</w:t>
        </w:r>
      </w:hyperlink>
    </w:p>
    <w:p>
      <w:pPr>
        <w:spacing w:before="0" w:after="80"/>
      </w:pPr>
      <w:r>
        <w:rPr>
          <w:i/>
          <w:sz w:val="20"/>
        </w:rPr>
        <w:t>EN: A troubleshooting guide to your flat-pack planet</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[126] </w:t>
      </w:r>
      <w:hyperlink r:id="rId199">
        <w:r>
          <w:rPr>
            <w:color w:val="1155CC"/>
            <w:u w:val="single"/>
          </w:rPr>
          <w:t>互联网数据中心和工业园作为现代电力系统中的灵活提供商:基于ADMM的协调机制</w:t>
        </w:r>
      </w:hyperlink>
    </w:p>
    <w:p>
      <w:pPr>
        <w:spacing w:before="0" w:after="80"/>
      </w:pPr>
      <w:r>
        <w:rPr>
          <w:i/>
          <w:sz w:val="20"/>
        </w:rPr>
        <w:t>EN: Internet data centers and industrial parks as flexibility providers in modern power systems: An ADMM-based coordination mechanism</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[127] </w:t>
      </w:r>
      <w:hyperlink r:id="rId200">
        <w:r>
          <w:rPr>
            <w:color w:val="1155CC"/>
            <w:u w:val="single"/>
          </w:rPr>
          <w:t>审查地下能源储存:建模、实验和挑战</w:t>
        </w:r>
      </w:hyperlink>
    </w:p>
    <w:p>
      <w:pPr>
        <w:spacing w:before="0" w:after="80"/>
      </w:pPr>
      <w:r>
        <w:rPr>
          <w:i/>
          <w:sz w:val="20"/>
        </w:rPr>
        <w:t>EN: A review of underground energy storage: Modeling, experiments, and challenges</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[128] </w:t>
      </w:r>
      <w:hyperlink r:id="rId201">
        <w:r>
          <w:rPr>
            <w:color w:val="1155CC"/>
            <w:u w:val="single"/>
          </w:rPr>
          <w:t>基于充分结合的多物理学实地分析法的水下热电发电机综合设计</w:t>
        </w:r>
      </w:hyperlink>
    </w:p>
    <w:p>
      <w:pPr>
        <w:spacing w:before="0" w:after="80"/>
      </w:pPr>
      <w:r>
        <w:rPr>
          <w:i/>
          <w:sz w:val="20"/>
        </w:rPr>
        <w:t>EN: Integrated design for underwater thermoelectric generator (TEG) based on fully coupled multiphysics fields analysis method</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[129] </w:t>
      </w:r>
      <w:hyperlink r:id="rId202">
        <w:r>
          <w:rPr>
            <w:color w:val="1155CC"/>
            <w:u w:val="single"/>
          </w:rPr>
          <w:t>在不同的环境温度和阳光条件下为电动公共汽车充电,在不同的环境温度和阳光条件下提供太阳能</w:t>
        </w:r>
      </w:hyperlink>
    </w:p>
    <w:p>
      <w:pPr>
        <w:spacing w:before="0" w:after="80"/>
      </w:pPr>
      <w:r>
        <w:rPr>
          <w:i/>
          <w:sz w:val="20"/>
        </w:rPr>
        <w:t>EN: Charging electric buses with solar power under varying environmental temperatures and sunlight conditions</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[130] </w:t>
      </w:r>
      <w:hyperlink r:id="rId203">
        <w:r>
          <w:rPr>
            <w:color w:val="1155CC"/>
            <w:u w:val="single"/>
          </w:rPr>
          <w:t>探索在多时间规模能源管理下在离网可再生能源P2H系统下在离网可再生P2H系统进行电网格式化能源储存的最佳规模</w:t>
        </w:r>
      </w:hyperlink>
    </w:p>
    <w:p>
      <w:pPr>
        <w:spacing w:before="0" w:after="80"/>
      </w:pPr>
      <w:r>
        <w:rPr>
          <w:i/>
          <w:sz w:val="20"/>
        </w:rPr>
        <w:t>EN: Exploring the optimal size of grid-forming energy storage in an off-grid renewable P2H system under multi-timescale energy management</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[131] </w:t>
      </w:r>
      <w:hyperlink r:id="rId204">
        <w:r>
          <w:rPr>
            <w:color w:val="1155CC"/>
            <w:u w:val="single"/>
          </w:rPr>
          <w:t>科学家们在AI时代就抛弃了实地工作。</w:t>
        </w:r>
      </w:hyperlink>
    </w:p>
    <w:p>
      <w:pPr>
        <w:spacing w:before="0" w:after="80"/>
      </w:pPr>
      <w:r>
        <w:rPr>
          <w:i/>
          <w:sz w:val="20"/>
        </w:rPr>
        <w:t>EN: ‘I rarely get outside’: scientists ditch fieldwork in the age of AI</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[132] </w:t>
      </w:r>
      <w:hyperlink r:id="rId205">
        <w:r>
          <w:rPr>
            <w:color w:val="1155CC"/>
            <w:u w:val="single"/>
          </w:rPr>
          <w:t>用于多堆装系列配置的级联气体-液体分离器,以提高碱性水电解系统目前的效率</w:t>
        </w:r>
      </w:hyperlink>
    </w:p>
    <w:p>
      <w:pPr>
        <w:spacing w:before="0" w:after="80"/>
      </w:pPr>
      <w:r>
        <w:rPr>
          <w:i/>
          <w:sz w:val="20"/>
        </w:rPr>
        <w:t>EN: A cascaded gas-liquid separator for multi-stack series configuration to improve the current efficiency of an alkaline water electrolysis system</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[133] </w:t>
      </w:r>
      <w:hyperlink r:id="rId206">
        <w:r>
          <w:rPr>
            <w:color w:val="1155CC"/>
            <w:u w:val="single"/>
          </w:rPr>
          <w:t>有效的能源转移算法:一种非局部的、从小到小的线性方法,用来测绘储存能力,使其实现自给自足和自消费</w:t>
        </w:r>
      </w:hyperlink>
    </w:p>
    <w:p>
      <w:pPr>
        <w:spacing w:before="0" w:after="80"/>
      </w:pPr>
      <w:r>
        <w:rPr>
          <w:i/>
          <w:sz w:val="20"/>
        </w:rPr>
        <w:t>EN: The Effective Energy Shift (EfES) algorithm: A non-iterative piece-wise linear method for mapping storage capacity to self-sufficiency and self-consumption</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[134] </w:t>
      </w:r>
      <w:hyperlink r:id="rId207">
        <w:r>
          <w:rPr>
            <w:color w:val="1155CC"/>
            <w:u w:val="single"/>
          </w:rPr>
          <w:t>具有灵活载荷的智能燃气涡轮机操作数字双双双功能动态4E-S多目标优化框架</w:t>
        </w:r>
      </w:hyperlink>
    </w:p>
    <w:p>
      <w:pPr>
        <w:spacing w:before="0" w:after="80"/>
      </w:pPr>
      <w:r>
        <w:rPr>
          <w:i/>
          <w:sz w:val="20"/>
        </w:rPr>
        <w:t>EN: Digital twin-enabled dynamic 4E-S multi-objective optimization framework for intelligent gas turbine operation with flexible loads</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[135] </w:t>
      </w:r>
      <w:hyperlink r:id="rId208">
        <w:r>
          <w:rPr>
            <w:color w:val="1155CC"/>
            <w:u w:val="single"/>
          </w:rPr>
          <w:t>不同途径:对后大气去碳化脱碳轨道和全球气候政策要求的机器学习分析</w:t>
        </w:r>
      </w:hyperlink>
    </w:p>
    <w:p>
      <w:pPr>
        <w:spacing w:before="0" w:after="80"/>
      </w:pPr>
      <w:r>
        <w:rPr>
          <w:i/>
          <w:sz w:val="20"/>
        </w:rPr>
        <w:t>EN: Divergent paths: A machine learning analysis of post-pandemic decarbonization trajectories and the global climate policy imperative</w:t>
      </w:r>
    </w:p>
    <w:p>
      <w:pPr>
        <w:spacing w:before="0" w:after="120"/>
      </w:pPr>
      <w:r>
        <w:rPr>
          <w:b/>
        </w:rPr>
        <w:t xml:space="preserve">Source: </w:t>
      </w:r>
      <w:r>
        <w:t>ScienceDirect Publication: Energy Policy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[136] </w:t>
      </w:r>
      <w:hyperlink r:id="rId209">
        <w:r>
          <w:rPr>
            <w:color w:val="1155CC"/>
            <w:u w:val="single"/>
          </w:rPr>
          <w:t>古老的已知毒箭 展示石器时代人类的技术才华</w:t>
        </w:r>
      </w:hyperlink>
    </w:p>
    <w:p>
      <w:pPr>
        <w:spacing w:before="0" w:after="80"/>
      </w:pPr>
      <w:r>
        <w:rPr>
          <w:i/>
          <w:sz w:val="20"/>
        </w:rPr>
        <w:t>EN: Oldest known poison arrows show Stone Age humans’ technological talents</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[137] </w:t>
      </w:r>
      <w:hyperlink r:id="rId210">
        <w:r>
          <w:rPr>
            <w:color w:val="1155CC"/>
            <w:u w:val="single"/>
          </w:rPr>
          <w:t>由八花启发的“合成皮肤”根据需求改变颜色和质地</w:t>
        </w:r>
      </w:hyperlink>
    </w:p>
    <w:p>
      <w:pPr>
        <w:spacing w:before="0" w:after="80"/>
      </w:pPr>
      <w:r>
        <w:rPr>
          <w:i/>
          <w:sz w:val="20"/>
        </w:rPr>
        <w:t>EN: Octopus-inspired ‘synthetic skin’ changes colour and texture on demand</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[138] </w:t>
      </w:r>
      <w:hyperlink r:id="rId211">
        <w:r>
          <w:rPr>
            <w:color w:val="1155CC"/>
            <w:u w:val="single"/>
          </w:rPr>
          <w:t>一个神秘的古代指纹和一个柠檬状的行星——你错过的故事</w:t>
        </w:r>
      </w:hyperlink>
    </w:p>
    <w:p>
      <w:pPr>
        <w:spacing w:before="0" w:after="80"/>
      </w:pPr>
      <w:r>
        <w:rPr>
          <w:i/>
          <w:sz w:val="20"/>
        </w:rPr>
        <w:t>EN: A mysterious ancient fingerprint and a lemon-shaped planet — the stories you’ve missed</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[139] </w:t>
      </w:r>
      <w:hyperlink r:id="rId212">
        <w:r>
          <w:rPr>
            <w:color w:val="1155CC"/>
            <w:u w:val="single"/>
          </w:rPr>
          <w:t>每日简报:400年的鲨鱼如何保持其视力敏锐</w:t>
        </w:r>
      </w:hyperlink>
    </w:p>
    <w:p>
      <w:pPr>
        <w:spacing w:before="0" w:after="80"/>
      </w:pPr>
      <w:r>
        <w:rPr>
          <w:i/>
          <w:sz w:val="20"/>
        </w:rPr>
        <w:t>EN: Daily briefing: How 400-year-old sharks keep their vision sharp</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[140] </w:t>
      </w:r>
      <w:hyperlink r:id="rId213">
        <w:r>
          <w:rPr>
            <w:color w:val="1155CC"/>
            <w:u w:val="single"/>
          </w:rPr>
          <w:t>乙醇对汽油:常规政策和缓慢吸收</w:t>
        </w:r>
      </w:hyperlink>
    </w:p>
    <w:p>
      <w:pPr>
        <w:spacing w:before="0" w:after="80"/>
      </w:pPr>
      <w:r>
        <w:rPr>
          <w:i/>
          <w:sz w:val="20"/>
        </w:rPr>
        <w:t>EN: Ethanol vs. gasoline: conventional policies and the slow uptake</w:t>
      </w:r>
    </w:p>
    <w:p>
      <w:pPr>
        <w:spacing w:before="0" w:after="120"/>
      </w:pPr>
      <w:r>
        <w:rPr>
          <w:b/>
        </w:rPr>
        <w:t xml:space="preserve">Source: </w:t>
      </w:r>
      <w:r>
        <w:t>ScienceDirect Publication: Energy Policy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[141] </w:t>
      </w:r>
      <w:hyperlink r:id="rId214">
        <w:r>
          <w:rPr>
            <w:color w:val="1155CC"/>
            <w:u w:val="single"/>
          </w:rPr>
          <w:t>对GLP-1受控者激励器综合评估:多重疾病临床结果总体审查</w:t>
        </w:r>
      </w:hyperlink>
    </w:p>
    <w:p>
      <w:pPr>
        <w:spacing w:before="0" w:after="80"/>
      </w:pPr>
      <w:r>
        <w:rPr>
          <w:i/>
          <w:sz w:val="20"/>
        </w:rPr>
        <w:t>EN: Comprehensive evaluation of GLP-1 receptor agonists: an umbrella review of clinical outcomes across multiple diseases</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2类糖尿病受体激素(GLP-1 RAs)最初被批准为2类糖尿病受体激动剂(GLP-1 RAs),最近的证据表明,这些受体在各种疾病中具有治疗潜力,尽管其效力和安全性仍然不完全为人们所理解。在这里,我们进行了一项总括性审查,包括涵盖5617篇文章中464项结果的123项元分析,以全面评估GLP-1 RAs在不同结果中的效果和不利事件。 GLP-1 RAs显示,内分泌和代谢、心血管、肾脏和呼吸机能、认知功能的改善趋势,有可能降低骨折风险和某些人群中所有原因的死亡率。然而,某些受体的受体风险增加,包括糖尿病复健、心酸、胃硬化、胃平衡。</w:t>
      </w:r>
    </w:p>
    <w:p>
      <w:pPr>
        <w:spacing w:before="0" w:after="200" w:lineRule="auto" w:line="276"/>
      </w:pPr>
      <w:r>
        <w:rPr>
          <w:b/>
        </w:rPr>
        <w:t xml:space="preserve">Abstract (EN): </w:t>
      </w:r>
      <w:r>
        <w:t>Glucagon-like peptide-1 receptor agonists (GLP-1 RAs) were initially approved for type 2 diabetes mellitus. Recent evidence suggests their therapeutic potential in various diseases, though their efficacy and safety remain incompletely understood. Here, we conduct an umbrella review including 123 meta-analyses covering 464 outcomes from 5617 articles to comprehensively assess the effectiveness and adverse events (AEs) of GLP-1 RAs across diverse outcomes. GLP-1 RAs showed trends toward improvements in endocrine and metabolic, cardiovascular, renal, and respiratory outcomes, cognitive function, with a potential reduction in fracture risk and all-cause mortality in certain populations. However, increased risks of certain AEs, including diabetic retinopathy, ketoacidosis, gastrointestinal events, and treatment discontinuation, were also observed. AMSTAR 2 assessments indicate that the existing evidence is limited by methodological shortcomings, including incomplete reporting of excluded studies, suboptimal literature search strategies, and insufficient evaluation of how bias in primary studies may influence meta-analytic estimates. Some outcomes did not reach statistical significance in all populations, highlighting the need for further high-quality clinical research. Careful consideration of potential benefits and risks is essential for optimizing treatment outcomes and ensuring patient safety when using GLP-1 RAs in clinical practice.</w:t>
      </w:r>
    </w:p>
    <w:p>
      <w:pPr>
        <w:spacing w:before="120" w:after="120"/>
      </w:pPr>
      <w:r>
        <w:rPr>
          <w:sz w:val="18"/>
        </w:rPr>
        <w:t>——————————————————————————————————————————————————————————————————————</w:t>
      </w:r>
    </w:p>
    <w:p>
      <w:pPr>
        <w:spacing w:before="160" w:after="40" w:line="240" w:lineRule="auto"/>
      </w:pPr>
      <w:r>
        <w:rPr>
          <w:b/>
        </w:rPr>
        <w:t xml:space="preserve">[142] </w:t>
      </w:r>
      <w:hyperlink r:id="rId215">
        <w:r>
          <w:rPr>
            <w:color w:val="1155CC"/>
            <w:u w:val="single"/>
          </w:rPr>
          <w:t>防雷光稳定剂阻力使百草枯太阳能电池的稳定增强</w:t>
        </w:r>
      </w:hyperlink>
    </w:p>
    <w:p>
      <w:pPr>
        <w:spacing w:before="0" w:after="80"/>
      </w:pPr>
      <w:r>
        <w:rPr>
          <w:i/>
          <w:sz w:val="20"/>
        </w:rPr>
        <w:t>EN: Stability enhancement of perovskite solar cells enabled by hindered amine photostabilizers</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[143] </w:t>
      </w:r>
      <w:hyperlink r:id="rId216">
        <w:r>
          <w:rPr>
            <w:color w:val="1155CC"/>
            <w:u w:val="single"/>
          </w:rPr>
          <w:t>用于低温等离子体运输的推进热塑性复合材料</w:t>
        </w:r>
      </w:hyperlink>
    </w:p>
    <w:p>
      <w:pPr>
        <w:spacing w:before="0" w:after="80"/>
      </w:pPr>
      <w:r>
        <w:rPr>
          <w:i/>
          <w:sz w:val="20"/>
        </w:rPr>
        <w:t>EN: Advancing thermoplastic composites for transportation with low-temperature plasma</w:t>
      </w:r>
    </w:p>
    <w:p>
      <w:pPr>
        <w:spacing w:before="0" w:after="120"/>
      </w:pPr>
      <w:r>
        <w:rPr>
          <w:b/>
        </w:rPr>
        <w:t xml:space="preserve">Source: </w:t>
      </w:r>
      <w:r>
        <w:t>Nature Reviews Clean Technology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[144] </w:t>
      </w:r>
      <w:hyperlink r:id="rId217">
        <w:r>
          <w:rPr>
            <w:color w:val="1155CC"/>
            <w:u w:val="single"/>
          </w:rPr>
          <w:t>用于优化太阳能空气热暖器性能的扰动建模和机器学习:最新工艺和未来方向</w:t>
        </w:r>
      </w:hyperlink>
    </w:p>
    <w:p>
      <w:pPr>
        <w:spacing w:before="0" w:after="80"/>
      </w:pPr>
      <w:r>
        <w:rPr>
          <w:i/>
          <w:sz w:val="20"/>
        </w:rPr>
        <w:t>EN: Turbulence modeling and machine learning for performance optimization of solar air heaters: State-of-the-art and future directions</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[145] </w:t>
      </w:r>
      <w:hyperlink r:id="rId218">
        <w:r>
          <w:rPr>
            <w:color w:val="1155CC"/>
            <w:u w:val="single"/>
          </w:rPr>
          <w:t>确定基因-贸易协会的生物基础的方法</w:t>
        </w:r>
      </w:hyperlink>
    </w:p>
    <w:p>
      <w:pPr>
        <w:spacing w:before="0" w:after="80"/>
      </w:pPr>
      <w:r>
        <w:rPr>
          <w:i/>
          <w:sz w:val="20"/>
        </w:rPr>
        <w:t>EN: A way to identify the biological basis of gene–trait associations</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[146] </w:t>
      </w:r>
      <w:hyperlink r:id="rId219">
        <w:r>
          <w:rPr>
            <w:color w:val="1155CC"/>
            <w:u w:val="single"/>
          </w:rPr>
          <w:t>考虑到城市交通网络中的氢供应链安全,协调优化电力-氢能系统</w:t>
        </w:r>
      </w:hyperlink>
    </w:p>
    <w:p>
      <w:pPr>
        <w:spacing w:before="0" w:after="80"/>
      </w:pPr>
      <w:r>
        <w:rPr>
          <w:i/>
          <w:sz w:val="20"/>
        </w:rPr>
        <w:t>EN: Coordinated optimization of electricity-hydrogen system considering hydrogen supply chain safety in urban traffic network</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[147] </w:t>
      </w:r>
      <w:hyperlink r:id="rId220">
        <w:r>
          <w:rPr>
            <w:color w:val="1155CC"/>
            <w:u w:val="single"/>
          </w:rPr>
          <w:t>德国电池研究需要有针对性的长期供资战略</w:t>
        </w:r>
      </w:hyperlink>
    </w:p>
    <w:p>
      <w:pPr>
        <w:spacing w:before="0" w:after="80"/>
      </w:pPr>
      <w:r>
        <w:rPr>
          <w:i/>
          <w:sz w:val="20"/>
        </w:rPr>
        <w:t>EN: German battery research needs a targeted and long-lasting funding strategy</w:t>
      </w:r>
    </w:p>
    <w:p>
      <w:pPr>
        <w:spacing w:before="0" w:after="120"/>
      </w:pPr>
      <w:r>
        <w:rPr>
          <w:b/>
        </w:rPr>
        <w:t xml:space="preserve">Source: </w:t>
      </w:r>
      <w:r>
        <w:t>Nature Reviews Clean Technology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[148] </w:t>
      </w:r>
      <w:hyperlink r:id="rId221">
        <w:r>
          <w:rPr>
            <w:color w:val="1155CC"/>
            <w:u w:val="single"/>
          </w:rPr>
          <w:t>通过有针对性的PGAM5 SIRNA强化免疫疗法,改造KARS-LKB1非小型细胞肺肺癌混合体-非小型细胞肺癌免疫抑制微型环境</w:t>
        </w:r>
      </w:hyperlink>
    </w:p>
    <w:p>
      <w:pPr>
        <w:spacing w:before="0" w:after="80"/>
      </w:pPr>
      <w:r>
        <w:rPr>
          <w:i/>
          <w:sz w:val="20"/>
        </w:rPr>
        <w:t>EN: Remodeling the immunosuppressive microenvironment of KARS-LKB1 co-mutant non-small cell lung cancer via targeted PGAM5 siRNA delivery for enhanced immunotherapy</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[149] </w:t>
      </w:r>
      <w:hyperlink r:id="rId222">
        <w:r>
          <w:rPr>
            <w:color w:val="1155CC"/>
            <w:u w:val="single"/>
          </w:rPr>
          <w:t>对差分扫描热量测定数据进行推进分析 - DSC和AI</w:t>
        </w:r>
      </w:hyperlink>
    </w:p>
    <w:p>
      <w:pPr>
        <w:spacing w:before="0" w:after="80"/>
      </w:pPr>
      <w:r>
        <w:rPr>
          <w:i/>
          <w:sz w:val="20"/>
        </w:rPr>
        <w:t>EN: Advancing analysis of differential scanning calorimetry data – Converging DSC and AI</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[150] </w:t>
      </w:r>
      <w:hyperlink r:id="rId223">
        <w:r>
          <w:rPr>
            <w:color w:val="1155CC"/>
            <w:u w:val="single"/>
          </w:rPr>
          <w:t>普罗夫斯基薄薄薄膜技术的最新进展:从太阳能电池到光电子设备</w:t>
        </w:r>
      </w:hyperlink>
    </w:p>
    <w:p>
      <w:pPr>
        <w:spacing w:before="0" w:after="80"/>
      </w:pPr>
      <w:r>
        <w:rPr>
          <w:i/>
          <w:sz w:val="20"/>
        </w:rPr>
        <w:t>EN: Recent advancements in perovskite thin film technology: From solar cells to optoelectronic devices</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[151] </w:t>
      </w:r>
      <w:hyperlink r:id="rId224">
        <w:r>
          <w:rPr>
            <w:color w:val="1155CC"/>
            <w:u w:val="single"/>
          </w:rPr>
          <w:t>未来同位素Ion电池阴极材料的实验和计算进步</w:t>
        </w:r>
      </w:hyperlink>
    </w:p>
    <w:p>
      <w:pPr>
        <w:spacing w:before="0" w:after="80"/>
      </w:pPr>
      <w:r>
        <w:rPr>
          <w:i/>
          <w:sz w:val="20"/>
        </w:rPr>
        <w:t>EN: Expression of concern: Experimental and computational advancement of cathode materials for futuristic Sodium Ion Batteries</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[152] </w:t>
      </w:r>
      <w:hyperlink r:id="rId225">
        <w:r>
          <w:rPr>
            <w:color w:val="1155CC"/>
            <w:u w:val="single"/>
          </w:rPr>
          <w:t>使用智能计量数据校准城市建筑能源模型,以进行地区最高负荷预测</w:t>
        </w:r>
      </w:hyperlink>
    </w:p>
    <w:p>
      <w:pPr>
        <w:spacing w:before="0" w:after="80"/>
      </w:pPr>
      <w:r>
        <w:rPr>
          <w:i/>
          <w:sz w:val="20"/>
        </w:rPr>
        <w:t>EN: Calibration of urban building energy model using smart meter data for district peak load prediction</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[153] </w:t>
      </w:r>
      <w:hyperlink r:id="rId226">
        <w:r>
          <w:rPr>
            <w:color w:val="1155CC"/>
            <w:u w:val="single"/>
          </w:rPr>
          <w:t>高性能固体氧化碳燃料电池的先进电化学阻塞阻隔光谱仪:严格审查</w:t>
        </w:r>
      </w:hyperlink>
    </w:p>
    <w:p>
      <w:pPr>
        <w:spacing w:before="0" w:after="80"/>
      </w:pPr>
      <w:r>
        <w:rPr>
          <w:i/>
          <w:sz w:val="20"/>
        </w:rPr>
        <w:t>EN: Advanced electrochemical impedance spectroscopy for high-performance solid oxide fuel cells: A critical review</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[154] </w:t>
      </w:r>
      <w:hyperlink r:id="rId227">
        <w:r>
          <w:rPr>
            <w:color w:val="1155CC"/>
            <w:u w:val="single"/>
          </w:rPr>
          <w:t>优化的LOHC设施规模化:将电解器降解和碳定价相结合</w:t>
        </w:r>
      </w:hyperlink>
    </w:p>
    <w:p>
      <w:pPr>
        <w:spacing w:before="0" w:after="80"/>
      </w:pPr>
      <w:r>
        <w:rPr>
          <w:i/>
          <w:sz w:val="20"/>
        </w:rPr>
        <w:t>EN: Optimal LOHC facility sizing: Integrating electrolyzer degradation and carbon pricing</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[155] </w:t>
      </w:r>
      <w:hyperlink r:id="rId228">
        <w:r>
          <w:rPr>
            <w:color w:val="1155CC"/>
            <w:u w:val="single"/>
          </w:rPr>
          <w:t>内通文学习强化大语言模型,以进行可靠的分配系统国家估算</w:t>
        </w:r>
      </w:hyperlink>
    </w:p>
    <w:p>
      <w:pPr>
        <w:spacing w:before="0" w:after="80"/>
      </w:pPr>
      <w:r>
        <w:rPr>
          <w:i/>
          <w:sz w:val="20"/>
        </w:rPr>
        <w:t>EN: In-context learning enhanced large language model for robust distribution system state estimation</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229">
        <w:r>
          <w:rPr>
            <w:color w:val="1155CC"/>
            <w:u w:val="single"/>
          </w:rPr>
          <w:t>对提供辅助服务的燃气涡轮机-电池混合发电厂的预测驱动控制</w:t>
        </w:r>
      </w:hyperlink>
    </w:p>
    <w:p>
      <w:pPr>
        <w:spacing w:before="0" w:after="80"/>
      </w:pPr>
      <w:r>
        <w:rPr>
          <w:i/>
          <w:sz w:val="20"/>
        </w:rPr>
        <w:t>EN: Prediction driven control of a gas turbine–battery hybrid power plant providing an ancillary service</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[157] </w:t>
      </w:r>
      <w:hyperlink r:id="rId230">
        <w:r>
          <w:rPr>
            <w:color w:val="1155CC"/>
            <w:u w:val="single"/>
          </w:rPr>
          <w:t>病毒性 RNA 是如何逃离控制翻译的东道机机制的</w:t>
        </w:r>
      </w:hyperlink>
    </w:p>
    <w:p>
      <w:pPr>
        <w:spacing w:before="0" w:after="80"/>
      </w:pPr>
      <w:r>
        <w:rPr>
          <w:i/>
          <w:sz w:val="20"/>
        </w:rPr>
        <w:t>EN: How viral RNAs escape a host mechanism that controls translation</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231">
        <w:r>
          <w:rPr>
            <w:color w:val="1155CC"/>
            <w:u w:val="single"/>
          </w:rPr>
          <w:t>通过以数据驱动的部件防污化,改进大规模电池储存系统优化交易时间表的实际执行情况</w:t>
        </w:r>
      </w:hyperlink>
    </w:p>
    <w:p>
      <w:pPr>
        <w:spacing w:before="0" w:after="80"/>
      </w:pPr>
      <w:r>
        <w:rPr>
          <w:i/>
          <w:sz w:val="20"/>
        </w:rPr>
        <w:t>EN: Improving real-world execution of optimized trading schedules for large-scale battery storage systems through data-driven component parametrization</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[159] </w:t>
      </w:r>
      <w:hyperlink r:id="rId232">
        <w:r>
          <w:rPr>
            <w:color w:val="1155CC"/>
            <w:u w:val="single"/>
          </w:rPr>
          <w:t>全球野火产生的汞排放比现有估算值低三倍</w:t>
        </w:r>
      </w:hyperlink>
    </w:p>
    <w:p>
      <w:pPr>
        <w:spacing w:before="0" w:after="80"/>
      </w:pPr>
      <w:r>
        <w:rPr>
          <w:i/>
          <w:sz w:val="20"/>
        </w:rPr>
        <w:t>EN: Global mercury emissions from wildfires are three times lower than existing estimates</w:t>
      </w:r>
    </w:p>
    <w:p>
      <w:pPr>
        <w:spacing w:before="0" w:after="120"/>
      </w:pPr>
      <w:r>
        <w:rPr>
          <w:b/>
        </w:rPr>
        <w:t xml:space="preserve">Source: </w:t>
      </w:r>
      <w:r>
        <w:t>One Earth</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233">
        <w:r>
          <w:rPr>
            <w:color w:val="1155CC"/>
            <w:u w:val="single"/>
          </w:rPr>
          <w:t>管理大气氧化能力是协同空气质量和气候收益的关键</w:t>
        </w:r>
      </w:hyperlink>
    </w:p>
    <w:p>
      <w:pPr>
        <w:spacing w:before="0" w:after="80"/>
      </w:pPr>
      <w:r>
        <w:rPr>
          <w:i/>
          <w:sz w:val="20"/>
        </w:rPr>
        <w:t>EN: Governing atmospheric oxidation capacity is the key to synergistic air quality and climate gains</w:t>
      </w:r>
    </w:p>
    <w:p>
      <w:pPr>
        <w:spacing w:before="0" w:after="120"/>
      </w:pPr>
      <w:r>
        <w:rPr>
          <w:b/>
        </w:rPr>
        <w:t xml:space="preserve">Source: </w:t>
      </w:r>
      <w:r>
        <w:t>One Earth</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234">
        <w:r>
          <w:rPr>
            <w:color w:val="1155CC"/>
            <w:u w:val="single"/>
          </w:rPr>
          <w:t>新加坡电力市场海外光电电池储存厂以学习为基础的最佳电力投标</w:t>
        </w:r>
      </w:hyperlink>
    </w:p>
    <w:p>
      <w:pPr>
        <w:spacing w:before="0" w:after="80"/>
      </w:pPr>
      <w:r>
        <w:rPr>
          <w:i/>
          <w:sz w:val="20"/>
        </w:rPr>
        <w:t>EN: Learning-based optimal power bidding of an overseas photovoltaic-battery storage plant in Singapore electricity market</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235">
        <w:r>
          <w:rPr>
            <w:color w:val="1155CC"/>
            <w:u w:val="single"/>
          </w:rPr>
          <w:t>在年轻恒星周围观测到的超低密度外行星</w:t>
        </w:r>
      </w:hyperlink>
    </w:p>
    <w:p>
      <w:pPr>
        <w:spacing w:before="0" w:after="80"/>
      </w:pPr>
      <w:r>
        <w:rPr>
          <w:i/>
          <w:sz w:val="20"/>
        </w:rPr>
        <w:t>EN: Ultra-low-density exoplanets observed around a young star</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236">
        <w:r>
          <w:rPr>
            <w:color w:val="1155CC"/>
            <w:u w:val="single"/>
          </w:rPr>
          <w:t>对氢对电、氨对电以及生物量对电一体化的氢对电、氨对电路径的技术经济分析</w:t>
        </w:r>
      </w:hyperlink>
    </w:p>
    <w:p>
      <w:pPr>
        <w:spacing w:before="0" w:after="80"/>
      </w:pPr>
      <w:r>
        <w:rPr>
          <w:i/>
          <w:sz w:val="20"/>
        </w:rPr>
        <w:t>EN: Techno-economic analysis of hydrogen-to-power, ammonia-to-power pathway with biomass-to-power integration</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[164] </w:t>
      </w:r>
      <w:hyperlink r:id="rId237">
        <w:r>
          <w:rPr>
            <w:color w:val="1155CC"/>
            <w:u w:val="single"/>
          </w:rPr>
          <w:t>血液蛋白质抑制致命的真菌病</w:t>
        </w:r>
      </w:hyperlink>
    </w:p>
    <w:p>
      <w:pPr>
        <w:spacing w:before="0" w:after="80"/>
      </w:pPr>
      <w:r>
        <w:rPr>
          <w:i/>
          <w:sz w:val="20"/>
        </w:rPr>
        <w:t>EN: Blood protein thwarts deadly fungal disease</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[165] </w:t>
      </w:r>
      <w:hyperlink r:id="rId238">
        <w:r>
          <w:rPr>
            <w:color w:val="1155CC"/>
            <w:u w:val="single"/>
          </w:rPr>
          <w:t>在所有的采石场中:卡萨布兰卡化石 揭示了非洲人类的祖先</w:t>
        </w:r>
      </w:hyperlink>
    </w:p>
    <w:p>
      <w:pPr>
        <w:spacing w:before="0" w:after="80"/>
      </w:pPr>
      <w:r>
        <w:rPr>
          <w:i/>
          <w:sz w:val="20"/>
        </w:rPr>
        <w:t>EN: Of all the quarries: Casablanca fossils reveal African ancestors of Homo sapiens</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239">
        <w:r>
          <w:rPr>
            <w:color w:val="1155CC"/>
            <w:u w:val="single"/>
          </w:rPr>
          <w:t>将感官和情感经历脱钩,可以减轻慢性疼痛。</w:t>
        </w:r>
      </w:hyperlink>
    </w:p>
    <w:p>
      <w:pPr>
        <w:spacing w:before="0" w:after="80"/>
      </w:pPr>
      <w:r>
        <w:rPr>
          <w:i/>
          <w:sz w:val="20"/>
        </w:rPr>
        <w:t>EN: Chronic pain could be eased by uncoupling the sensory and emotional experiences</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240">
        <w:r>
          <w:rPr>
            <w:color w:val="1155CC"/>
            <w:u w:val="single"/>
          </w:rPr>
          <w:t>营养素在癌症传播中的复杂作用</w:t>
        </w:r>
      </w:hyperlink>
    </w:p>
    <w:p>
      <w:pPr>
        <w:spacing w:before="0" w:after="80"/>
      </w:pPr>
      <w:r>
        <w:rPr>
          <w:i/>
          <w:sz w:val="20"/>
        </w:rPr>
        <w:t>EN: The complex role of nutrients in cancer spread</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241">
        <w:r>
          <w:rPr>
            <w:color w:val="1155CC"/>
            <w:u w:val="single"/>
          </w:rPr>
          <w:t>一种碳负太阳能燃料生产方法,其太阳能贡献增强,CO2减排能力提高:实验和系统调查</w:t>
        </w:r>
      </w:hyperlink>
    </w:p>
    <w:p>
      <w:pPr>
        <w:spacing w:before="0" w:after="80"/>
      </w:pPr>
      <w:r>
        <w:rPr>
          <w:i/>
          <w:sz w:val="20"/>
        </w:rPr>
        <w:t>EN: A carbon-negative solar fuel production method with enhanced solar contribution and superior CO2 reduction capacity: Experimental and system investigation</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[169] </w:t>
      </w:r>
      <w:hyperlink r:id="rId242">
        <w:r>
          <w:rPr>
            <w:color w:val="1155CC"/>
            <w:u w:val="single"/>
          </w:rPr>
          <w:t>知识线索的前前神经神经几何学前神经几何学学线索指导有动机的行为</w:t>
        </w:r>
      </w:hyperlink>
    </w:p>
    <w:p>
      <w:pPr>
        <w:spacing w:before="0" w:after="80"/>
      </w:pPr>
      <w:r>
        <w:rPr>
          <w:i/>
          <w:sz w:val="20"/>
        </w:rPr>
        <w:t>EN: Prefrontal neural geometry of learned cues guides motivated behaviours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动物不断评估其周围环境,以决定是选择奖励机会还是避免潜在威胁; 对环境刺激给予适当重视,不仅对生存至关重要,而且也是各种物种之间共有的、目标导向行为的复杂形式的基础,包括人类1,2,3,4; 因此,了解大脑如何将这种感官信号转化为有动因的行为,是神经科学与心理学的核心; 前前额皮层(dmPFC)是连接有动因行为的相关环境刺激的关键结构。 相容性、价值和价值是决定刺激相关性的关键方面,但DMPFC过程和组织这种维度来驱动有动因行为的方式仍然不明确。</w:t>
      </w:r>
    </w:p>
    <w:p>
      <w:pPr>
        <w:spacing w:before="0" w:after="200" w:lineRule="auto" w:line="276"/>
      </w:pPr>
      <w:r>
        <w:rPr>
          <w:b/>
        </w:rPr>
        <w:t xml:space="preserve">Abstract (EN): </w:t>
      </w:r>
      <w:r>
        <w:t>Animals continuously evaluate their surroundings to decide whether to approach rewarding opportunities or avoid potential threats. Assigning the appropriate importance to environmental stimuli is not only crucial for survival but also underlies complex forms of goal-directed behaviour that are shared across species, including humans1,2,3,4. Understanding how the brain translates such sensory cues into motivated behaviours is, therefore, central to neuroscience and psychology. The dorsomedial prefrontal cortex (dmPFC) is a critical structure that bridges relevant environmental stimuli to goal-directed behaviour. Salience, valence and value are key dimensions defining stimulus relevance, but how the dmPFC processes and organizes such dimensions to drive motivated behaviour remains unclear. Here we monitored single-neuron populations in the dmPFC using calcium imaging in freely moving male mice while discriminating between stimuli predicting different reward or punishment outcomes, which enabled an unprecedented dissociation of salience, valence and value information. We found that dmPFC populations primarily encode appetitive and aversive values of learned stimuli and that subpopulations encode valence and salience along orthogonal information axes. Our results highlight a concurrent multifaceted population coding of value, salience and valence of stimuli during associative learning within dmPFC networks, such that the geometry of dmPFC neuronal representations dynamically shapes appetitive and aversive motivated behaviours.</w:t>
      </w:r>
    </w:p>
    <w:p>
      <w:pPr>
        <w:spacing w:before="120" w:after="120"/>
      </w:pPr>
      <w:r>
        <w:rPr>
          <w:sz w:val="18"/>
        </w:rPr>
        <w:t>——————————————————————————————————————————————————————————————————————</w:t>
      </w:r>
    </w:p>
    <w:p>
      <w:pPr>
        <w:spacing w:before="160" w:after="40" w:line="240" w:lineRule="auto"/>
      </w:pPr>
      <w:r>
        <w:rPr>
          <w:b/>
        </w:rPr>
        <w:t xml:space="preserve">[170] </w:t>
      </w:r>
      <w:hyperlink r:id="rId243">
        <w:r>
          <w:rPr>
            <w:color w:val="1155CC"/>
            <w:u w:val="single"/>
          </w:rPr>
          <w:t>Behçet综合症(一种随机的、安慰剂控制的、双盲的、第2阶段临床试验)低剂量内红素2的功效和安全性</w:t>
        </w:r>
      </w:hyperlink>
    </w:p>
    <w:p>
      <w:pPr>
        <w:spacing w:before="0" w:after="80"/>
      </w:pPr>
      <w:r>
        <w:rPr>
          <w:i/>
          <w:sz w:val="20"/>
        </w:rPr>
        <w:t>EN: Efficacy and safety of low-dose interleukin 2 for Behçet’s syndrome: a randomized, placebo-controlled, double-blind, phase 2 clinical trial</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Behçet的慢性血管炎综合症(BS)是一种慢性血管炎,导致经常口服溃疡,严重影响生活质量。在这里,我们报告了一种随机、双盲、安慰剂控制的试验(NCT04065672)的结果,以评价BS病人低剂量内红素-2(LD-IL-2)的功效和安全性。60名口腔溃疡活跃的参与者被随机指定接受LD-IL-2或安慰剂。主要的终点是第12周的口服溃疡计数。LD-IL-2组口服溃疡明显少于安慰剂组(0.69  1.05 = 1.57  0.90,P=0.001),在溃疡疼痛、疾病活动和生活质量方面有了更大的改善。在这两个组中,没有观察到感染或严重不良事件。LD-IL-2组扩大管制T(Treg)细胞,降低了T效应细胞的比率。</w:t>
      </w:r>
    </w:p>
    <w:p>
      <w:pPr>
        <w:spacing w:before="0" w:after="200" w:lineRule="auto" w:line="276"/>
      </w:pPr>
      <w:r>
        <w:rPr>
          <w:b/>
        </w:rPr>
        <w:t xml:space="preserve">Abstract (EN): </w:t>
      </w:r>
      <w:r>
        <w:t>Behçet’s syndrome (BS), a chronic vasculitis, leads to recurrent oral ulcers, severely impacting quality of life. Here we report the results of a randomized, double-blind, placebo-controlled trial (NCT04065672) to evaluate the efficacy and safety of low-dose interleukin-2 (LD-IL-2) in BS patients. 60 participants with active oral ulcers are randomly assigned to receive LD-IL-2 or placebo. The primary endpoint is the oral ulcer count at week 12. The LD-IL-2 group has significantly fewer oral ulcers than the placebo group (0.69 ± 1.05 vs. 1.57 ± 0.90, P = 0.001) with greater improvements in ulcer pain, disease activity, and quality of life. No infections or severe adverse events are observed in either group. LD-IL-2 expands regulatory T (Treg) cells and decreased the ratio of effector T cell to Treg cells. Thus, LD-IL-2 therapy might be an effective and safe treatment in BS patients and is associated with the modulation of CD4 + T cell populations.</w:t>
      </w:r>
    </w:p>
    <w:p>
      <w:pPr>
        <w:spacing w:before="120" w:after="120"/>
      </w:pPr>
      <w:r>
        <w:rPr>
          <w:sz w:val="18"/>
        </w:rPr>
        <w:t>——————————————————————————————————————————————————————————————————————</w:t>
      </w:r>
    </w:p>
    <w:p>
      <w:pPr>
        <w:spacing w:before="160" w:after="40" w:line="240" w:lineRule="auto"/>
      </w:pPr>
      <w:r>
        <w:rPr>
          <w:b/>
        </w:rPr>
        <w:t xml:space="preserve">[171] </w:t>
      </w:r>
      <w:hyperlink r:id="rId244">
        <w:r>
          <w:rPr>
            <w:color w:val="1155CC"/>
            <w:u w:val="single"/>
          </w:rPr>
          <w:t>利用可更新的催化表面,在CuO上进行动态氧气空缺工程,促进高效水净化</w:t>
        </w:r>
      </w:hyperlink>
    </w:p>
    <w:p>
      <w:pPr>
        <w:spacing w:before="0" w:after="80"/>
      </w:pPr>
      <w:r>
        <w:rPr>
          <w:i/>
          <w:sz w:val="20"/>
        </w:rPr>
        <w:t>EN: Dynamic oxygen vacancy engineering on CuO via refreshable catalytic surface for high-efficient water decontamination</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氧化金属表面的氧气空缺(Ov)显示,在废水净化过程中,激活过氧甲硫酸过氧化物(PMS)的催化活动具有很高的催化作用,然而,它们的就地再生仍是一项重大挑战,这项研究成功地通过简单的碱蚀刻,在不干扰污染物清除过程的情况下,在库O表面实现了Ov的实时再生。碱处理采用的表层氢氧基组将库O的形成能量从1.60 eV显著减少至0.38 eV。实验结果和密度功能理论计算都表明,库O的高活动依赖于表层氢化物组和Ov的协同作用。这种协同作用增加了Cu nea 的Fermi级以下抗冒状态和电旋密度。</w:t>
      </w:r>
    </w:p>
    <w:p>
      <w:pPr>
        <w:spacing w:before="0" w:after="200" w:lineRule="auto" w:line="276"/>
      </w:pPr>
      <w:r>
        <w:rPr>
          <w:b/>
        </w:rPr>
        <w:t xml:space="preserve">Abstract (EN): </w:t>
      </w:r>
      <w:r>
        <w:t>Oxygen vacancies (Ov) on metal oxide surfaces exhibit high catalytic activity for activating peroxymonosulfate (PMS) in wastewater decontamination, yet their in-situ regeneration remains a significant challenge. This study successfully achieves in-situ real-time regeneration of Ov on CuO surfaces through simple alkali etching without interrupting the contaminant removal process. The surface hydroxyl groups introduced by alkali treatment significantly reduce the formation energy of Ov on CuO surfaces from 1.60 eV to 0.38 eV. Both experimental results and density functional theory calculations reveal that the high activity of CuO relies on the synergy of surface hydroxyl groups and Ov. This synergy increases the antibonding states below the Fermi level and the electron spin density of Cu near Ov, thereby promoting electron transfer from CuO to PMS. As a result, by just adding an equimolar amount of alkali relative to PMS in CuO/PMS system, the degradation rate constant of sulfamethoxazole (SMX) greatly increases by 42 times. The primary reactive oxygen species in this system are sulfate radicals and hydroxyl radicals. Furthermore, OH-/CuO/PMS system exhibits a long-term stability (&gt; 300 h) for SMX removal in a real water matrix. This work provides a highly executable method to in-situ real-time regenerate Ov on CuO surfaces, representing significant progress in the critical yet underappreciated field of catalyst regeneration.</w:t>
      </w:r>
    </w:p>
    <w:p>
      <w:pPr>
        <w:spacing w:before="120" w:after="120"/>
      </w:pPr>
      <w:r>
        <w:rPr>
          <w:sz w:val="18"/>
        </w:rPr>
        <w:t>——————————————————————————————————————————————————————————————————————</w:t>
      </w:r>
    </w:p>
    <w:p>
      <w:pPr>
        <w:spacing w:before="160" w:after="40" w:line="240" w:lineRule="auto"/>
      </w:pPr>
      <w:r>
        <w:rPr>
          <w:b/>
        </w:rPr>
        <w:t xml:space="preserve">[172] </w:t>
      </w:r>
      <w:hyperlink r:id="rId245">
        <w:r>
          <w:rPr>
            <w:color w:val="1155CC"/>
            <w:u w:val="single"/>
          </w:rPr>
          <w:t>俄罗斯征服雅库提亚的古代DNA视角</w:t>
        </w:r>
      </w:hyperlink>
    </w:p>
    <w:p>
      <w:pPr>
        <w:spacing w:before="0" w:after="80"/>
      </w:pPr>
      <w:r>
        <w:rPr>
          <w:i/>
          <w:sz w:val="20"/>
        </w:rPr>
        <w:t>EN: An ancient DNA perspective on the Russian conquest of Yakutia</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西伯利亚东北部的雅库特人社区居住着地球上一些最寒冷的环境,保存着非凡的考古记录,其历史被俄罗斯征服深深地重塑,俄罗斯征服从1632年开始引入了谷物、病原体和基督教(参见1,2,3,4,4,5 5),然而,这些转变的生物学影响仍不得而知。我们在此生成了广泛的古代DNA数据,以阐明雅库特人基因多样性和口授微生物的当代变化。我们发现雅库特人起源追溯到随着大蒙古帝国的扩张而迁移的跨拜科尔人群体所混合的当地人口。尽管俄罗斯征服,雅库特人基因库和口授微生物似乎基本稳定,尽管小天花株不同于欧元所记载的菌种。</w:t>
      </w:r>
    </w:p>
    <w:p>
      <w:pPr>
        <w:spacing w:before="0" w:after="200" w:lineRule="auto" w:line="276"/>
      </w:pPr>
      <w:r>
        <w:rPr>
          <w:b/>
        </w:rPr>
        <w:t xml:space="preserve">Abstract (EN): </w:t>
      </w:r>
      <w:r>
        <w:t>Yakut communities from northeastern Siberia inhabit some of the coldest environments on Earth, preserving an extraordinary archaeological record. Their history was profoundly reshaped by the Russian conquest, which introduced cereals, pathogens and Christianity beginning in 1632 (refs. 1,2,3,4,5). However, the biological impact of these transformations remains unknown. Here we generated extensive ancient DNA data to elucidate contemporary changes in Yakut genomic diversity and oral microbiomes. We found Yakut origins tracing back to local populations that admixed with Trans-Baikal groups migrating as the Great Mongol Empire spread. Despite the Russian conquest, the Yakut gene pool and oral microbiomes appeared largely stable, although smallpox strains distinct from those documented in Europe by approximately 1650 circulated. Marital practices generally maintained low consanguinity, with the exception of one female bearing the latest markers of traditional shamanism, who was the daughter of second-degree relatives.</w:t>
      </w:r>
    </w:p>
    <w:p>
      <w:pPr>
        <w:spacing w:before="120" w:after="120"/>
      </w:pPr>
      <w:r>
        <w:rPr>
          <w:sz w:val="18"/>
        </w:rPr>
        <w:t>——————————————————————————————————————————————————————————————————————</w:t>
      </w:r>
    </w:p>
    <w:p>
      <w:pPr>
        <w:spacing w:before="160" w:after="40" w:line="240" w:lineRule="auto"/>
      </w:pPr>
      <w:r>
        <w:rPr>
          <w:b/>
        </w:rPr>
        <w:t xml:space="preserve">[173] </w:t>
      </w:r>
      <w:hyperlink r:id="rId246">
        <w:r>
          <w:rPr>
            <w:color w:val="1155CC"/>
            <w:u w:val="single"/>
          </w:rPr>
          <w:t>双向 CRISPR 屏幕解码依赖 GLIS3 的纤维细胞电路</w:t>
        </w:r>
      </w:hyperlink>
    </w:p>
    <w:p>
      <w:pPr>
        <w:spacing w:before="0" w:after="80"/>
      </w:pPr>
      <w:r>
        <w:rPr>
          <w:i/>
          <w:sz w:val="20"/>
        </w:rPr>
        <w:t>EN: Bidirectional CRISPR screens decode a GLIS3-dependent fibrotic cell circuit</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通过与免疫系统协调,在整个开始、放大和解决期间对炎症的发炎过程进行协调,电动细胞舱在保持组织足部保持组织足部状态方面发挥了中心作用。 慢性发炎可能阻碍对组织复原的分阶段调节,导致纤维化并发症的创伤。在炎症肠道疾病中,电动纤维纤维裂变与治疗-耐火性疾病和纤维化2,3 有关;然而,它们的激活机制仍未确定。通过对肠道炎病患者的肠组织进行综合的单细胞和空间剖面分析,我们发现了以炎症-与纤维化有关的纤维化为中心的一个病态细胞联系。这些纤维肿是由发炎性大型细胞(FCN1+IL1B+)诱发的。a</w:t>
      </w:r>
    </w:p>
    <w:p>
      <w:pPr>
        <w:spacing w:before="0" w:after="200" w:lineRule="auto" w:line="276"/>
      </w:pPr>
      <w:r>
        <w:rPr>
          <w:b/>
        </w:rPr>
        <w:t xml:space="preserve">Abstract (EN): </w:t>
      </w:r>
      <w:r>
        <w:t>The stromal cell compartment plays a central part in the maintenance of tissue homeostasis by coordinating with the immune system throughout inception, amplification and resolution of inflammation1. Chronic inflammation can impede the phased regulation of tissue restitution, resulting in the scarring complication of fibrosis. In inflammatory bowel disease, stromal fibroblasts have been implicated in treatment-refractory disease and fibrosis2,3; however, their mechanisms of activation have remained undefined. Through integrative single-cell and spatial profiling of intestinal tissues from patients with inflammatory bowel disease, we uncovered a pathological cell nexus centred on inflammation-associated fibroblasts. These fibroblasts were induced by proinflammatory macrophages (FCN1+IL1B+) and, in turn, produced profibrotic cytokine IL-11. We investigated the inflammation-associated fibroblast activation program at a mechanistic level using genome-wide CRISPR knockout and activation screens and identified the transcription factor GLIS3 as a key regulator of a gene regulatory network governing expression of inflammatory and fibrotic genes. We further demonstrated that the magnitude of the GLIS3 gene expression program in intestinal biopsies could be used to stratify patients with ulcerative colitis by disease severity, and that fibroblast-specific deletion of Glis3 in mice alleviated pathological features of chronic colitis. Taken together, our findings identify a critical immune–stromal cell circuit that functions as a central node in the inflammation–fibrosis cycle.</w:t>
      </w:r>
    </w:p>
    <w:p>
      <w:pPr>
        <w:spacing w:before="120" w:after="120"/>
      </w:pPr>
      <w:r>
        <w:rPr>
          <w:sz w:val="18"/>
        </w:rPr>
        <w:t>——————————————————————————————————————————————————————————————————————</w:t>
      </w:r>
    </w:p>
    <w:p>
      <w:pPr>
        <w:spacing w:before="160" w:after="40" w:line="240" w:lineRule="auto"/>
      </w:pPr>
      <w:r>
        <w:rPr>
          <w:b/>
        </w:rPr>
        <w:t xml:space="preserve">[174] </w:t>
      </w:r>
      <w:hyperlink r:id="rId247">
        <w:r>
          <w:rPr>
            <w:color w:val="1155CC"/>
            <w:u w:val="single"/>
          </w:rPr>
          <w:t>高压无阳极无阴极钠-硫电池</w:t>
        </w:r>
      </w:hyperlink>
    </w:p>
    <w:p>
      <w:pPr>
        <w:spacing w:before="0" w:after="80"/>
      </w:pPr>
      <w:r>
        <w:rPr>
          <w:i/>
          <w:sz w:val="20"/>
        </w:rPr>
        <w:t>EN: High-voltage anode-free sodium–sulfur batteries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室温钠-硫(Na-S)电池为常规锂(Li)基系统提供了可持续的能源储存解决方案,1,2,3,由于元素丰度高和理论电化学性能,4,5。 然而,由于排放电压低和需要大量超量的纳金属阳极6,787,8 室温钠-硫(Na-S)电池为常规锂(Li)基系统提供了可持续的能源储存解决方案,1,2,3,3。我们表明,二氰胺钠(NaDCA)可同时释放可逆的S/SCl4转换和在非易燃的氯光电解器中进行电镀/脱光,这种设计使最大能量和能量密度达到1,198 Whk-1和23,773 Wk-1。</w:t>
      </w:r>
    </w:p>
    <w:p>
      <w:pPr>
        <w:spacing w:before="0" w:after="200" w:lineRule="auto" w:line="276"/>
      </w:pPr>
      <w:r>
        <w:rPr>
          <w:b/>
        </w:rPr>
        <w:t xml:space="preserve">Abstract (EN): </w:t>
      </w:r>
      <w:r>
        <w:t>Room-temperature sodium–sulfur (Na–S) batteries offer a sustainable energy storage solution to conventional lithium (Li)-based systems1,2,3, owing to the high element abundances and theoretical electrochemical performance4,5. However, their practical applications have been severely hindered by the low discharge voltages and the need for largely excessive Na metal anode6,7,8. Here we report a 3.6 V class Na–S battery featuring a high-valence sulfur/sulfur tetrachloride (S/SCl4) cathode chemistry and anode-free configuration. We show that sodium dicyanamide (NaDCA) can simultaneously unlock reversible S/SCl4 conversion and Na plating/stripping in a non-flammable chloroaluminate electrolyte. This design enables the maximum energy and power densities of 1,198 Wh kg−1 and 23,773 W kg−1, respectively, calculated on the basis of the total electrode mass including both the cathode and the anode. Also, we demonstrate facilitated S/SCl4 conversion by incorporating a bismuth-coordinated covalent organic framework (Bi-COF) catalyst (8 wt% loading) into the S cathode, which realizes an impressive discharge capacity of 1,206 mAh g(sulfur+catalyst)−1, contributing to a maximum energy density of 2,021 Wh kg−1 calculated on the basis of the total electrode mass. With an estimated cost of US$5.03 per kWh and excellent scalability, our anode-free Na–S battery shows promise in grid energy storage and wearable electronics.</w:t>
      </w:r>
    </w:p>
    <w:p>
      <w:pPr>
        <w:spacing w:before="120" w:after="120"/>
      </w:pPr>
      <w:r>
        <w:rPr>
          <w:sz w:val="18"/>
        </w:rPr>
        <w:t>——————————————————————————————————————————————————————————————————————</w:t>
      </w:r>
    </w:p>
    <w:p>
      <w:pPr>
        <w:spacing w:before="160" w:after="40" w:line="240" w:lineRule="auto"/>
      </w:pPr>
      <w:r>
        <w:rPr>
          <w:b/>
        </w:rPr>
        <w:t xml:space="preserve">[175] </w:t>
      </w:r>
      <w:hyperlink r:id="rId248">
        <w:r>
          <w:rPr>
            <w:color w:val="1155CC"/>
            <w:u w:val="single"/>
          </w:rPr>
          <w:t>小规模持续湿润森林清理造成热带森林生物量损失</w:t>
        </w:r>
      </w:hyperlink>
    </w:p>
    <w:p>
      <w:pPr>
        <w:spacing w:before="0" w:after="80"/>
      </w:pPr>
      <w:r>
        <w:rPr>
          <w:i/>
          <w:sz w:val="20"/>
        </w:rPr>
        <w:t>EN: Small persistent humid forest clearings drive tropical forest biomass losses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热带森林储存了全球森林地面上碳1 的一半左右的全球森林,但广大地区却受到动乱的影响,例如农业扩张的毁林、2、3和火灾的退化、选择性伐木、5和边缘效应4、选择性伐木、5和6、7、7等,但随着时间的推移,受破坏的森林可以恢复、逐步恢复碳储量和生态功能。 然而,恢复率如何随扰动大小、类型和地点的变化而变化,其数量仍然很少。 我们在这里使用一个记账方法,用空间清晰的植被恢复曲线来量化1990-2020年期间扰动热带森林中受扰动的植被恢复动态。 我们发现,受扰动的热带干燥林仍然是碳中性森林,而受扰动的热带潮湿润林则经历了15.6 + 3.7 PgC的净损失,主要是小块驱动的15.6 + 3.7 PgC。</w:t>
      </w:r>
    </w:p>
    <w:p>
      <w:pPr>
        <w:spacing w:before="0" w:after="200" w:lineRule="auto" w:line="276"/>
      </w:pPr>
      <w:r>
        <w:rPr>
          <w:b/>
        </w:rPr>
        <w:t xml:space="preserve">Abstract (EN): </w:t>
      </w:r>
      <w:r>
        <w:t>Tropical forests store about half of the global forest aboveground carbon (AGC)1, yet extensive areas are affected by disturbances, such as deforestation from agricultural expansion2,3 and degradation from fires4, selective logging5, and edge effects6,7. Over time, disturbed forests can recover, gradually restoring carbon stocks and ecological functions8. However, how recovery rates vary with disturbance size, type and location remains poorly quantified. Here we use a bookkeeping approach with spatially explicit vegetation recovery curves to quantify AGC dynamics in disturbed tropical forests during 1990–2020. We find that disturbed tropical dry forests remained carbon neutral, whereas disturbed tropical humid forests experienced a net AGC loss of 15.6 ± 3.7 PgC, primarily driven by small but persistent deforestation clearings. Despite affecting only about 5% of the disturbed area, these small-size (less than 2 ha) deforestation events accounted for about 56% of carbon losses, owing to persistent land-use conversion without forest regrowth. By contrast, large fire-induced carbon losses were offset by the long-term post-fire recovery. Over time, deforestation expanded into humid forests with higher carbon stock density, intensifying AGC losses per unit area. These findings highlight the disproportionate impact of small clearings on tropical carbon losses, suggesting the need to curb land-use changes and protect young and recovering forests.</w:t>
      </w:r>
    </w:p>
    <w:p>
      <w:pPr>
        <w:spacing w:before="120" w:after="120"/>
      </w:pPr>
      <w:r>
        <w:rPr>
          <w:sz w:val="18"/>
        </w:rPr>
        <w:t>——————————————————————————————————————————————————————————————————————</w:t>
      </w:r>
    </w:p>
    <w:p>
      <w:pPr>
        <w:spacing w:before="160" w:after="40" w:line="240" w:lineRule="auto"/>
      </w:pPr>
      <w:r>
        <w:rPr>
          <w:b/>
        </w:rPr>
        <w:t xml:space="preserve">[176] </w:t>
      </w:r>
      <w:hyperlink r:id="rId249">
        <w:r>
          <w:rPr>
            <w:color w:val="1155CC"/>
            <w:u w:val="single"/>
          </w:rPr>
          <w:t>用于远距离和广角遥感的软生物降解植入器</w:t>
        </w:r>
      </w:hyperlink>
    </w:p>
    <w:p>
      <w:pPr>
        <w:spacing w:before="0" w:after="80"/>
      </w:pPr>
      <w:r>
        <w:rPr>
          <w:i/>
          <w:sz w:val="20"/>
        </w:rPr>
        <w:t>EN: Soft biodegradable implants for long-distance and wide-angle sensing</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监测内部生理信号对于有效的医疗护理至关重要,1 然而,目前大多数技术依赖于外部测量或成像系统,这些测量或成像系统无法捕捉足够的深层组织动态动态,2,3,4,56.6. 植入装置提供了一种解决办法,但常规设计往往需要电池或磁铁7,8,9,10,11,在清除过程中带有风险,而现有的基于被动吸收器的生物降解感应器-电容器电路由于短距离和不稳定的通信问题而受到限制。12,13,14,15,16,16,17,18,19。这里我们描述一个软的、生物降解的无线感应装置,能够监测长距离(高达16厘米)的压力、温度和压力,保持不同位置和角度的准确性。</w:t>
      </w:r>
    </w:p>
    <w:p>
      <w:pPr>
        <w:spacing w:before="0" w:after="200" w:lineRule="auto" w:line="276"/>
      </w:pPr>
      <w:r>
        <w:rPr>
          <w:b/>
        </w:rPr>
        <w:t xml:space="preserve">Abstract (EN): </w:t>
      </w:r>
      <w:r>
        <w:t>Monitoring internal physiological signals is essential for effective medical care1, yet most current technologies rely on external measurements or imaging systems that cannot capture enough deep-tissue dynamics2,3,4,5,6. Implantable devices offer a solution, but conventional designs often require batteries or magnets7,8,9,10,11, which carry risks during removal, and existing biodegradable sensors based on passive inductor–capacitor circuits are limited by short readout distances and unstable communication issues12,13,14,15,16,17,18,19. Here we describe a soft, biodegradable, wireless sensing device that can monitor pressure, temperature and strain over long distances (up to 16 cm), maintaining accuracy across varying positions and angles. This is achieved through a ‘pole-moving sweeping’ readout system combined with a folded structure that integrates mechanical flexibility with electromagnetic function. In vivo tests in the abdominal cavity of horses reliably captured deep-tissue pressure and temperature, and ex vivo measurements demonstrated accurate strain monitoring without strict positional control. The long-distance and wide-angle readout of soft biodegradable implants holds translational promise for accessing deep-tissue physiological signals.</w:t>
      </w:r>
    </w:p>
    <w:p>
      <w:pPr>
        <w:spacing w:before="120" w:after="120"/>
      </w:pPr>
      <w:r>
        <w:rPr>
          <w:sz w:val="18"/>
        </w:rPr>
        <w:t>——————————————————————————————————————————————————————————————————————</w:t>
      </w:r>
    </w:p>
    <w:p>
      <w:pPr>
        <w:spacing w:before="160" w:after="40" w:line="240" w:lineRule="auto"/>
      </w:pPr>
      <w:r>
        <w:rPr>
          <w:b/>
        </w:rPr>
        <w:t xml:space="preserve">[177] </w:t>
      </w:r>
      <w:hyperlink r:id="rId250">
        <w:r>
          <w:rPr>
            <w:color w:val="1155CC"/>
            <w:u w:val="single"/>
          </w:rPr>
          <w:t>脉冲加热和胶片增强加热 分阶段变化热电池充电</w:t>
        </w:r>
      </w:hyperlink>
    </w:p>
    <w:p>
      <w:pPr>
        <w:spacing w:before="0" w:after="80"/>
      </w:pPr>
      <w:r>
        <w:rPr>
          <w:i/>
          <w:sz w:val="20"/>
        </w:rPr>
        <w:t>EN: Pulse heating and slip enhance charging of phase-change thermal batteries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用于可再生能源储存和废物热回收的分阶段更换热电池用于可再生能源储存和废物热回收,要求高能源密度和快电1,2,3,4,4,5,这是相互排斥的,因为具有高熔融的分阶段交换材料通常为低热导体6,7,8 8 收费率可以通过下列方法提高:使复合分阶段交换材料(CPPCM)增加热导率9 和(或)施加外部力量以实现近距离熔化10,11,12. 然而,这些方法不可避免地导致能源密度损失和(或)额外的能源消耗。</w:t>
      </w:r>
    </w:p>
    <w:p>
      <w:pPr>
        <w:spacing w:before="0" w:after="200" w:lineRule="auto" w:line="276"/>
      </w:pPr>
      <w:r>
        <w:rPr>
          <w:b/>
        </w:rPr>
        <w:t xml:space="preserve">Abstract (EN): </w:t>
      </w:r>
      <w:r>
        <w:t>Phase-change thermal batteries for renewable energy storage and waste heat recovery demand high energy density and fast charging1,2,3,4,5, which are mutually exclusive because phase-change materials (PCMs) with high melting enthalpy are usually poor heat conductors6,7,8. The charging rate can be improved by making composite phase-change materials (CPCMs) with increased thermal conductivity9 and/or by exerting an external force to realize close-contact melting (CCM)10,11,12. However, these methods inevitably result in energy density losses and/or extra energy consumption. Here we report a strategy to boost the charging rates without sacrificing energy density, based on a rational design of a composite coating that enables slip-enhanced close-contact melting (sCCM) inside sealed thermal batteries. Using organic PCMs, we demonstrate a record-high power density of 1,100 ± 2% kW m−3 in a prototype. Our coating design integrates a pulse-heated (PH) layer that premelts the PCM to initiate CCM, together with a liquid-like slip surface that ensures unimpeded sinking of the remaining solid and sustains the sCCM mode throughout charging. We develop a model to explain how the slip surface enhances the charging rate. With high cycling life, adaptability and scalability, this strategy is generalizable to diverse PCMs, enabling high-performance thermal energy storage over a wide range of temperatures.</w:t>
      </w:r>
    </w:p>
    <w:p>
      <w:pPr>
        <w:spacing w:before="120" w:after="120"/>
      </w:pPr>
      <w:r>
        <w:rPr>
          <w:sz w:val="18"/>
        </w:rPr>
        <w:t>——————————————————————————————————————————————————————————————————————</w:t>
      </w:r>
    </w:p>
    <w:p>
      <w:pPr>
        <w:spacing w:before="160" w:after="40" w:line="240" w:lineRule="auto"/>
      </w:pPr>
      <w:r>
        <w:rPr>
          <w:b/>
        </w:rPr>
        <w:t xml:space="preserve">[178] </w:t>
      </w:r>
      <w:hyperlink r:id="rId251">
        <w:r>
          <w:rPr>
            <w:color w:val="1155CC"/>
            <w:u w:val="single"/>
          </w:rPr>
          <w:t>海洋酵母中的单卵性与多细胞性之间的遗传转换</w:t>
        </w:r>
      </w:hyperlink>
    </w:p>
    <w:p>
      <w:pPr>
        <w:spacing w:before="0" w:after="80"/>
      </w:pPr>
      <w:r>
        <w:rPr>
          <w:i/>
          <w:sz w:val="20"/>
        </w:rPr>
        <w:t>EN: Genetic switch between unicellularity and multicellularity in marine yeasts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多细胞的进化被认为是地球生命史上的重大转变。 1 在从单细胞到强制多细胞的进化过程中,多细胞的进化过程可能构成一种中间状态,在这种状态中,单细胞扩散和多细胞的多细胞生长是可转换的,2,3,4,4;然而,对转换机制知之甚少。在这里,我们确定了多硫代米茨两种黑原种中营养适应性运动的遗传和细胞细胞性多细胞性多细胞性的基础。在奥尔塔韦亚Werneckii5,5,6的10种基因中,任何一种基因的去化都会导致接近固化的单细胞性或多细胞性。这些基因中有六种是结合菌菌菌菌菌的调控者。</w:t>
      </w:r>
    </w:p>
    <w:p>
      <w:pPr>
        <w:spacing w:before="0" w:after="200" w:lineRule="auto" w:line="276"/>
      </w:pPr>
      <w:r>
        <w:rPr>
          <w:b/>
        </w:rPr>
        <w:t xml:space="preserve">Abstract (EN): </w:t>
      </w:r>
      <w:r>
        <w:t>The evolution of multicellularity is considered to be a major transition in the history of life on Earth1. In the evolution from unicellularity to obligate multicellularity, facultative clonal multicellularity may constitute an intermediate state, in which unicellular proliferation and clonal multicellular growth are switchable2,3,4. However, little is known about the mechanisms of switching. Here we identify the genetic and cellular basis of nutrition-responsive facultative clonal multicellularity in two black-yeast species of Dothideomycetes. Deletion of any one of ten genes in Hortaea werneckii5,6 results in near-obligate unicellularity or multicellularity. Six of these genes encode regulators of conidiation (asexual sporulation) in filamentous fungi7, despite conidiation not being observed in H. werneckii. Second-site mutations often restore or reverse the phenotype, revealing genetic flexibility underlying facultative multicellularity. A Myb protein functions as a switch-like regulator of state transitions in H. werneckii; its expression and degradation are coupled to nutrient conditions, stabilizing unicellular or multicellular growth. However, while conidiation regulators are similarly co-opted to enable facultative multicellularity, the Myb gene is dispensable in the related species Neodothiora pruni8, further highlighting molecular diversity in plasticity regulation. Ecologically, multicellular-prone H. werneckii ecotypes are isolated from sponges, and sponge-conditioned medium induces multicellularity. This study establishes a tractable model system for dissecting facultative clonal multicellularity across genetic, cellular and ecological scales, and outlines genetic and cellular strategies to gain, lose and regain multicellularity and, more broadly, phenotypic plasticity.</w:t>
      </w:r>
    </w:p>
    <w:p>
      <w:pPr>
        <w:spacing w:before="120" w:after="120"/>
      </w:pPr>
      <w:r>
        <w:rPr>
          <w:sz w:val="18"/>
        </w:rPr>
        <w:t>——————————————————————————————————————————————————————————————————————</w:t>
      </w:r>
    </w:p>
    <w:p>
      <w:pPr>
        <w:spacing w:before="160" w:after="40" w:line="240" w:lineRule="auto"/>
      </w:pPr>
      <w:r>
        <w:rPr>
          <w:b/>
        </w:rPr>
        <w:t xml:space="preserve">[179] </w:t>
      </w:r>
      <w:hyperlink r:id="rId252">
        <w:r>
          <w:rPr>
            <w:color w:val="1155CC"/>
            <w:u w:val="single"/>
          </w:rPr>
          <w:t>搭配天然宿主防御机制,防止肌肉硬化</w:t>
        </w:r>
      </w:hyperlink>
    </w:p>
    <w:p>
      <w:pPr>
        <w:spacing w:before="0" w:after="80"/>
      </w:pPr>
      <w:r>
        <w:rPr>
          <w:i/>
          <w:sz w:val="20"/>
        </w:rPr>
        <w:t>EN: Albumin orchestrates a natural host defence mechanism against mucormycosis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Mucormycosis 是一种新兴的、威胁生命的人类感染,由菌菌菌1,2,3,3引起的真菌1,3,3,代谢性疾病是一种威胁生命的人类感染。 代谢性疾病通过不易理解的机制1,2,4,5,特别容易使不断扩大的病人群体通过不易理解的机理而出现肌肉硬化,从而导致肌肉硬化。 这表明未经定性的宿主代谢性代谢作用可能给予这种感染的保护性豁免。 在这里,我们发现了专辑在通过调制真菌致病来防范肌肉硬化方面的主导管制作用。 我们的初步研究发现,严重的皮细胞性低血症是一种显著的代谢性异常现象,并且是三组的肌肉硬化病人之间导致的肌肉硬化结果的独立生物标志。 值得注意的是,经过精化的专辑化的单质抑制了一系列病原体和分解性消化的肌肉生长。</w:t>
      </w:r>
    </w:p>
    <w:p>
      <w:pPr>
        <w:spacing w:before="0" w:after="200" w:lineRule="auto" w:line="276"/>
      </w:pPr>
      <w:r>
        <w:rPr>
          <w:b/>
        </w:rPr>
        <w:t xml:space="preserve">Abstract (EN): </w:t>
      </w:r>
      <w:r>
        <w:t>Mucormycosis is an emerging, life-threatening human infection caused by Mucorales fungi1,2,3. Metabolic disorders uniquely predispose an ever-expanding group of patients to mucormycosis through poorly understood mechanisms1,2,4,5, suggesting that uncharacterized host metabolic effectors may confer protective immunity against this infection. Here we uncover a master regulatory role of albumin in host defence against Mucorales through the modulation of fungal pathogenicity. Our initial studies identified severe hypoalb uminaemia as a prominent metabolic abnormality and an independent biomarker of poor mucormycosis outcome across three distinct cohorts of patients with mucormycosis. Notably, purified albumin selectively inhibits Mucorales growth among a range of pathogens, and albumin-deficient mice display susceptibility specifically to mucormycosis. The antifungal activity of albumin is mediated by the release of bound free fatty acids (FFAs). Albumin prevents FFA oxidation, which otherwise abolishes their antifungal properties, and sera from patients with mucormycosis display high levels of oxidized FFAs. Physiologically, albumin-bound FFAs suppress the expression of key virulence factors by inhibiting protein synthesis, the reby rendering Mucorales avirulent in vivo. Overall, we identify a host defence mechanism that directs the pathogen to suppress its pathogenicity program in response to unfavourable metabolic cues regulated by albumin. These findings have major implications for the pathogenesis and management of mucormycosis.</w:t>
      </w:r>
    </w:p>
    <w:p>
      <w:pPr>
        <w:spacing w:before="120" w:after="120"/>
      </w:pPr>
      <w:r>
        <w:rPr>
          <w:sz w:val="18"/>
        </w:rPr>
        <w:t>——————————————————————————————————————————————————————————————————————</w:t>
      </w:r>
    </w:p>
    <w:p>
      <w:pPr>
        <w:spacing w:before="160" w:after="40" w:line="240" w:lineRule="auto"/>
      </w:pPr>
      <w:r>
        <w:rPr>
          <w:b/>
        </w:rPr>
        <w:t xml:space="preserve">[180] </w:t>
      </w:r>
      <w:hyperlink r:id="rId253">
        <w:r>
          <w:rPr>
            <w:color w:val="1155CC"/>
            <w:u w:val="single"/>
          </w:rPr>
          <w:t>从夹层皮层积累的经验和观测中积累的证据</w:t>
        </w:r>
      </w:hyperlink>
    </w:p>
    <w:p>
      <w:pPr>
        <w:spacing w:before="0" w:after="80"/>
      </w:pPr>
      <w:r>
        <w:rPr>
          <w:i/>
          <w:sz w:val="20"/>
        </w:rPr>
        <w:t>EN: Evidence accumulation from experience and observation in the cingulate cortex</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我们用我们的经验来形成和更新关于世界隐蔽状态的信念,1,2,3,3。如果可能的话,我们也通过观察他人来收集证据。然而,我们不明白大脑如何融合实验和观察证据。我们研究了证据融入与变化无常的隐藏状态的双人游戏的证据动态。人类和猴子在玩游戏和观察其伴侣的同时成功地更新了他们的信仰,尽管观察时效率较低。动物的电生理记录显示,前卵巢皮层将独立的实验和观察证据来源整合为对环境状态动态信念的一致神经表征。人口活动的几何测量显示,人口活动的构造显示,环境环境的特征和特征都与人类不同。</w:t>
      </w:r>
    </w:p>
    <w:p>
      <w:pPr>
        <w:spacing w:before="0" w:after="200" w:lineRule="auto" w:line="276"/>
      </w:pPr>
      <w:r>
        <w:rPr>
          <w:b/>
        </w:rPr>
        <w:t xml:space="preserve">Abstract (EN): </w:t>
      </w:r>
      <w:r>
        <w:t>We use our experiences to form and update beliefs about the hidden states of the world1,2,3. When possible, we also gather evidence by observing others. However, how the brain integrates experiential and observational evidence is not understood. We studied the dynamics of evidence integration in a two-player game with volatile hidden states. Both humans and monkeys successfully updated their beliefs while playing the game and observing their partner, although less effectively when observing. Electrophysiological recordings in animals revealed that the anterior cingulate cortex integrates independent sources of experiential and observational evidence into a coherent neural representation of dynamic belief about the environment’s state. The geometry of population activity revealed the computational architecture of this integration and provided a neural account of the behavioural asymmetry between experiential and observational evidence accumulation. This work lays the groundwork for understanding the neural mechanisms underlying evidence accumulation in social contexts in the primate brain.</w:t>
      </w:r>
    </w:p>
    <w:p>
      <w:pPr>
        <w:spacing w:before="120" w:after="120"/>
      </w:pPr>
      <w:r>
        <w:rPr>
          <w:sz w:val="18"/>
        </w:rPr>
        <w:t>——————————————————————————————————————————————————————————————————————</w:t>
      </w:r>
    </w:p>
    <w:p>
      <w:pPr>
        <w:spacing w:before="160" w:after="40" w:line="240" w:lineRule="auto"/>
      </w:pPr>
      <w:r>
        <w:rPr>
          <w:b/>
        </w:rPr>
        <w:t xml:space="preserve">[181] </w:t>
      </w:r>
      <w:hyperlink r:id="rId254">
        <w:r>
          <w:rPr>
            <w:color w:val="1155CC"/>
            <w:u w:val="single"/>
          </w:rPr>
          <w:t>在900,000名生物库参与者中,对DNA的深入观察重复扩展</w:t>
        </w:r>
      </w:hyperlink>
    </w:p>
    <w:p>
      <w:pPr>
        <w:spacing w:before="0" w:after="80"/>
      </w:pPr>
      <w:r>
        <w:rPr>
          <w:i/>
          <w:sz w:val="20"/>
        </w:rPr>
        <w:t>EN: Insights into DNA repeat expansions among 900,000 biobank participants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DNA串联的扩展和收缩在人类和人体组织中产生基因变异。一些扩大的重复造成遗传性疾病,有些也是身体不稳定1,2。我们在这里分析了来自联合王国生物库和全我们研究方案的900,000多名参与者的DNA测序数据,利用计算方法来识别、测量和从DNA-重复的不稳定性中学习。不同地方的重复表现出在生殖线和血液中发生变异的不同组织特有的倾向。TCF4和ADGRE2的重复性常见异象在血液中表现出高比例的长度模式化,表明大多数人类基因组含有随着我们老龄化而扩大的重复性元素。</w:t>
      </w:r>
    </w:p>
    <w:p>
      <w:pPr>
        <w:spacing w:before="0" w:after="200" w:lineRule="auto" w:line="276"/>
      </w:pPr>
      <w:r>
        <w:rPr>
          <w:b/>
        </w:rPr>
        <w:t xml:space="preserve">Abstract (EN): </w:t>
      </w:r>
      <w:r>
        <w:t>Expansions and contractions of tandem DNA repeats generate genetic variation in human populations and in human tissues. Some expanded repeats cause inherited disorders and some are also somatically unstable1,2. Here we analysed DNA sequencing data from over 900,000 participants in the UK Biobank and the All of Us Research Program using computational approaches to recognize, measure and learn from DNA-repeat instability. Repeats at different loci exhibited widely variable tissue-specific propensities to mutate in the germline and blood. Common alleles of repeats in TCF4 and ADGRE2 exhibited high rates of length mosaicism in the blood, demonstrating that most human genomes contain repeat elements that expand as we age. Genome-wide association analyses of the extent of somatic expansion of unstable repeat alleles identified 29 loci at which inherited variants increased expansion of one or more DNA repeats in blood (P = 5 × 10−8 to 2.5 × 10−1,438). These genetic modifiers exhibited strong collective effects on repeat instability: at one repeat, somatic expansion rates varied fourfold between individuals with the highest and lowest 5% of polygenic scores. Modifier alleles at several DNA-repair genes exhibited opposite effects on the blood instability of the TCF4 repeat compared with other DNA repeats. Expanded repeats in the 5′ untranslated region of the glutaminase (GLS) gene associated with stage 5 chronic kidney disease (odds ratio (OR) = 14.0 (5.7–34.3, 95% confidence interval (CI))) and liver diseases (OR = 3.0 (1.5–5.9, 95% CI)). These results point to complex dynamics of DNA repeats in human populations and across the human lifespan.</w:t>
      </w:r>
    </w:p>
    <w:p>
      <w:pPr>
        <w:spacing w:before="120" w:after="120"/>
      </w:pPr>
      <w:r>
        <w:rPr>
          <w:sz w:val="18"/>
        </w:rPr>
        <w:t>——————————————————————————————————————————————————————————————————————</w:t>
      </w:r>
    </w:p>
    <w:p>
      <w:pPr>
        <w:spacing w:before="160" w:after="40" w:line="240" w:lineRule="auto"/>
      </w:pPr>
      <w:r>
        <w:rPr>
          <w:b/>
        </w:rPr>
        <w:t xml:space="preserve">[182] </w:t>
      </w:r>
      <w:hyperlink r:id="rId255">
        <w:r>
          <w:rPr>
            <w:color w:val="1155CC"/>
            <w:u w:val="single"/>
          </w:rPr>
          <w:t>4-含氟碘口服从先进的拉萨热中救出非人类灵长类动物</w:t>
        </w:r>
      </w:hyperlink>
    </w:p>
    <w:p>
      <w:pPr>
        <w:spacing w:before="0" w:after="80"/>
      </w:pPr>
      <w:r>
        <w:rPr>
          <w:i/>
          <w:sz w:val="20"/>
        </w:rPr>
        <w:t>EN: Oral 4′-fluorouridine rescues nonhuman primates from advanced Lassa fever</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在西非,估计每年造成100 000至300 000人感染和5 000人死亡的拉萨热没有经过核准治疗,1 。 最近,有证据表明,4-氟碘(又称EIDD-2749),一种口口口可得到的脊髓核克莱皮模拟物,在治疗推迟到临床病征发后,Lassa病毒的Josiah菌株被延后后,使鼠鼠鼠猪免于对Lassa病毒系列四类原型Josiah菌株的致命挑战。 3 我们在这里评估了使用当代和显然更多病源线七多哥拉萨病毒菌株的非洲拉萨热绿色猴子模型中4-氟丁的治疗效果,在Lassa病毒感染后6天,当猴子体弱和临床病后,每日4-氟丁治疗结果r。</w:t>
      </w:r>
    </w:p>
    <w:p>
      <w:pPr>
        <w:spacing w:before="0" w:after="200" w:lineRule="auto" w:line="276"/>
      </w:pPr>
      <w:r>
        <w:rPr>
          <w:b/>
        </w:rPr>
        <w:t xml:space="preserve">Abstract (EN): </w:t>
      </w:r>
      <w:r>
        <w:t>There are no approved treatments for Lassa fever, which is estimated to cause 100,000 to 300,000 infections and 5,000 deaths annually in West Africa1,2. Recently, it was shown that 4′-fluorouridine (also known as EIDD-2749), an orally available ribonucleoside analogue, protected guinea pigs from lethal challenge with the lineage IV prototype Josiah strain of Lassa virus when treatment was delayed beyond the onset of clinical signs of disease3. Here we assessed the therapeutic efficacy of 4′-fluorouridine in an African green monkey model of Lassa fever using the contemporary and apparently more pathogenic lineage VII Togo strain of Lassa virus. Daily treatment with 4′-fluorouridine beginning 6 days after Lassa virus infection, when the monkeys were viraemic and clinically ill, resulted in rapid and complete clearance of infectious virus in 4 out of 5 monkeys, and all treated monkeys survived to the pre-determined study end-point. Targeted transcriptomics showed that cellular responses and control of cytokinaemia contributed to the development of immunity. Our findings support the further development of 4′-fluorouridine both as a post-exposure prophylaxis to control outbreaks and as a therapeutic agent to treat symptomatic patients.</w:t>
      </w:r>
    </w:p>
    <w:p>
      <w:pPr>
        <w:spacing w:before="120" w:after="120"/>
      </w:pPr>
      <w:r>
        <w:rPr>
          <w:sz w:val="18"/>
        </w:rPr>
        <w:t>——————————————————————————————————————————————————————————————————————</w:t>
      </w:r>
    </w:p>
    <w:p>
      <w:pPr>
        <w:spacing w:before="160" w:after="40" w:line="240" w:lineRule="auto"/>
      </w:pPr>
      <w:r>
        <w:rPr>
          <w:b/>
        </w:rPr>
        <w:t xml:space="preserve">[183] </w:t>
      </w:r>
      <w:hyperlink r:id="rId256">
        <w:r>
          <w:rPr>
            <w:color w:val="1155CC"/>
            <w:u w:val="single"/>
          </w:rPr>
          <w:t>在斑马鱼罗环球神经元中锚定的塑料里程碑</w:t>
        </w:r>
      </w:hyperlink>
    </w:p>
    <w:p>
      <w:pPr>
        <w:spacing w:before="0" w:after="80"/>
      </w:pPr>
      <w:r>
        <w:rPr>
          <w:i/>
          <w:sz w:val="20"/>
        </w:rPr>
        <w:t>EN: Plastic landmark anchoring in zebrafish compass neurons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视野可以告知动物在环境中行走时的视野。 陆界标记可以用来保持航向, 光流可以整合以估计转动。 虽然已经表明各种物种的头方向(HD)神经元使用这些视觉提示1, 2, 脊椎动物中这一过程背后的电路机制仍然不为人所知。 在这里,我们询问在幼虫斑马3 3 中最近发现的HD细胞是最小的脊椎动物模型之一, 是否以及如何纳入视觉信息。 通过将两磷显微镜与全景虚拟现实设置相结合, 我们证明斑马鱼的HD细胞可以可靠地跟踪多个视觉场景的方向, 利用视觉标志和光流提示。 里程碑提示和标题估计之间的绘图是 idi 。</w:t>
      </w:r>
    </w:p>
    <w:p>
      <w:pPr>
        <w:spacing w:before="0" w:after="200" w:lineRule="auto" w:line="276"/>
      </w:pPr>
      <w:r>
        <w:rPr>
          <w:b/>
        </w:rPr>
        <w:t xml:space="preserve">Abstract (EN): </w:t>
      </w:r>
      <w:r>
        <w:t>Vision can inform animals as they navigate their environment. Landmarks can be used to maintain heading, while optic flow can be integrated to estimate turning. Although it has been shown that head direction (HD) neurons in various species use these visual cues1,2, the circuit mechanisms underlying this process in vertebrates remain unknown. Here we asked whether and how the recently identified HD cells in the larval zebrafish3, one of the smallest vertebrate models, incorporate visual information. By combining two-photon microscopy with a panoramic virtual reality setup, we demonstrate that the zebrafish HD cells can reliably track the orientation of multiple visual scenes, exploiting both visual landmarks and optic flow cues. The mapping between landmark cues and heading estimates is idiosyncratic across fish and experience dependent. Furthermore, we show that landmark tracking requires the lateralized projection from the habenula to the interpeduncular nucleus4, a structure innervated by HD neuron processes3. The physiological and morphological parallels suggest that a Hebbian mechanism similar to the fly ring neurons5,6 is at work in the habenula axons. Overall, our observation that hindbrain HD cells of larval zebrafish can utilize the visual cues despite the lack of an elaborate visual telencephalon sheds new light on the evolution of navigation circuitry in vertebrates.</w:t>
      </w:r>
    </w:p>
    <w:p>
      <w:pPr>
        <w:spacing w:before="120" w:after="120"/>
      </w:pPr>
      <w:r>
        <w:rPr>
          <w:sz w:val="18"/>
        </w:rPr>
        <w:t>——————————————————————————————————————————————————————————————————————</w:t>
      </w:r>
    </w:p>
    <w:p>
      <w:pPr>
        <w:spacing w:before="160" w:after="40" w:line="240" w:lineRule="auto"/>
      </w:pPr>
      <w:r>
        <w:rPr>
          <w:b/>
        </w:rPr>
        <w:t xml:space="preserve">[184] </w:t>
      </w:r>
      <w:hyperlink r:id="rId257">
        <w:r>
          <w:rPr>
            <w:color w:val="1155CC"/>
            <w:u w:val="single"/>
          </w:rPr>
          <w:t>从紫外线到近红外线光子集成导致类似纤维的损耗</w:t>
        </w:r>
      </w:hyperlink>
    </w:p>
    <w:p>
      <w:pPr>
        <w:spacing w:before="0" w:after="80"/>
      </w:pPr>
      <w:r>
        <w:rPr>
          <w:i/>
          <w:sz w:val="20"/>
        </w:rPr>
        <w:t>EN: Towards fibre-like loss for photonic integration from violet to near-infrared</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在过去几十年里,在减少电信波段1、2、3、4、4的光感集集电(PICs)损失方面取得了显著进展,为低噪音光学5和微波合成6的低噪音光学5和微波合成6的芯片应用向Lidar7和光感人人工智能引擎提供了便利。 然而,由于材料吸收和散落损失明显增加,以更短波长9,10 造成材料吸收和散落损失明显增加,在可见和接近可见的频谱中提高了电力要求并限制了性能。在这里,我们展示了一个以光纤光纤维特别性能所需的材料即细菌-硅为基础的超低损失石化石化石化石化平台,但通过完全CMOS构造兼容的工艺而实现,这些石化石化石化公司实现了超过1.8亿的共振系数。</w:t>
      </w:r>
    </w:p>
    <w:p>
      <w:pPr>
        <w:spacing w:before="0" w:after="200" w:lineRule="auto" w:line="276"/>
      </w:pPr>
      <w:r>
        <w:rPr>
          <w:b/>
        </w:rPr>
        <w:t xml:space="preserve">Abstract (EN): </w:t>
      </w:r>
      <w:r>
        <w:t>Over the past decades, remarkable progress has been made in reducing the loss of photonic integrated circuits (PICs) within the telecom band1,2,3,4, facilitating on-chip applications spanning low-noise optical5 and microwave synthesis6, to lidar7 and photonic artificial intelligence engines8. However, several obstacles arise from the marked increase in material absorption and scattering losses at shorter wavelengths9,10, which prominently elevate power requirements and limit performance in the visible and near-visible spectrum. Here we present an ultralow-loss PIC platform based on germano-silicate—the material underlying the extraordinary performance of optical fibre—but realized by a fully CMOS-foundry-compatible process. These PICs achieve resonator Q factors surpassing 180 million from violet to telecom wavelengths. They also attain a 10-dB higher quality factor without thermal treatment in the telecom band, expanding opportunities for heterogeneous integration with active components11. Other features of this platform include readily engineered waveguide dispersion, acoustic mode confinement and large-mode-area-induced thermal stability—each demonstrated by soliton microcomb generation, stimulated Brillouin lasing and low-frequency-noise self-injection locking, respectively. The success of these germano-silicate PICs can ultimately enable fibre-like loss onto a chip, leading to an additional 20-dB improvement in waveguide loss over the current highest performance photonic platforms. Moreover, the performance abilities demonstrated here bridge ultralow-loss PIC technology to optical clocks12, precision navigation systems13 and quantum sensors14.</w:t>
      </w:r>
    </w:p>
    <w:p>
      <w:pPr>
        <w:spacing w:before="120" w:after="120"/>
      </w:pPr>
      <w:r>
        <w:rPr>
          <w:sz w:val="18"/>
        </w:rPr>
        <w:t>——————————————————————————————————————————————————————————————————————</w:t>
      </w:r>
    </w:p>
    <w:p>
      <w:pPr>
        <w:spacing w:before="160" w:after="40" w:line="240" w:lineRule="auto"/>
      </w:pPr>
      <w:r>
        <w:rPr>
          <w:b/>
        </w:rPr>
        <w:t xml:space="preserve">[185] </w:t>
      </w:r>
      <w:hyperlink r:id="rId258">
        <w:r>
          <w:rPr>
            <w:color w:val="1155CC"/>
            <w:u w:val="single"/>
          </w:rPr>
          <w:t>通过检查站降解相混合的抗原展示进行宫内疫苗接种</w:t>
        </w:r>
      </w:hyperlink>
    </w:p>
    <w:p>
      <w:pPr>
        <w:spacing w:before="0" w:after="80"/>
      </w:pPr>
      <w:r>
        <w:rPr>
          <w:i/>
          <w:sz w:val="20"/>
        </w:rPr>
        <w:t>EN: Intratumoural vaccination via checkpoint degradation-coupled antigen presentation</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抗原呈现细胞的交叉展示减少,导致肿瘤床内肿瘤反应性T细胞稀缺,使原位T细胞恢复活力,其方法是通过极可取的免疫性重组重新编程,但具有挑战性1,2,2,3。 我们在这里开发了肠内疫苗注射基甲菌(iVAC),将肿瘤细胞重新编程成抗原呈现状态(类似于PCPC型肿瘤细胞),恢复抗脉冲免疫。iVAC的Chimeras 构成一个共价设计的PD-L1降解器,与免疫性抗原相融合,可以缓解免疫性抑制,同时加强外源抗原的交叉展示。</w:t>
      </w:r>
    </w:p>
    <w:p>
      <w:pPr>
        <w:spacing w:before="0" w:after="200" w:lineRule="auto" w:line="276"/>
      </w:pPr>
      <w:r>
        <w:rPr>
          <w:b/>
        </w:rPr>
        <w:t xml:space="preserve">Abstract (EN): </w:t>
      </w:r>
      <w:r>
        <w:t>Decreased cross-presentation by antigen-presenting cells induces the scarcity of tumour-reactive T cells within the tumour bed, rendering in situ T cell rejuvenation through immunogenicity reprogramming highly desirable yet challenging1,2,3. Here we developed an intratumoural vaccination chimera (iVAC) to reprogram tumour cells into an antigen-presenting state (APC-like tumour cells) with restored anti-tumour immunity. The iVAC chimeras consist of a covalently engineered PD-L1 degrader conjugated to immunogenic antigens, which could relieve immune checkpoint inhibition while enforcing the cross-presentation of exogenous antigens. Functionally, the iVAC-induced antigen processing and presentation elicited potent tumour killing through reactivation of resident antigen-specific CD8+ T cells, which simultaneously remodelled the tumour microenvironment to promote durable tumour-specific immunity. Extending this strategy, we used iVAC with a cytomegalovirus (CMV)-derived antigen to activate CMV-specific T cells against breast cancer in vitro, in a humanized mouse model as well as in a patient-derived tumour model. This study establishes a foundation for chemically reprogramming cancer cells within tumour beds to endow APC-like functions, providing an avenue for stimulating anti-tumour immunity.</w:t>
      </w:r>
    </w:p>
    <w:p>
      <w:pPr>
        <w:spacing w:before="120" w:after="120"/>
      </w:pPr>
      <w:r>
        <w:rPr>
          <w:sz w:val="18"/>
        </w:rPr>
        <w:t>——————————————————————————————————————————————————————————————————————</w:t>
      </w:r>
    </w:p>
    <w:p>
      <w:pPr>
        <w:spacing w:before="160" w:after="40" w:line="240" w:lineRule="auto"/>
      </w:pPr>
      <w:r>
        <w:rPr>
          <w:b/>
        </w:rPr>
        <w:t xml:space="preserve">[186] </w:t>
      </w:r>
      <w:hyperlink r:id="rId259">
        <w:r>
          <w:rPr>
            <w:color w:val="1155CC"/>
            <w:u w:val="single"/>
          </w:rPr>
          <w:t>Aharonov-Bohm 干涉持平者分量子大厅州</w:t>
        </w:r>
      </w:hyperlink>
    </w:p>
    <w:p>
      <w:pPr>
        <w:spacing w:before="0" w:after="80"/>
      </w:pPr>
      <w:r>
        <w:rPr>
          <w:i/>
          <w:sz w:val="20"/>
        </w:rPr>
        <w:t>EN: Aharonov–Bohm interference in even-denominator fractional quantum Hall states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非亚伯利安外壳位置交换以地形保护的方式影响其系统的量子状态。 1 它们预期在均位分分量大厅(FQH)系统中的表征为直接研究干扰实验中的独特统计特性提供了机会。 2 在这里,我们用Fabry-Pérot干涉测量技术,在高流动性双层基范德瓦尔(VdW)外壳结构中观察到了Aharonov-Bohm对两个均位顶点国家的一致干扰。 在连续干扰循环中,我们观察到一个与两个通量夸特相对应的振动期,即=20,干扰不带有非亚伯利统计的特征。</w:t>
      </w:r>
    </w:p>
    <w:p>
      <w:pPr>
        <w:spacing w:before="0" w:after="200" w:lineRule="auto" w:line="276"/>
      </w:pPr>
      <w:r>
        <w:rPr>
          <w:b/>
        </w:rPr>
        <w:t xml:space="preserve">Abstract (EN): </w:t>
      </w:r>
      <w:r>
        <w:t>Position exchange of non-Abelian anyons affects the quantum state of their system in a topologically protected way1. Their expected manifestations in even-denominator fractional quantum Hall (FQH) systems offer the opportunity to directly study their unique statistical properties in interference experiments2. Here we present the observation of coherent Aharonov–Bohm interference at two even-denominator states in high-mobility bilayer-graphene-based van der Waals (vdW) heterostructures by using the Fabry–Pérot interferometry technique. Operating the interferometer at a constant filling factor, we observe an oscillation period corresponding to two flux quanta inside the interference loop, ΔΦ = 2Φ0, at which the interference does not carry signatures of non-Abelian statistics. The absence of the expected periodicity of ΔΦ = 4Φ0 may indicate that the interfering quasiparticles carry the charge e&amp;#x2217;=12e" role="presentation"&gt;e∗=12e{e}^{* }=\frac{1}{2}e or that interference of e&amp;#x2217;=14e" role="presentation"&gt;e∗=14e{e}^{* }=\frac{1}{4}e quasiparticles is thermally smeared. Notably, at two hole-conjugate states, we also observe oscillation periods of half the expected value, indicating interference of e&amp;#x2217;=23e" role="presentation"&gt;e∗=23e{e}^{* }=\frac{2}{3}e quasiparticles instead of e&amp;#x2217;=13e" role="presentation"&gt;e∗=13e{e}^{* }=\frac{1}{3}e. To investigate statistical phase contributions, we operated the Fabry–Pérot interferometer (FPI) with controlled deviations of the filling factor, thereby introducing fractional quasiparticles inside the interference loop. The resulting changes to the interference patterns at both half-filled states indicate that the extra bulk quasiparticles carry the fundamental charge e&amp;#x2217;=14e" role="presentation"&gt;e∗=14e{e}^{* }=\frac{1}{4}e, as expected for non-Abelian anyons.</w:t>
      </w:r>
    </w:p>
    <w:p>
      <w:pPr>
        <w:spacing w:before="120" w:after="120"/>
      </w:pPr>
      <w:r>
        <w:rPr>
          <w:sz w:val="18"/>
        </w:rPr>
        <w:t>——————————————————————————————————————————————————————————————————————</w:t>
      </w:r>
    </w:p>
    <w:p>
      <w:pPr>
        <w:spacing w:before="160" w:after="40" w:line="240" w:lineRule="auto"/>
      </w:pPr>
      <w:r>
        <w:rPr>
          <w:b/>
        </w:rPr>
        <w:t xml:space="preserve">[187] </w:t>
      </w:r>
      <w:hyperlink r:id="rId260">
        <w:r>
          <w:rPr>
            <w:color w:val="1155CC"/>
            <w:u w:val="single"/>
          </w:rPr>
          <w:t>解决养护方面的种族和相关不公平现象的框架</w:t>
        </w:r>
      </w:hyperlink>
    </w:p>
    <w:p>
      <w:pPr>
        <w:spacing w:before="0" w:after="80"/>
      </w:pPr>
      <w:r>
        <w:rPr>
          <w:i/>
          <w:sz w:val="20"/>
        </w:rPr>
        <w:t>EN: A framework for addressing racial and related inequities in conservation</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2020年,与 " 黑生命物质 " 运动相关的全球行动主义的激增促使科学家们发起了一场学术性的`打击'运动,提请人们注意解决系统性种族主义的道德责任。 这催生了在保护方面的辩论,增加了数十年关于边缘化奖学金的紧迫性。 从这个角度看,我们审视了这一文献,并审视了在保护方面的排斥现象是如何从地方到全球的种族、阶级、城乡差异、民族和权力动态交汇而来的。 我们强调边缘化和`其他'不成比例地影响黑人、土著人和肤色群体,特别是在全球南部。 保护区的扩大以及将个体动物生命置于人类福祉之上的先后顺序,可以加剧。</w:t>
      </w:r>
    </w:p>
    <w:p>
      <w:pPr>
        <w:spacing w:before="0" w:after="200" w:lineRule="auto" w:line="276"/>
      </w:pPr>
      <w:r>
        <w:rPr>
          <w:b/>
        </w:rPr>
        <w:t xml:space="preserve">Abstract (EN): </w:t>
      </w:r>
      <w:r>
        <w:t>In 2020, a global surge of activism linked to the Black Lives Matter movement prompted scientists to stage an academic ‘strike’, drawing attention to the ethical responsibility of addressing systemic racism. This catalysed debate in conservation, adding urgency to decades of scholarship on marginalization. In this Perspective, we review this literature and examine how exclusion in conservation persists across intersections of race, class, urban–rural divides, nationality and power dynamics from local to global levels. We highlight how marginalization and ‘othering’ disproportionately affect Black, Indigenous and people of colour (BIPOC) communities, especially in the Global South. Expansion of protected areas and the prioritization of individual animal lives over human well-being can intensify such inequities. We propose a framework for more inclusive conservation: recognizing and supporting human rights, ensuring local community agency, challenging entrenched norms in BIPOC engagement, and fostering educational opportunities led by and for BIPOC communities. Amid shifting global politics, including reduced US federal support for social and conservation issues, this framework provides guidance to counter racism and exclusion. By rethinking conservation practice, it seeks to build long-lasting, equitable and inclusive approaches that respect both people and nature.</w:t>
      </w:r>
    </w:p>
    <w:p>
      <w:pPr>
        <w:spacing w:before="120" w:after="120"/>
      </w:pPr>
      <w:r>
        <w:rPr>
          <w:sz w:val="18"/>
        </w:rPr>
        <w:t>——————————————————————————————————————————————————————————————————————</w:t>
      </w:r>
    </w:p>
    <w:p>
      <w:pPr>
        <w:spacing w:before="160" w:after="40" w:line="240" w:lineRule="auto"/>
      </w:pPr>
      <w:r>
        <w:rPr>
          <w:b/>
        </w:rPr>
        <w:t xml:space="preserve">[188] </w:t>
      </w:r>
      <w:hyperlink r:id="rId261">
        <w:r>
          <w:rPr>
            <w:color w:val="1155CC"/>
            <w:u w:val="single"/>
          </w:rPr>
          <w:t>IP RRCC 特性防止光在白天移动 SCN 时钟</w:t>
        </w:r>
      </w:hyperlink>
    </w:p>
    <w:p>
      <w:pPr>
        <w:spacing w:before="0" w:after="80"/>
      </w:pPr>
      <w:r>
        <w:rPr>
          <w:i/>
          <w:sz w:val="20"/>
        </w:rPr>
        <w:t>EN: ipRGC properties prevent light from shifting the SCN clock during daytime</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中环环心起搏器(SCN)是中环环心起搏器,它只从内在的对光敏感的视网膜交织细胞(IPRGC)中接收光化输入物,1,2。然而,光在夜间主要改变SCN时钟,3,4,5。 我们利用化学或紫色光来激活鼠白天SCN时钟。我们的数据显示,在大多数动物中无法通过光诱发日间轮班不仅像几十年的建议那样归因于SCN,而且还需要限制IPRRC通过极化区点发射。</w:t>
      </w:r>
    </w:p>
    <w:p>
      <w:pPr>
        <w:spacing w:before="0" w:after="200" w:lineRule="auto" w:line="276"/>
      </w:pPr>
      <w:r>
        <w:rPr>
          <w:b/>
        </w:rPr>
        <w:t xml:space="preserve">Abstract (EN): </w:t>
      </w:r>
      <w:r>
        <w:t>The suprachiasmatic nucleus (SCN), the central circadian pacemaker, receives photic input exclusively from intrinsically photosensitive retinal ganglion cells (ipRGCs)1,2. However, light mainly shifts the SCN clock during night-time3,4,5. Here we induced phase shifts in the SCN clock during the daytime in mice by activating ipRGCs using chemogenetics or violet light. Our data reveal that the inability to induce daytime shifts with light in most animals is not only attributed to the SCN, as has been proposed for decades, but also requires the limitation of ipRGC firing via depolarization block. Chemogenetic activation of ipRGCs induces large shifts during both night-time and daytime, but daytime shifts require brain circuits and neuropeptide transmitters that are dispensable for night-time shifts. Thus, propensity of ipRGCs for depolarization block not only prevents daytime shifts in mice, but also limits the magnitude of night-time shifts, suggesting that ipRGC inputs to SCN act as an integrated pacemaker across the circadian cycle.</w:t>
      </w:r>
    </w:p>
    <w:p>
      <w:pPr>
        <w:spacing w:before="120" w:after="120"/>
      </w:pPr>
      <w:r>
        <w:rPr>
          <w:sz w:val="18"/>
        </w:rPr>
        <w:t>——————————————————————————————————————————————————————————————————————</w:t>
      </w:r>
    </w:p>
    <w:p>
      <w:pPr>
        <w:spacing w:before="160" w:after="40" w:line="240" w:lineRule="auto"/>
      </w:pPr>
      <w:r>
        <w:rPr>
          <w:b/>
        </w:rPr>
        <w:t xml:space="preserve">[189] </w:t>
      </w:r>
      <w:hyperlink r:id="rId262">
        <w:r>
          <w:rPr>
            <w:color w:val="1155CC"/>
            <w:u w:val="single"/>
          </w:rPr>
          <w:t>气候变化变化 北太平洋暴风雨的轨道 向两极倾斜</w:t>
        </w:r>
      </w:hyperlink>
    </w:p>
    <w:p>
      <w:pPr>
        <w:spacing w:before="0" w:after="80"/>
      </w:pPr>
      <w:r>
        <w:rPr>
          <w:i/>
          <w:sz w:val="20"/>
        </w:rPr>
        <w:t>EN: Climate change shifts the North Pacific storm track polewards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在整个北太平洋,中纬纬度风暴轨道占了进入北极和北美西部的大部分热量和湿湿度向北极和北美西部的交通量,对区域降水和温度模式产生了重大影响,1 2。 到本世纪末,北太平洋冬季风暴轨道预计将向极向3,4,5,6,6,6,6,对海洋生态系统和陆基水供应量有重大影响,1 7。 尽管大气再分析显示风暴轨道7,8,9,9,10,11,12,但由于缺乏观测到的风速记录,因此无法确定风暴轨道转移是否在最近几十年中发生,气候变化在确定风暴轨道位置方面起什么作用。</w:t>
      </w:r>
    </w:p>
    <w:p>
      <w:pPr>
        <w:spacing w:before="0" w:after="200" w:lineRule="auto" w:line="276"/>
      </w:pPr>
      <w:r>
        <w:rPr>
          <w:b/>
        </w:rPr>
        <w:t xml:space="preserve">Abstract (EN): </w:t>
      </w:r>
      <w:r>
        <w:t>Across the North Pacific Ocean, the mid-latitude storm track accounts for most of the heat and moisture transport into the Arctic and western North America, considerably influencing regional precipitation and temperature patterns1,2. By the end of this century, the winter North Pacific storm track is projected to shift polewards3,4,5,6, with substantial implications for oceanic ecosystems and land-based water availability1,7. Although atmospheric reanalyses suggest a polewards shift of the storm track7,8,9,10,11,12, the lack of an observed wind record has left it uncertain whether the storm-track shift has occurred in recent decades, and what role climate change plays in determining the storm-track position. Here we derive an observational constraint for mid-latitude storm tracks and show that the winter North Pacific storm track has shifted substantially polewards, emerging from natural variability. A polewards shift of storm track-induced heat and moisture flux is also evident over western North America, implying regional impacts on precipitation and temperature patterns. Our analysis further reveals that climate models underestimate the polewards shift of the storm track in recent decades, suggesting that the future human-induced impacts on both the North Pacific ecosystem and western North America might be larger than in current predictions.</w:t>
      </w:r>
    </w:p>
    <w:p>
      <w:pPr>
        <w:spacing w:before="120" w:after="120"/>
      </w:pPr>
      <w:r>
        <w:rPr>
          <w:sz w:val="18"/>
        </w:rPr>
        <w:t>——————————————————————————————————————————————————————————————————————</w:t>
      </w:r>
    </w:p>
    <w:p>
      <w:pPr>
        <w:spacing w:before="160" w:after="40" w:line="240" w:lineRule="auto"/>
      </w:pPr>
      <w:r>
        <w:rPr>
          <w:b/>
        </w:rPr>
        <w:t xml:space="preserve">[190] </w:t>
      </w:r>
      <w:hyperlink r:id="rId263">
        <w:r>
          <w:rPr>
            <w:color w:val="1155CC"/>
            <w:u w:val="single"/>
          </w:rPr>
          <w:t>从Glia到神经元的米托昆德里氏转移保护防止外围神经病</w:t>
        </w:r>
      </w:hyperlink>
    </w:p>
    <w:p>
      <w:pPr>
        <w:spacing w:before="0" w:after="80"/>
      </w:pPr>
      <w:r>
        <w:rPr>
          <w:i/>
          <w:sz w:val="20"/>
        </w:rPr>
        <w:t>EN: Mitochondrial transfer from glia to neurons protects against peripheral neuropathy</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2. 然而,初级感官神经元保持其线粒子体供应的机制仍然不清楚。DRG内嵌入感官神经元的卫星毛球细胞(SGCs)控制神经活动和疼痛3。 我们在这里表明,SGCs能够通过形成用SGC衍生的近地线10(MYO10)对纳米管进行隧道式的纳米管,在体外、体外和体外的DRG感官神经元中向DRG传感性神经元体转移米托乔因体,通过形成以SGC衍生的近地线菌10(MYO10)扫描和传输显像超导管的显像SGCs和感官神经元体在老鼠和人类DRG之间的显像纳米管式超结构。</w:t>
      </w:r>
    </w:p>
    <w:p>
      <w:pPr>
        <w:spacing w:before="0" w:after="200" w:lineRule="auto" w:line="276"/>
      </w:pPr>
      <w:r>
        <w:rPr>
          <w:b/>
        </w:rPr>
        <w:t xml:space="preserve">Abstract (EN): </w:t>
      </w:r>
      <w:r>
        <w:t>Primary sensory neurons in dorsal root ganglia (DRG) have long axons and a high demand for mitochondria, and mitochondrial dysfunction has been implicated in peripheral neuropathy after diabetes and chemotherapy1,2. However, the mechanisms by which primary sensory neurons maintain their mitochondrial supply remain unclear. Satellite glial cells (SGCs) in DRG encircle sensory neurons and regulate neuronal activity and pain3. Here we show that SGCs are capable of transferring mitochondria to DRG sensory neurons in vitro, ex vivo and in vivo by the formation of tunnelling nanotubes with SGC-derived myosin 10 (MYO10). Scanning and transmission electron microscopy revealed tunnelling nanotube-like ultrastructures between SGCs and sensory neurons in mouse and human DRG. Blockade of mitochondrial transfer in naive mice leads to nerve degeneration and neuropathic pain. Single-nucleus RNA sequencing and in situ hybridization revealed that MYO10 is highly expressed in human SGCs. Furthermore, SGCs from DRG of people with diabetes exhibit reduced MYO10 expression and mitochondrial transfer to neurons. Adoptive transfer of human SGCs into the mouse DRG provides MYO10-dependent protection against peripheral neuropathy. This study uncovers a previously unrecognized role of peripheral glia and provides insights into small fibre neuropathy in diabetes, offering new therapeutic strategies for the management of neuropathic pain.</w:t>
      </w:r>
    </w:p>
    <w:p>
      <w:pPr>
        <w:spacing w:before="120" w:after="120"/>
      </w:pPr>
      <w:r>
        <w:rPr>
          <w:sz w:val="18"/>
        </w:rPr>
        <w:t>——————————————————————————————————————————————————————————————————————</w:t>
      </w:r>
    </w:p>
    <w:p>
      <w:pPr>
        <w:spacing w:before="160" w:after="40" w:line="240" w:lineRule="auto"/>
      </w:pPr>
      <w:r>
        <w:rPr>
          <w:b/>
        </w:rPr>
        <w:t xml:space="preserve">[191] </w:t>
      </w:r>
      <w:hyperlink r:id="rId264">
        <w:r>
          <w:rPr>
            <w:color w:val="1155CC"/>
            <w:u w:val="single"/>
          </w:rPr>
          <w:t>后白鲸时代欧洲 一种隐藏的 千变万化的白龙恐龙种类繁多</w:t>
        </w:r>
      </w:hyperlink>
    </w:p>
    <w:p>
      <w:pPr>
        <w:spacing w:before="0" w:after="80"/>
      </w:pPr>
      <w:r>
        <w:rPr>
          <w:i/>
          <w:sz w:val="20"/>
        </w:rPr>
        <w:t>EN: A hidden diversity of ceratopsian dinosaurs in Late Cretaceous Europe</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已故的白龙欧洲是一个具有恐龙动物群落的群岛,其特点是具有岛屿效应,例如多样性低、古老主义和孤立的矮星群1。 其恐龙群包括典型的劳拉西亚人或贡德瓦南人近亲和独特地方病的独特组合。 后者中的主要为rhabdodontids, 被认为是早期生长的海马诺登人,具有不寻常的牙科和后天性特征,并来自丰富的但非常不完整的化石遗骸2。 相形之下,角形恐龙(塞拉图斯人)的确凿证据令人费解地缺乏4,尽管它们在亚洲和北美洲的当代生态系统中普遍存在。 匈牙利的晚白鲸的Ajkaceratatos被描述为来自欧洲的首个确定化石5,但这一面被描述为来自欧洲的首个确定化石5。</w:t>
      </w:r>
    </w:p>
    <w:p>
      <w:pPr>
        <w:spacing w:before="0" w:after="200" w:lineRule="auto" w:line="276"/>
      </w:pPr>
      <w:r>
        <w:rPr>
          <w:b/>
        </w:rPr>
        <w:t xml:space="preserve">Abstract (EN): </w:t>
      </w:r>
      <w:r>
        <w:t>Late Cretaceous Europe was an archipelago with a dinosaur fauna characterized by island effects such as low diversity, relictualism and insular dwarfism1. Its dinosaur communities include a unique mix of groups with typical Laurasian or Gondwanan affinities and distinctive endemics1. Chief among the latter are rhabdodontids, considered to be early-branching iguanodontians characterized by unusual dental and postcranial features and known from abundant but very incomplete fossil remains2,3. By contrast, unequivocal evidence of horned dinosaurs (ceratopsians) is puzzlingly absent4, despite their ubiquitous occurrence in contemporary ecosystems of Asia and North America. Ajkaceratops from the Late Cretaceous of Hungary was described as the first definite ceratopsian from Europe5, but this identification has been strongly disputed4. Here we describe new material of Ajkaceratops and conduct phylogenetic analyses that support its ceratopsian affinities. Our results unexpectedly demonstrate that some ‘rhabdodontid’ taxa are not, in fact, iguanodontians but actually ceratopsians. This suggests a substantial but previously hidden diversity and evolutionary history of European horned dinosaurs, and co-occurrence of iguanodontians and ceratopsians indicates greater similarity than previously appreciated to other Laurasian ecosystems. Our results challenge conventional understanding of ornithischian dinosaur evolution and indicate the need for a fundamental re-evaluation of the Late Cretaceous herbivorous dinosaur assemblages of Europe.</w:t>
      </w:r>
    </w:p>
    <w:p>
      <w:pPr>
        <w:spacing w:before="120" w:after="120"/>
      </w:pPr>
      <w:r>
        <w:rPr>
          <w:sz w:val="18"/>
        </w:rPr>
        <w:t>——————————————————————————————————————————————————————————————————————</w:t>
      </w:r>
    </w:p>
    <w:p>
      <w:pPr>
        <w:spacing w:before="160" w:after="40" w:line="240" w:lineRule="auto"/>
      </w:pPr>
      <w:r>
        <w:rPr>
          <w:b/>
        </w:rPr>
        <w:t xml:space="preserve">[192] </w:t>
      </w:r>
      <w:hyperlink r:id="rId265">
        <w:r>
          <w:rPr>
            <w:color w:val="1155CC"/>
            <w:u w:val="single"/>
          </w:rPr>
          <w:t>乳腺癌特定器官转移的营养要求</w:t>
        </w:r>
      </w:hyperlink>
    </w:p>
    <w:p>
      <w:pPr>
        <w:spacing w:before="0" w:after="80"/>
      </w:pPr>
      <w:r>
        <w:rPr>
          <w:i/>
          <w:sz w:val="20"/>
        </w:rPr>
        <w:t>EN: Nutrient requirements of organ-specific metastasis in breast cancer</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癌症转移是造成病人发病率和死亡率的主要原因,1 但决定癌症可以转移的器官的因素不完全被理解。在这里,我们量化小鼠多种组织中124种代谢物的绝对水平,并调查这与乳腺癌细胞在不同器官中生长的能力有何关系。我们改造了具有广泛代谢潜力的乳腺癌细胞,这些细胞对于特定营养物具有助养作用,并评估了它们殖民不同组织场所的能力。我们随后询问了不同组织肿瘤的生长与营养供应和肿瘤生物合成活动之间的关系。我们发现单项营养物质并不能单独确定乳腺癌细胞可以随着转移而生长的地点。此外,我们还确定了纯合成物。</w:t>
      </w:r>
    </w:p>
    <w:p>
      <w:pPr>
        <w:spacing w:before="0" w:after="200" w:lineRule="auto" w:line="276"/>
      </w:pPr>
      <w:r>
        <w:rPr>
          <w:b/>
        </w:rPr>
        <w:t xml:space="preserve">Abstract (EN): </w:t>
      </w:r>
      <w:r>
        <w:t>Cancer metastasis is a major contributor to patient morbidity and mortality1, yet the factors that determine the organs where cancers can metastasize are incompletely understood. Here we quantify the absolute levels of 124 metabolites in multiple tissues in mice and investigate how this relates to the ability of breast cancer cells to grow in different organs. We engineered breast cancer cells with broad metastatic potential to be auxotrophic for specific nutrients and assessed their ability to colonize different tissue sites. We then asked how tumour growth in different tissues relates to nutrient availability and tumour biosynthetic activity. We find that single nutrients alone do not define the sites where breast cancer cells can grow as metastases. In addition, we identify purine synthesis as a requirement for tumour growth and metastasis across many tissues and find that this phenotype is independent of tissue nucleotide availability or tumour de novo nucleotide synthesis activity. These data suggest that a complex interplay between multiple nutrients within the microenvironment dictates potential sites of metastatic cancer growth, and highlights the interdependence between extrinsic environmental factors and intrinsic cellular properties in influencing where breast cancer cells can grow as metastases.</w:t>
      </w:r>
    </w:p>
    <w:p>
      <w:pPr>
        <w:spacing w:before="120" w:after="120"/>
      </w:pPr>
      <w:r>
        <w:rPr>
          <w:sz w:val="18"/>
        </w:rPr>
        <w:t>——————————————————————————————————————————————————————————————————————</w:t>
      </w:r>
    </w:p>
    <w:p>
      <w:pPr>
        <w:spacing w:before="160" w:after="40" w:line="240" w:lineRule="auto"/>
      </w:pPr>
      <w:r>
        <w:rPr>
          <w:b/>
        </w:rPr>
        <w:t xml:space="preserve">[193] </w:t>
      </w:r>
      <w:hyperlink r:id="rId266">
        <w:r>
          <w:rPr>
            <w:color w:val="1155CC"/>
            <w:u w:val="single"/>
          </w:rPr>
          <w:t>RNA 触发的 Cas12a3 切开 tRNA 尾部以实施细菌豁免</w:t>
        </w:r>
      </w:hyperlink>
    </w:p>
    <w:p>
      <w:pPr>
        <w:spacing w:before="0" w:after="80"/>
      </w:pPr>
      <w:r>
        <w:rPr>
          <w:i/>
          <w:sz w:val="20"/>
        </w:rPr>
        <w:t>EN: RNA-triggered Cas12a3 cleaves tRNA tails to execute bacterial immunity</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在所有生活领域,tRNAs对基因信息从 mRNAs向蛋白质的转移进行调解。tRNAs的耗竭抑制了基因信息翻译,因而也抑制了病毒复制,因此,tRNAs代表了长期和日益公认的原免疫目标1,2,3,4,5。 我们在这里报告了V CRISP-Cas适应性免疫系统在细菌中从V CRISPR-Cas适应性免疫系统中释放的Cas12a3 影响核素,这些细菌在确认目标RNA后优先切除tRNAs。 Cas12a3 圆形属于两个先前未报告的核素圆环之一,它们展示了RNA非目标的外核素,并且不同于所有其他已知的V型系统。 通过细胞基和生物化学分析以及直接RNA测序,我们证明CRIPRRNA对一个补充性目标RNA的承认触发了Cas12a3到Cela。</w:t>
      </w:r>
    </w:p>
    <w:p>
      <w:pPr>
        <w:spacing w:before="0" w:after="200" w:lineRule="auto" w:line="276"/>
      </w:pPr>
      <w:r>
        <w:rPr>
          <w:b/>
        </w:rPr>
        <w:t xml:space="preserve">Abstract (EN): </w:t>
      </w:r>
      <w:r>
        <w:t>In all domains of life, tRNAs mediate the transfer of genetic information from mRNAs to proteins. As their depletion suppresses translation and, consequently, viral replication, tRNAs represent long-standing and increasingly recognized targets of innate immunity1,2,3,4,5. Here we report Cas12a3 effector nucleases from type V CRISPR–Cas adaptive immune systems in bacteria that preferentially cleave tRNAs after recognition of target RNA. Cas12a3 orthologues belong to one of two previously unreported nuclease clades that exhibit RNA-mediated cleavage of non-target RNA, and are distinct from all other known type V systems. Through cell-based and biochemical assays and direct RNA sequencing, we demonstrate that recognition of a complementary target RNA by the CRISPR RNA triggers Cas12a3 to cleave the conserved 5′-CCA-3′ tail of diverse tRNAs to drive growth arrest and anti-phage defence. Cryogenic electron microscopy structures further revealed a distinct tRNA-loading domain that positions the tRNA tail in the RuvC active site of the nuclease. By designing synthetic reporters that mimic the tRNA acceptor stem and tail, we expanded the capacity of current CRISPR-based diagnostics for multiplexed RNA detection. Overall, these findings reveal widespread tRNA inactivation as a previously unrecognized CRISPR-based immune strategy that broadens the application space of the existing CRISPR toolbox.</w:t>
      </w:r>
    </w:p>
    <w:p>
      <w:pPr>
        <w:spacing w:before="120" w:after="120"/>
      </w:pPr>
      <w:r>
        <w:rPr>
          <w:sz w:val="18"/>
        </w:rPr>
        <w:t>——————————————————————————————————————————————————————————————————————</w:t>
      </w:r>
    </w:p>
    <w:p>
      <w:pPr>
        <w:spacing w:before="160" w:after="40" w:line="240" w:lineRule="auto"/>
      </w:pPr>
      <w:r>
        <w:rPr>
          <w:b/>
        </w:rPr>
        <w:t xml:space="preserve">[194] </w:t>
      </w:r>
      <w:hyperlink r:id="rId267">
        <w:r>
          <w:rPr>
            <w:color w:val="1155CC"/>
            <w:u w:val="single"/>
          </w:rPr>
          <w:t>银河系中最常用行星系统的年轻后代</w:t>
        </w:r>
      </w:hyperlink>
    </w:p>
    <w:p>
      <w:pPr>
        <w:spacing w:before="0" w:after="80"/>
      </w:pPr>
      <w:r>
        <w:rPr>
          <w:i/>
          <w:sz w:val="20"/>
        </w:rPr>
        <w:t>EN: A young progenitor for the most common planetary systems in the Galaxy</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银河系最常见的已知行星系统在紧凑轨道上有几颗从地球到内普图纳大小的行星。 1 在小型轨道分离中,较大的行星在数量上比较小的行星群少得多。 年轻的恒星V1298 Tau拥有一个这样的紧凑行星系统,尽管有四颗异常大的行星(5至10个地球半径)2 。 这些行星形成一连串近共振反应,导致几小时的中转动力变化。 在这里,我们提出一个多年运动,用中转动力变化来描述这个系统,一种对恒星密集磁活动不敏感的方法。我们首先通过定向观测解决了最远行星先前未知的轨道周期(5至10个地球半径)2 。</w:t>
      </w:r>
    </w:p>
    <w:p>
      <w:pPr>
        <w:spacing w:before="0" w:after="200" w:lineRule="auto" w:line="276"/>
      </w:pPr>
      <w:r>
        <w:rPr>
          <w:b/>
        </w:rPr>
        <w:t xml:space="preserve">Abstract (EN): </w:t>
      </w:r>
      <w:r>
        <w:t>The Galaxy’s most common known planetary systems have several Earth-to-Neptune-size planets in compact orbits1. At small orbital separations, larger planets are less common than their smaller counterparts by an order of magnitude. The young star V1298 Tau hosts one such compact planetary system, albeit with four planets that are uncommonly large (5 to 10 Earth radii)2,3. The planets form a chain of near-resonances that result in transit-timing variations of several hours. Here we present a multi-year campaign to characterize this system with transit-timing variations, a method insensitive to the intense magnetic activity of the star. Through targeted observations, we first resolved the previously unknown orbital period of the outermost planet. The full 9-year baseline from these and archival data then enabled robust determination of the masses and orbital parameters for all four planets. We find the planets have low, sub-Neptune masses and nearly circular orbits, implying a dynamically tranquil history. Their low masses and large radii indicate that the inner planets underwent a period of rapid cooling immediately after dispersal of the protoplanetary disk. Still, they are much less dense than mature planets of comparable size. We predict the planets will contract to 1.5–4.0 Earth radii and join the population of super-Earths and sub-Neptunes that nature produces in abundance.</w:t>
      </w:r>
    </w:p>
    <w:p>
      <w:pPr>
        <w:spacing w:before="120" w:after="120"/>
      </w:pPr>
      <w:r>
        <w:rPr>
          <w:sz w:val="18"/>
        </w:rPr>
        <w:t>——————————————————————————————————————————————————————————————————————</w:t>
      </w:r>
    </w:p>
    <w:p>
      <w:pPr>
        <w:spacing w:before="160" w:after="40" w:line="240" w:lineRule="auto"/>
      </w:pPr>
      <w:r>
        <w:rPr>
          <w:b/>
        </w:rPr>
        <w:t xml:space="preserve">[195] </w:t>
      </w:r>
      <w:hyperlink r:id="rId268">
        <w:r>
          <w:rPr>
            <w:color w:val="1155CC"/>
            <w:u w:val="single"/>
          </w:rPr>
          <w:t>在皮下疼痛电路中进行阿片止痛类阿片</w:t>
        </w:r>
      </w:hyperlink>
    </w:p>
    <w:p>
      <w:pPr>
        <w:spacing w:before="0" w:after="80"/>
      </w:pPr>
      <w:r>
        <w:rPr>
          <w:i/>
          <w:sz w:val="20"/>
        </w:rPr>
        <w:t>EN: Mimicking opioid analgesia in cortical pain circuits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在疼痛的感官和动力层面,前端的皮皮层是一个关键的大脑区域,涉及到疼痛的感官和动力层面,但阿片止痛剂如何调节这一皮下循环仍然不清楚。 1 掩盖阿片如何改变神经神经的感知动态以产生止痛缓解疼痛,对于发展更安全和更有针对性的慢性疼痛治疗方法至关重要。 这里我们显示,一组结膜神经成份将自发的疼痛相关行为编码起来,并且有选择地通过吗啡调节。 我们利用深刻的学习行为分析,加上小鼠的纵向神经记录,发现了神经损伤后皮下活动模式的持续变化,这反映了一种不愉快的、有影响的慢性疼痛状态的出现。 甲状腺逆转了这些神经病的神经神经动态。</w:t>
      </w:r>
    </w:p>
    <w:p>
      <w:pPr>
        <w:spacing w:before="0" w:after="200" w:lineRule="auto" w:line="276"/>
      </w:pPr>
      <w:r>
        <w:rPr>
          <w:b/>
        </w:rPr>
        <w:t xml:space="preserve">Abstract (EN): </w:t>
      </w:r>
      <w:r>
        <w:t>The anterior cingulate cortex is a key brain region involved in the affective and motivational dimensions of pain, but how opioid analgesics modulate this cortical circuit remains unclear1. Uncovering how opioids alter nociceptive neural dynamics to produce pain relief is essential for developing safer and more targeted treatments for chronic pain. Here we show that a population of cingulate neurons encodes spontaneous pain-related behaviours and is selectively modulated by morphine. Using deep learning behavioural analyses combined with longitudinal neural recordings in mice, we identified a persistent shift in cortical activity patterns following nerve injury that reflects the emergence of an unpleasant, affective chronic pain state. Morphine reversed these neuropathic neural dynamics and reduced affective–motivational behaviours without altering sensory detection or reflexive responses, mirroring how opioids alleviate pain unpleasantness in humans. Leveraging these findings, we built a biologically inspired chemogenetic gene therapy that targets opioid-sensitive neurons in the cingulate using a synthetic μ-opioid receptor promoter to drive inhibition2. This opioid-mimetic chemogenetic gene therapy recapitulated the analgesic effects of morphine during chronic neuropathic pain, thereby offering a new strategy for precision pain management that targets a key nociceptive cortical opioid circuit with safe, on-demand analgesia.</w:t>
      </w:r>
    </w:p>
    <w:p>
      <w:pPr>
        <w:spacing w:before="120" w:after="120"/>
      </w:pPr>
      <w:r>
        <w:rPr>
          <w:sz w:val="18"/>
        </w:rPr>
        <w:t>——————————————————————————————————————————————————————————————————————</w:t>
      </w:r>
    </w:p>
    <w:p>
      <w:pPr>
        <w:spacing w:before="160" w:after="40" w:line="240" w:lineRule="auto"/>
      </w:pPr>
      <w:r>
        <w:rPr>
          <w:b/>
        </w:rPr>
        <w:t xml:space="preserve">[196] </w:t>
      </w:r>
      <w:hyperlink r:id="rId269">
        <w:r>
          <w:rPr>
            <w:color w:val="1155CC"/>
            <w:u w:val="single"/>
          </w:rPr>
          <w:t>地面优化管理有形网络的当地设计</w:t>
        </w:r>
      </w:hyperlink>
    </w:p>
    <w:p>
      <w:pPr>
        <w:spacing w:before="0" w:after="80"/>
      </w:pPr>
      <w:r>
        <w:rPr>
          <w:i/>
          <w:sz w:val="20"/>
        </w:rPr>
        <w:t>EN: Surface optimization governs the local design of physical networks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大脑连接1,2,3和血管系统4是物理网络的例子,其有形性质影响其结构、布局和最终功能。 建设和维护这些网络所需的物质资源激励了数十年的电线经济研究,提供了对其预期结构和组织的可测试的预测。 在这里,我们实证地探索了各种物理网络的局部分支几何,发现系统违反长期预测的电线最小化。 这导致一种假设,即预测物理网络的真正物质成本需要我们为其三维的完整几何进行核算,从而导致一个基本上难以解决的优化问题。</w:t>
      </w:r>
    </w:p>
    <w:p>
      <w:pPr>
        <w:spacing w:before="0" w:after="200" w:lineRule="auto" w:line="276"/>
      </w:pPr>
      <w:r>
        <w:rPr>
          <w:b/>
        </w:rPr>
        <w:t xml:space="preserve">Abstract (EN): </w:t>
      </w:r>
      <w:r>
        <w:t>The brain’s connectome1,2,3 and the vascular system4 are examples of physical networks whose tangible nature influences their structure, layout and, ultimately, their function. The material resources required to build and maintain these networks have inspired decades of research into wiring economy, offering testable predictions about their expected architecture and organization. Here we empirically explore the local branching geometry of a wide range of physical networks, uncovering systematic violations of the long-standing predictions of wiring minimization. This leads to the hypothesis that predicting the true material cost of physical networks requires us to account for their full three-dimensional geometry, resulting in a largely intractable optimization problem. We discover, however, an exact mapping of surface minimization onto high-dimensional Feynman diagrams in string theory5,6,7, predicting that, with increasing link thickness, a locally tree-like network undergoes a transition into configurations that can no longer be explained by length minimization. Specifically, surface minimization predicts the emergence of trifurcations and branching angles in excellent agreement with the local tree organization of physical networks across a wide range of application domains. Finally, we predict the existence of stable orthogonal sprouts, which are not only prevalent in real networks but also play a key functional role, improving synapse formation in the brain and nutrient access in plants and fungi.</w:t>
      </w:r>
    </w:p>
    <w:p>
      <w:pPr>
        <w:spacing w:before="120" w:after="120"/>
      </w:pPr>
      <w:r>
        <w:rPr>
          <w:sz w:val="18"/>
        </w:rPr>
        <w:t>——————————————————————————————————————————————————————————————————————</w:t>
      </w:r>
    </w:p>
    <w:p>
      <w:pPr>
        <w:spacing w:before="160" w:after="40" w:line="240" w:lineRule="auto"/>
      </w:pPr>
      <w:r>
        <w:rPr>
          <w:b/>
        </w:rPr>
        <w:t xml:space="preserve">[197] </w:t>
      </w:r>
      <w:hyperlink r:id="rId270">
        <w:r>
          <w:rPr>
            <w:color w:val="1155CC"/>
            <w:u w:val="single"/>
          </w:rPr>
          <w:t>AKAP95 冷凝凝结管调控转录,可以作为MLL-聚聚驱动的相聚目标。</w:t>
        </w:r>
      </w:hyperlink>
    </w:p>
    <w:p>
      <w:pPr>
        <w:spacing w:before="0" w:after="80"/>
      </w:pPr>
      <w:r>
        <w:rPr>
          <w:i/>
          <w:sz w:val="20"/>
        </w:rPr>
        <w:t>EN: AKAP95 condensates regulate transcription and can be targeted in MLL-fusion driven oncogenesis</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RNA 装配质蛋白可以通过调制RNA 聚合酶II在新生RNA的帮助下进行转录冷凝,但这一机制是否也有助于肿瘤的产生尚不得而知。在这里,我们表明MLL 重新排列后,需要RB AKAP95RP AKAP95来调节转录;AKAP95 调制质Pol II的阶段分离和RNA结合特性是AKAP95 进入基因组目标地点的凝结点。AKAP95 与MLL1 转出碎片及其部分合凝结导致AKAP95对MLL-AF9目标基因的更强的绑合融。AKAP95 大量减少MLL-AF9目标的表达方式,损害MLL-AF9 驱动的利化。AKAP95对于正常和再生性肝瘤不必要,使其成为理想的叶质。AKAP95 使AKAP95成为理想的目标。</w:t>
      </w:r>
    </w:p>
    <w:p>
      <w:pPr>
        <w:spacing w:before="0" w:after="200" w:lineRule="auto" w:line="276"/>
      </w:pPr>
      <w:r>
        <w:rPr>
          <w:b/>
        </w:rPr>
        <w:t xml:space="preserve">Abstract (EN): </w:t>
      </w:r>
      <w:r>
        <w:t>RNA binding proteins could regulate transcription through modulating RNA polymerase II involved transcriptional condensates with the aid of nascent RNA. However, whether this mechanism also contributes to tumorigenesis is still unknown. Here, we show the RBP AKAP95 is required for MLL rearranged leukemogenesis. Phase separation and RNA binding properties of AKAP95 modulate Pol II recruitment into condensates at genome-wide target sites. AKAP95 interact with MLL1 translocated fragment and their partial co-condensation leads to stronger AKAP95 binding towards MLL-AF9 target genes. Loss of AKAP95 significantly downregulates expression of MLL-AF9 targets and impairs MLL-AF9 driven leukemogenesis. AKAP95 is not essential for normal and regenerative hematopoiesis, rendering it an ideal target for leukemia therapeutics. As an endeavor for modifying condensates, we design a peptide JD-PI95 bridging AKAP95 to protein quality surveillance component HSP70. The peptide successfully impairs AKAP95 phase separation, attenuates gene transcription and inhibits MLLr leukemia cells proliferation. Our work demonstrates an important role of RBP condensates in tumorigenesis through regulation of transcription and a new method to perturb specific condensates for tumor inhibition.</w:t>
      </w:r>
    </w:p>
    <w:p>
      <w:pPr>
        <w:spacing w:before="120" w:after="120"/>
      </w:pPr>
      <w:r>
        <w:rPr>
          <w:sz w:val="18"/>
        </w:rPr>
        <w:t>——————————————————————————————————————————————————————————————————————</w:t>
      </w:r>
    </w:p>
    <w:p>
      <w:pPr>
        <w:spacing w:before="160" w:after="40" w:line="240" w:lineRule="auto"/>
      </w:pPr>
      <w:r>
        <w:rPr>
          <w:b/>
        </w:rPr>
        <w:t xml:space="preserve">[198] </w:t>
      </w:r>
      <w:hyperlink r:id="rId271">
        <w:r>
          <w:rPr>
            <w:color w:val="1155CC"/>
            <w:u w:val="single"/>
          </w:rPr>
          <w:t>基于级联光电突触的神经形态成像仪</w:t>
        </w:r>
      </w:hyperlink>
    </w:p>
    <w:p>
      <w:pPr>
        <w:spacing w:before="0" w:after="80"/>
      </w:pPr>
      <w:r>
        <w:rPr>
          <w:i/>
          <w:sz w:val="20"/>
        </w:rPr>
        <w:t>EN: A neuromorphic imager based on a cascaded optoelectronic synapse</w:t>
      </w:r>
    </w:p>
    <w:p>
      <w:pPr>
        <w:spacing w:before="0" w:after="120"/>
      </w:pPr>
      <w:r>
        <w:rPr>
          <w:b/>
        </w:rPr>
        <w:t xml:space="preserve">Source: </w:t>
      </w:r>
      <w:r>
        <w:t>Nature Electronics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人类视网膜能为开发人造视觉系统光电子装置提供灵感。它特别为低光光异常成像提供了曲线几何学,并且能够进行信号预处理,部分原因是它具有高度的合成便利,然而,在机械软性、曲线成形因素和高级合成便利的情况下,建立人工合成装置仍然具有挑战性。我们在此报告一个级联的两阶段光电电池,利用硅光电电池调节钠-平衡式合成突变晶体体。光伏电池和一个电动双层电容器将初始光信号转换成门电压(第一阶段),然后控制合成转口通道的后发式电流。</w:t>
      </w:r>
    </w:p>
    <w:p>
      <w:pPr>
        <w:spacing w:before="0" w:after="200" w:lineRule="auto" w:line="276"/>
      </w:pPr>
      <w:r>
        <w:rPr>
          <w:b/>
        </w:rPr>
        <w:t xml:space="preserve">Abstract (EN): </w:t>
      </w:r>
      <w:r>
        <w:t>The human retina can provide inspiration for the development of optoelectronic devices for artificial vision systems. It has, in particular, a curved geometry for low optical aberration imaging and is capable of signal preprocessing, in part due to its high synaptic facilitation. However, it remains challenging to create artificial synaptic devices with mechanical softness, curvilinear form factors and superior synaptic facilitation. Here we report a cascaded two-stage optoelectronic synapse that uses silicon photovoltaic cells to modulate sodium-alginate-gated synaptic transistors. The photovoltaic cells and an electric double-layer capacitor convert the initial light signal into a gate voltage (stage one), which then controls the postsynaptic current in the channel of the synaptic transistor (stage two). This cascaded synaptic signal transmission mechanism results in high synaptic facilitation of the postsynaptic signal. The system exhibits stable and long-term linearly potentiated characteristics, enhancing the accuracy of pattern recognition. We use an array of the cascaded optoelectronic synapses to create a curvy, kirigami-structured neuromorphic imager, which mimics the curved geometry and neural signal transmission of the human retina and provides visual information sensing and preprocessing functions.</w:t>
      </w:r>
    </w:p>
    <w:p>
      <w:pPr>
        <w:spacing w:before="120" w:after="120"/>
      </w:pPr>
      <w:r>
        <w:rPr>
          <w:sz w:val="18"/>
        </w:rPr>
        <w:t>——————————————————————————————————————————————————————————————————————</w:t>
      </w:r>
    </w:p>
    <w:p>
      <w:pPr>
        <w:spacing w:before="160" w:after="40" w:line="240" w:lineRule="auto"/>
      </w:pPr>
      <w:r>
        <w:rPr>
          <w:b/>
        </w:rPr>
        <w:t xml:space="preserve">[199] </w:t>
      </w:r>
      <w:hyperlink r:id="rId272">
        <w:r>
          <w:rPr>
            <w:color w:val="1155CC"/>
            <w:u w:val="single"/>
          </w:rPr>
          <w:t>通过干扰内生irg1/acod1跟踪所揭示的与mannerose-受体-受体-相关可塑性,破坏肌肉修复</w:t>
        </w:r>
      </w:hyperlink>
    </w:p>
    <w:p>
      <w:pPr>
        <w:spacing w:before="0" w:after="80"/>
      </w:pPr>
      <w:r>
        <w:rPr>
          <w:i/>
          <w:sz w:val="20"/>
        </w:rPr>
        <w:t>EN: Chronic macrophage activation derails muscle repair by disrupting mannose-receptor-linked plasticity revealed by endogenous irg1/acod1 tracking</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大型动物是慢性炎症的中心驱动因素,然而,长期的炎症状态如何改变其功能仍不清楚。使用GFP Knock-in zebrafish 来针对标有巨形活化标志的irg1/acod1 的斑马鱼,我们追踪在由 nlrc3l 基因突变引发的软体和慢性发炎条件下,大型动物在急性肌肉损伤期间的动态转变。在慢性炎症模型中,肌肉修复受损,曼诺斯受体受体MEX1c1b/cd206的表达方式以离子88为依存的方式严重下调。两种以细胞行为和单细胞定型剖析剖面、聚和肌肉放大为定义的对准宏观亚型亚型,其细胞行为和单细胞定型剖面、聚体和肌肉放大为定义的两种对准性大型大型动物的亚型,已经丢失。一种慢性感染模型重新刻出这些缺陷,强调与宏观的联系。</w:t>
      </w:r>
    </w:p>
    <w:p>
      <w:pPr>
        <w:spacing w:before="0" w:after="200" w:lineRule="auto" w:line="276"/>
      </w:pPr>
      <w:r>
        <w:rPr>
          <w:b/>
        </w:rPr>
        <w:t xml:space="preserve">Abstract (EN): </w:t>
      </w:r>
      <w:r>
        <w:t>Macrophages are central drivers of chronic inflammation, yet how a sustained inflammatory state alters their function remains unclear. Using GFP knock-in zebrafish targeting irg1/acod1 that marks macrophage activation, we track the dynamic transitions of macrophage states during acute muscle injury under homeostatic and chronically inflamed conditions, induced by genetic mutation of nlrc3l. In the chronic inflammation model, muscle repair is impaired and expression of the mannose receptor mrc1b/cd206 is severely downregulated in a myd88-dependent manner. Two reparative macrophage subtypes, defined by their cellular behavior and single-cell transcriptomics profile, clustering and muscle-encasing, are lost. A chronic infection model recapitulates these defects, underscoring the link to macrophage mrc1b repression. Depleting either mrc1b or macrophages impairs muscle repair. Reinstating normal macrophage states by restoring macrophage nlrc3l expression or ablating myd88-mediated inflammatory pathways rescues muscle repair in nlrc3l mutants. Contrary to conventional discrete states, we identify hybrid M1/M2 macrophage states post-injury. While transient during normal injury response, a pro-inflammatory hybrid state persists during chronic activation, which restricts macrophage heterogeneity, represses mrc1b, and inhibits intracellular cathepsin K accumulation, a hallmark of reparative subtypes. Thus, our study provides mechanistic insight into the dynamics of macrophage activation during muscle injury and repair, and how these processes are modulated under chronic inflammation.</w:t>
      </w:r>
    </w:p>
    <w:p>
      <w:pPr>
        <w:spacing w:before="120" w:after="120"/>
      </w:pPr>
      <w:r>
        <w:rPr>
          <w:sz w:val="18"/>
        </w:rPr>
        <w:t>——————————————————————————————————————————————————————————————————————</w:t>
      </w:r>
    </w:p>
    <w:p>
      <w:pPr>
        <w:spacing w:before="160" w:after="40" w:line="240" w:lineRule="auto"/>
      </w:pPr>
      <w:r>
        <w:rPr>
          <w:b/>
        </w:rPr>
        <w:t xml:space="preserve">[200] </w:t>
      </w:r>
      <w:hyperlink r:id="rId273">
        <w:r>
          <w:rPr>
            <w:color w:val="1155CC"/>
            <w:u w:val="single"/>
          </w:rPr>
          <w:t>AMFR的O-GlcNAclation O-GlcNAclate 稳定 TSPAN4 稳定 TSPAN4 以调节偏头痛形成以释放病毒</w:t>
        </w:r>
      </w:hyperlink>
    </w:p>
    <w:p>
      <w:pPr>
        <w:spacing w:before="0" w:after="80"/>
      </w:pPr>
      <w:r>
        <w:rPr>
          <w:i/>
          <w:sz w:val="20"/>
        </w:rPr>
        <w:t>EN: O-GlcNAcylation of AMFR stabilizes TSPAN4 to regulate migrasome formation for viral release</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微生物是依赖移徙的有机物,作为传送袋,用来调解细胞图象内装物的释放。Tetraspanin 4 (TSPAN4) 4 (TSPAN4) 充当偏头痛的标记,是形成它们的关键,然而,TSPAN4 以偏头痛为媒介的偏头痛生物产生及其生理功能的监管机制仍有待于阐明。在这里,我们确认了ER居民E3 ligase AMFR,通过催化与K48相连的TSPAN4 混合降解来调节偏头痛的形成。此外,OGT在9 643 节期间对AMFR-TSPAN4 的O-GlcNAlNAL4相互作用,从而稳定了TSPAN4 并促进偏头痛的形成。此外,病毒动态调节了通过调控AMFR O-GLNAL和 TSPAN4 紫外作用来调节偏头痛的形成。</w:t>
      </w:r>
    </w:p>
    <w:p>
      <w:pPr>
        <w:spacing w:before="0" w:after="200" w:lineRule="auto" w:line="276"/>
      </w:pPr>
      <w:r>
        <w:rPr>
          <w:b/>
        </w:rPr>
        <w:t xml:space="preserve">Abstract (EN): </w:t>
      </w:r>
      <w:r>
        <w:t>Migrasomes are migration-dependent organelles, serving as delivery packets to mediate release of cytoplasmic contents. Tetraspanin 4 (TSPAN4) acts as a marker for migrasomes and is essential for their formation. However, the regulatory mechanism(s) underlying TSPAN4-mediated migrasome biogenesis and its physiological functions remain to be elucidated. Here, we identified AMFR, an ER-resident E3 ligase, regulates migrasome formation through catalyzing the K48-linked polyubiquitination of TSPAN4 for degradation. Further, O-GlcNAcylation of AMFR by OGT at threonine 643 disrupts AMFR-TSPAN4 interactions, thereby stabilizing TSPAN4 and promoting migrasome formation. Additionally, viruses dynamically regulate migrasome formation by modulating AMFR O-GlcNAcylation and TSPAN4 ubiquitination. During the early stages of VSV or HSV-1 infection, viruses enhance migrasome formation and exploit these structures to spread among neighboring cells, whereas abolish migrasome formation during the late stages of infection. Our findings reveal a negatively regulatory mechanism governing migrasome biogenesis, and highlight how VSV and HSV-1 manipulate this process to facilitate their release.</w:t>
      </w:r>
    </w:p>
    <w:p>
      <w:pPr>
        <w:spacing w:before="120" w:after="120"/>
      </w:pPr>
      <w:r>
        <w:rPr>
          <w:sz w:val="18"/>
        </w:rPr>
        <w:t>——————————————————————————————————————————————————————————————————————</w:t>
      </w:r>
    </w:p>
    <w:p>
      <w:pPr>
        <w:spacing w:before="160" w:after="40" w:line="240" w:lineRule="auto"/>
      </w:pPr>
      <w:r>
        <w:rPr>
          <w:b/>
        </w:rPr>
        <w:t xml:space="preserve">[201] </w:t>
      </w:r>
      <w:hyperlink r:id="rId274">
        <w:r>
          <w:rPr>
            <w:color w:val="1155CC"/>
            <w:u w:val="single"/>
          </w:rPr>
          <w:t>使用迁移田和隧道流流在硅上的高功率毫米波开关</w:t>
        </w:r>
      </w:hyperlink>
    </w:p>
    <w:p>
      <w:pPr>
        <w:spacing w:before="0" w:after="80"/>
      </w:pPr>
      <w:r>
        <w:rPr>
          <w:i/>
          <w:sz w:val="20"/>
        </w:rPr>
        <w:t>EN: High-power millimetre-wave switches on silicon using displacement fields and tunnelling currents</w:t>
      </w:r>
    </w:p>
    <w:p>
      <w:pPr>
        <w:spacing w:before="0" w:after="120"/>
      </w:pPr>
      <w:r>
        <w:rPr>
          <w:b/>
        </w:rPr>
        <w:t xml:space="preserve">Source: </w:t>
      </w:r>
      <w:r>
        <w:t>Nature Electronics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现代通信和遥感技术依赖基于硅的辅助金属-氧化-半导体设备。 然而,由于短通道效应和接触阻力的短通道效应和阻力,继续通过晶体管的微型化来提高这些系统的能力越来越具有挑战性。 我们在这里报告基于零变化硅在隔热器工艺的开关,通过电控迁移场和多晶体线和散装硅界面的隧道流进行操作。 开关提供了0.75THz的截断频率和10倍于传统晶体管开关的电动处理,这些开关使用同样的硅线在隔热器工艺。 技术实现了30-30秒的无歇斯切换,而我们则实现了我们这个目标。</w:t>
      </w:r>
    </w:p>
    <w:p>
      <w:pPr>
        <w:spacing w:before="0" w:after="200" w:lineRule="auto" w:line="276"/>
      </w:pPr>
      <w:r>
        <w:rPr>
          <w:b/>
        </w:rPr>
        <w:t xml:space="preserve">Abstract (EN): </w:t>
      </w:r>
      <w:r>
        <w:t>Modern communication and sensing technologies rely on complementary metal–oxide–semiconductor devices based on silicon. However, continuing to improve the capabilities of such systems through the miniaturization of transistors is increasingly challenging due to short channel effects and contact resistances. Here we report switches that are based on a zero-change silicon-on-insulator process and operate through the electrical control of displacement fields and tunnelling currents in the interface between polycrystalline and bulk silicon. The switches offer a cut-off frequency of 0.75 THz and a power handling that is ten times higher than conventional transistor-based switches that use the same silicon-on-insulator process. The technology achieves sub-30-ps hysteresis-free switching, and we illustrate its capabilities in millimetre-wave transmitters with data rates exceeding 10 Gbps.</w:t>
      </w:r>
    </w:p>
    <w:p>
      <w:pPr>
        <w:spacing w:before="120" w:after="120"/>
      </w:pPr>
      <w:r>
        <w:rPr>
          <w:sz w:val="18"/>
        </w:rPr>
        <w:t>——————————————————————————————————————————————————————————————————————</w:t>
      </w:r>
    </w:p>
    <w:p>
      <w:pPr>
        <w:spacing w:before="160" w:after="40" w:line="240" w:lineRule="auto"/>
      </w:pPr>
      <w:r>
        <w:rPr>
          <w:b/>
        </w:rPr>
        <w:t xml:space="preserve">[202] </w:t>
      </w:r>
      <w:hyperlink r:id="rId275">
        <w:r>
          <w:rPr>
            <w:color w:val="1155CC"/>
            <w:u w:val="single"/>
          </w:rPr>
          <w:t>在过渡性金属协调中,生物相兼容的悬离和平衡平衡使良性细胞蛋白质相互调节成为可能。</w:t>
        </w:r>
      </w:hyperlink>
    </w:p>
    <w:p>
      <w:pPr>
        <w:spacing w:before="0" w:after="80"/>
      </w:pPr>
      <w:r>
        <w:rPr>
          <w:i/>
          <w:sz w:val="20"/>
        </w:rPr>
        <w:t>EN: Biocompatible ligand balancing in transition metal coordination enables benign in-cell protein arylation</w:t>
      </w:r>
    </w:p>
    <w:p>
      <w:pPr>
        <w:spacing w:before="0" w:after="120"/>
      </w:pPr>
      <w:r>
        <w:rPr>
          <w:b/>
        </w:rPr>
        <w:t xml:space="preserve">Source: </w:t>
      </w:r>
      <w:r>
        <w:t>Nature Chemistry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金属中间化学现在发现,在体外生物分子的改变中,金属中间化学应用日益加强,然而,某些金属的认知和潜在毒性限制了有机金属试剂在更复杂的生物环境(如活细胞内部)中的应用,在调节转动性和过渡性金属的可用性方面,诱导剂发挥着关键作用。在这里,我们发现,有机水力中间化学能够容忍与生物兼容的离心机的灵活切合,而不会破坏相应的内分泌试剂的化学反应,从而能够创建安全、现场选择性的C-S-波状的气态变形元体。这些平衡系统证明对在体外和活体的蛋白基质子细胞和活体的蛋白质和蛋白质细胞使用十分友好。</w:t>
      </w:r>
    </w:p>
    <w:p>
      <w:pPr>
        <w:spacing w:before="0" w:after="200" w:lineRule="auto" w:line="276"/>
      </w:pPr>
      <w:r>
        <w:rPr>
          <w:b/>
        </w:rPr>
        <w:t xml:space="preserve">Abstract (EN): </w:t>
      </w:r>
      <w:r>
        <w:t>Metal-mediated chemistries now find increasing application in in vitro biomolecule modification. However, the perceived and potential toxicity of some metals has limited the application of organometallic reagents in more complex biological settings such as inside living cells. Ligands play a crucial role in modulating both the reactivity and availability of transition metals. Here we reveal that organonickel-mediated S-arylation tolerates flexible chelation with biocompatible ligands without destroying the chemical reactivity of corresponding aryl-nickel reagents, enabling the creation of safe, site-selective C–S-bond-forming arylation manifolds. These balanced systems prove sufficiently benign for use on diverse protein substrates in vitro and in living prokaryotic and eukaryotic cells. This, in turn, enables deep chemical surveys of reactive cysteines in human cells with sensitivity sufficient to detect covalently targetable proteins from emerging intracellular viral and bacterial pathogens. Biocompatible ligand balancing thus offers a path to the broader use of transition metals in living systems.</w:t>
      </w:r>
    </w:p>
    <w:p>
      <w:pPr>
        <w:spacing w:before="120" w:after="120"/>
      </w:pPr>
      <w:r>
        <w:rPr>
          <w:sz w:val="18"/>
        </w:rPr>
        <w:t>——————————————————————————————————————————————————————————————————————</w:t>
      </w:r>
    </w:p>
    <w:p>
      <w:pPr>
        <w:spacing w:before="160" w:after="40" w:line="240" w:lineRule="auto"/>
      </w:pPr>
      <w:r>
        <w:rPr>
          <w:b/>
        </w:rPr>
        <w:t xml:space="preserve">[203] </w:t>
      </w:r>
      <w:hyperlink r:id="rId276">
        <w:r>
          <w:rPr>
            <w:color w:val="1155CC"/>
            <w:u w:val="single"/>
          </w:rPr>
          <w:t>在一个多孔固体电解电解器反应堆中进行节能间接碳酸间接(双)碳酸酯电裁减</w:t>
        </w:r>
      </w:hyperlink>
    </w:p>
    <w:p>
      <w:pPr>
        <w:spacing w:before="0" w:after="80"/>
      </w:pPr>
      <w:r>
        <w:rPr>
          <w:i/>
          <w:sz w:val="20"/>
        </w:rPr>
        <w:t>EN: Energy-efficient indirect (bi)carbonate electroreduction in a porous solid electrolyte reactor</w:t>
      </w:r>
    </w:p>
    <w:p>
      <w:pPr>
        <w:spacing w:before="0" w:after="120"/>
      </w:pPr>
      <w:r>
        <w:rPr>
          <w:b/>
        </w:rPr>
        <w:t xml:space="preserve">Source: </w:t>
      </w:r>
      <w:r>
        <w:t>Nature Sustainability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碳捕获、回收和转换通常通过三个不同的步骤进行,这明显增加了能源消耗和资本成本的总和。 我们在这里建议将碳酸盐(Bi)碳酸盐(即碱性碳捕获中富碳吸附剂)间接转换成一个多孔固态电解液(PSE)电化学减少CO2(CO2RRR)反应堆中的有价值的化学品,同时消除能源密集型CO2回收步骤。具体地说,将(Bi)碳酸盐直接注入PSE层,同时进行CO2R(Bi)碳酸盐在PSE室内同时进行CO2再生。 演示了惊人的电化学性能,在囚犯法拉达效率方面高达96%,95%的CO2回收效率以及86%的双碳酸盐-格式转换。 反应堆的多功能性能使我们得以获取t。</w:t>
      </w:r>
    </w:p>
    <w:p>
      <w:pPr>
        <w:spacing w:before="0" w:after="200" w:lineRule="auto" w:line="276"/>
      </w:pPr>
      <w:r>
        <w:rPr>
          <w:b/>
        </w:rPr>
        <w:t xml:space="preserve">Abstract (EN): </w:t>
      </w:r>
      <w:r>
        <w:t>Carbon capture, recovery and conversion are typically done by three separate steps, which notably increases the total energy consumption and capital costs. Here we propose to indirectly convert (bi)carbonates, which are carbon-rich sorbents in alkaline carbon capture, into valuable chemicals in a porous solid electrolyte (PSE) electrochemical CO2 reduction (CO2RR) reactor while eliminating the energy-intensive CO2 recovery step. Specifically, direct feeding of (bi)carbonates into the PSE layer while performing CO2RR allows simultaneous CO2 regeneration within the PSE chamber. Impressive electrochemical performance was demonstrated, with up to 96% formate Faradaic efficiency, 95% CO2 recovery efficiency and 86% bicarbonate-to-formate conversion. Reactor versatility allowed us to obtain up to 5.0 M formate, ~50% higher than bicarbonate solubility and C2+ products with 73% selectivity, setting the state of the art for bicarbonate-fed CO2RR. Operating for at least 100 hours at 100 mA cm−2 averaging 82% CO2 recovery and 89% Faradaic efficiencies, our reactor adds economic value to alkaline carbon capture and CO2 conversion, bringing both closer to practical implementation.</w:t>
      </w:r>
    </w:p>
    <w:p>
      <w:pPr>
        <w:spacing w:before="120" w:after="120"/>
      </w:pPr>
      <w:r>
        <w:rPr>
          <w:sz w:val="18"/>
        </w:rPr>
        <w:t>——————————————————————————————————————————————————————————————————————</w:t>
      </w:r>
    </w:p>
    <w:p>
      <w:pPr>
        <w:spacing w:before="160" w:after="40" w:line="240" w:lineRule="auto"/>
      </w:pPr>
      <w:r>
        <w:rPr>
          <w:b/>
        </w:rPr>
        <w:t xml:space="preserve">[204] </w:t>
      </w:r>
      <w:hyperlink r:id="rId277">
        <w:r>
          <w:rPr>
            <w:color w:val="1155CC"/>
            <w:u w:val="single"/>
          </w:rPr>
          <w:t>原E3 KLHDC3 原E3 KLHDC3 单价伪天然产品IDO1的附加降解</w:t>
        </w:r>
      </w:hyperlink>
    </w:p>
    <w:p>
      <w:pPr>
        <w:spacing w:before="0" w:after="80"/>
      </w:pPr>
      <w:r>
        <w:rPr>
          <w:i/>
          <w:sz w:val="20"/>
        </w:rPr>
        <w:t>EN: Monovalent pseudo-natural products supercharge degradation of IDO1 by its native E3 KLHDC3</w:t>
      </w:r>
    </w:p>
    <w:p>
      <w:pPr>
        <w:spacing w:before="0" w:after="120"/>
      </w:pPr>
      <w:r>
        <w:rPr>
          <w:b/>
        </w:rPr>
        <w:t xml:space="preserve">Source: </w:t>
      </w:r>
      <w:r>
        <w:t>Nature Chemistry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目标蛋白降解调制器在抑制酶活性或蛋白蛋白-蛋白相互作用之外还具有蛋白功能。 多数降解药物通过直接介合新基体和被劫持的E3液酶之间的近距离而发挥作用。 在这里,我们识别了来自(-)-迈尔坦醇的假天然产品,称为iDegs,它们抑制并诱导通过一种独特的机制使免疫分子酶Indolemoine-2、3-二氧基酶1(IDO1)退化。 iDegs 推动IDO1 的IDO1 存在和退化, 由Cullin-ring E3 ligase CRL2KLHDC3 进行, 我们确定该物质是本地介介介的IDO1 。 因此, iDegs 增加了IDO1 使用本地蛋白途径的IDO1 变换。 与临床探索 IDO1 抑制剂相比, iDegs 减少了九的形成。</w:t>
      </w:r>
    </w:p>
    <w:p>
      <w:pPr>
        <w:spacing w:before="0" w:after="200" w:lineRule="auto" w:line="276"/>
      </w:pPr>
      <w:r>
        <w:rPr>
          <w:b/>
        </w:rPr>
        <w:t xml:space="preserve">Abstract (EN): </w:t>
      </w:r>
      <w:r>
        <w:t>Targeted protein degradation modulates protein function beyond the inhibition of enzyme activity or protein–protein interactions. Most degrader drugs function by directly mediating the proximity between a neosubstrate and a hijacked E3 ligase. Here we identify pseudo-natural products derived from (−)-myrtanol, termed iDegs, that inhibit and induce degradation of the immunomodulatory enzyme indoleamine-2,3-dioxygenase 1 (IDO1) by a distinct mechanism. iDegs boost IDO1 ubiquitination and degradation by the cullin-RING E3 ligase CRL2KLHDC3, which we identified to natively mediate ubiquitin-mediated degradation of IDO1. Therefore, iDegs increase IDO1 turnover using the native proteolytic pathway. In contrast to clinically explored IDO1 inhibitors, iDegs reduce the formation of kynurenine by both inhibition and induced degradation of the enzyme and thus also modulate the non-enzymatic functions of IDO1. This unique mechanism of action may open up alternative therapeutic opportunities for the treatment of cancer beyond classical inhibition of IDO1.</w:t>
      </w:r>
    </w:p>
    <w:p>
      <w:pPr>
        <w:spacing w:before="120" w:after="120"/>
      </w:pPr>
      <w:r>
        <w:rPr>
          <w:sz w:val="18"/>
        </w:rPr>
        <w:t>——————————————————————————————————————————————————————————————————————</w:t>
      </w:r>
    </w:p>
    <w:p>
      <w:pPr>
        <w:spacing w:before="160" w:after="40" w:line="240" w:lineRule="auto"/>
      </w:pPr>
      <w:r>
        <w:rPr>
          <w:b/>
        </w:rPr>
        <w:t xml:space="preserve">[205] </w:t>
      </w:r>
      <w:hyperlink r:id="rId278">
        <w:r>
          <w:rPr>
            <w:color w:val="1155CC"/>
            <w:u w:val="single"/>
          </w:rPr>
          <w:t>通过共价有机框架从户外空气中快速和选择性捕获的CO2</w:t>
        </w:r>
      </w:hyperlink>
    </w:p>
    <w:p>
      <w:pPr>
        <w:spacing w:before="0" w:after="80"/>
      </w:pPr>
      <w:r>
        <w:rPr>
          <w:i/>
          <w:sz w:val="20"/>
        </w:rPr>
        <w:t>EN: Fast and selective CO2 capture from outdoor air by covalent organic frameworks</w:t>
      </w:r>
    </w:p>
    <w:p>
      <w:pPr>
        <w:spacing w:before="0" w:after="120"/>
      </w:pPr>
      <w:r>
        <w:rPr>
          <w:b/>
        </w:rPr>
        <w:t xml:space="preserve">Source: </w:t>
      </w:r>
      <w:r>
        <w:t>Nature Sustainability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直接从环境空气中获取二氧化碳是管理碳水平和支持长期气候可持续性的必要条件,但是,目前直接空气吸收吸收的吸附和脱吸附动动能缓慢仍是一个主要限制,而较快的动能允许更快的二氧化碳吸收速度和更大的空气吞吐量,两者都对提高系统效率至关重要。在这项工作中,我们提出了一个具有快速动动能和高CO2吸收量的共价有机框架(COF),COF(称为COF-1000)在干燥条件下的CO2容量为1.31毫米醇g-1,在400 ppm CO2,其容量的一半在8.1分钟之内。在潮湿湿条件下(75%相对湿度),水进一步增强了吸收和动能,导致2.19 毫升-1的显著CO2能力,减少。</w:t>
      </w:r>
    </w:p>
    <w:p>
      <w:pPr>
        <w:spacing w:before="0" w:after="200" w:lineRule="auto" w:line="276"/>
      </w:pPr>
      <w:r>
        <w:rPr>
          <w:b/>
        </w:rPr>
        <w:t xml:space="preserve">Abstract (EN): </w:t>
      </w:r>
      <w:r>
        <w:t>Capturing CO2 directly from ambient air is necessary for managing carbon levels and supporting long-term climate sustainability. However, the slow adsorption and desorption kinetics of current direct air capture sorbents remain a major limitation, whereas faster kinetics allow for quicker CO2 uptake and greater air throughput—both are essential for enhancing system efficiency. In this work, we present a covalent organic framework (COF) with both fast kinetics and high CO2 uptake. The COF (termed COF-1000) exhibited a CO2 capacity of 1.31 mmol g−1 under dry conditions at 400 ppm CO2, reaching half of its capacity within 8.1 min. Under humid conditions (75% relative humidity), water further enhanced both uptake and kinetics, leading to a remarkable CO2 capacity of 2.19 mmol g−1 with a reduced half-capacity time of 6.8 min. The exceptionally fast kinetics observed for COF-1000 were further demonstrated by using outdoor air as the CO2 source, where 50 adsorption–desorption cycles were conducted within 3 days, yielding a CO2 uptake of 22.1 mmol g−1 d−1, a value exceeding the current state-of-the-art materials. These results highlight COF-1000’s potential to enable efficient, scalable direct air capture and promote sustainable carbon mitigation.</w:t>
      </w:r>
    </w:p>
    <w:p>
      <w:pPr>
        <w:spacing w:before="120" w:after="120"/>
      </w:pPr>
      <w:r>
        <w:rPr>
          <w:sz w:val="18"/>
        </w:rPr>
        <w:t>——————————————————————————————————————————————————————————————————————</w:t>
      </w:r>
    </w:p>
    <w:p>
      <w:pPr>
        <w:spacing w:before="160" w:after="40" w:line="240" w:lineRule="auto"/>
      </w:pPr>
      <w:r>
        <w:rPr>
          <w:b/>
        </w:rPr>
        <w:t xml:space="preserve">[206] </w:t>
      </w:r>
      <w:hyperlink r:id="rId279">
        <w:r>
          <w:rPr>
            <w:color w:val="1155CC"/>
            <w:u w:val="single"/>
          </w:rPr>
          <w:t>系统分析人类脂肪转移蛋白质的脂质动员</w:t>
        </w:r>
      </w:hyperlink>
    </w:p>
    <w:p>
      <w:pPr>
        <w:spacing w:before="0" w:after="80"/>
      </w:pPr>
      <w:r>
        <w:rPr>
          <w:i/>
          <w:sz w:val="20"/>
        </w:rPr>
        <w:t>EN: Systematic analyses of lipid mobilization by human lipid transfer proteins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利皮转移蛋白质(LTPs)保持了有机机体红外膜1,2. 在人类中,许多LTPs都与疾病有关,3 但多数情况下,便利转移的货物和辅助脂质仍然未知,我们采用了生化、脂质组和计算方法,系统地测定LTP-脂质复合体的特性,4 并测量LTP功能的增益如何影响细胞脂肪细胞。我们为所分析的100个LTP中约一半的捆绑脂物确定了确定已知的皮层,同时在大多数LTP家庭发现了新的脂质。LTP的收益影响到它们已知和新发现的脂质捆绑的细胞丰度,表明两组的功能相关性相当。我们使用结构性生物信息学,我们了解了结构性生物信息学。</w:t>
      </w:r>
    </w:p>
    <w:p>
      <w:pPr>
        <w:spacing w:before="0" w:after="200" w:lineRule="auto" w:line="276"/>
      </w:pPr>
      <w:r>
        <w:rPr>
          <w:b/>
        </w:rPr>
        <w:t xml:space="preserve">Abstract (EN): </w:t>
      </w:r>
      <w:r>
        <w:t>Lipid transfer proteins (LTPs) maintain the specialized lipid compositions of organellar membranes1,2. In humans, many LTPs are implicated in diseases3, but for the majority, the cargo and auxiliary lipids facilitating transfer remain unknown. We have combined biochemical, lipidomic and computational methods to systematically characterize LTP-lipid complexes4 and measure how LTP gains of function affect cellular lipidomes. We identified bound lipids for approximately half of the hundred LTPs analyzed, confirming known ligands, while discovering new ones across most LTP families. Gains in LTP function affected the cellular abundance of both their known and newly identified lipid ligands, indicating comparable functional relevance of the two ligand sets. Using structural bioinformatics, we have characterized mechanisms contributing to lipid selectivity, identifying preferences based on head group or acyl chain. We demonstrate some basic principles of how LTPs mobilise their ligands. They commonly interact with several classes of lipids and exhibit broad but selective preference, not only for particular head groups, but also for lipid species with shorter acyl chains containing one or two unsaturations, suggesting that only subsets of lipid species are efficiently mobilized. The datasets represent a resource for further analysis in different cell types and states, such as those associated with pathologies.</w:t>
      </w:r>
    </w:p>
    <w:p>
      <w:pPr>
        <w:spacing w:before="120" w:after="120"/>
      </w:pPr>
      <w:r>
        <w:rPr>
          <w:sz w:val="18"/>
        </w:rPr>
        <w:t>——————————————————————————————————————————————————————————————————————</w:t>
      </w:r>
    </w:p>
    <w:p>
      <w:pPr>
        <w:spacing w:before="160" w:after="40" w:line="240" w:lineRule="auto"/>
      </w:pPr>
      <w:r>
        <w:rPr>
          <w:b/>
        </w:rPr>
        <w:t xml:space="preserve">[207] </w:t>
      </w:r>
      <w:hyperlink r:id="rId280">
        <w:r>
          <w:rPr>
            <w:color w:val="1155CC"/>
            <w:u w:val="single"/>
          </w:rPr>
          <w:t>在多孔单晶晶体硝基氧化氮单石块中,由金属-氧化界面在多孔单晶晶体中促进催化活动</w:t>
        </w:r>
      </w:hyperlink>
    </w:p>
    <w:p>
      <w:pPr>
        <w:spacing w:before="0" w:after="80"/>
      </w:pPr>
      <w:r>
        <w:rPr>
          <w:i/>
          <w:sz w:val="20"/>
        </w:rPr>
        <w:t>EN: Boosted catalytic activity by metal-oxide interface in porous single-crystalline niobium oxide monoliths</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氧化物支持材料的层层中引入并稳定氧氧缺漏是一个巨大的挑战,可以推动红氧化反应中的催化活动。在这里,我们制造了厘米尺度的多孔单晶晶体Nb2O5单石块,然后我们通过减少处理和稳定定购的层状板的氧缺氧缺氧,在氧化物支持材料的层层中引入并稳定氧缺氧缺漏。然后,我们把Pt聚集层放在多孔微结构的表面,以构建一个跨式系统,我们展示了显著增强的地表氧交换系数。作为案例研究,我们展示了火星-凡-克雷韦伦机制之后,空气中的二氧化碳氧化值为110°C和30,000毫升/升克-1赫-1条件,在连续运行~500之后,没有明显地进行衰减。</w:t>
      </w:r>
    </w:p>
    <w:p>
      <w:pPr>
        <w:spacing w:before="0" w:after="200" w:lineRule="auto" w:line="276"/>
      </w:pPr>
      <w:r>
        <w:rPr>
          <w:b/>
        </w:rPr>
        <w:t xml:space="preserve">Abstract (EN): </w:t>
      </w:r>
      <w:r>
        <w:t>Introducing and stabilizing oxygen vacancies in the lattice of oxide support materials has been a huge challenge to boost the catalytic activity in redox reaction. Herein, we fabricate porous single-crystalline Nb2O5 monoliths at the centimeter scale, then we introduce the oxygen vacancies in lattice by reduction treatment and stabilize the oxygen vacancy defects by the ordered lattice. We then deposit Pt clusters at surface in the porous microstructures to construct an interfacial system and we show the significantly enhanced surface oxygen exchange coefficient. As a case study, we demonstrate the complete CO oxidation with air at 110 °C and 30,000 mL g-1 h-1 conditions, following the Mars-van Krevelen mechanism, with no visible performance attenuation after a continuous operation of ~500 h. At 60,000 mL g-1 h-1 and 110 °C, the CO conversion rate decreases to 83.8% and ultimately remains 76.3% after 185 h of long-term operation.</w:t>
      </w:r>
    </w:p>
    <w:p>
      <w:pPr>
        <w:spacing w:before="120" w:after="120"/>
      </w:pPr>
      <w:r>
        <w:rPr>
          <w:sz w:val="18"/>
        </w:rPr>
        <w:t>——————————————————————————————————————————————————————————————————————</w:t>
      </w:r>
    </w:p>
    <w:p>
      <w:pPr>
        <w:spacing w:before="160" w:after="40" w:line="240" w:lineRule="auto"/>
      </w:pPr>
      <w:r>
        <w:rPr>
          <w:b/>
        </w:rPr>
        <w:t xml:space="preserve">[208] </w:t>
      </w:r>
      <w:hyperlink r:id="rId281">
        <w:r>
          <w:rPr>
            <w:color w:val="1155CC"/>
            <w:u w:val="single"/>
          </w:rPr>
          <w:t>电化学脱氟 Matteson 型电化学脱氟</w:t>
        </w:r>
      </w:hyperlink>
    </w:p>
    <w:p>
      <w:pPr>
        <w:spacing w:before="0" w:after="80"/>
      </w:pPr>
      <w:r>
        <w:rPr>
          <w:i/>
          <w:sz w:val="20"/>
        </w:rPr>
        <w:t>EN: Electrochemical defluorinative Matteson-type homologation</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1 这种多功能反应传统上需要三个步骤:碳气层形成、有机有机物添加核细胞生殖器以及热或刘素酸促进的阳性重新排列。这些过程往往需要严格条件,包括低温和对空气和湿度敏感的试剂的处理。 2,3 此处,我们报告马泰森型的同化,将这三个变异整合为一磅电化学过程。这种校正式方法将电解脱氟与阳性重新排列相结合,消除对有机硫化物试剂、低温条件或专门装置的需要。</w:t>
      </w:r>
    </w:p>
    <w:p>
      <w:pPr>
        <w:spacing w:before="0" w:after="200" w:lineRule="auto" w:line="276"/>
      </w:pPr>
      <w:r>
        <w:rPr>
          <w:b/>
        </w:rPr>
        <w:t xml:space="preserve">Abstract (EN): </w:t>
      </w:r>
      <w:r>
        <w:t>The Matteson homologation, first developed in 1980, elongates carbon chains by insertion into a C−B bond.1 This versatile reaction traditionally requires three steps: carbanion formation, nucleophilic addition to organoboron, and a thermo- or Lewis acid-promoted boronate rearrangement. These processes often demand exacting conditions, including cryogenic temperatures and handling of air- and moisture-sensitive reagents.2,3 Here, we report a Matteson-type homologation which integrates these three transformations into a one-pot electrochemical process. This proof-of-concept approach combines electroreductive defluorination with boronate rearrangement, eliminating the need for organolithium reagents, cryogenic conditions, or specialist setups. The available trifluoromethylarenes are employed as carbenoid precursors for the first time, expanding the scope of Matteson reaction. Comprehensive mechanistic studies, including identification of key reaction intermediates, DFT calculations, and electrochemical analysis, confirm the involvement of boronate formation and rearrangement in this “e-Matteson” homologation.</w:t>
      </w:r>
    </w:p>
    <w:p>
      <w:pPr>
        <w:spacing w:before="120" w:after="120"/>
      </w:pPr>
      <w:r>
        <w:rPr>
          <w:sz w:val="18"/>
        </w:rPr>
        <w:t>——————————————————————————————————————————————————————————————————————</w:t>
      </w:r>
    </w:p>
    <w:p>
      <w:pPr>
        <w:spacing w:before="160" w:after="40" w:line="240" w:lineRule="auto"/>
      </w:pPr>
      <w:r>
        <w:rPr>
          <w:b/>
        </w:rPr>
        <w:t xml:space="preserve">[209] </w:t>
      </w:r>
      <w:hyperlink r:id="rId282">
        <w:r>
          <w:rPr>
            <w:color w:val="1155CC"/>
            <w:u w:val="single"/>
          </w:rPr>
          <w:t>机械牵引器驱动单方细胞细胞</w:t>
        </w:r>
      </w:hyperlink>
    </w:p>
    <w:p>
      <w:pPr>
        <w:spacing w:before="0" w:after="80"/>
      </w:pPr>
      <w:r>
        <w:rPr>
          <w:i/>
          <w:sz w:val="20"/>
        </w:rPr>
        <w:t>EN: A mechanical ratchet drives unilateral cytokinesis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驱动细胞分裂的康纳机制包括形成和压缩一个合同性活性环1,2,2,3.3环。 然而,这一机制与许多脊椎动物的早期发育不相容,4,5,6,7,7,8,8,9.Yolk-ancroed胚胎通常不能在早期裂变分中形成完整的环状,但目前还不清楚的是,一个部分圆形环形和松散的尾端如何可以分割细胞。 此处,通过将细胞动脉带的激光振动带与活体的病理测量相结合,我们显示,通过间微囊网络的介质,成成的成体细胞图谱系通过在生长过程中固定其长度来稳定合同性带。 相反,随着细胞循环的推进,细胞图谱流化、缩小波段-细胞图层锚定和方便,我们发现,通过在细胞循环周期间微囊网络中进行调节,从而稳定了链状带。</w:t>
      </w:r>
    </w:p>
    <w:p>
      <w:pPr>
        <w:spacing w:before="0" w:after="200" w:lineRule="auto" w:line="276"/>
      </w:pPr>
      <w:r>
        <w:rPr>
          <w:b/>
        </w:rPr>
        <w:t xml:space="preserve">Abstract (EN): </w:t>
      </w:r>
      <w:r>
        <w:t>The canonical mechanism that drives cell division comprises the formation and constriction of a contractile actin ring1,2,3. However, this mechanism is not compatible with the early development of many vertebrates4,5,6,7,8,9. Yolk-anchored embryos typically cannot form a complete ring during early cleavage divisions, but it remains unclear how a partial circular arc with loose ends can divide the cell. Here, by combining laser ablation of the cytokinetic band with rheological measurements in vivo, we show that stiffening of the bulk cytoplasm, mediated by the interphase microtubule network, stabilizes the contractile band by anchoring it along its length during growth. Conversely, as the cell cycle progresses, the cytoplasm fluidizes, diminishing band–cytoplasmic anchoring and facilitating band ingression. This dynamic interplay between stability and growth versus instability and ingression repeats for several cell cycles until division is complete, resulting in a mechanical ratchet that drives cell division. Our study underscores the role of temporal control over cytoplasmic rheology as a key feature that drives unilateral cytokinesis in the absence of a closed actin ring.</w:t>
      </w:r>
    </w:p>
    <w:p>
      <w:pPr>
        <w:spacing w:before="120" w:after="120"/>
      </w:pPr>
      <w:r>
        <w:rPr>
          <w:sz w:val="18"/>
        </w:rPr>
        <w:t>——————————————————————————————————————————————————————————————————————</w:t>
      </w:r>
    </w:p>
    <w:p>
      <w:pPr>
        <w:spacing w:before="160" w:after="40" w:line="240" w:lineRule="auto"/>
      </w:pPr>
      <w:r>
        <w:rPr>
          <w:b/>
        </w:rPr>
        <w:t xml:space="preserve">[210] </w:t>
      </w:r>
      <w:hyperlink r:id="rId283">
        <w:r>
          <w:rPr>
            <w:color w:val="1155CC"/>
            <w:u w:val="single"/>
          </w:rPr>
          <w:t>单烷二功能化</w:t>
        </w:r>
      </w:hyperlink>
    </w:p>
    <w:p>
      <w:pPr>
        <w:spacing w:before="0" w:after="80"/>
      </w:pPr>
      <w:r>
        <w:rPr>
          <w:i/>
          <w:sz w:val="20"/>
        </w:rPr>
        <w:t>EN: Homologative alkene difunctionalization</w:t>
      </w:r>
    </w:p>
    <w:p>
      <w:pPr>
        <w:spacing w:before="0" w:after="120"/>
      </w:pPr>
      <w:r>
        <w:rPr>
          <w:b/>
        </w:rPr>
        <w:t xml:space="preserve">Source: </w:t>
      </w:r>
      <w:r>
        <w:t>Nature Chemistry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对同系物序列的系统评估在合成化学和药用化学中发挥着关键作用。尽管同族体的结构相似,但编制同族体往往需要针对不同前体和反应进行单独的合成规划。我们在此引入了一种战略,将单碳插入纳入既定方法,具体地将烷-苯乙烯双功能化转向直接用于1,3分解的产品的直接途径。这种转变是由设计出来的甲酸乙酸试剂,即硫二甲基硫二苯乙烯盐促成的,它有助于将阿尔卑斯制成1,3-二乙基中间体进行光催化剂化转化,从而能够无缝地将核素在分解位置上结合。机械学研究表明,这种反应表明,这种反应是有效的。</w:t>
      </w:r>
    </w:p>
    <w:p>
      <w:pPr>
        <w:spacing w:before="0" w:after="200" w:lineRule="auto" w:line="276"/>
      </w:pPr>
      <w:r>
        <w:rPr>
          <w:b/>
        </w:rPr>
        <w:t xml:space="preserve">Abstract (EN): </w:t>
      </w:r>
      <w:r>
        <w:t>Systematic evaluation of homologous series plays a pivotal role in synthetic and medicinal chemistry. Despite their structural resemblance, the preparation of homologues often requires individual synthetic planning tailored to distinct precursors and reactions. Here we introduce a strategy that integrates single-carbon insertion into established methods, specifically redirecting alkene vicinal difunctionalization towards direct routes for 1,3-difunctionalized products. This transformation is enabled by a designer methylene dication reagent, iodomethylthianthrenium salt, which facilitates the photocatalytic conversion of alkenes into linchpin 1,3-dielectrophilic intermediates, allowing seamless incorporation of nucleophiles at distal positions. Mechanistic studies suggest that the reaction proceeds via an α-thianthrenium methyl radical with unusual ambiphilic reactivity governed by multiple stereoelectronic effects. This approach shows high compatibility in pharmaceutical and late-stage settings, providing broad access to diverse 1,3-difunctionalized products, including azetidines, 1,3-diazides and 1,3-dihalides. This work establishes ‘homologative alkene difunctionalization’ as a powerful platform for repurposing ubiquitous alkenes as meritorious synthetic intermediates to unveil heretofore unknown 1,3-substitution patterns.</w:t>
      </w:r>
    </w:p>
    <w:p>
      <w:pPr>
        <w:spacing w:before="120" w:after="120"/>
      </w:pPr>
      <w:r>
        <w:rPr>
          <w:sz w:val="18"/>
        </w:rPr>
        <w:t>——————————————————————————————————————————————————————————————————————</w:t>
      </w:r>
    </w:p>
    <w:p>
      <w:pPr>
        <w:spacing w:before="160" w:after="40" w:line="240" w:lineRule="auto"/>
      </w:pPr>
      <w:r>
        <w:rPr>
          <w:b/>
        </w:rPr>
        <w:t xml:space="preserve">[211] </w:t>
      </w:r>
      <w:hyperlink r:id="rId284">
        <w:r>
          <w:rPr>
            <w:color w:val="1155CC"/>
            <w:u w:val="single"/>
          </w:rPr>
          <w:t>重新思考公私营财务支助支助框架的可持续途径</w:t>
        </w:r>
      </w:hyperlink>
    </w:p>
    <w:p>
      <w:pPr>
        <w:spacing w:before="0" w:after="80"/>
      </w:pPr>
      <w:r>
        <w:rPr>
          <w:i/>
          <w:sz w:val="20"/>
        </w:rPr>
        <w:t>EN: Rethinking sustainable pathways for PFAS</w:t>
      </w:r>
    </w:p>
    <w:p>
      <w:pPr>
        <w:spacing w:before="0" w:after="120"/>
      </w:pPr>
      <w:r>
        <w:rPr>
          <w:b/>
        </w:rPr>
        <w:t xml:space="preserve">Source: </w:t>
      </w:r>
      <w:r>
        <w:t>Nature Chemistry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[212] </w:t>
      </w:r>
      <w:hyperlink r:id="rId285">
        <w:r>
          <w:rPr>
            <w:color w:val="1155CC"/>
            <w:u w:val="single"/>
          </w:rPr>
          <w:t>从摩洛哥的早期荷米尼人 拜萨到同族的世系</w:t>
        </w:r>
      </w:hyperlink>
    </w:p>
    <w:p>
      <w:pPr>
        <w:spacing w:before="0" w:after="80"/>
      </w:pPr>
      <w:r>
        <w:rPr>
          <w:i/>
          <w:sz w:val="20"/>
        </w:rPr>
        <w:t>EN: Early hominins from Morocco basal to the Homo sapiens lineage</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古代证据表明,现今人类、尼安德特人和杰尼索人最后共同的祖先大约在765-550万年前(ka) 1 。 然而,这些祖传人类的地理分布和形态仍然不确定。 西班牙阿塔普尔卡大多利纳Dolina TD6层950 ka至770 ka(ref.2)的智囊动物化石被提议为这一祖传人口的潜在候选物。 然而,在非洲或亚洲的入口处发现90 ka 之前,所有在90 ka 之前有可靠历史的智囊动物化石,都强烈暗示了我们物种的非洲起源而不是欧亚起源。 我们在这里描述了摩洛哥卡萨布兰卡Thomas Quarry I (THI-GH) 的Grotte à Hominidé新霍米迪斯化石,日期约773 ka。</w:t>
      </w:r>
    </w:p>
    <w:p>
      <w:pPr>
        <w:spacing w:before="0" w:after="200" w:lineRule="auto" w:line="276"/>
      </w:pPr>
      <w:r>
        <w:rPr>
          <w:b/>
        </w:rPr>
        <w:t xml:space="preserve">Abstract (EN): </w:t>
      </w:r>
      <w:r>
        <w:t>Palaeogenetic evidence suggests that the last common ancestor of present-day humans, Neanderthals and Denisovans lived around 765–550 thousand years ago (ka)1. However, both the geographical distribution and the morphology of these ancestral humans remain uncertain. The Homo antecessor fossils from the TD6 layer of Gran Dolina at Atapuerca, Spain, dated between 950 ka and 770 ka (ref. 2), have been proposed as potential candidates for this ancestral population3. However, all securely dated Homo sapiens fossils before 90 ka were found either in Africa or at the gateway to Asia, strongly suggesting an African rather than a Eurasian origin of our species. Here we describe new hominin fossils from the Grotte à Hominidés at Thomas Quarry I (ThI-GH) in Casablanca, Morocco, dated to around 773 ka. These fossils are similar in age to H. antecessor, yet are morphologically distinct, displaying a combination of primitive traits and of derived features reminiscent of later H. sapiens and Eurasian archaic hominins. The ThI-GH hominins provide insights into African populations predating the earliest H. sapiens individuals discovered at Jebel Irhoud in Morocco4 and provide strong evidence for an African lineage ancestral to our species. These fossils offer clues about the last common ancestor shared with Neanderthals and Denisovans.</w:t>
      </w:r>
    </w:p>
    <w:p>
      <w:pPr>
        <w:spacing w:before="120" w:after="120"/>
      </w:pPr>
      <w:r>
        <w:rPr>
          <w:sz w:val="18"/>
        </w:rPr>
        <w:t>——————————————————————————————————————————————————————————————————————</w:t>
      </w:r>
    </w:p>
    <w:p>
      <w:pPr>
        <w:spacing w:before="160" w:after="40" w:line="240" w:lineRule="auto"/>
      </w:pPr>
      <w:r>
        <w:rPr>
          <w:b/>
        </w:rPr>
        <w:t xml:space="preserve">[213] </w:t>
      </w:r>
      <w:hyperlink r:id="rId286">
        <w:r>
          <w:rPr>
            <w:color w:val="1155CC"/>
            <w:u w:val="single"/>
          </w:rPr>
          <w:t>光化辅助助肛neating使开放电路电压超过1V且效率超过10%的锂太阳能电池得以使用</w:t>
        </w:r>
      </w:hyperlink>
    </w:p>
    <w:p>
      <w:pPr>
        <w:spacing w:before="0" w:after="80"/>
      </w:pPr>
      <w:r>
        <w:rPr>
          <w:i/>
          <w:sz w:val="20"/>
        </w:rPr>
        <w:t>EN: Illumination-assisted annealing enables selenium solar cells with open-circuit voltage over 1 V and efficiency exceeding 10%</w:t>
      </w:r>
    </w:p>
    <w:p>
      <w:pPr>
        <w:spacing w:before="0" w:after="120"/>
      </w:pPr>
      <w:r>
        <w:rPr>
          <w:b/>
        </w:rPr>
        <w:t xml:space="preserve">Source: </w:t>
      </w:r>
      <w:r>
        <w:t>Nature Energy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世界上最古老的光电材料Senium (Se) 正在引起人们的兴趣回升,因为其内在宽幅幅幅幅大约为1.9 eV,因此它成为同步太阳能电池和室内光电中顶部电池的理想光化吸收器。 然而,由于常规热导阴性Se薄膜的颗粒大小小(~500纳米)造成严重的非放射性再浓缩损失,Se太阳能电池的功率转换效率仍然受到限制。 我们在这里报告了一种光化辅助肛门战略,它使光源引发的在环境温度下晶化,同时抑制调湿,随后又进行热净化,以便用大粒子(~2.7微米)、低陷阱密度(6.9×1014厘米-3)和长载体寿命(22.9毫西)制造出薄膜(~2.7微米 ), 低陷阱密度(6.9× 1014厘米-3) 和长载体寿命(22.9毫西) 。</w:t>
      </w:r>
    </w:p>
    <w:p>
      <w:pPr>
        <w:spacing w:before="0" w:after="200" w:lineRule="auto" w:line="276"/>
      </w:pPr>
      <w:r>
        <w:rPr>
          <w:b/>
        </w:rPr>
        <w:t xml:space="preserve">Abstract (EN): </w:t>
      </w:r>
      <w:r>
        <w:t>Selenium (Se), the world’s oldest photovoltaic material, is experiencing a resurgence in interest due to its intrinsic wide bandgap of approximately 1.9 eV, making it an ideal photoabsorber for the top cell in tandem solar cells and for indoor photovoltaics. However, the power conversion efficiency of Se solar cells remains constrained by severe non-radiative recombination losses caused by the small grain size (~500 nm) of conventionally thermally annealed Se films. Here we report an illumination-assisted annealing strategy that enables photo-induced crystallization at ambient temperature while suppressing dewetting, followed by subsequent thermal annealing, to fabricate Se films with large grains (~2.7 μm), a low trap-state density (6.9 × 10¹⁴ cm⁻³) and a long carrier lifetime (22.9 ns). The resultant Se solar cells achieve a certified power conversion efficiency of 10.3% with a 1.03 V open-circuit voltage. Unencapsulated devices exhibit negligible performance loss after 1,000 h under maximum power point tracking in ambient conditions.</w:t>
      </w:r>
    </w:p>
    <w:p>
      <w:pPr>
        <w:spacing w:before="120" w:after="120"/>
      </w:pPr>
      <w:r>
        <w:rPr>
          <w:sz w:val="18"/>
        </w:rPr>
        <w:t>——————————————————————————————————————————————————————————————————————</w:t>
      </w:r>
    </w:p>
    <w:p>
      <w:pPr>
        <w:spacing w:before="160" w:after="40" w:line="240" w:lineRule="auto"/>
      </w:pPr>
      <w:r>
        <w:rPr>
          <w:b/>
        </w:rPr>
        <w:t xml:space="preserve">[214] </w:t>
      </w:r>
      <w:hyperlink r:id="rId287">
        <w:r>
          <w:rPr>
            <w:color w:val="1155CC"/>
            <w:u w:val="single"/>
          </w:rPr>
          <w:t>点击两位数</w:t>
        </w:r>
      </w:hyperlink>
    </w:p>
    <w:p>
      <w:pPr>
        <w:spacing w:before="0" w:after="80"/>
      </w:pPr>
      <w:r>
        <w:rPr>
          <w:i/>
          <w:sz w:val="20"/>
        </w:rPr>
        <w:t>EN: Selenium hits double digits</w:t>
      </w:r>
    </w:p>
    <w:p>
      <w:pPr>
        <w:spacing w:before="0" w:after="120"/>
      </w:pPr>
      <w:r>
        <w:rPr>
          <w:b/>
        </w:rPr>
        <w:t xml:space="preserve">Source: </w:t>
      </w:r>
      <w:r>
        <w:t>Nature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[215] </w:t>
      </w:r>
      <w:hyperlink r:id="rId288">
        <w:r>
          <w:rPr>
            <w:color w:val="1155CC"/>
            <w:u w:val="single"/>
          </w:rPr>
          <w:t>人类大脑中独特的神经群结合了内容和背景</w:t>
        </w:r>
      </w:hyperlink>
    </w:p>
    <w:p>
      <w:pPr>
        <w:spacing w:before="0" w:after="80"/>
      </w:pPr>
      <w:r>
        <w:rPr>
          <w:i/>
          <w:sz w:val="20"/>
        </w:rPr>
        <w:t>EN: Distinct neuronal populations in the human brain combine content and context</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介质时间叶,特别是河马运动,已提议对上下文的物品进行编码,1,2。2 虽然河马运动的内存表现在3,4 老鼠3, 基本上视情而定,但人体内的概念细胞似乎视背景而异。5 但是,目前还不清楚的是,如何将物品和背景信息结合起来,形成或检索单中子水平的单中文本综合物品记忆。这里我们显示,不同神经神经群的协调活动支持了在文字中的物品记忆。在根据背景进行的图片比较工作中,我们记录了16个神经外科病人的3,109个神经元,确定了597个刺激调节(预筛选)和200个环境调整神经元(在amygdala为2.95%,在准脑骨架皮层为7.68%,在entorhin为5.68%)。</w:t>
      </w:r>
    </w:p>
    <w:p>
      <w:pPr>
        <w:spacing w:before="0" w:after="200" w:lineRule="auto" w:line="276"/>
      </w:pPr>
      <w:r>
        <w:rPr>
          <w:b/>
        </w:rPr>
        <w:t xml:space="preserve">Abstract (EN): </w:t>
      </w:r>
      <w:r>
        <w:t>The medial temporal lobe, and particularly the hippocampus, has been proposed to encode items in context1,2. Although hippocampal memory representations are largely context-dependent in rodents3,4, concept cells in humans appear to be context-invariant5. However, it remains unknown how item and context information are combined to form or retrieve integrated item-in-context memories at the single-neuron level in humans. Here we show that coordinated activity of distinct neuronal populations supports item-in-context memory. In a context-dependent picture-comparison task, we recorded 3,109 neurons from 16 neurosurgical patients, identifying 597 stimulus-modulated (pre-screened) and 200 context-modulated neurons (2.95% in the amygdala, 7.68% in the parahippocampal cortex, 5.68% in the entorhinal cortex and 9.42% in the hippocampus). Their co-firing combined different comparison questions (contexts) with two subsequent pictures (stimuli) through neuronal reinstatement of question contexts. Both populations were largely separate, generalized across the preferred dimension of each other, and covaried with behavioural performance. Following experimental pairing of stimuli and context, firing of entorhinal stimulus neurons predicted that of hippocampal context neurons after tens of milliseconds. Overall, synaptic modifications and co-firing of stimulus and context neurons could contribute to item-in-context memory, specify which stimulus memories need to be retrieved, and even generalize memories through mutual reinstatement of largely separate, orthogonal representations. By contrast, only 50 stimulus–context neurons represented specific picture–question combinations, consistent with limited pattern separation in the human medial temporal lobe, favouring flexible generalization over rigid conjunctive coding.</w:t>
      </w:r>
    </w:p>
    <w:p>
      <w:pPr>
        <w:spacing w:before="120" w:after="120"/>
      </w:pPr>
      <w:r>
        <w:rPr>
          <w:sz w:val="18"/>
        </w:rPr>
        <w:t>——————————————————————————————————————————————————————————————————————</w:t>
      </w:r>
    </w:p>
    <w:p>
      <w:pPr>
        <w:spacing w:before="160" w:after="40" w:line="240" w:lineRule="auto"/>
      </w:pPr>
      <w:r>
        <w:rPr>
          <w:b/>
        </w:rPr>
        <w:t xml:space="preserve">[216] </w:t>
      </w:r>
      <w:hyperlink r:id="rId289">
        <w:r>
          <w:rPr>
            <w:color w:val="1155CC"/>
            <w:u w:val="single"/>
          </w:rPr>
          <w:t>扩大候选人简记管理要素登记册</w:t>
        </w:r>
      </w:hyperlink>
    </w:p>
    <w:p>
      <w:pPr>
        <w:spacing w:before="0" w:after="80"/>
      </w:pPr>
      <w:r>
        <w:rPr>
          <w:i/>
          <w:sz w:val="20"/>
        </w:rPr>
        <w:t>EN: An expanded registry of candidate cis-regulatory elements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1. 在此之前,ENCODE财团绘制了数百个细胞类型和组织的生物化学信号,并综合了这些数据,以建立一个包含90万个人类和30万个鼠标候选精密调节元素(cCREs)的登记册,并附有潜在功能说明2。 我们在此扩大了登记册,将237万个人类和967,000个鼠标细胞控制要素包括在内,利用新的ENCODE数据集和强化的计算方法,扩大了登记册,涵盖数百个独特的细胞和组织类型,全面了解基因规范。</w:t>
      </w:r>
    </w:p>
    <w:p>
      <w:pPr>
        <w:spacing w:before="0" w:after="200" w:lineRule="auto" w:line="276"/>
      </w:pPr>
      <w:r>
        <w:rPr>
          <w:b/>
        </w:rPr>
        <w:t xml:space="preserve">Abstract (EN): </w:t>
      </w:r>
      <w:r>
        <w:t>Mammalian genomes contain millions of regulatory elements that control the complex patterns of gene expression1. Previously, the ENCODE consortium mapped biochemical signals across hundreds of cell types and tissues and integrated these data to develop a registry containing 0.9 million human and 300,000 mouse candidate cis-regulatory elements (cCREs) annotated with potential functions2. Here we have expanded the registry to include 2.37 million human and 967,000 mouse cCREs, leveraging new ENCODE datasets and enhanced computational methods. This expanded registry covers hundreds of unique cell and tissue types, providing a comprehensive understanding of gene regulation. Functional characterization data from assays such as STARR-seq3, massively parallel reporter assay4, CRISPR perturbation5,6 and transgenic mouse assays7 have profiled more than 90% of human cCREs, revealing complex regulatory functions. We identified thousands of novel silencer cCREs and demonstrated their dual enhancer and silencer roles in different cellular contexts. Integrating the registry with other ENCODE annotations facilitates genetic variation interpretation and trait-associated gene identification, exemplified by the identification of KLF1 as a novel causal gene for red blood cell traits. This expanded registry is a valuable resource for studying the regulatory genome and its impact on health and disease.</w:t>
      </w:r>
    </w:p>
    <w:p>
      <w:pPr>
        <w:spacing w:before="120" w:after="120"/>
      </w:pPr>
      <w:r>
        <w:rPr>
          <w:sz w:val="18"/>
        </w:rPr>
        <w:t>——————————————————————————————————————————————————————————————————————</w:t>
      </w:r>
    </w:p>
    <w:p>
      <w:pPr>
        <w:spacing w:before="160" w:after="40" w:line="240" w:lineRule="auto"/>
      </w:pPr>
      <w:r>
        <w:rPr>
          <w:b/>
        </w:rPr>
        <w:t xml:space="preserve">[217] </w:t>
      </w:r>
      <w:hyperlink r:id="rId290">
        <w:r>
          <w:rPr>
            <w:color w:val="1155CC"/>
            <w:u w:val="single"/>
          </w:rPr>
          <w:t>用电子方式在手力磁铁中 写出磁性 heliknonton</w:t>
        </w:r>
      </w:hyperlink>
    </w:p>
    <w:p>
      <w:pPr>
        <w:spacing w:before="0" w:after="80"/>
      </w:pPr>
      <w:r>
        <w:rPr>
          <w:i/>
          <w:sz w:val="20"/>
        </w:rPr>
        <w:t>EN: Electrically writing a magnetic heliknoton in a chiral magnet</w:t>
      </w:r>
    </w:p>
    <w:p>
      <w:pPr>
        <w:spacing w:before="0" w:after="120"/>
      </w:pPr>
      <w:r>
        <w:rPr>
          <w:b/>
        </w:rPr>
        <w:t xml:space="preserve">Source: </w:t>
      </w:r>
      <w:r>
        <w:t>Nature Materials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磁 heliknononon 是二维磁性天空的三维对应方, 并且是将表层磁磁性扩大到三个维度的关键顶尖的表层线条。 然而, 它的实验实现仍然难以实现 。 我们在这里报告了通过纳米级流脉振动, 以零磁场实现的手式磁磁磁 FeGe 磁场磁性螺旋球磁性核控制核化。 我们通过将依靠角的定量电子传动与微磁性模拟相结合, 解决了 helikontononton 的三维旋转质质质。 特别是, Heliknonton 展示了无大会堂效应的当前驱动的共线运动。 我们的发现为进一步探索三维表层建立了一个方便的实验平台。 我们的发现为进一步探索三维表层建立了一个方便的实验平台。</w:t>
      </w:r>
    </w:p>
    <w:p>
      <w:pPr>
        <w:spacing w:before="0" w:after="200" w:lineRule="auto" w:line="276"/>
      </w:pPr>
      <w:r>
        <w:rPr>
          <w:b/>
        </w:rPr>
        <w:t xml:space="preserve">Abstract (EN): </w:t>
      </w:r>
      <w:r>
        <w:t>A magnetic heliknoton is the three-dimensional counterpart to the two-dimensional magnetic skyrmion, and serves as a pivotal topological soliton for extending topological magnetism into three dimensions. However, its experimental realization remains elusive. Here we report the controlled nucleation of a magnetic heliknoton in the chiral magnet FeGe at zero magnetic field, achieved through nanoscale current-pulse excitation. By combining angle-dependent quantitative electron holography with micromagnetic simulations, we resolve the three-dimensional spin texture of the heliknoton. In particular, the heliknoton exhibits current-driven collinear motion without the Hall effect. Our findings establish a readily accessible experimental platform for further exploration of three-dimensional topological solitons and highlight their potential for practical applications.</w:t>
      </w:r>
    </w:p>
    <w:p>
      <w:pPr>
        <w:spacing w:before="120" w:after="120"/>
      </w:pPr>
      <w:r>
        <w:rPr>
          <w:sz w:val="18"/>
        </w:rPr>
        <w:t>——————————————————————————————————————————————————————————————————————</w:t>
      </w:r>
    </w:p>
    <w:p>
      <w:pPr>
        <w:spacing w:before="160" w:after="40" w:line="240" w:lineRule="auto"/>
      </w:pPr>
      <w:r>
        <w:rPr>
          <w:b/>
        </w:rPr>
        <w:t xml:space="preserve">[218] </w:t>
      </w:r>
      <w:hyperlink r:id="rId291">
        <w:r>
          <w:rPr>
            <w:color w:val="1155CC"/>
            <w:u w:val="single"/>
          </w:rPr>
          <w:t>设计用于塑料塑料化学回收利用的锌化石催化剂</w:t>
        </w:r>
      </w:hyperlink>
    </w:p>
    <w:p>
      <w:pPr>
        <w:spacing w:before="0" w:after="80"/>
      </w:pPr>
      <w:r>
        <w:rPr>
          <w:i/>
          <w:sz w:val="20"/>
        </w:rPr>
        <w:t>EN: Designing zeolite catalysts for chemical recycling of plastics</w:t>
      </w:r>
    </w:p>
    <w:p>
      <w:pPr>
        <w:spacing w:before="0" w:after="120"/>
      </w:pPr>
      <w:r>
        <w:rPr>
          <w:b/>
        </w:rPr>
        <w:t xml:space="preserve">Source: </w:t>
      </w:r>
      <w:r>
        <w:t>Nature Reviews Materials</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[219] </w:t>
      </w:r>
      <w:hyperlink r:id="rId292">
        <w:r>
          <w:rPr>
            <w:color w:val="1155CC"/>
            <w:u w:val="single"/>
          </w:rPr>
          <w:t>带有动态纹理和色控的软光光皮</w:t>
        </w:r>
      </w:hyperlink>
    </w:p>
    <w:p>
      <w:pPr>
        <w:spacing w:before="0" w:after="80"/>
      </w:pPr>
      <w:r>
        <w:rPr>
          <w:i/>
          <w:sz w:val="20"/>
        </w:rPr>
        <w:t>EN: Soft photonic skins with dynamic texture and colour control</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表面表面的视觉外观受到其颜色和纹理的影响。 虽然结构颜色的创造和调整已经通过纳米结构实现,1,2, 实现对视觉纹理的动态控制仍然具有挑战性。 受甲状腺皮肤5,6,6的动态调节的启发,我们开发了带有可编程表面纹理的聚合胶片。我们通过浸入不同液体,将这些纹理带来生命,导致可逆转的局部膨胀/合同化,其程度由电子波束辐照决定。我们展示了标准电子束图案工具如何在空间上编码可隐藏和按需要显示的任意纹理。 同样,通过调制光学法布里-Pérot 孔的地形,我们创造了可以持续保持的颜色模式。</w:t>
      </w:r>
    </w:p>
    <w:p>
      <w:pPr>
        <w:spacing w:before="0" w:after="200" w:lineRule="auto" w:line="276"/>
      </w:pPr>
      <w:r>
        <w:rPr>
          <w:b/>
        </w:rPr>
        <w:t xml:space="preserve">Abstract (EN): </w:t>
      </w:r>
      <w:r>
        <w:t>The visual appearances of surfaces are influenced by their colour and texture. Although the creation and tuning of structural colours has been realized with nanostructures1,2, achieving dynamic control over visual texture3,4 remains challenging. Inspired by dynamic modulation of cephalopod skin5,6, we develop polymer films with programmable surface textures. We bring these textures to life through immersion in different liquids that cause reversible local swelling/contraction to a degree that is determined by electron-beam irradiation. We show how standard electron-beam patterning tools can spatially encode arbitrary textures that can be hidden and shown on demand. Similarly, by modulating the topography of optical Fabry–Pérot cavities, we create colour patterns that can be continuously tuned with microfluidic control to achieve several distinct appearance states, allowing them to camouflage with different backgrounds. Finally, by creating multilayer devices, we demonstrate independent control of texture and colour in a single device, enabling a higher level of dynamic control over visual appearance.</w:t>
      </w:r>
    </w:p>
    <w:p>
      <w:pPr>
        <w:spacing w:before="120" w:after="120"/>
      </w:pPr>
      <w:r>
        <w:rPr>
          <w:sz w:val="18"/>
        </w:rPr>
        <w:t>——————————————————————————————————————————————————————————————————————</w:t>
      </w:r>
    </w:p>
    <w:p>
      <w:pPr>
        <w:spacing w:before="160" w:after="40" w:line="240" w:lineRule="auto"/>
      </w:pPr>
      <w:r>
        <w:rPr>
          <w:b/>
        </w:rPr>
        <w:t xml:space="preserve">[220] </w:t>
      </w:r>
      <w:hyperlink r:id="rId293">
        <w:r>
          <w:rPr>
            <w:color w:val="1155CC"/>
            <w:u w:val="single"/>
          </w:rPr>
          <w:t>神经-住院电路促进感知汇合和肠道免疫</w:t>
        </w:r>
      </w:hyperlink>
    </w:p>
    <w:p>
      <w:pPr>
        <w:spacing w:before="0" w:after="80"/>
      </w:pPr>
      <w:r>
        <w:rPr>
          <w:i/>
          <w:sz w:val="20"/>
        </w:rPr>
        <w:t>EN: Neuro-epithelial circuits promote sensory convergence and intestinal immunity</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2型屏障表面2型发炎是一种渐进式的节能反应,它促进了对甲状腺寄生虫的免疫、过敏炎和组织修补1,2,3,4,4. 上皮细胞直接感测环境触发物引发2型发炎,神经元发出的信号可以调节免疫反应5,6,7,8. 然而,对上皮细胞、神经细胞和免疫细胞的不同感官投入是如何协调和整合的,仍然不清楚。在这里,我们发现TRPV1+疼痛感应鼻腔的共op-化学感应细胞会引发一系列组织反应,驱动2型发炎。TRPV1+ noceptions的化学循环或化学反应导致肠胃细胞和2型有缺陷的抗肝脏免疫。</w:t>
      </w:r>
    </w:p>
    <w:p>
      <w:pPr>
        <w:spacing w:before="0" w:after="200" w:lineRule="auto" w:line="276"/>
      </w:pPr>
      <w:r>
        <w:rPr>
          <w:b/>
        </w:rPr>
        <w:t xml:space="preserve">Abstract (EN): </w:t>
      </w:r>
      <w:r>
        <w:t>Type 2 inflammation at barrier surfaces is an evolutionarily conserved response that promotes immunity to helminth parasites, allergic inflammation and tissue repair1,2,3,4. Direct sensing of environmental triggers by epithelial cells initiates type 2 inflammation, and signals derived from neurons can modulate immune responses5,6,7,8. However, how diverse sensory inputs from epithelial, neuronal and immune cells are coordinated and integrated remains unclear. Here we identify that TRPV1+ pain-sensing nociceptors co-opt chemosensory epithelial tuft cells to initiate a cascade of tissue responses that drive type 2 inflammation. Chemogenetic silencing or chemical ablation of TRPV1+ nociceptors results in a significant reduction in intestinal tuft cells and defective anti-helminth type 2 immunity. By contrast, chemogenetic activation of TRPV1+ nociceptors leads to remodelling of CGRP+ nerve fibres, significantly increased CGRP expression, enhanced tuft cell accumulation and protective anti-helminth type 2 immunity. Using spatial transcriptomic and single-cell RNA sequencing analyses, we reveal that nociceptor activation promotes rapid epithelial progenitor cell proliferation and differentiation. Mechanistically, intestinal epithelial cell-intrinsic and tuft cell-intrinsic expression of CGRP receptor subunits are required for tuft cell responses and type 2 immunity to helminth infection. Together, these results identify sensory convergence of a neuronal–epithelial tuft cell circuit as a critical upstream determinant of type 2 immunity and tissue adaptation.</w:t>
      </w:r>
    </w:p>
    <w:p>
      <w:pPr>
        <w:spacing w:before="120" w:after="120"/>
      </w:pPr>
      <w:r>
        <w:rPr>
          <w:sz w:val="18"/>
        </w:rPr>
        <w:t>——————————————————————————————————————————————————————————————————————</w:t>
      </w:r>
    </w:p>
    <w:p>
      <w:pPr>
        <w:spacing w:before="160" w:after="40" w:line="240" w:lineRule="auto"/>
      </w:pPr>
      <w:r>
        <w:rPr>
          <w:b/>
        </w:rPr>
        <w:t xml:space="preserve">[221] </w:t>
      </w:r>
      <w:hyperlink r:id="rId294">
        <w:r>
          <w:rPr>
            <w:color w:val="1155CC"/>
            <w:u w:val="single"/>
          </w:rPr>
          <w:t>CAF 传送带带磁-光学陷阱</w:t>
        </w:r>
      </w:hyperlink>
    </w:p>
    <w:p>
      <w:pPr>
        <w:spacing w:before="0" w:after="80"/>
      </w:pPr>
      <w:r>
        <w:rPr>
          <w:i/>
          <w:sz w:val="20"/>
        </w:rPr>
        <w:t>EN: A conveyor-belt magneto-optical trap of CaF</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实现激光冷却分子的高密度样本是推进精确度测量、超冷化学和量子科学应用的关键一步。我们报告对高密度传送带磁-光学捕捉单氟化钙分子的实验性发现。获得的高压云的平均半径为64(5)微米,峰值密度为3.6(5)×1010厘米-3,比传统红调的CAFMOT和迄今观测到的最稠密分子MOT增加了600倍。这些分子随后装入一个光学二极管捕捉器,在14(2)千K的温度下最多可达到2.6×104个被困分子,最高级空间密度为~2.4×10-6。这为利用高密度的多种应用提供了新的可能性。</w:t>
      </w:r>
    </w:p>
    <w:p>
      <w:pPr>
        <w:spacing w:before="0" w:after="200" w:lineRule="auto" w:line="276"/>
      </w:pPr>
      <w:r>
        <w:rPr>
          <w:b/>
        </w:rPr>
        <w:t xml:space="preserve">Abstract (EN): </w:t>
      </w:r>
      <w:r>
        <w:t>Achieving high-density samples of laser-cooled molecules is a critical step toward advancing applications in precision measurements, ultracold chemistry and quantum science. We report the experimental realization of a high-density conveyor-belt magneto-optical trap for calcium monofluoride (CaF) molecules. The obtained highly-compressed cloud has a mean radius of 64(5) μm and a peak number density of 3.6(5) × 1010 cm−3, a 600-fold increase over the conventional red-detuned MOTs of CaF, and the densest molecular MOT observed to date. Subsequent loading of these molecules into an optical dipole trap yields up to 2.6 × 104 trapped molecules at a temperature of 14(2) μK with a peak phase-space density of ~ 2.4 × 10−6. This opens new possibilities for a range of applications utilizing high-density, optically trapped ultracold molecules.</w:t>
      </w:r>
    </w:p>
    <w:p>
      <w:pPr>
        <w:spacing w:before="120" w:after="120"/>
      </w:pPr>
      <w:r>
        <w:rPr>
          <w:sz w:val="18"/>
        </w:rPr>
        <w:t>——————————————————————————————————————————————————————————————————————</w:t>
      </w:r>
    </w:p>
    <w:p>
      <w:pPr>
        <w:spacing w:before="160" w:after="40" w:line="240" w:lineRule="auto"/>
      </w:pPr>
      <w:r>
        <w:rPr>
          <w:b/>
        </w:rPr>
        <w:t xml:space="preserve">[222] </w:t>
      </w:r>
      <w:hyperlink r:id="rId295">
        <w:r>
          <w:rPr>
            <w:color w:val="1155CC"/>
            <w:u w:val="single"/>
          </w:rPr>
          <w:t>磷脂裁缝 mRNA 脂脂脂纳米粒子交付效力和免疫力</w:t>
        </w:r>
      </w:hyperlink>
    </w:p>
    <w:p>
      <w:pPr>
        <w:spacing w:before="0" w:after="80"/>
      </w:pPr>
      <w:r>
        <w:rPr>
          <w:i/>
          <w:sz w:val="20"/>
        </w:rPr>
        <w:t>EN: Phospholipids tailor mRNA lipid nanoparticle delivery efficacy and immunogenicity</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[223] </w:t>
      </w:r>
      <w:hyperlink r:id="rId296">
        <w:r>
          <w:rPr>
            <w:color w:val="1155CC"/>
            <w:u w:val="single"/>
          </w:rPr>
          <w:t>1-60°C 超长长和高度稳定的锂电池的溶剂浓度极化</w:t>
        </w:r>
      </w:hyperlink>
    </w:p>
    <w:p>
      <w:pPr>
        <w:spacing w:before="0" w:after="80"/>
      </w:pPr>
      <w:r>
        <w:rPr>
          <w:i/>
          <w:sz w:val="20"/>
        </w:rPr>
        <w:t>EN: Combating Solvent Concentration Polarization for Ultrafast and Highly Stable Lithium Batteries at −60 oC</w:t>
      </w:r>
    </w:p>
    <w:p>
      <w:pPr>
        <w:spacing w:before="0" w:after="120"/>
      </w:pPr>
      <w:r>
        <w:rPr>
          <w:b/>
        </w:rPr>
        <w:t xml:space="preserve">Source: </w:t>
      </w:r>
      <w:r>
        <w:t>RSC - Energy Environ. Sci. latest articles</w:t>
      </w:r>
      <w:r>
        <w:t xml:space="preserve">    </w:t>
      </w:r>
      <w:r>
        <w:rPr>
          <w:b/>
        </w:rPr>
        <w:t xml:space="preserve">Pub date: </w:t>
      </w:r>
      <w:r>
        <w:t>2026-01-07 00:00:00+00:00</w:t>
      </w:r>
    </w:p>
    <w:p>
      <w:pPr>
        <w:spacing w:before="0" w:after="120"/>
      </w:pPr>
      <w:r>
        <w:rPr>
          <w:b/>
        </w:rPr>
        <w:t xml:space="preserve">Notes: </w:t>
      </w:r>
      <w:r>
        <w:t>abstract_source=rsc_html</w:t>
      </w:r>
    </w:p>
    <w:p>
      <w:pPr>
        <w:spacing w:before="0" w:after="80" w:lineRule="auto" w:line="276"/>
      </w:pPr>
      <w:r>
        <w:rPr>
          <w:b/>
        </w:rPr>
        <w:t xml:space="preserve">摘要（ZH）: </w:t>
      </w:r>
      <w:r>
        <w:t>在极低温条件下对可靠的锂电池的迫切需要重新唤醒了对有机电极的兴趣,然而,由于严重的电极溶解和缓慢的李氏溶解动力学,这些电极的实际部署受到挫败。在这里,我们发现了电电双层(EDL)和散装电解解液之间的溶剂浓度两极化,这是迄今为止人们所熟视但决定性的降解机制。这种极化将电离层重塑成一个富溶剂的领域,提升溶解屏障,扩大溶剂与电极的相互作用,加剧溶剂与电极的溶解作用,从而加剧溶解。在这种洞见的指引下,我们设计出一种极分解溶剂,抑制了EDL溶剂的溶剂集集,并将溶解结构从溶剂控制的溶液结构改造成电离浓缩。</w:t>
      </w:r>
    </w:p>
    <w:p>
      <w:pPr>
        <w:spacing w:before="0" w:after="200" w:lineRule="auto" w:line="276"/>
      </w:pPr>
      <w:r>
        <w:rPr>
          <w:b/>
        </w:rPr>
        <w:t xml:space="preserve">Abstract (EN): </w:t>
      </w:r>
      <w:r>
        <w:t>The imperative for reliable lithium batteries under extreme low-temperature (LT) conditions has revived interest in organic electrodes, yet their practical deployment is frustrated by severe electrode dissolution and sluggish Li+ desolvation kinetics. Here, we uncover solvent concentration polarization between the electric double layer (EDL) and bulk electrolyte as a hitherto-overlooked but decisive degradation mechanism. This polarization reshapes the EDL into a solvent-rich domain, elevating the desolvation barrier and amplifying solvent-electrode interactions that exacerbate dissolution. Guided by this insight, we engineer a highly depolarized solvent that suppresses EDL solvent aggregation and restructures the solvation structure from solvent-dominated to anion-enriched. The resulting electrolyte achieves an exceptional ionic conductivity of 0.51 mS cm−1 at −60 oC and a high Li+ transference number of 0.65, while fostering a robust, inorganic-rich electrode|electrolyte interphase that mitigates dissolution. Consequently, even at −60 oC, the Li||DSR (Disodium rhodizonate) cell affords an outstanding capacity of 184.3 mAh g−1 and remarkable cycling stability over 2000 cycles with an ultralow decay rate of only 0.0057% per cycle. This strategy proves generalizable to other organic electrodes, establishing the combating of solvent concentration polarization as a guiding principle for ultrafast-cycling and long-life lithium batteries under extreme LT conditions.</w:t>
      </w:r>
    </w:p>
    <w:p>
      <w:pPr>
        <w:spacing w:before="120" w:after="120"/>
      </w:pPr>
      <w:r>
        <w:rPr>
          <w:sz w:val="18"/>
        </w:rPr>
        <w:t>——————————————————————————————————————————————————————————————————————</w:t>
      </w:r>
    </w:p>
    <w:p>
      <w:pPr>
        <w:spacing w:before="160" w:after="40" w:line="240" w:lineRule="auto"/>
      </w:pPr>
      <w:r>
        <w:rPr>
          <w:b/>
        </w:rPr>
        <w:t xml:space="preserve">[224] </w:t>
      </w:r>
      <w:hyperlink r:id="rId297">
        <w:r>
          <w:rPr>
            <w:color w:val="1155CC"/>
            <w:u w:val="single"/>
          </w:rPr>
          <w:t>抗溶剂喷溶剂工程 增强高活性液体流动的热电池,具有用于低级别热收集的强大电密度</w:t>
        </w:r>
      </w:hyperlink>
    </w:p>
    <w:p>
      <w:pPr>
        <w:spacing w:before="0" w:after="80"/>
      </w:pPr>
      <w:r>
        <w:rPr>
          <w:i/>
          <w:sz w:val="20"/>
        </w:rPr>
        <w:t>EN: Antisolvent engineering enhanced high-entropy liquid flow thermocells with giant power density for low-grade heat harvesting</w:t>
      </w:r>
    </w:p>
    <w:p>
      <w:pPr>
        <w:spacing w:before="0" w:after="120"/>
      </w:pPr>
      <w:r>
        <w:rPr>
          <w:b/>
        </w:rPr>
        <w:t xml:space="preserve">Source: </w:t>
      </w:r>
      <w:r>
        <w:t>RSC - Energy Environ. Sci. latest articles</w:t>
      </w:r>
      <w:r>
        <w:t xml:space="preserve">    </w:t>
      </w:r>
      <w:r>
        <w:rPr>
          <w:b/>
        </w:rPr>
        <w:t xml:space="preserve">Pub date: </w:t>
      </w:r>
      <w:r>
        <w:t>2026-01-07 00:00:00+00:00</w:t>
      </w:r>
    </w:p>
    <w:p>
      <w:pPr>
        <w:spacing w:before="0" w:after="120"/>
      </w:pPr>
      <w:r>
        <w:rPr>
          <w:b/>
        </w:rPr>
        <w:t xml:space="preserve">Notes: </w:t>
      </w:r>
      <w:r>
        <w:t>abstract_source=rsc_html</w:t>
      </w:r>
    </w:p>
    <w:p>
      <w:pPr>
        <w:spacing w:before="0" w:after="80" w:lineRule="auto" w:line="276"/>
      </w:pPr>
      <w:r>
        <w:rPr>
          <w:b/>
        </w:rPr>
        <w:t xml:space="preserve">摘要（ZH）: </w:t>
      </w:r>
      <w:r>
        <w:t>具有高热电性能的液流离离离子体热电池(LiTCs)是低级废物热收集的可行选择,但是,由于红氧化离子的溶解性酶增增量有限,低的标准化最大电能密度(Pmax/T2)大大阻碍了这种热电极的低标准(Pmax/T2),在此,通过抗溶剂工程,提出了提高红氧化离子溶性激化增生的成本效益和便捷战略,这大大改善了LiTCs的离子热电性能。</w:t>
      </w:r>
    </w:p>
    <w:p>
      <w:pPr>
        <w:spacing w:before="0" w:after="200" w:lineRule="auto" w:line="276"/>
      </w:pPr>
      <w:r>
        <w:rPr>
          <w:b/>
        </w:rPr>
        <w:t xml:space="preserve">Abstract (EN): </w:t>
      </w:r>
      <w:r>
        <w:t>Liquid-flow ionic thermocells (LiTCs) with high thermoelectric performance are promising candidates for low-grade waste heat harvesting. However, it is significantly hindered by the low normalized maximum power density (Pmax/∆T2) due to the limited solvation entropy increase of redox ions. Herein, a cost-effective and facile strategy for enhancing the solvation entropy increase of redox ions was proposed through antisolvent engineering, which significantly improved ionic thermoelectric performance of LiTCs. An antisolvent (ethanol) of redox ions was introduced into the equimolar aqueous solutions of reductant and oxidant (K4Fe(CN)6/K3Fe(CN)6) flowed separately within the Y-shaped channel of LiTCs. The presence of the antisolvent would induce the agglomeration of Fe(CN)64- ions due to the competitive effect of antisolvent molecules with low polarity parameters, thereby reducing the interfacial free energy with water molecules and increasing the disorder within its solvation shell. This process would enhance the solvation entropy increase of redox ions through the intercalation of an ethanol molecule into the first solvation shell of Fe(CN)64- at certain ethanol content, thus significantly promoting the thermogalvanic effect. As a result, the antisolvent engineering can reach the giant ionic thermopower of -58.8 mV K-1 and Pmax/∆T2 of 64.5 mW m-2 K-2, which is ca. 100 times that of conventional ionic thermocells. Consequently, the Carnot-relative efficiency was the highest value of 11.8% until now, and significantly exceeded the predicted commercialization threshold (~5%). The high-entropy LiTCs with competitive cost-performance metric (1.01 $ W-1) and low temperature resistance (</w:t>
      </w:r>
    </w:p>
    <w:p>
      <w:pPr>
        <w:spacing w:before="120" w:after="120"/>
      </w:pPr>
      <w:r>
        <w:rPr>
          <w:sz w:val="18"/>
        </w:rPr>
        <w:t>——————————————————————————————————————————————————————————————————————</w:t>
      </w:r>
    </w:p>
    <w:p>
      <w:pPr>
        <w:spacing w:before="160" w:after="40" w:line="240" w:lineRule="auto"/>
      </w:pPr>
      <w:r>
        <w:rPr>
          <w:b/>
        </w:rPr>
        <w:t xml:space="preserve">[225] </w:t>
      </w:r>
      <w:hyperlink r:id="rId298">
        <w:r>
          <w:rPr>
            <w:color w:val="1155CC"/>
            <w:u w:val="single"/>
          </w:rPr>
          <w:t>金属有机框架气体传感器:制造、装置和应用</w:t>
        </w:r>
      </w:hyperlink>
    </w:p>
    <w:p>
      <w:pPr>
        <w:spacing w:before="0" w:after="80"/>
      </w:pPr>
      <w:r>
        <w:rPr>
          <w:i/>
          <w:sz w:val="20"/>
        </w:rPr>
        <w:t>EN: Metal–organic framework-based gas sensors: fabrication, mechanisms, and applications</w:t>
      </w:r>
    </w:p>
    <w:p>
      <w:pPr>
        <w:spacing w:before="0" w:after="120"/>
      </w:pPr>
      <w:r>
        <w:rPr>
          <w:b/>
        </w:rPr>
        <w:t xml:space="preserve">Source: </w:t>
      </w:r>
      <w:r>
        <w:t>RSC - Chem. Soc. Rev. latest articles</w:t>
      </w:r>
      <w:r>
        <w:t xml:space="preserve">    </w:t>
      </w:r>
      <w:r>
        <w:rPr>
          <w:b/>
        </w:rPr>
        <w:t xml:space="preserve">Pub date: </w:t>
      </w:r>
      <w:r>
        <w:t>2026-01-07 00:00:00+00:00</w:t>
      </w:r>
    </w:p>
    <w:p>
      <w:pPr>
        <w:spacing w:before="0" w:after="120"/>
      </w:pPr>
      <w:r>
        <w:rPr>
          <w:b/>
        </w:rPr>
        <w:t xml:space="preserve">Notes: </w:t>
      </w:r>
      <w:r>
        <w:t>abstract_source=rsc_html</w:t>
      </w:r>
    </w:p>
    <w:p>
      <w:pPr>
        <w:spacing w:before="0" w:after="80" w:lineRule="auto" w:line="276"/>
      </w:pPr>
      <w:r>
        <w:rPr>
          <w:b/>
        </w:rPr>
        <w:t xml:space="preserve">摘要（ZH）: </w:t>
      </w:r>
      <w:r>
        <w:t>气体遥感技术通过跟踪隐形和瞬时分子信息,便利了未来意外事件的早期探测和预测。 隐形和瞬时分子信息对农业、医药、化学过程控制和环境监测的应用至关重要。 金属-机体框架(MOFs)的近期进步,其特点是地表面积大、孔隙丰富、金枪鱼孔径大小和地貌特征以及独特的地表化学特性,为下一代气体传感器的发展铺平了道路。 MOF在气体传感器中的型号和功能已经取得了显著进步,特别是在低运行温度、高敏感度和选择性方面。 然而,系统分析与转换器相关的是系统性分析。</w:t>
      </w:r>
    </w:p>
    <w:p>
      <w:pPr>
        <w:spacing w:before="0" w:after="200" w:lineRule="auto" w:line="276"/>
      </w:pPr>
      <w:r>
        <w:rPr>
          <w:b/>
        </w:rPr>
        <w:t xml:space="preserve">Abstract (EN): </w:t>
      </w:r>
      <w:r>
        <w:t>Gas-sensing technologies facilitate the early detection and prediction of unforeseen future events by tracking surrounding invisible and instantaneous molecular information, which is critical for applications in agriculture, medicine, chemical process control, and environmental monitoring. Recent advancements in metal–organic frameworks (MOFs), which are characterized by large surface areas, rich porosity, tunable pore sizes and geometries, and distinctive surface chemical properties, have paved the way for the development of next-generation gas sensors. The types and functions of MOFs in gas sensors have undergone significant advancements, particularly in terms of low operating temperatures, high sensitivity, and selectivity. However, a systematic analysis correlating the transduction mechanism and morphological structures of various MOF-based gas sensors is still lacking, in addition to a comprehensive summary of the most recent MOF-based gas sensors. This review provides a comprehensive overview of the latest advancements in MOF-based gas sensors, with a focus on their fabrication strategies, sensing mechanisms, and applications. Examples of MOF-based sensors include chemiresistive, field-effect transistor, Kelvin probe, capacitive, and optical gas sensors. Moreover, MOF-based gas sensors have been extensively investigated for applications in chiral recognition and flexible devices. Furthermore, we discuss the limitations of various MOF-based gas sensors developed to date and the corresponding solutions. Finally, we present our perspectives on the challenges and opportunities encountered in the advancement and practical applications of MOF-based gas sensors.</w:t>
      </w:r>
    </w:p>
    <w:p>
      <w:pPr>
        <w:spacing w:before="120" w:after="120"/>
      </w:pPr>
      <w:r>
        <w:rPr>
          <w:sz w:val="18"/>
        </w:rPr>
        <w:t>——————————————————————————————————————————————————————————————————————</w:t>
      </w:r>
    </w:p>
    <w:p>
      <w:pPr>
        <w:spacing w:before="160" w:after="40" w:line="240" w:lineRule="auto"/>
      </w:pPr>
      <w:r>
        <w:rPr>
          <w:b/>
        </w:rPr>
        <w:t xml:space="preserve">[226] </w:t>
      </w:r>
      <w:hyperlink r:id="rId299">
        <w:r>
          <w:rPr>
            <w:color w:val="1155CC"/>
            <w:u w:val="single"/>
          </w:rPr>
          <w:t>用于荧光终身成像的化学氟磷</w:t>
        </w:r>
      </w:hyperlink>
    </w:p>
    <w:p>
      <w:pPr>
        <w:spacing w:before="0" w:after="80"/>
      </w:pPr>
      <w:r>
        <w:rPr>
          <w:i/>
          <w:sz w:val="20"/>
        </w:rPr>
        <w:t>EN: Chemical fluorophores for fluorescence lifetime imaging</w:t>
      </w:r>
    </w:p>
    <w:p>
      <w:pPr>
        <w:spacing w:before="0" w:after="120"/>
      </w:pPr>
      <w:r>
        <w:rPr>
          <w:b/>
        </w:rPr>
        <w:t xml:space="preserve">Source: </w:t>
      </w:r>
      <w:r>
        <w:t>RSC - Chem. Soc. Rev. latest articles</w:t>
      </w:r>
      <w:r>
        <w:t xml:space="preserve">    </w:t>
      </w:r>
      <w:r>
        <w:rPr>
          <w:b/>
        </w:rPr>
        <w:t xml:space="preserve">Pub date: </w:t>
      </w:r>
      <w:r>
        <w:t>2026-01-07 00:00:00+00:00</w:t>
      </w:r>
    </w:p>
    <w:p>
      <w:pPr>
        <w:spacing w:before="0" w:after="120"/>
      </w:pPr>
      <w:r>
        <w:rPr>
          <w:b/>
        </w:rPr>
        <w:t xml:space="preserve">Notes: </w:t>
      </w:r>
      <w:r>
        <w:t>abstract_source=rsc_html</w:t>
      </w:r>
    </w:p>
    <w:p>
      <w:pPr>
        <w:spacing w:before="0" w:after="80" w:lineRule="auto" w:line="276"/>
      </w:pPr>
      <w:r>
        <w:rPr>
          <w:b/>
        </w:rPr>
        <w:t xml:space="preserve">摘要（ZH）: </w:t>
      </w:r>
      <w:r>
        <w:t>荧光寿命寿命量测量为生物过程提供了有力的洞察力,因为与密度测量相比,它们不太依赖于浓度和振动力;然而,荧光寿命寿命成像缺乏含氟磷,其寿命范围很广,而且对生物刺激反应迅速;这一缺陷促使设计了新的化学战略,以调整有机氟磷的光学特性及其在多轴活细胞成像中的应用,促进分子和细胞互动的可视化。</w:t>
      </w:r>
    </w:p>
    <w:p>
      <w:pPr>
        <w:spacing w:before="0" w:after="200" w:lineRule="auto" w:line="276"/>
      </w:pPr>
      <w:r>
        <w:rPr>
          <w:b/>
        </w:rPr>
        <w:t xml:space="preserve">Abstract (EN): </w:t>
      </w:r>
      <w:r>
        <w:t>Fluorescence lifetime imaging has emerged as a promising modality to extract molecular information from biological systems, providing detailed and semi-quantitative characterisation of subcellular microenvironments. Fluorescence lifetime measurements offer robust insights into biological processes as they are less dependent on concentration and excitation power than intensity-based measurements. However, fluorescence lifetime imaging suffers from a paucity of fluorophores with wide dynamic ranges of lifetimes and responsiveness to biostimuli. This shortcoming has prompted the design of new chemical strategies to tailor the optical properties of organic fluorophores and their application in multiplexed live-cell imaging for the visualisation of molecular and cellular interactions. This Review article covers advances – primarily from the last 5 years – in the chemical design of fluorescence lifetime probes that combine optical reporters and targeting groups (e.g., ligands, peptides, proteins), their applications in bioimaging and related computational-based innovations for data acquisition and analysis. The perspectives and challenges in the design and applications of fluorescence lifetime probes are discussed, bridging chemistry and bioimaging as well as providing strategic insights for advancing fluorescence lifetime imaging.</w:t>
      </w:r>
    </w:p>
    <w:p>
      <w:pPr>
        <w:spacing w:before="120" w:after="120"/>
      </w:pPr>
      <w:r>
        <w:rPr>
          <w:sz w:val="18"/>
        </w:rPr>
        <w:t>——————————————————————————————————————————————————————————————————————</w:t>
      </w:r>
    </w:p>
    <w:p>
      <w:pPr>
        <w:spacing w:before="160" w:after="40" w:line="240" w:lineRule="auto"/>
      </w:pPr>
      <w:r>
        <w:rPr>
          <w:b/>
        </w:rPr>
        <w:t xml:space="preserve">[227] </w:t>
      </w:r>
      <w:hyperlink r:id="rId300">
        <w:r>
          <w:rPr>
            <w:color w:val="1155CC"/>
            <w:u w:val="single"/>
          </w:rPr>
          <w:t>高稳定无烟溶解无烟电池的微粒经改进的铜收集器</w:t>
        </w:r>
      </w:hyperlink>
    </w:p>
    <w:p>
      <w:pPr>
        <w:spacing w:before="0" w:after="80"/>
      </w:pPr>
      <w:r>
        <w:rPr>
          <w:i/>
          <w:sz w:val="20"/>
        </w:rPr>
        <w:t>EN: Grain‐Optimized Copper Current Collectors for Highly Stable Anode‐Free Sodium Batteries</w:t>
      </w:r>
    </w:p>
    <w:p>
      <w:pPr>
        <w:spacing w:before="0" w:after="120"/>
      </w:pPr>
      <w:r>
        <w:rPr>
          <w:b/>
        </w:rPr>
        <w:t xml:space="preserve">Source: </w:t>
      </w:r>
      <w:r>
        <w:t>Wiley: Advanced Materials: Table of Contents</w:t>
      </w:r>
      <w:r>
        <w:t xml:space="preserve">    </w:t>
      </w:r>
      <w:r>
        <w:rPr>
          <w:b/>
        </w:rPr>
        <w:t xml:space="preserve">Pub date: </w:t>
      </w:r>
      <w:r>
        <w:t>2026-01-07 05:16:48+00:00</w:t>
      </w:r>
      <w:r>
        <w:t xml:space="preserve">    </w:t>
      </w:r>
      <w:r>
        <w:rPr>
          <w:b/>
        </w:rPr>
        <w:t xml:space="preserve">DOI: </w:t>
      </w:r>
      <w:hyperlink r:id="rId301">
        <w:r>
          <w:rPr>
            <w:color w:val="1155CC"/>
            <w:u w:val="single"/>
          </w:rPr>
          <w:t>10.1002/adma.202522541</w:t>
        </w:r>
      </w:hyperlink>
    </w:p>
    <w:p>
      <w:pPr>
        <w:spacing w:before="0" w:after="120"/>
      </w:pPr>
      <w:r>
        <w:rPr>
          <w:b/>
        </w:rPr>
        <w:t xml:space="preserve">Notes: </w:t>
      </w:r>
      <w:r>
        <w:t>abstract_source=crossref</w:t>
      </w:r>
    </w:p>
    <w:p>
      <w:pPr>
        <w:spacing w:before="0" w:after="80" w:lineRule="auto" w:line="276"/>
      </w:pPr>
      <w:r>
        <w:rPr>
          <w:b/>
        </w:rPr>
        <w:t xml:space="preserve">摘要（ZH）: </w:t>
      </w:r>
      <w:r>
        <w:t>提高自行车稳定性和保持能力是发展高能密度和低价无阴极无钠电池的关键,然而,不稳定的电镀/剥离和不受控制的固态电解相相干(SEI)的演化仍然阻碍其实际应用。在这项工作中,我们调查了库基底的谷物密度对亚基基体的性能的影响。结果显示,较高的谷边密度Cu对钠具有更强的亲和性,可以降低钠核聚能壁垒,为形成高度晶体和密集的钠矿床提供便利。此外,粮界的高地表能加强了离子吸附,导致离子吸收。</w:t>
      </w:r>
    </w:p>
    <w:p>
      <w:pPr>
        <w:spacing w:before="0" w:after="200" w:lineRule="auto" w:line="276"/>
      </w:pPr>
      <w:r>
        <w:rPr>
          <w:b/>
        </w:rPr>
        <w:t xml:space="preserve">Abstract (EN): </w:t>
      </w:r>
      <w:r>
        <w:t>Improving cycling stability and capacity retention is critical for the development of high‐energy‐density and low‐cost anode‐free sodium batteries (AFSBs). However, unstable Na plating/stripping and uncontrolled solid electrolyte interphase (SEI) evolution still hinder their practical application. In this work, we investigate the impact of grain‐boundary density in the Cu substrate on the performance of AFSBs. The results reveal that higher grain‐boundary density Cu exhibits a stronger affinity for sodium and can lower the sodium nucleation energy barriers, facilitating the formation of highly crystalline and densely packed sodium deposits. Moreover, the high surface energy at grain‐boundaries strengthens anion adsorption, leading to an anion‐rich interfacial solvation structure, which results in the formation of a thin, NaF‐rich stable SEI film. Anode‐free cells constructed with ultrahigh‐grain‐boundary density Cu (UGB‐Cu) and Na</w:t>
      </w:r>
      <w:r>
        <w:rPr>
          <w:vertAlign w:val="subscript"/>
        </w:rPr>
        <w:t>3</w:t>
      </w:r>
      <w:r>
        <w:t>V</w:t>
      </w:r>
      <w:r>
        <w:rPr>
          <w:vertAlign w:val="subscript"/>
        </w:rPr>
        <w:t>2</w:t>
      </w:r>
      <w:r>
        <w:t>(PO</w:t>
      </w:r>
      <w:r>
        <w:rPr>
          <w:vertAlign w:val="subscript"/>
        </w:rPr>
        <w:t>4</w:t>
      </w:r>
      <w:r>
        <w:t>)</w:t>
      </w:r>
      <w:r>
        <w:rPr>
          <w:vertAlign w:val="subscript"/>
        </w:rPr>
        <w:t>3</w:t>
      </w:r>
      <w:r>
        <w:t>(NVP) cathode achieved stable cycling for 800 cycles at 5C with an average coulombic efficiency (CE) of 99.97%. This work elucidates the dual role of grain‐boundary in improving both substrate‐sodium affinity and interfacial SEI chemistry, highlighting grain‐boundary engineering of Cu foils as a practical and scalable pathway toward high‐performance AFSBs.</w:t>
      </w:r>
    </w:p>
    <w:p>
      <w:pPr>
        <w:spacing w:before="120" w:after="120"/>
      </w:pPr>
      <w:r>
        <w:rPr>
          <w:sz w:val="18"/>
        </w:rPr>
        <w:t>——————————————————————————————————————————————————————————————————————</w:t>
      </w:r>
    </w:p>
    <w:p>
      <w:pPr>
        <w:spacing w:before="160" w:after="40" w:line="240" w:lineRule="auto"/>
      </w:pPr>
      <w:r>
        <w:rPr>
          <w:b/>
        </w:rPr>
        <w:t xml:space="preserve">[228] </w:t>
      </w:r>
      <w:hyperlink r:id="rId302">
        <w:r>
          <w:rPr>
            <w:color w:val="1155CC"/>
            <w:u w:val="single"/>
          </w:rPr>
          <w:t>由稳定锌金属电池的Anionphilic Nanofifiber Pollymer 电解器进行自定义的离子运输</w:t>
        </w:r>
      </w:hyperlink>
    </w:p>
    <w:p>
      <w:pPr>
        <w:spacing w:before="0" w:after="80"/>
      </w:pPr>
      <w:r>
        <w:rPr>
          <w:i/>
          <w:sz w:val="20"/>
        </w:rPr>
        <w:t>EN: Customizing Ion Transport by Anionphilic Nanofiber‐Polymer Electrolyte for Stable Zinc Metal Batteries</w:t>
      </w:r>
    </w:p>
    <w:p>
      <w:pPr>
        <w:spacing w:before="0" w:after="120"/>
      </w:pPr>
      <w:r>
        <w:rPr>
          <w:b/>
        </w:rPr>
        <w:t xml:space="preserve">Source: </w:t>
      </w:r>
      <w:r>
        <w:t>Wiley: Advanced Materials: Table of Contents</w:t>
      </w:r>
      <w:r>
        <w:t xml:space="preserve">    </w:t>
      </w:r>
      <w:r>
        <w:rPr>
          <w:b/>
        </w:rPr>
        <w:t xml:space="preserve">Pub date: </w:t>
      </w:r>
      <w:r>
        <w:t>2026-01-07 05:17:00+00:00</w:t>
      </w:r>
      <w:r>
        <w:t xml:space="preserve">    </w:t>
      </w:r>
      <w:r>
        <w:rPr>
          <w:b/>
        </w:rPr>
        <w:t xml:space="preserve">DOI: </w:t>
      </w:r>
      <w:hyperlink r:id="rId303">
        <w:r>
          <w:rPr>
            <w:color w:val="1155CC"/>
            <w:u w:val="single"/>
          </w:rPr>
          <w:t>10.1002/adma.202519057</w:t>
        </w:r>
      </w:hyperlink>
    </w:p>
    <w:p>
      <w:pPr>
        <w:spacing w:before="0" w:after="120"/>
      </w:pPr>
      <w:r>
        <w:rPr>
          <w:b/>
        </w:rPr>
        <w:t xml:space="preserve">Notes: </w:t>
      </w:r>
      <w:r>
        <w:t>abstract_source=crossref</w:t>
      </w:r>
    </w:p>
    <w:p>
      <w:pPr>
        <w:spacing w:before="0" w:after="80" w:lineRule="auto" w:line="276"/>
      </w:pPr>
      <w:r>
        <w:rPr>
          <w:b/>
        </w:rPr>
        <w:t xml:space="preserve">摘要（ZH）: </w:t>
      </w:r>
      <w:r>
        <w:t>在可再充电锌金属电池(RZMBs)中,锌金属离层和电解侧反应的形成与电解解液中的离子传输密切相关。在盐的聚合聚合电解解液中,聚合极度可用于控制离子传输。这里,我们报告的是具有正相对阴离子亲亲和的阴离子电解液。通过引入一个聚合脊柱,吸收氯化物较弱,另一个聚合链,吸收强烈的离子吸附,削弱了Zn 2+的cation-dipole协调,从而能够促进盐分解并限制离子的迁移。聚合电解构概念通过使用聚丙烯酸和芳香纳米得到证明。</w:t>
      </w:r>
    </w:p>
    <w:p>
      <w:pPr>
        <w:spacing w:before="0" w:after="200" w:lineRule="auto" w:line="276"/>
      </w:pPr>
      <w:r>
        <w:rPr>
          <w:b/>
        </w:rPr>
        <w:t xml:space="preserve">Abstract (EN): </w:t>
      </w:r>
      <w:r>
        <w:t>The formation of zinc metal dendrites and electrolyte side reactions in rechargeable zinc‐metal batteries (RZMBs) is closely related to ion transport within the electrolyte. In salt‐doped polymer electrolytes, polymer polarity can be used to control ion transport. Here, we report an anionphilic polymer electrolyte with positive relative anion affinity. By introducing a polymer backbone with weak adsorption of cations and another polymer chain with strong adsorption of anions, weakened the cation‐dipole coordination for Zn</w:t>
      </w:r>
      <w:r>
        <w:t xml:space="preserve"> </w:t>
      </w:r>
      <w:r>
        <w:t>2+</w:t>
      </w:r>
      <w:r>
        <w:t xml:space="preserve"> </w:t>
      </w:r>
      <w:r>
        <w:t>, which enables promote the dissociation of salt and restrict the migration of anions. The polymer electrolyte‐design concept is demonstrated by using polyacrylamide and aramid nanofibers. Prepared anionphilic polymer hydrogel electrolytes effectively inhibited the hydrogen evolution reaction, forming conformal and adherent inorganic‐rich solid electrolyte interphase. The anionphilic polymer electrolytes also exhibit high Zn</w:t>
      </w:r>
      <w:r>
        <w:t xml:space="preserve"> </w:t>
      </w:r>
      <w:r>
        <w:t>2+</w:t>
      </w:r>
      <w:r>
        <w:t xml:space="preserve"> </w:t>
      </w:r>
      <w:r>
        <w:t>transference number (0.71), enabling Zn</w:t>
      </w:r>
      <w:r>
        <w:t xml:space="preserve"> </w:t>
      </w:r>
      <w:r>
        <w:t>0.25</w:t>
      </w:r>
      <w:r>
        <w:t xml:space="preserve"> </w:t>
      </w:r>
      <w:r>
        <w:t>V</w:t>
      </w:r>
      <w:r>
        <w:rPr>
          <w:vertAlign w:val="subscript"/>
        </w:rPr>
        <w:t>2</w:t>
      </w:r>
      <w:r>
        <w:t>O</w:t>
      </w:r>
      <w:r>
        <w:rPr>
          <w:vertAlign w:val="subscript"/>
        </w:rPr>
        <w:t>5</w:t>
      </w:r>
      <w:r>
        <w:t>ǀǀZn (30 µm) pouch cells (4.9 mAh cm</w:t>
      </w:r>
      <w:r>
        <w:t xml:space="preserve"> </w:t>
      </w:r>
      <w:r>
        <w:t>−2</w:t>
      </w:r>
      <w:r>
        <w:t xml:space="preserve"> </w:t>
      </w:r>
      <w:r>
        <w:t>) to achieve high reversibility over 270 cycles.</w:t>
      </w:r>
    </w:p>
    <w:p>
      <w:pPr>
        <w:spacing w:before="120" w:after="120"/>
      </w:pPr>
      <w:r>
        <w:rPr>
          <w:sz w:val="18"/>
        </w:rPr>
        <w:t>——————————————————————————————————————————————————————————————————————</w:t>
      </w:r>
    </w:p>
    <w:p>
      <w:pPr>
        <w:spacing w:before="160" w:after="40" w:line="240" w:lineRule="auto"/>
      </w:pPr>
      <w:r>
        <w:rPr>
          <w:b/>
        </w:rPr>
        <w:t xml:space="preserve">[229] </w:t>
      </w:r>
      <w:hyperlink r:id="rId304">
        <w:r>
          <w:rPr>
            <w:color w:val="1155CC"/>
            <w:u w:val="single"/>
          </w:rPr>
          <w:t>用于选择性甘油酚电氧化剂溶解剂的单子铜聚氨酯催化剂分子底部设计</w:t>
        </w:r>
      </w:hyperlink>
    </w:p>
    <w:p>
      <w:pPr>
        <w:spacing w:before="0" w:after="80"/>
      </w:pPr>
      <w:r>
        <w:rPr>
          <w:i/>
          <w:sz w:val="20"/>
        </w:rPr>
        <w:t>EN: Molecular Bottom‐Up Design of Single‐Site Copper‐Palladium Catalysts for Selective Glycerol Electro‐Oxidation</w:t>
      </w:r>
    </w:p>
    <w:p>
      <w:pPr>
        <w:spacing w:before="0" w:after="120"/>
      </w:pPr>
      <w:r>
        <w:rPr>
          <w:b/>
        </w:rPr>
        <w:t xml:space="preserve">Source: </w:t>
      </w:r>
      <w:r>
        <w:t>Wiley: Advanced Energy Materials: Table of Contents</w:t>
      </w:r>
      <w:r>
        <w:t xml:space="preserve">    </w:t>
      </w:r>
      <w:r>
        <w:rPr>
          <w:b/>
        </w:rPr>
        <w:t xml:space="preserve">Pub date: </w:t>
      </w:r>
      <w:r>
        <w:t>2026-01-07 05:18:48+00:00</w:t>
      </w:r>
      <w:r>
        <w:t xml:space="preserve">    </w:t>
      </w:r>
      <w:r>
        <w:rPr>
          <w:b/>
        </w:rPr>
        <w:t xml:space="preserve">DOI: </w:t>
      </w:r>
      <w:hyperlink r:id="rId305">
        <w:r>
          <w:rPr>
            <w:color w:val="1155CC"/>
            <w:u w:val="single"/>
          </w:rPr>
          <w:t>10.1002/aenm.202504456</w:t>
        </w:r>
      </w:hyperlink>
    </w:p>
    <w:p>
      <w:pPr>
        <w:spacing w:before="0" w:after="120"/>
      </w:pPr>
      <w:r>
        <w:rPr>
          <w:b/>
        </w:rPr>
        <w:t xml:space="preserve">Notes: </w:t>
      </w:r>
      <w:r>
        <w:t>abstract_source=crossref</w:t>
      </w:r>
    </w:p>
    <w:p>
      <w:pPr>
        <w:spacing w:before="0" w:after="80" w:lineRule="auto" w:line="276"/>
      </w:pPr>
      <w:r>
        <w:rPr>
          <w:b/>
        </w:rPr>
        <w:t xml:space="preserve">摘要（ZH）: </w:t>
      </w:r>
      <w:r>
        <w:t>混合水电解是产生氢,同时以具有选择性甘油氧化反应(GOR)等经济上可行的替代品取代具有挑战性和浪费性的氧进化反应(OER)的一个很有希望的途径,迄今为止,高度活跃和选择性的GOR电动催化器的开发仍然是一个重大挑战,因为对反应性、选择性和稳定性的同步控制是困难的。在这里,我们报告了一种双金属CuPd单体催化剂(SSC),用于甘油的选择性和高效电氧化。催化剂的特征是CuN 4/PdN 4 微米中的单矿铜和原子。催化剂显示高高的GOR。</w:t>
      </w:r>
    </w:p>
    <w:p>
      <w:pPr>
        <w:spacing w:before="0" w:after="200" w:lineRule="auto" w:line="276"/>
      </w:pPr>
      <w:r>
        <w:rPr>
          <w:b/>
        </w:rPr>
        <w:t xml:space="preserve">Abstract (EN): </w:t>
      </w:r>
      <w:r>
        <w:t>Hybrid water electrolysis is a promising route to generate hydrogen while replacing the challenging and wasteful oxygen evolution reaction (OER) with economically viable alternatives such as the selective glycerol oxidation reaction (GOR). To date, the development of highly active and selective GOR electrocatalysts remains a major challenge because the simultaneous control of reactivity, selectivity, and stability is difficult. Herein, we report a bimetallic Cu‐Pd single‐site catalyst (SSC) for the selective and efficient electrooxidation of glycerol. The catalyst features single‐site copper and palladium atoms in CuN</w:t>
      </w:r>
      <w:r>
        <w:rPr>
          <w:vertAlign w:val="subscript"/>
        </w:rPr>
        <w:t>4</w:t>
      </w:r>
      <w:r>
        <w:t>/PdN</w:t>
      </w:r>
      <w:r>
        <w:rPr>
          <w:vertAlign w:val="subscript"/>
        </w:rPr>
        <w:t>4</w:t>
      </w:r>
      <w:r>
        <w:t>moieties. The catalyst shows high GOR performance with a Faradaic efficiency (FE) for formate of 83% and C3 products (lactate, glycolate, glycerate) of 16% at 1.0 V vs the reversible hydrogen electrode (RHE), as well as long‐term stability (144 h at</w:t>
      </w:r>
      <w:r>
        <w:t xml:space="preserve"> </w:t>
      </w:r>
      <w:r>
        <w:t>j</w:t>
      </w:r>
      <w:r>
        <w:t xml:space="preserve"> </w:t>
      </w:r>
      <w:r>
        <w:t>= 50 mA cm</w:t>
      </w:r>
      <w:r>
        <w:t xml:space="preserve"> </w:t>
      </w:r>
      <w:r>
        <w:t>−2</w:t>
      </w:r>
      <w:r>
        <w:t xml:space="preserve"> </w:t>
      </w:r>
      <w:r>
        <w:t>). Mechanistic studies combining DFT and</w:t>
      </w:r>
      <w:r>
        <w:t xml:space="preserve"> </w:t>
      </w:r>
      <w:r>
        <w:t>operando</w:t>
      </w:r>
      <w:r>
        <w:t xml:space="preserve"> </w:t>
      </w:r>
      <w:r>
        <w:t>spectroscopy revealed that Pd sites facilitate the adsorption of hydroxyl (C‐OH) species which prevents C‐C bond cleavage and thus the formation of catalyst poisons such as CO or CO</w:t>
      </w:r>
      <w:r>
        <w:rPr>
          <w:vertAlign w:val="subscript"/>
        </w:rPr>
        <w:t>3</w:t>
      </w:r>
      <w:r>
        <w:t>2−</w:t>
      </w:r>
      <w:r>
        <w:t>. This work sheds light on the adsorption modulation mechanism of a single‐site catalyst and provides a promising electrocatalytic system for the production of value‐added C1 and C3 products in aqueous solution.</w:t>
      </w:r>
    </w:p>
    <w:p>
      <w:pPr>
        <w:spacing w:before="120" w:after="120"/>
      </w:pPr>
      <w:r>
        <w:rPr>
          <w:sz w:val="18"/>
        </w:rPr>
        <w:t>——————————————————————————————————————————————————————————————————————</w:t>
      </w:r>
    </w:p>
    <w:p>
      <w:pPr>
        <w:spacing w:before="160" w:after="40" w:line="240" w:lineRule="auto"/>
      </w:pPr>
      <w:r>
        <w:rPr>
          <w:b/>
        </w:rPr>
        <w:t xml:space="preserve">[230] </w:t>
      </w:r>
      <w:hyperlink r:id="rId306">
        <w:r>
          <w:rPr>
            <w:color w:val="1155CC"/>
            <w:u w:val="single"/>
          </w:rPr>
          <w:t>与用于电生理监测的电磁电极共成的垂直有机电化学晶体</w:t>
        </w:r>
      </w:hyperlink>
    </w:p>
    <w:p>
      <w:pPr>
        <w:spacing w:before="0" w:after="80"/>
      </w:pPr>
      <w:r>
        <w:rPr>
          <w:i/>
          <w:sz w:val="20"/>
        </w:rPr>
        <w:t>EN: Conformal Vertical Organic Electrochemical Transistors With Ion‐Permeable Electrodes for Electrophysiological Monitoring</w:t>
      </w:r>
    </w:p>
    <w:p>
      <w:pPr>
        <w:spacing w:before="0" w:after="120"/>
      </w:pPr>
      <w:r>
        <w:rPr>
          <w:b/>
        </w:rPr>
        <w:t xml:space="preserve">Source: </w:t>
      </w:r>
      <w:r>
        <w:t>Wiley: Advanced Materials: Table of Contents</w:t>
      </w:r>
      <w:r>
        <w:t xml:space="preserve">    </w:t>
      </w:r>
      <w:r>
        <w:rPr>
          <w:b/>
        </w:rPr>
        <w:t xml:space="preserve">Pub date: </w:t>
      </w:r>
      <w:r>
        <w:t>2026-01-07 05:18:50+00:00</w:t>
      </w:r>
      <w:r>
        <w:t xml:space="preserve">    </w:t>
      </w:r>
      <w:r>
        <w:rPr>
          <w:b/>
        </w:rPr>
        <w:t xml:space="preserve">DOI: </w:t>
      </w:r>
      <w:hyperlink r:id="rId307">
        <w:r>
          <w:rPr>
            <w:color w:val="1155CC"/>
            <w:u w:val="single"/>
          </w:rPr>
          <w:t>10.1002/adma.202511945</w:t>
        </w:r>
      </w:hyperlink>
    </w:p>
    <w:p>
      <w:pPr>
        <w:spacing w:before="0" w:after="120"/>
      </w:pPr>
      <w:r>
        <w:rPr>
          <w:b/>
        </w:rPr>
        <w:t xml:space="preserve">Notes: </w:t>
      </w:r>
      <w:r>
        <w:t>abstract_source=crossref</w:t>
      </w:r>
    </w:p>
    <w:p>
      <w:pPr>
        <w:spacing w:before="0" w:after="80" w:lineRule="auto" w:line="276"/>
      </w:pPr>
      <w:r>
        <w:rPr>
          <w:b/>
        </w:rPr>
        <w:t xml:space="preserve">摘要（ZH）: </w:t>
      </w:r>
      <w:r>
        <w:t>ABSTACT 以纺织品为基础的有机电化学晶体管(OECTs)为可磨损的健康监测提供了独特的优势,但它们的性能往往受到相对缓慢的离子动力的制约。在这里,我们通过开发一个通过电镀制造的相容、纳米纤维垂直OECT(NFVOECT)平台克服了这一限制。该设备将垂直堆叠的半导体通道与关键的离子-渗透式纳米纤维电极结合起来。这些多孔电极促进了与活性层的直接垂直电离子交换,使高效的频道调节能够保持良好的呼吸能力和机械适应性。由此形成的NFVECTs展示了高达57.5mS的高转导,快速反应时间为11.7ms和稳定的低挥发性。</w:t>
      </w:r>
    </w:p>
    <w:p>
      <w:pPr>
        <w:spacing w:before="0" w:after="200" w:lineRule="auto" w:line="276"/>
      </w:pPr>
      <w:r>
        <w:rPr>
          <w:b/>
        </w:rPr>
        <w:t xml:space="preserve">Abstract (EN): </w:t>
      </w:r>
      <w:r>
        <w:t>Textile‐based organic electrochemical transistors (OECTs) offer unique advantages for wearable health monitoring, yet their performance is often limited by relatively slow ion dynamics. Here, we overcome this limitation by developing a conformal, nanofibrous vertical OECT (NF‐vOECT) platform fabricated via electrospinning. The device integrates vertically stacked semiconductor channels with, critically, ion‐permeable nanofiber electrodes. These porous electrodes facilitate direct vertical ionic exchange with the active layer, enabling highly efficient channel modulation while maintaining excellent breathability and mechanical adaptability. The resulting NF‐vOECTs exhibit a high transconductance of up to 57.5 mS, a fast response time of 11.7 ms, and stable low‐voltage operation, alongside robust mechanical and electrochemical durability. This architecture's amplification and frequency‐selective response contribute to an improved signal‐to‐noise ratio during real‐time electrophysiological signal acquisition. This work establishes a new platform for high‐performance, breathable OECTs, advancing the development of soft bioelectronics for next‐generation wearable applications.</w:t>
      </w:r>
    </w:p>
    <w:p>
      <w:pPr>
        <w:spacing w:before="120" w:after="120"/>
      </w:pPr>
      <w:r>
        <w:rPr>
          <w:sz w:val="18"/>
        </w:rPr>
        <w:t>——————————————————————————————————————————————————————————————————————</w:t>
      </w:r>
    </w:p>
    <w:p>
      <w:pPr>
        <w:spacing w:before="160" w:after="40" w:line="240" w:lineRule="auto"/>
      </w:pPr>
      <w:r>
        <w:rPr>
          <w:b/>
        </w:rPr>
        <w:t xml:space="preserve">[231] </w:t>
      </w:r>
      <w:hyperlink r:id="rId308">
        <w:r>
          <w:rPr>
            <w:color w:val="1155CC"/>
            <w:u w:val="single"/>
          </w:rPr>
          <w:t>在 LiS 电池中触发快速反毒转换的单一原子FeS3MO站点</w:t>
        </w:r>
      </w:hyperlink>
    </w:p>
    <w:p>
      <w:pPr>
        <w:spacing w:before="0" w:after="80"/>
      </w:pPr>
      <w:r>
        <w:rPr>
          <w:i/>
          <w:sz w:val="20"/>
        </w:rPr>
        <w:t>EN: Single‐Atomic Fe‐S3‐Mo Sites Triggered Fast Redox Conversion in Li‐S Batteries</w:t>
      </w:r>
    </w:p>
    <w:p>
      <w:pPr>
        <w:spacing w:before="0" w:after="120"/>
      </w:pPr>
      <w:r>
        <w:rPr>
          <w:b/>
        </w:rPr>
        <w:t xml:space="preserve">Source: </w:t>
      </w:r>
      <w:r>
        <w:t>Wiley: Advanced Energy Materials: Table of Contents</w:t>
      </w:r>
      <w:r>
        <w:t xml:space="preserve">    </w:t>
      </w:r>
      <w:r>
        <w:rPr>
          <w:b/>
        </w:rPr>
        <w:t xml:space="preserve">Pub date: </w:t>
      </w:r>
      <w:r>
        <w:t>2026-01-07 05:19:44+00:00</w:t>
      </w:r>
      <w:r>
        <w:t xml:space="preserve">    </w:t>
      </w:r>
      <w:r>
        <w:rPr>
          <w:b/>
        </w:rPr>
        <w:t xml:space="preserve">DOI: </w:t>
      </w:r>
      <w:hyperlink r:id="rId309">
        <w:r>
          <w:rPr>
            <w:color w:val="1155CC"/>
            <w:u w:val="single"/>
          </w:rPr>
          <w:t>10.1002/aenm.202506699</w:t>
        </w:r>
      </w:hyperlink>
    </w:p>
    <w:p>
      <w:pPr>
        <w:spacing w:before="0" w:after="120"/>
      </w:pPr>
      <w:r>
        <w:rPr>
          <w:b/>
        </w:rPr>
        <w:t xml:space="preserve">Notes: </w:t>
      </w:r>
      <w:r>
        <w:t>abstract_source=crossref</w:t>
      </w:r>
    </w:p>
    <w:p>
      <w:pPr>
        <w:spacing w:before="0" w:after="80" w:lineRule="auto" w:line="276"/>
      </w:pPr>
      <w:r>
        <w:rPr>
          <w:b/>
        </w:rPr>
        <w:t xml:space="preserve">摘要（ZH）: </w:t>
      </w:r>
      <w:r>
        <w:t>ABSTACT 锂硫(LiS)电池由于其高理论能量密度(2600 wh wg -1),成本效益和环保性强,被广泛公认为最有希望的下一代能源储存技术之一,然而,由于电化学反应动力缓慢和锂聚硫化物(LiPS)的有害穿梭效应,这些电池的实际应用受到严重阻碍。 以近100%的原子利用和高催化剂活动为特点的单原子催化剂(SACs)在硫磺化石化石中进行了广泛调查,以加速硫磺再氧化反应,然而,单个单原子场通常在多步骤的催化效果方面有限。</w:t>
      </w:r>
    </w:p>
    <w:p>
      <w:pPr>
        <w:spacing w:before="0" w:after="200" w:lineRule="auto" w:line="276"/>
      </w:pPr>
      <w:r>
        <w:rPr>
          <w:b/>
        </w:rPr>
        <w:t xml:space="preserve">Abstract (EN): </w:t>
      </w:r>
      <w:r>
        <w:t>Lithium‐sulfur (Li‐S) batteries are widely recognized as one of the most promising next‐generation energy storage technologies owing to their high theoretical energy density (∼2600 Wh kg</w:t>
      </w:r>
      <w:r>
        <w:t xml:space="preserve"> </w:t>
      </w:r>
      <w:r>
        <w:t>−1</w:t>
      </w:r>
      <w:r>
        <w:t xml:space="preserve"> </w:t>
      </w:r>
      <w:r>
        <w:t>), cost‐effectiveness, and environmental friendliness. However, their practical application is severely hindered by slow electrochemical reaction kinetics and the detrimental shuttle effect of lithium polysulfides (LiPSs). Single‐atom catalysts (SACs), characterized by nearly 100% atomic utilization and high catalytic activity, have been extensively investigated in sulfur cathodes to accelerate sulfur redox reactions. Nevertheless, individual single‐atom sites usually exhibit limited catalytic efficacy for multi‐step sulfur conversion processes, leading to suboptimal practical performance. Herein, we construct a structure comprising atomically dispersed Fe single atoms anchored on MoS</w:t>
      </w:r>
      <w:r>
        <w:rPr>
          <w:vertAlign w:val="subscript"/>
        </w:rPr>
        <w:t>2</w:t>
      </w:r>
      <w:r>
        <w:t>nanosheets (FeSA‐MoS</w:t>
      </w:r>
      <w:r>
        <w:rPr>
          <w:vertAlign w:val="subscript"/>
        </w:rPr>
        <w:t>2</w:t>
      </w:r>
      <w:r>
        <w:t>@NC), with Fe atoms stabilized at Mo‐top sites via Fe‐S</w:t>
      </w:r>
      <w:r>
        <w:rPr>
          <w:vertAlign w:val="subscript"/>
        </w:rPr>
        <w:t>3</w:t>
      </w:r>
      <w:r>
        <w:t>coordination. This Fe‐S</w:t>
      </w:r>
      <w:r>
        <w:rPr>
          <w:vertAlign w:val="subscript"/>
        </w:rPr>
        <w:t>3</w:t>
      </w:r>
      <w:r>
        <w:t>‐Mo interfacial coupling induces electronic redistribution and enhances host‐guest interactions, thereby significantly boosting both catalytic and adsorption capabilities compared to single‐component systems. As a result, the S/FeSA‐MoS</w:t>
      </w:r>
      <w:r>
        <w:rPr>
          <w:vertAlign w:val="subscript"/>
        </w:rPr>
        <w:t>2</w:t>
      </w:r>
      <w:r>
        <w:t>@NC cathode exhibits superior electrochemical performance, enabling lean‐electrolyte pouch cells to achieve a discharge capacity of 1.72 Ah with an energy density of 302 Wh kg</w:t>
      </w:r>
      <w:r>
        <w:t xml:space="preserve"> </w:t>
      </w:r>
      <w:r>
        <w:t>−1</w:t>
      </w:r>
      <w:r>
        <w:t xml:space="preserve"> </w:t>
      </w:r>
      <w:r>
        <w:t>based on the total cell mass. This work provides a novel strategy for engineering single‐atom catalysts and offers valuable insights into the advancement of high‐performance Li‐S batteries.</w:t>
      </w:r>
    </w:p>
    <w:p>
      <w:pPr>
        <w:spacing w:before="120" w:after="120"/>
      </w:pPr>
      <w:r>
        <w:rPr>
          <w:sz w:val="18"/>
        </w:rPr>
        <w:t>——————————————————————————————————————————————————————————————————————</w:t>
      </w:r>
    </w:p>
    <w:p>
      <w:pPr>
        <w:spacing w:before="160" w:after="40" w:line="240" w:lineRule="auto"/>
      </w:pPr>
      <w:r>
        <w:rPr>
          <w:b/>
        </w:rPr>
        <w:t xml:space="preserve">[232] </w:t>
      </w:r>
      <w:hyperlink r:id="rId310">
        <w:r>
          <w:rPr>
            <w:color w:val="1155CC"/>
            <w:u w:val="single"/>
          </w:rPr>
          <w:t>Lewis酸基分子通过氧氧气空缺进行分子分解,使光膜能够超常和高活性膜,用于碱水电解</w:t>
        </w:r>
      </w:hyperlink>
    </w:p>
    <w:p>
      <w:pPr>
        <w:spacing w:before="0" w:after="80"/>
      </w:pPr>
      <w:r>
        <w:rPr>
          <w:i/>
          <w:sz w:val="20"/>
        </w:rPr>
        <w:t>EN: Lewis Acid‐Base Molecular Anchoring Through Oxygen Vacancies Enables Ultrastable and High‐Conductivity Membranes for Alkaline Water Electrolysis</w:t>
      </w:r>
    </w:p>
    <w:p>
      <w:pPr>
        <w:spacing w:before="0" w:after="120"/>
      </w:pPr>
      <w:r>
        <w:rPr>
          <w:b/>
        </w:rPr>
        <w:t xml:space="preserve">Source: </w:t>
      </w:r>
      <w:r>
        <w:t>Wiley: Advanced Energy Materials: Table of Contents</w:t>
      </w:r>
      <w:r>
        <w:t xml:space="preserve">    </w:t>
      </w:r>
      <w:r>
        <w:rPr>
          <w:b/>
        </w:rPr>
        <w:t xml:space="preserve">Pub date: </w:t>
      </w:r>
      <w:r>
        <w:t>2026-01-07 05:19:46+00:00</w:t>
      </w:r>
      <w:r>
        <w:t xml:space="preserve">    </w:t>
      </w:r>
      <w:r>
        <w:rPr>
          <w:b/>
        </w:rPr>
        <w:t xml:space="preserve">DOI: </w:t>
      </w:r>
      <w:hyperlink r:id="rId311">
        <w:r>
          <w:rPr>
            <w:color w:val="1155CC"/>
            <w:u w:val="single"/>
          </w:rPr>
          <w:t>10.1002/aenm.202506172</w:t>
        </w:r>
      </w:hyperlink>
    </w:p>
    <w:p>
      <w:pPr>
        <w:spacing w:before="0" w:after="120"/>
      </w:pPr>
      <w:r>
        <w:rPr>
          <w:b/>
        </w:rPr>
        <w:t xml:space="preserve">Notes: </w:t>
      </w:r>
      <w:r>
        <w:t>abstract_source=crossref</w:t>
      </w:r>
    </w:p>
    <w:p>
      <w:pPr>
        <w:spacing w:before="0" w:after="80" w:lineRule="auto" w:line="276"/>
      </w:pPr>
      <w:r>
        <w:rPr>
          <w:b/>
        </w:rPr>
        <w:t xml:space="preserve">摘要（ZH）: </w:t>
      </w:r>
      <w:r>
        <w:t>用于绿色氢生产碱水电解的性能严重依赖膜,而膜的性能往往受到离子传导性与气渗透性之间的平衡制约。这里,这一挑战通过以金属氧化纳米粒子为核心的普遍缺陷工程战略来克服。我们通过在zirconic(ZrO 2)中制造高密度的氧气空隙,将纳米粒子转化成有威力的刘易斯酸场地。这个双重功能工程工程师聚合填充器接口为快速OH-运输创造持续、低持久性路径,同时建立强大的刘易斯酸基“分子锚定” t。</w:t>
      </w:r>
    </w:p>
    <w:p>
      <w:pPr>
        <w:spacing w:before="0" w:after="200" w:lineRule="auto" w:line="276"/>
      </w:pPr>
      <w:r>
        <w:rPr>
          <w:b/>
        </w:rPr>
        <w:t xml:space="preserve">Abstract (EN): </w:t>
      </w:r>
      <w:r>
        <w:t>The performance of alkaline water electrolysis for green hydrogen production is critically dependent on membrane, which is often constrained by a trade‐off between ionic conductivity and gas impermeability. Here, this challenge is overcome through a universal defect engineering strategy centered on metal oxide nanoparticles. By creating a high density of oxygen vacancies in zirconia (ZrO</w:t>
      </w:r>
      <w:r>
        <w:rPr>
          <w:vertAlign w:val="subscript"/>
        </w:rPr>
        <w:t>2</w:t>
      </w:r>
      <w:r>
        <w:t>), we transform the nanoparticles into potent Lewis acid sites. This dual functionality engineers the polymer‐filler interface to create continuous, low‐resistance pathways for rapid OH</w:t>
      </w:r>
      <w:r>
        <w:t xml:space="preserve"> </w:t>
      </w:r>
      <w:r>
        <w:t>−</w:t>
      </w:r>
      <w:r>
        <w:t>transport, while simultaneously establishing strong Lewis acid‐base “molecular anchoring” to the polymer matrix and support mesh. This robust interfacial cohesion yields a thin composite membrane (≈190 µm) with an ultralow area resistance (0.08 Ω cm</w:t>
      </w:r>
      <w:r>
        <w:rPr>
          <w:vertAlign w:val="subscript"/>
        </w:rPr>
        <w:t>2</w:t>
      </w:r>
      <w:r>
        <w:t>) and a remarkable bubble point pressure (5.6 bar). Consequently, an AWE cell achieves an relevant current density of 2 A cm</w:t>
      </w:r>
      <w:r>
        <w:t xml:space="preserve"> </w:t>
      </w:r>
      <w:r>
        <w:t>−2</w:t>
      </w:r>
      <w:r>
        <w:t xml:space="preserve"> </w:t>
      </w:r>
      <w:r>
        <w:t>at only 1.82 V and demonstrates exceptional durability over 730 h. This vacancy‐mediated interfacial engineering paradigm, proven effective for TiO</w:t>
      </w:r>
      <w:r>
        <w:rPr>
          <w:vertAlign w:val="subscript"/>
        </w:rPr>
        <w:t>2</w:t>
      </w:r>
      <w:r>
        <w:t>and CeO</w:t>
      </w:r>
      <w:r>
        <w:rPr>
          <w:vertAlign w:val="subscript"/>
        </w:rPr>
        <w:t>2</w:t>
      </w:r>
      <w:r>
        <w:t>as well, offers a powerful and broadly applicable strategy for developing advanced membranes for electrochemical energy systems.</w:t>
      </w:r>
    </w:p>
    <w:p>
      <w:pPr>
        <w:spacing w:before="120" w:after="120"/>
      </w:pPr>
      <w:r>
        <w:rPr>
          <w:sz w:val="18"/>
        </w:rPr>
        <w:t>——————————————————————————————————————————————————————————————————————</w:t>
      </w:r>
    </w:p>
    <w:p>
      <w:pPr>
        <w:spacing w:before="160" w:after="40" w:line="240" w:lineRule="auto"/>
      </w:pPr>
      <w:r>
        <w:rPr>
          <w:b/>
        </w:rPr>
        <w:t xml:space="preserve">[233] </w:t>
      </w:r>
      <w:hyperlink r:id="rId312">
        <w:r>
          <w:rPr>
            <w:color w:val="1155CC"/>
            <w:u w:val="single"/>
          </w:rPr>
          <w:t>Perovskite 地表硫化和电传连接连接,以高效和稳定地倒置 Perovskite太阳能电池</w:t>
        </w:r>
      </w:hyperlink>
    </w:p>
    <w:p>
      <w:pPr>
        <w:spacing w:before="0" w:after="80"/>
      </w:pPr>
      <w:r>
        <w:rPr>
          <w:i/>
          <w:sz w:val="20"/>
        </w:rPr>
        <w:t>EN: Resonance‐Hybridized Molecule Driven Perovskite Surface Sulfidation and Electron‐Transport Bridging for Efficient and Stable Inverted Perovskite Solar Cells</w:t>
      </w:r>
    </w:p>
    <w:p>
      <w:pPr>
        <w:spacing w:before="0" w:after="120"/>
      </w:pPr>
      <w:r>
        <w:rPr>
          <w:b/>
        </w:rPr>
        <w:t xml:space="preserve">Source: </w:t>
      </w:r>
      <w:r>
        <w:t>Wiley: Advanced Energy Materials: Table of Contents</w:t>
      </w:r>
      <w:r>
        <w:t xml:space="preserve">    </w:t>
      </w:r>
      <w:r>
        <w:rPr>
          <w:b/>
        </w:rPr>
        <w:t xml:space="preserve">Pub date: </w:t>
      </w:r>
      <w:r>
        <w:t>2026-01-07 05:21:00+00:00</w:t>
      </w:r>
      <w:r>
        <w:t xml:space="preserve">    </w:t>
      </w:r>
      <w:r>
        <w:rPr>
          <w:b/>
        </w:rPr>
        <w:t xml:space="preserve">DOI: </w:t>
      </w:r>
      <w:hyperlink r:id="rId313">
        <w:r>
          <w:rPr>
            <w:color w:val="1155CC"/>
            <w:u w:val="single"/>
          </w:rPr>
          <w:t>10.1002/aenm.202505418</w:t>
        </w:r>
      </w:hyperlink>
    </w:p>
    <w:p>
      <w:pPr>
        <w:spacing w:before="0" w:after="120"/>
      </w:pPr>
      <w:r>
        <w:rPr>
          <w:b/>
        </w:rPr>
        <w:t xml:space="preserve">Notes: </w:t>
      </w:r>
      <w:r>
        <w:t>abstract_source=crossref</w:t>
      </w:r>
    </w:p>
    <w:p>
      <w:pPr>
        <w:spacing w:before="0" w:after="80" w:lineRule="auto" w:line="276"/>
      </w:pPr>
      <w:r>
        <w:rPr>
          <w:b/>
        </w:rPr>
        <w:t xml:space="preserve">摘要（ZH）: </w:t>
      </w:r>
      <w:r>
        <w:t>在倒转的百草枯太阳能电池(PSCs)中,ABSTACT Inverd perovskite太阳能电池(PSCs)的中间和散装问题限制了它们的性能和稳定性,同时制定解决这些问题的监管条例仍然具有挑战性。 这里,基于共振-氢合二氢异丙基硫尿衍生物的简单多功能散装/界面监管战略(1(3(1-Himidazol-1)丙基)3(3⁄4-dimephythoxyoxy苯基)thiourea,HP3T)将同时解决这些问题。 该战略利用HP3T的再感应重新配置和能量水平来实现成熟的渗透地表阻裂,在渗透地表面/草地边界形成稳定的Pb-Spidation,同时为在渗透层和(6,6)苯(C)之间进行光源载运的运输建造分子桥通道。</w:t>
      </w:r>
    </w:p>
    <w:p>
      <w:pPr>
        <w:spacing w:before="0" w:after="200" w:lineRule="auto" w:line="276"/>
      </w:pPr>
      <w:r>
        <w:rPr>
          <w:b/>
        </w:rPr>
        <w:t xml:space="preserve">Abstract (EN): </w:t>
      </w:r>
      <w:r>
        <w:t>Interfacial and bulk issues in inverted perovskite solar cells (PSCs) limit their performance and stability, and simultaneous regulation to address these issues remains challenging. Here, a simple multifunctional bulk/interface regulation strategy based on a resonance‐hybridized thiourea derivative (1‐(3‐(1H‐imidazol‐1‐yl)propyl)‐3‐(3,4‐dimethoxyphenyl)thiourea, HP3T) is proposed to simultaneously address these issues. This strategy leverages HP3T resonance rearrangement and energy levels to realize mature perovskite surface sulfidation, forming stable Pb–S passivation on the perovskite surface/grain boundaries while constructing a molecular bridge channel for photogenerated carrier transport between the perovskite and (6,6)‐phenyl‐C</w:t>
      </w:r>
      <w:r>
        <w:rPr>
          <w:vertAlign w:val="subscript"/>
        </w:rPr>
        <w:t>61</w:t>
      </w:r>
      <w:r>
        <w:t>butyric acid methyl ester (PCBM). Meanwhile, this post‐treatment improves perovskite film quality/hydrophobicity, constructs an n–n junction on it, enhances PCBM's film‐forming quality, and alleviates residual stress in the perovskite film. Benefiting from HP3T's multifunctional regulation, the carrier transport dynamics of the device improved, greatly enhancing the performance. As a result, 25.97% and 24.67% efficiencies for rigid and flexible devices were achieved, respectively, ranking these devices among the best‐performing inverted PSCs fabricated using thiourea‐derived or simple interface‐passivation strategies. Furthermore, HP3T significantly enhanced the mechanical stability of the device. After aging (3840 h in N</w:t>
      </w:r>
      <w:r>
        <w:rPr>
          <w:vertAlign w:val="subscript"/>
        </w:rPr>
        <w:t>2</w:t>
      </w:r>
      <w:r>
        <w:t>, 1200 h in air, and 565 h under maximum power‐point tracking), the device retained ∼90% of its initial efficiency.</w:t>
      </w:r>
    </w:p>
    <w:p>
      <w:pPr>
        <w:spacing w:before="120" w:after="120"/>
      </w:pPr>
      <w:r>
        <w:rPr>
          <w:sz w:val="18"/>
        </w:rPr>
        <w:t>——————————————————————————————————————————————————————————————————————</w:t>
      </w:r>
    </w:p>
    <w:p>
      <w:pPr>
        <w:spacing w:before="160" w:after="40" w:line="240" w:lineRule="auto"/>
      </w:pPr>
      <w:r>
        <w:rPr>
          <w:b/>
        </w:rPr>
        <w:t xml:space="preserve">[234] </w:t>
      </w:r>
      <w:hyperlink r:id="rId314">
        <w:r>
          <w:rPr>
            <w:color w:val="1155CC"/>
            <w:u w:val="single"/>
          </w:rPr>
          <w:t>实现减少电气废物</w:t>
        </w:r>
      </w:hyperlink>
    </w:p>
    <w:p>
      <w:pPr>
        <w:spacing w:before="0" w:after="80"/>
      </w:pPr>
      <w:r>
        <w:rPr>
          <w:i/>
          <w:sz w:val="20"/>
        </w:rPr>
        <w:t>EN: Full‐Textile Electrostimulation Realizing Electrical Waste Reduction</w:t>
      </w:r>
    </w:p>
    <w:p>
      <w:pPr>
        <w:spacing w:before="0" w:after="120"/>
      </w:pPr>
      <w:r>
        <w:rPr>
          <w:b/>
        </w:rPr>
        <w:t xml:space="preserve">Source: </w:t>
      </w:r>
      <w:r>
        <w:t>Wiley: Advanced Energy Materials: Table of Contents</w:t>
      </w:r>
      <w:r>
        <w:t xml:space="preserve">    </w:t>
      </w:r>
      <w:r>
        <w:rPr>
          <w:b/>
        </w:rPr>
        <w:t xml:space="preserve">Pub date: </w:t>
      </w:r>
      <w:r>
        <w:t>2026-01-07 05:22:38+00:00</w:t>
      </w:r>
      <w:r>
        <w:t xml:space="preserve">    </w:t>
      </w:r>
      <w:r>
        <w:rPr>
          <w:b/>
        </w:rPr>
        <w:t xml:space="preserve">DOI: </w:t>
      </w:r>
      <w:hyperlink r:id="rId315">
        <w:r>
          <w:rPr>
            <w:color w:val="1155CC"/>
            <w:u w:val="single"/>
          </w:rPr>
          <w:t>10.1002/aenm.202504607</w:t>
        </w:r>
      </w:hyperlink>
    </w:p>
    <w:p>
      <w:pPr>
        <w:spacing w:before="0" w:after="120"/>
      </w:pPr>
      <w:r>
        <w:rPr>
          <w:b/>
        </w:rPr>
        <w:t xml:space="preserve">Notes: </w:t>
      </w:r>
      <w:r>
        <w:t>abstract_source=crossref</w:t>
      </w:r>
    </w:p>
    <w:p>
      <w:pPr>
        <w:spacing w:before="0" w:after="80" w:lineRule="auto" w:line="276"/>
      </w:pPr>
      <w:r>
        <w:rPr>
          <w:b/>
        </w:rPr>
        <w:t xml:space="preserve">摘要（ZH）: </w:t>
      </w:r>
      <w:r>
        <w:t>ABSTACT 重电子刺激装置可以提高锻炼性能和援助回收;然而,传统系统往往需要外部电源和电线,这限制了机动性,助长了电子废物(电子废物)的产生。在本研究中,我们引入了完全纺织的电刺激系统WEQStim,该系统将刺激直接纳入衣物,消除了对额外装置的需求。WEQStim使用机体相混合的能源转移(BCET)以及导电材料和绝缘材料的独特安排,WEQStim在没有电池或发电机的情况下提供需要的电刺激。该系统通过有限元素分析设计,并通过人类生理性能测试和磨损性研究加以验证。</w:t>
      </w:r>
    </w:p>
    <w:p>
      <w:pPr>
        <w:spacing w:before="0" w:after="200" w:lineRule="auto" w:line="276"/>
      </w:pPr>
      <w:r>
        <w:rPr>
          <w:b/>
        </w:rPr>
        <w:t xml:space="preserve">Abstract (EN): </w:t>
      </w:r>
      <w:r>
        <w:t>Wearable electrostimulation devices can enhance exercise performance and aid recovery; however, traditional systems often require external power sources and wiring, which limit mobility and contribute to electronic waste (e‐waste). In this study, we introduce WE‐Stim, a fully textile‐based electrostimulation system that integrates stimulation directly into clothing, eliminating the need for additional devices. Using body‐coupled energy transfer (BcET) and a unique arrangement of conductive and insulating materials, WE‐Stim delivers on‐demand electrical stimulation without batteries or generators. The system is designed through finite element analysis (FEA) and validated with human physiological performance tests and wearability studies. Results demonstrated substantial improvements in exercise performance, along with reductions in muscle soreness and edema. WE‐Stim presents a practical, sustainable solution for wearable electrostimulation, addressing the limitations of traditional systems by providing wireless, efficient stimulation for daily use.</w:t>
      </w:r>
    </w:p>
    <w:p>
      <w:pPr>
        <w:spacing w:before="120" w:after="120"/>
      </w:pPr>
      <w:r>
        <w:rPr>
          <w:sz w:val="18"/>
        </w:rPr>
        <w:t>——————————————————————————————————————————————————————————————————————</w:t>
      </w:r>
    </w:p>
    <w:p>
      <w:pPr>
        <w:spacing w:before="160" w:after="40" w:line="240" w:lineRule="auto"/>
      </w:pPr>
      <w:r>
        <w:rPr>
          <w:b/>
        </w:rPr>
        <w:t xml:space="preserve">[235] </w:t>
      </w:r>
      <w:hyperlink r:id="rId316">
        <w:r>
          <w:rPr>
            <w:color w:val="1155CC"/>
            <w:u w:val="single"/>
          </w:rPr>
          <w:t>全湿热超紫外超光谱MXene基光热转换器的 AI指导钝化范式设备</w:t>
        </w:r>
      </w:hyperlink>
    </w:p>
    <w:p>
      <w:pPr>
        <w:spacing w:before="0" w:after="80"/>
      </w:pPr>
      <w:r>
        <w:rPr>
          <w:i/>
          <w:sz w:val="20"/>
        </w:rPr>
        <w:t>EN: Quantum to Device AI‐Guided Passivation Paradigm for All‐Weather Ultrastable MXene Based Photothermal Converter</w:t>
      </w:r>
    </w:p>
    <w:p>
      <w:pPr>
        <w:spacing w:before="0" w:after="120"/>
      </w:pPr>
      <w:r>
        <w:rPr>
          <w:b/>
        </w:rPr>
        <w:t xml:space="preserve">Source: </w:t>
      </w:r>
      <w:r>
        <w:t>Wiley: Advanced Materials: Table of Contents</w:t>
      </w:r>
      <w:r>
        <w:t xml:space="preserve">    </w:t>
      </w:r>
      <w:r>
        <w:rPr>
          <w:b/>
        </w:rPr>
        <w:t xml:space="preserve">Pub date: </w:t>
      </w:r>
      <w:r>
        <w:t>2026-01-07 05:25:08+00:00</w:t>
      </w:r>
      <w:r>
        <w:t xml:space="preserve">    </w:t>
      </w:r>
      <w:r>
        <w:rPr>
          <w:b/>
        </w:rPr>
        <w:t xml:space="preserve">DOI: </w:t>
      </w:r>
      <w:hyperlink r:id="rId317">
        <w:r>
          <w:rPr>
            <w:color w:val="1155CC"/>
            <w:u w:val="single"/>
          </w:rPr>
          <w:t>10.1002/adma.202519482</w:t>
        </w:r>
      </w:hyperlink>
    </w:p>
    <w:p>
      <w:pPr>
        <w:spacing w:before="0" w:after="120"/>
      </w:pPr>
      <w:r>
        <w:rPr>
          <w:b/>
        </w:rPr>
        <w:t xml:space="preserve">Notes: </w:t>
      </w:r>
      <w:r>
        <w:t>abstract_source=crossref</w:t>
      </w:r>
    </w:p>
    <w:p>
      <w:pPr>
        <w:spacing w:before="0" w:after="80" w:lineRule="auto" w:line="276"/>
      </w:pPr>
      <w:r>
        <w:rPr>
          <w:b/>
        </w:rPr>
        <w:t xml:space="preserve">摘要（ZH）: </w:t>
      </w:r>
      <w:r>
        <w:t>甲基苯甲醚的ABSTACT光热效率来自电子结构和粘合物动态之间的复杂相互作用,然而,电子-双电联动(EPC)的精确贡献仍然不为人所熟知。 通过将非非非非非非航空载体动力学模拟与州溶解电子-光非相联性分析相结合,对控制甲基苯甲胺材料中光热转换的内在机制进行了解释。 研究结果显示,甲基苯光热性能是由电联导渠道和热磷聚积的内在等级决定的,而变形非辐射性再组合则作为次要渠道并最终损害长期光热稳定性。</w:t>
      </w:r>
    </w:p>
    <w:p>
      <w:pPr>
        <w:spacing w:before="0" w:after="200" w:lineRule="auto" w:line="276"/>
      </w:pPr>
      <w:r>
        <w:rPr>
          <w:b/>
        </w:rPr>
        <w:t xml:space="preserve">Abstract (EN): </w:t>
      </w:r>
      <w:r>
        <w:t>Photothermal efficiency in MXenes arises from the complex interplay between electronic structure and lattice dynamics, yet the precise contribution of electron–phonon coupling (EPC) remains poorly understood. By integrating ab initio nonadiabatic carrier‐dynamics simulations with state‐resolved electron–phonon‐coupling analysis, the intrinsic mechanisms governing photothermal conversion in MXene materials are elucidated. Results reveal that MXene photothermal performance is dictated by an intrinsic hierarchy of EPC channels and hot‐phonon accumulation, whereas defect‐mediated non‐radiative recombination serves as a secondary channel and ultimately compromises long‐term photothermal stability. Building on this mechanistic insight, a physics‐inspired and AI‐assisted molecular‐screening framework is developed to identify surface passivation chemistries capable of extending hot carrier lifetimes and mitigating phonon bottlenecks. Guided by this paradigm, a composite film endowed with a concave‐spherical light‐trapping array was fabricated, leading to substantial improvements in photothermal conversion efficiency and operational stability. This quantum‐to‐device co‐design paradigm transcends MXenes, providing a data‐driven, systematic design pathway that integrates fundamental theory with surface passivation to accelerate the advancement of durable photothermal devices tailored for sustainable energy applications.</w:t>
      </w:r>
    </w:p>
    <w:p>
      <w:pPr>
        <w:spacing w:before="120" w:after="120"/>
      </w:pPr>
      <w:r>
        <w:rPr>
          <w:sz w:val="18"/>
        </w:rPr>
        <w:t>——————————————————————————————————————————————————————————————————————</w:t>
      </w:r>
    </w:p>
    <w:p>
      <w:pPr>
        <w:spacing w:before="160" w:after="40" w:line="240" w:lineRule="auto"/>
      </w:pPr>
      <w:r>
        <w:rPr>
          <w:b/>
        </w:rPr>
        <w:t xml:space="preserve">[236] </w:t>
      </w:r>
      <w:hyperlink r:id="rId318">
        <w:r>
          <w:rPr>
            <w:color w:val="1155CC"/>
            <w:u w:val="single"/>
          </w:rPr>
          <w:t>在光电化H2生成中,与用于碘化的碘化经检测的减少光电化H2生成电磁粒的金枪鱼分离离离亚离离离离离离离离离离子侧链相混合的多电化物</w:t>
        </w:r>
      </w:hyperlink>
    </w:p>
    <w:p>
      <w:pPr>
        <w:spacing w:before="0" w:after="80"/>
      </w:pPr>
      <w:r>
        <w:rPr>
          <w:i/>
          <w:sz w:val="20"/>
        </w:rPr>
        <w:t>EN: Conjugated Polyelectrolytes with Tunable Ionic Side Chains for Iodide‐Mediated Pt Reduction in Photoelectrochemical H2 Generation</w:t>
      </w:r>
    </w:p>
    <w:p>
      <w:pPr>
        <w:spacing w:before="0" w:after="120"/>
      </w:pPr>
      <w:r>
        <w:rPr>
          <w:b/>
        </w:rPr>
        <w:t xml:space="preserve">Source: </w:t>
      </w:r>
      <w:r>
        <w:t>Wiley: Advanced Energy Materials: Table of Contents</w:t>
      </w:r>
      <w:r>
        <w:t xml:space="preserve">    </w:t>
      </w:r>
      <w:r>
        <w:rPr>
          <w:b/>
        </w:rPr>
        <w:t xml:space="preserve">Pub date: </w:t>
      </w:r>
      <w:r>
        <w:t>2026-01-07 05:25:40+00:00</w:t>
      </w:r>
      <w:r>
        <w:t xml:space="preserve">    </w:t>
      </w:r>
      <w:r>
        <w:rPr>
          <w:b/>
        </w:rPr>
        <w:t xml:space="preserve">DOI: </w:t>
      </w:r>
      <w:hyperlink r:id="rId319">
        <w:r>
          <w:rPr>
            <w:color w:val="1155CC"/>
            <w:u w:val="single"/>
          </w:rPr>
          <w:t>10.1002/aenm.202505450</w:t>
        </w:r>
      </w:hyperlink>
    </w:p>
    <w:p>
      <w:pPr>
        <w:spacing w:before="0" w:after="120"/>
      </w:pPr>
      <w:r>
        <w:rPr>
          <w:b/>
        </w:rPr>
        <w:t xml:space="preserve">Notes: </w:t>
      </w:r>
      <w:r>
        <w:t>abstract_source=crossref</w:t>
      </w:r>
    </w:p>
    <w:p>
      <w:pPr>
        <w:spacing w:before="0" w:after="80" w:lineRule="auto" w:line="276"/>
      </w:pPr>
      <w:r>
        <w:rPr>
          <w:b/>
        </w:rPr>
        <w:t xml:space="preserve">摘要（ZH）: </w:t>
      </w:r>
      <w:r>
        <w:t>有机光电化学电池(OPECs)的有效氢生成需要精确的干涉工程,以实现统一的金属催化剂沉积,在疏水有机光化有机体表面增加水湿度和高效电荷转移。在这里,我们引入了非型同质聚乙酸酯(CPEs)作为电子运输层来应对这些挑战。调查了两种基于具有独特离子离子元素的氯化萘二酰二酰基脊柱的CPE:一种zwitritic sulfobetaine (PNDI3) 和一种四硝酸铵碘(PNDINI) 。两种聚苯乙烯都大大提高了地表湿性,并且比没有氯乙烯聚苯乙烯的光电聚醚(PCPE)推动了统一的Pt纳米粒沉积。特别是,PNDINI使碘化-氯得以。</w:t>
      </w:r>
    </w:p>
    <w:p>
      <w:pPr>
        <w:spacing w:before="0" w:after="200" w:lineRule="auto" w:line="276"/>
      </w:pPr>
      <w:r>
        <w:rPr>
          <w:b/>
        </w:rPr>
        <w:t xml:space="preserve">Abstract (EN): </w:t>
      </w:r>
      <w:r>
        <w:t>Effective hydrogen generation in organic photoelectrochemical cells (OPECs) requires precise interfacial engineering to achieve uniform metal catalyst deposition, with enhanced water wetting and efficient charge transfer on the hydrophobic organic photoelectrode surface. Herein, we introduce n‐type conjugated polyelectrolytes (CPEs) as electron transport layers to address these challenges. Two CPEs based on a naphthalene diimide backbone with distinct ionic substituents were investigated: a zwitterionic sulfobetaine (PNDI‐Z3) and a quaternary ammonium iodide (PNDI‐NI). Both CPEs significantly enhance surface wettability and promote uniform Pt nanoparticle deposition compared to photocathodes without CPEs. Notably, PNDI‐NI enables iodide–chloride exchange with platinate precursors, accelerating the photoreduction of Pt</w:t>
      </w:r>
      <w:r>
        <w:t xml:space="preserve"> </w:t>
      </w:r>
      <w:r>
        <w:t>IV</w:t>
      </w:r>
      <w:r>
        <w:t xml:space="preserve"> </w:t>
      </w:r>
      <w:r>
        <w:t>to Pt</w:t>
      </w:r>
      <w:r>
        <w:t xml:space="preserve"> </w:t>
      </w:r>
      <w:r>
        <w:t>II</w:t>
      </w:r>
      <w:r>
        <w:t xml:space="preserve"> </w:t>
      </w:r>
      <w:r>
        <w:t>and ensuring strong immobilization of Pt species. Further reduction to metallic Pt</w:t>
      </w:r>
      <w:r>
        <w:rPr>
          <w:vertAlign w:val="subscript"/>
        </w:rPr>
        <w:t>0</w:t>
      </w:r>
      <w:r>
        <w:t>occurs during PEC operation under applied reduction potential. Density functional theory (DFT) calculations confirm the pivotal role of iodide in facilitating this reduction pathway. The resulting PNDI‐NI‐modified photocathode achieves a photocurrent density of 17.7 mA cm</w:t>
      </w:r>
      <w:r>
        <w:t xml:space="preserve"> </w:t>
      </w:r>
      <w:r>
        <w:t>−2</w:t>
      </w:r>
      <w:r>
        <w:t xml:space="preserve"> </w:t>
      </w:r>
      <w:r>
        <w:t>and an applied bias photon‐to‐current efficiency of 8.88%, representing the highest performance among reported organic photocathodes, alongside superior operational stability confirmed by chronoamperometry. These findings highlight ionically engineered CPEs as a promising strategy for coupling efficient Pt deposition and reduction with enhanced photoelectrochemical performance and durability of OPEC devices.</w:t>
      </w:r>
    </w:p>
    <w:p>
      <w:pPr>
        <w:spacing w:before="120" w:after="120"/>
      </w:pPr>
      <w:r>
        <w:rPr>
          <w:sz w:val="18"/>
        </w:rPr>
        <w:t>——————————————————————————————————————————————————————————————————————</w:t>
      </w:r>
    </w:p>
    <w:p>
      <w:pPr>
        <w:spacing w:before="160" w:after="40" w:line="240" w:lineRule="auto"/>
      </w:pPr>
      <w:r>
        <w:rPr>
          <w:b/>
        </w:rPr>
        <w:t xml:space="preserve">[237] </w:t>
      </w:r>
      <w:hyperlink r:id="rId320">
        <w:r>
          <w:rPr>
            <w:color w:val="1155CC"/>
            <w:u w:val="single"/>
          </w:rPr>
          <w:t>分子平台上的适应性O2活性:促进Spiro OMETAD 高效碳基Perovskite太阳能电池制作</w:t>
        </w:r>
      </w:hyperlink>
    </w:p>
    <w:p>
      <w:pPr>
        <w:spacing w:before="0" w:after="80"/>
      </w:pPr>
      <w:r>
        <w:rPr>
          <w:i/>
          <w:sz w:val="20"/>
        </w:rPr>
        <w:t>EN: Adaptive O2 Activation on a Molecular Platform: Promoting Spiro‐OMeTAD Doping for High Efficiency Carbon‐Based Perovskite Solar Cells</w:t>
      </w:r>
    </w:p>
    <w:p>
      <w:pPr>
        <w:spacing w:before="0" w:after="120"/>
      </w:pPr>
      <w:r>
        <w:rPr>
          <w:b/>
        </w:rPr>
        <w:t xml:space="preserve">Source: </w:t>
      </w:r>
      <w:r>
        <w:t>Wiley: Advanced Energy Materials: Table of Contents</w:t>
      </w:r>
      <w:r>
        <w:t xml:space="preserve">    </w:t>
      </w:r>
      <w:r>
        <w:rPr>
          <w:b/>
        </w:rPr>
        <w:t xml:space="preserve">Pub date: </w:t>
      </w:r>
      <w:r>
        <w:t>2026-01-07 05:27:26+00:00</w:t>
      </w:r>
      <w:r>
        <w:t xml:space="preserve">    </w:t>
      </w:r>
      <w:r>
        <w:rPr>
          <w:b/>
        </w:rPr>
        <w:t xml:space="preserve">DOI: </w:t>
      </w:r>
      <w:hyperlink r:id="rId321">
        <w:r>
          <w:rPr>
            <w:color w:val="1155CC"/>
            <w:u w:val="single"/>
          </w:rPr>
          <w:t>10.1002/aenm.202506649</w:t>
        </w:r>
      </w:hyperlink>
    </w:p>
    <w:p>
      <w:pPr>
        <w:spacing w:before="0" w:after="120"/>
      </w:pPr>
      <w:r>
        <w:rPr>
          <w:b/>
        </w:rPr>
        <w:t xml:space="preserve">Notes: </w:t>
      </w:r>
      <w:r>
        <w:t>abstract_source=crossref</w:t>
      </w:r>
    </w:p>
    <w:p>
      <w:pPr>
        <w:spacing w:before="0" w:after="80" w:lineRule="auto" w:line="276"/>
      </w:pPr>
      <w:r>
        <w:rPr>
          <w:b/>
        </w:rPr>
        <w:t xml:space="preserve">摘要（ZH）: </w:t>
      </w:r>
      <w:r>
        <w:t>2,2 ',7,7 tetrakis[N, Ndi(4-甲基苯氧)氨基] 9,9spirobiflorenene(Spiro OMETAD),这是在千草枯太阳能电池(PSCs)中广泛使用的一种孔径运输材料,主要依靠平铺来改进其电子特性,这通常是通过环境O 2氧化来实现的。然而,由于O 2向Spiro-OMTAD氧化过程的内在惰性,Spiro-OMETAD的剂量水平仍然受到限制。在本研究中,我们引入了一种有效的方法来提高Spiro-OMETAD的剂量水平,使用碳纳米喇叭(CNH)的单梯原子作为分子平台在涡轮中激活O 2。</w:t>
      </w:r>
    </w:p>
    <w:p>
      <w:pPr>
        <w:spacing w:before="0" w:after="200" w:lineRule="auto" w:line="276"/>
      </w:pPr>
      <w:r>
        <w:rPr>
          <w:b/>
        </w:rPr>
        <w:t xml:space="preserve">Abstract (EN): </w:t>
      </w:r>
      <w:r>
        <w:t>The 2,2’,7,7’‐tetrakis[N, N‐di(4‐methoxyphenyl)amino]‐9,9’‐spirobifluorene (Spiro‐OMeTAD), a widely used hole transport material in perovskite solar cells (PSCs), heavily relies on p‐doping for improving its electrical properties, which is typically achieved through ambient O</w:t>
      </w:r>
      <w:r>
        <w:rPr>
          <w:vertAlign w:val="subscript"/>
        </w:rPr>
        <w:t>2</w:t>
      </w:r>
      <w:r>
        <w:t>oxidation. Nevertheless, as a result of the inherent inertness of O</w:t>
      </w:r>
      <w:r>
        <w:rPr>
          <w:vertAlign w:val="subscript"/>
        </w:rPr>
        <w:t>2</w:t>
      </w:r>
      <w:r>
        <w:t>toward Spiro‐OMeTAD oxidation, the doping level of Spiro‐OMeTAD remains constrained. In this study, we introduce an effective approach to enhance the doping level of Spiro‐OMeTAD employing the single Ti atoms on carbon nanohorns (CNH) as a molecular platform to activate O</w:t>
      </w:r>
      <w:r>
        <w:rPr>
          <w:vertAlign w:val="subscript"/>
        </w:rPr>
        <w:t>2</w:t>
      </w:r>
      <w:r>
        <w:t>, in turn facilitating the oxidation of Spiro‐OMeTAD. The charge transfer between the Ti</w:t>
      </w:r>
      <w:r>
        <w:rPr>
          <w:vertAlign w:val="subscript"/>
        </w:rPr>
        <w:t>1</w:t>
      </w:r>
      <w:r>
        <w:t>‐O</w:t>
      </w:r>
      <w:r>
        <w:rPr>
          <w:vertAlign w:val="subscript"/>
        </w:rPr>
        <w:t>5</w:t>
      </w:r>
      <w:r>
        <w:t>moieties and CNH, resulting from strong metal‐support interaction (SMSI), enhances O</w:t>
      </w:r>
      <w:r>
        <w:rPr>
          <w:vertAlign w:val="subscript"/>
        </w:rPr>
        <w:t>2</w:t>
      </w:r>
      <w:r>
        <w:t>chemisorption, weakens the O─O bond, and promotes O</w:t>
      </w:r>
      <w:r>
        <w:rPr>
          <w:vertAlign w:val="subscript"/>
        </w:rPr>
        <w:t>2</w:t>
      </w:r>
      <w:r>
        <w:t>dissociation, thereby effectively activating O</w:t>
      </w:r>
      <w:r>
        <w:rPr>
          <w:vertAlign w:val="subscript"/>
        </w:rPr>
        <w:t>2</w:t>
      </w:r>
      <w:r>
        <w:t>molecules for the oxidation of Spiro‐OMeTAD. Such sufficient oxidation effectively boosts the doping level of Spiro‐OMeTAD, consequently improving its electrical conductivity. Furthermore, the work function of Spiro‐OMeTAD is also well‐modulated, aligning its energy levels more effectively with the carbon electrode. This strategy significantly minimizes energy loss in charge transfer, allowing carbon‐based PSCs to attain a power conversion efficiency (PCE) of 23.85% (certified at 22.85%). Remarkably, the device retains 96.2% of its initial value after 1000 h of continuous illumination.</w:t>
      </w:r>
    </w:p>
    <w:p>
      <w:pPr>
        <w:spacing w:before="120" w:after="120"/>
      </w:pPr>
      <w:r>
        <w:rPr>
          <w:sz w:val="18"/>
        </w:rPr>
        <w:t>——————————————————————————————————————————————————————————————————————</w:t>
      </w:r>
    </w:p>
    <w:p>
      <w:pPr>
        <w:spacing w:before="160" w:after="40" w:line="240" w:lineRule="auto"/>
      </w:pPr>
      <w:r>
        <w:rPr>
          <w:b/>
        </w:rPr>
        <w:t xml:space="preserve">[238] </w:t>
      </w:r>
      <w:hyperlink r:id="rId322">
        <w:r>
          <w:rPr>
            <w:color w:val="1155CC"/>
            <w:u w:val="single"/>
          </w:rPr>
          <w:t>耐力转换氧化物:机制、性能和装置</w:t>
        </w:r>
      </w:hyperlink>
    </w:p>
    <w:p>
      <w:pPr>
        <w:spacing w:before="0" w:after="80"/>
      </w:pPr>
      <w:r>
        <w:rPr>
          <w:i/>
          <w:sz w:val="20"/>
        </w:rPr>
        <w:t>EN: Resistive Switching Oxides: Mechanism, Performance, and Device‐Algorithm Co‐Design for Artificial Intelligence</w:t>
      </w:r>
    </w:p>
    <w:p>
      <w:pPr>
        <w:spacing w:before="0" w:after="120"/>
      </w:pPr>
      <w:r>
        <w:rPr>
          <w:b/>
        </w:rPr>
        <w:t xml:space="preserve">Source: </w:t>
      </w:r>
      <w:r>
        <w:t>Wiley: Advanced Materials: Table of Contents</w:t>
      </w:r>
      <w:r>
        <w:t xml:space="preserve">    </w:t>
      </w:r>
      <w:r>
        <w:rPr>
          <w:b/>
        </w:rPr>
        <w:t xml:space="preserve">Pub date: </w:t>
      </w:r>
      <w:r>
        <w:t>2026-01-07 05:27:30+00:00</w:t>
      </w:r>
      <w:r>
        <w:t xml:space="preserve">    </w:t>
      </w:r>
      <w:r>
        <w:rPr>
          <w:b/>
        </w:rPr>
        <w:t xml:space="preserve">DOI: </w:t>
      </w:r>
      <w:hyperlink r:id="rId323">
        <w:r>
          <w:rPr>
            <w:color w:val="1155CC"/>
            <w:u w:val="single"/>
          </w:rPr>
          <w:t>10.1002/adma.202517373</w:t>
        </w:r>
      </w:hyperlink>
    </w:p>
    <w:p>
      <w:pPr>
        <w:spacing w:before="0" w:after="120"/>
      </w:pPr>
      <w:r>
        <w:rPr>
          <w:b/>
        </w:rPr>
        <w:t xml:space="preserve">Notes: </w:t>
      </w:r>
      <w:r>
        <w:t>abstract_source=crossref</w:t>
      </w:r>
    </w:p>
    <w:p>
      <w:pPr>
        <w:spacing w:before="0" w:after="80" w:lineRule="auto" w:line="276"/>
      </w:pPr>
      <w:r>
        <w:rPr>
          <w:b/>
        </w:rPr>
        <w:t xml:space="preserve">摘要（ZH）: </w:t>
      </w:r>
      <w:r>
        <w:t>人类大脑是一个自然计算平台,由众多的神经元和突触组成,在学习、记忆和平行数据处理方面优于低能消耗和高效率的低能消耗和平行数据处理。 受大脑启发的硬件在应用神经网络方面至关重要,提供了更高的能效、平行处理能力和非线性动态特性,如适应性和可塑性。 复杂的氧化物表现出丰富的电子元元化状态,使得能够针对电刺激进行多种抵抗性转换动态。 这使得它们能够通过多设备整合在单设备一级实现复杂的生物激发行为和更先进的大脑类似功能。 本审查总结了Resi最近的进展。</w:t>
      </w:r>
    </w:p>
    <w:p>
      <w:pPr>
        <w:spacing w:before="0" w:after="200" w:lineRule="auto" w:line="276"/>
      </w:pPr>
      <w:r>
        <w:rPr>
          <w:b/>
        </w:rPr>
        <w:t xml:space="preserve">Abstract (EN): </w:t>
      </w:r>
      <w:r>
        <w:t>The human brain is a natural computing platform composed of a vast number of neurons and synapses that excels in learning, memory, and parallel data processing with low energy consumption and high efficiency. Brain‐inspired hardware is crucial in the application of neural networks, offering enhanced energy efficiency, parallel processing capabilities, and nonlinear dynamic properties, such as adaptability and plasticity. Complex oxides exhibit rich electrically metastable states, which enable diverse resistive switching dynamics in response to electrical stimuli. This allows them to achieve complex bioinspired behaviors at the single‐device level and more advanced brain‐like functions through multidevice integration. This review summarizes recent advances in resistive switching of complex oxides with a focus on the underlying physical mechanisms and application‐driven device‐algorithm co‐design. It first elucidates the materials science and multiscale mechanisms of the switchable electrical characteristics of complex oxides. Next, the resistive switching behaviors of complex oxide devices and a survey of their state‐of‐the‐art performance are discussed. Additionally, from the perspective of brain‐inspired computing, device‐level biomimetic applications and task‐driven circuit‐algorithm co‐designs are explored. Finally, the current challenges of complex oxide devices are summarized, and an outlook for the development of complex oxide neuromorphic devices is provided.</w:t>
      </w:r>
    </w:p>
    <w:p>
      <w:pPr>
        <w:spacing w:before="120" w:after="120"/>
      </w:pPr>
      <w:r>
        <w:rPr>
          <w:sz w:val="18"/>
        </w:rPr>
        <w:t>——————————————————————————————————————————————————————————————————————</w:t>
      </w:r>
    </w:p>
    <w:p>
      <w:pPr>
        <w:spacing w:before="160" w:after="40" w:line="240" w:lineRule="auto"/>
      </w:pPr>
      <w:r>
        <w:rPr>
          <w:b/>
        </w:rPr>
        <w:t xml:space="preserve">[239] </w:t>
      </w:r>
      <w:hyperlink r:id="rId324">
        <w:r>
          <w:rPr>
            <w:color w:val="1155CC"/>
            <w:u w:val="single"/>
          </w:rPr>
          <w:t>通过用于固体肿瘤治疗的磁二特异纳米抗体,对CAR-Tmimicking细胞进行活体生成和操纵</w:t>
        </w:r>
      </w:hyperlink>
    </w:p>
    <w:p>
      <w:pPr>
        <w:spacing w:before="0" w:after="80"/>
      </w:pPr>
      <w:r>
        <w:rPr>
          <w:i/>
          <w:sz w:val="20"/>
        </w:rPr>
        <w:t>EN: In Vivo Generation and Manipulation of CAR‐T‐mimicking Cells via Magnetic Bispecific Nano‐antibody for Solid Tumor Therapy</w:t>
      </w:r>
    </w:p>
    <w:p>
      <w:pPr>
        <w:spacing w:before="0" w:after="120"/>
      </w:pPr>
      <w:r>
        <w:rPr>
          <w:b/>
        </w:rPr>
        <w:t xml:space="preserve">Source: </w:t>
      </w:r>
      <w:r>
        <w:t>Wiley: Advanced Materials: Table of Contents</w:t>
      </w:r>
      <w:r>
        <w:t xml:space="preserve">    </w:t>
      </w:r>
      <w:r>
        <w:rPr>
          <w:b/>
        </w:rPr>
        <w:t xml:space="preserve">Pub date: </w:t>
      </w:r>
      <w:r>
        <w:t>2026-01-07 05:28:16+00:00</w:t>
      </w:r>
      <w:r>
        <w:t xml:space="preserve">    </w:t>
      </w:r>
      <w:r>
        <w:rPr>
          <w:b/>
        </w:rPr>
        <w:t xml:space="preserve">DOI: </w:t>
      </w:r>
      <w:hyperlink r:id="rId325">
        <w:r>
          <w:rPr>
            <w:color w:val="1155CC"/>
            <w:u w:val="single"/>
          </w:rPr>
          <w:t>10.1002/adma.202520493</w:t>
        </w:r>
      </w:hyperlink>
    </w:p>
    <w:p>
      <w:pPr>
        <w:spacing w:before="0" w:after="120"/>
      </w:pPr>
      <w:r>
        <w:rPr>
          <w:b/>
        </w:rPr>
        <w:t xml:space="preserve">Notes: </w:t>
      </w:r>
      <w:r>
        <w:t>abstract_source=crossref</w:t>
      </w:r>
    </w:p>
    <w:p>
      <w:pPr>
        <w:spacing w:before="0" w:after="80" w:lineRule="auto" w:line="276"/>
      </w:pPr>
      <w:r>
        <w:rPr>
          <w:b/>
        </w:rPr>
        <w:t xml:space="preserve">摘要（ZH）: </w:t>
      </w:r>
      <w:r>
        <w:t>摘要 乳房抗原受体(CAR)-T细胞疗法在抗固态肿瘤方面的治疗效果仍然受到限制,主要原因是肿瘤渗透不足和免疫抑制肿瘤微环境不足。在这里,我们提出了一个简单而有效的战略,以生成活性CAR&amp;T模仿细胞,使其能以磁导方式向肿瘤组织迁移,从而能够更有力和准确地治疗固体肿瘤。通过将磁纳米粒子与抗CD3抗体(aCD3)和抗PDL1抗体(aPDL1)起作用,我们开发了一种磁性双子纳米体(MBiNanoAb),在静脉管后有效地循环T细胞,并将它们重新编程到CAR&amp;T模仿效应细胞中。</w:t>
      </w:r>
    </w:p>
    <w:p>
      <w:pPr>
        <w:spacing w:before="0" w:after="200" w:lineRule="auto" w:line="276"/>
      </w:pPr>
      <w:r>
        <w:rPr>
          <w:b/>
        </w:rPr>
        <w:t xml:space="preserve">Abstract (EN): </w:t>
      </w:r>
      <w:r>
        <w:t>The therapeutic efficacy of chimeric antigen receptor (CAR)‐T cell therapy in combating solid tumors remains constrained, primarily due to inadequate tumor infiltration and the immunosuppressive tumor microenvironment. Herein, we present a simple yet effective strategy for generating activated CAR‐T‐mimicking cells and enabling their magnetically guided migration into tumor tissues, thereby enabling a more potent and precise treatment of solid tumors. By functionalizing magnetic nanoparticles with anti‐CD3 antibodies (aCD3) and anti‐PDL1 antibodies (aPDL1), we have developed a magnetic bispecific nano‐antibody (M‐BiNanoAb), which effectively engages circulating T cells following intravenous administration and reprograms them into CAR‐T‐mimicking effector cells. Within this design, the aPDL1 and aCD3 moieties emulate the antigen‐recognition domain and signaling domain of traditional CAR structures, respectively. Remarkably, the strategic application of an external magnetic field enables the precise navigation of these bioengineered T cells toward solid tumor regions, thereby facilitating the eradication of PDL1‐overexpressing cancer cells. In preclinical models of solid tumors, this magnetically guided strategy for generating and manipulating CAR‐T‐mimicking cells demonstrated extraordinary antitumor activity, underscoring its transformative potential in advancing CAR‐T‐based therapies against solid malignancies.</w:t>
      </w:r>
    </w:p>
    <w:p>
      <w:pPr>
        <w:spacing w:before="120" w:after="120"/>
      </w:pPr>
      <w:r>
        <w:rPr>
          <w:sz w:val="18"/>
        </w:rPr>
        <w:t>——————————————————————————————————————————————————————————————————————</w:t>
      </w:r>
    </w:p>
    <w:p>
      <w:pPr>
        <w:spacing w:before="160" w:after="40" w:line="240" w:lineRule="auto"/>
      </w:pPr>
      <w:r>
        <w:rPr>
          <w:b/>
        </w:rPr>
        <w:t xml:space="preserve">[240] </w:t>
      </w:r>
      <w:hyperlink r:id="rId326">
        <w:r>
          <w:rPr>
            <w:color w:val="1155CC"/>
            <w:u w:val="single"/>
          </w:rPr>
          <w:t>处理Sodium  Na3PS4的电化学机械联结故障,以实现持久性全部固态金属电池</w:t>
        </w:r>
      </w:hyperlink>
    </w:p>
    <w:p>
      <w:pPr>
        <w:spacing w:before="0" w:after="80"/>
      </w:pPr>
      <w:r>
        <w:rPr>
          <w:i/>
          <w:sz w:val="20"/>
        </w:rPr>
        <w:t>EN: Addressing Electro‐Chemo‐Mechanical Coupling Failure at the Sodium|Na3PS4 Interface towards Durable All‐Solid‐State Sodium Metal Batteries</w:t>
      </w:r>
    </w:p>
    <w:p>
      <w:pPr>
        <w:spacing w:before="0" w:after="120"/>
      </w:pPr>
      <w:r>
        <w:rPr>
          <w:b/>
        </w:rPr>
        <w:t xml:space="preserve">Source: </w:t>
      </w:r>
      <w:r>
        <w:t>Wiley: Advanced Energy Materials: Table of Contents</w:t>
      </w:r>
      <w:r>
        <w:t xml:space="preserve">    </w:t>
      </w:r>
      <w:r>
        <w:rPr>
          <w:b/>
        </w:rPr>
        <w:t xml:space="preserve">Pub date: </w:t>
      </w:r>
      <w:r>
        <w:t>2026-01-07 05:30:09+00:00</w:t>
      </w:r>
      <w:r>
        <w:t xml:space="preserve">    </w:t>
      </w:r>
      <w:r>
        <w:rPr>
          <w:b/>
        </w:rPr>
        <w:t xml:space="preserve">DOI: </w:t>
      </w:r>
      <w:hyperlink r:id="rId327">
        <w:r>
          <w:rPr>
            <w:color w:val="1155CC"/>
            <w:u w:val="single"/>
          </w:rPr>
          <w:t>10.1002/aenm.202506260</w:t>
        </w:r>
      </w:hyperlink>
    </w:p>
    <w:p>
      <w:pPr>
        <w:spacing w:before="0" w:after="120"/>
      </w:pPr>
      <w:r>
        <w:rPr>
          <w:b/>
        </w:rPr>
        <w:t xml:space="preserve">Notes: </w:t>
      </w:r>
      <w:r>
        <w:t>abstract_source=crossref</w:t>
      </w:r>
    </w:p>
    <w:p>
      <w:pPr>
        <w:spacing w:before="0" w:after="80" w:lineRule="auto" w:line="276"/>
      </w:pPr>
      <w:r>
        <w:rPr>
          <w:b/>
        </w:rPr>
        <w:t xml:space="preserve">摘要（ZH）: </w:t>
      </w:r>
      <w:r>
        <w:t>ABSTACT 所有固体钠电池使用硫化电解液和钠(Na)阳极,由于其安全和成本效益,对能源储存很有希望,但是,由于N3 PS 4 纳接口的跨子降解,这些电池的实际实施受到很大阻碍,而由于基础机制不明确,分辨率战略仍然很少。在这里,通过对影视同步同步器X-射线的计算成像法,揭示了电化学机械联结故障机制。我们的结果显示,在接触的两小时内,在界面形成了65mthick侧反应层。这种电子导电导但电离层阻塞。</w:t>
      </w:r>
    </w:p>
    <w:p>
      <w:pPr>
        <w:spacing w:before="0" w:after="200" w:lineRule="auto" w:line="276"/>
      </w:pPr>
      <w:r>
        <w:rPr>
          <w:b/>
        </w:rPr>
        <w:t xml:space="preserve">Abstract (EN): </w:t>
      </w:r>
      <w:r>
        <w:t>All‐solid‐state sodium batteries utilizing sulfide electrolytes and sodium (Na) anodes are promising for energy storage due to their safety and cost‐effectiveness. However, their practical implementation is significantly hindered by the interfacial degradation at Na</w:t>
      </w:r>
      <w:r>
        <w:rPr>
          <w:vertAlign w:val="subscript"/>
        </w:rPr>
        <w:t>3</w:t>
      </w:r>
      <w:r>
        <w:t>PS</w:t>
      </w:r>
      <w:r>
        <w:rPr>
          <w:vertAlign w:val="subscript"/>
        </w:rPr>
        <w:t>4</w:t>
      </w:r>
      <w:r>
        <w:t>|Na interface, while the resolution strategies remain scarce due to the unclear underlying mechanisms. Herein, operando synchrotron X‐ray computed tomography is utilized to reveal an electro‐chemo‐mechanical coupling failure mechanism. Our results demonstrate the formation of a 65‐µm‐thick side‐reaction layer at the interface within two hours of contact. This electron‐conducting but ion‐blocking layer causes non‐uniform Na electrodeposition, triggering continuous mechanical cracking inward Na</w:t>
      </w:r>
      <w:r>
        <w:rPr>
          <w:vertAlign w:val="subscript"/>
        </w:rPr>
        <w:t>3</w:t>
      </w:r>
      <w:r>
        <w:t>PS</w:t>
      </w:r>
      <w:r>
        <w:rPr>
          <w:vertAlign w:val="subscript"/>
        </w:rPr>
        <w:t>4</w:t>
      </w:r>
      <w:r>
        <w:t>that leads to a short‐circuit. To address this issue, a thermodynamically stable thin Na</w:t>
      </w:r>
      <w:r>
        <w:rPr>
          <w:vertAlign w:val="subscript"/>
        </w:rPr>
        <w:t>3</w:t>
      </w:r>
      <w:r>
        <w:t>Sb‐NaF functional layer is engineered on Na to protect Na</w:t>
      </w:r>
      <w:r>
        <w:rPr>
          <w:vertAlign w:val="subscript"/>
        </w:rPr>
        <w:t>3</w:t>
      </w:r>
      <w:r>
        <w:t>PS</w:t>
      </w:r>
      <w:r>
        <w:rPr>
          <w:vertAlign w:val="subscript"/>
        </w:rPr>
        <w:t>4</w:t>
      </w:r>
      <w:r>
        <w:t>from being chemically reduced. Its high Na‐ion diffusivity ensures uniform ion transport for homogeneous Na electrodeposition, enabling a mechanically integrated interface. As a result, symmetric cells sustain over 1000 h of cycling at 0.1 mA cm–</w:t>
      </w:r>
      <w:r>
        <w:rPr>
          <w:vertAlign w:val="subscript"/>
        </w:rPr>
        <w:t>2</w:t>
      </w:r>
      <w:r>
        <w:t>(0.1 mAh cm</w:t>
      </w:r>
      <w:r>
        <w:t xml:space="preserve"> </w:t>
      </w:r>
      <w:r>
        <w:t>−2</w:t>
      </w:r>
      <w:r>
        <w:t xml:space="preserve"> </w:t>
      </w:r>
      <w:r>
        <w:t>), while full cells using 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cathodes achieve 88.3% capacity retention after 300 cycles at 0.2 C, room temperature. Crucially, anode‐free all‐solid‐state batteries exhibit stable cycling for over 60 cycles. This work advances the development of high‐energy, durable all‐solid‐state sodium metal batteries.</w:t>
      </w:r>
    </w:p>
    <w:p>
      <w:pPr>
        <w:spacing w:before="120" w:after="120"/>
      </w:pPr>
      <w:r>
        <w:rPr>
          <w:sz w:val="18"/>
        </w:rPr>
        <w:t>——————————————————————————————————————————————————————————————————————</w:t>
      </w:r>
    </w:p>
    <w:p>
      <w:pPr>
        <w:spacing w:before="160" w:after="40" w:line="240" w:lineRule="auto"/>
      </w:pPr>
      <w:r>
        <w:rPr>
          <w:b/>
        </w:rPr>
        <w:t xml:space="preserve">[241] </w:t>
      </w:r>
      <w:hyperlink r:id="rId328">
        <w:r>
          <w:rPr>
            <w:color w:val="1155CC"/>
            <w:u w:val="single"/>
          </w:rPr>
          <w:t>构造高°Tg 和超超强强多功能热点装置</w:t>
        </w:r>
      </w:hyperlink>
    </w:p>
    <w:p>
      <w:pPr>
        <w:spacing w:before="0" w:after="80"/>
      </w:pPr>
      <w:r>
        <w:rPr>
          <w:i/>
          <w:sz w:val="20"/>
        </w:rPr>
        <w:t>EN: Constructing High‐Tg and Ultra‐Strong Multifunctional Thermosets Enabled by Acid‐Base Ion Pairs</w:t>
      </w:r>
    </w:p>
    <w:p>
      <w:pPr>
        <w:spacing w:before="0" w:after="120"/>
      </w:pPr>
      <w:r>
        <w:rPr>
          <w:b/>
        </w:rPr>
        <w:t xml:space="preserve">Source: </w:t>
      </w:r>
      <w:r>
        <w:t>Wiley: Advanced Materials: Table of Contents</w:t>
      </w:r>
      <w:r>
        <w:t xml:space="preserve">    </w:t>
      </w:r>
      <w:r>
        <w:rPr>
          <w:b/>
        </w:rPr>
        <w:t xml:space="preserve">Pub date: </w:t>
      </w:r>
      <w:r>
        <w:t>2026-01-07 05:36:57+00:00</w:t>
      </w:r>
      <w:r>
        <w:t xml:space="preserve">    </w:t>
      </w:r>
      <w:r>
        <w:rPr>
          <w:b/>
        </w:rPr>
        <w:t xml:space="preserve">DOI: </w:t>
      </w:r>
      <w:hyperlink r:id="rId329">
        <w:r>
          <w:rPr>
            <w:color w:val="1155CC"/>
            <w:u w:val="single"/>
          </w:rPr>
          <w:t>10.1002/adma.202512584</w:t>
        </w:r>
      </w:hyperlink>
    </w:p>
    <w:p>
      <w:pPr>
        <w:spacing w:before="0" w:after="120"/>
      </w:pPr>
      <w:r>
        <w:rPr>
          <w:b/>
        </w:rPr>
        <w:t xml:space="preserve">Notes: </w:t>
      </w:r>
      <w:r>
        <w:t>abstract_source=crossref</w:t>
      </w:r>
    </w:p>
    <w:p>
      <w:pPr>
        <w:spacing w:before="0" w:after="80" w:lineRule="auto" w:line="276"/>
      </w:pPr>
      <w:r>
        <w:rPr>
          <w:b/>
        </w:rPr>
        <w:t xml:space="preserve">摘要（ZH）: </w:t>
      </w:r>
      <w:r>
        <w:t>在航空航天、风能和电子包装中,升温环氧树脂(TERs)在航空航天、风能和电子包装中发挥着关键作用,但是,由于分子设计中这些特性的内在限制,以前报告的TERs始终面临“锯锯”困境,提高玻璃转换温度(Tg)和机械强度通常会降低弹性和再处理能力。</w:t>
      </w:r>
    </w:p>
    <w:p>
      <w:pPr>
        <w:spacing w:before="0" w:after="200" w:lineRule="auto" w:line="276"/>
      </w:pPr>
      <w:r>
        <w:rPr>
          <w:b/>
        </w:rPr>
        <w:t xml:space="preserve">Abstract (EN): </w:t>
      </w:r>
      <w:r>
        <w:t>Thermosetting epoxy resins (TERs) play pivotal roles in aerospace, wind energy, and electronic packaging. However, due to the inherent constraints of these properties in molecular design, previously reported TERs have always faced a “seesaw” dilemma, enhancing glass transition temperature (</w:t>
      </w:r>
      <w:r>
        <w:t xml:space="preserve"> </w:t>
      </w:r>
      <w:r>
        <w:t>T</w:t>
      </w:r>
      <w:r>
        <w:t xml:space="preserve"> </w:t>
      </w:r>
      <w:r>
        <w:t>g</w:t>
      </w:r>
      <w:r>
        <w:t xml:space="preserve"> </w:t>
      </w:r>
      <w:r>
        <w:t>) and mechanical strength typically compromises elasticity and reprocessability. Herein, an innovative molecular engineering strategy is proposed to integrate high‐energy‐dissipation acid‐base ion pairs (ABIPs) into densely crosslinked covalent adaptable networks, constructing high</w:t>
      </w:r>
      <w:r>
        <w:t xml:space="preserve"> </w:t>
      </w:r>
      <w:r>
        <w:t>T</w:t>
      </w:r>
      <w:r>
        <w:t xml:space="preserve"> </w:t>
      </w:r>
      <w:r>
        <w:t>g</w:t>
      </w:r>
      <w:r>
        <w:t xml:space="preserve"> </w:t>
      </w:r>
      <w:r>
        <w:t>and ultra‐strong TERs (named SEP</w:t>
      </w:r>
      <w:r>
        <w:t xml:space="preserve"> </w:t>
      </w:r>
      <w:r>
        <w:t>‐COOH</w:t>
      </w:r>
      <w:r>
        <w:t xml:space="preserve"> </w:t>
      </w:r>
      <w:r>
        <w:t>). It demonstrated two breakthrough advantages: First, SEP</w:t>
      </w:r>
      <w:r>
        <w:t xml:space="preserve"> </w:t>
      </w:r>
      <w:r>
        <w:t>‐COOH</w:t>
      </w:r>
      <w:r>
        <w:t xml:space="preserve"> </w:t>
      </w:r>
      <w:r>
        <w:t>exhibits an exceptional combination of high</w:t>
      </w:r>
      <w:r>
        <w:t xml:space="preserve"> </w:t>
      </w:r>
      <w:r>
        <w:t>T</w:t>
      </w:r>
      <w:r>
        <w:t xml:space="preserve"> </w:t>
      </w:r>
      <w:r>
        <w:t>g</w:t>
      </w:r>
      <w:r>
        <w:t xml:space="preserve"> </w:t>
      </w:r>
      <w:r>
        <w:t>(&amp;gt; 245°C), excellent mechanical strength (77.9 ± 1.5 MPa), and impact toughness (8.2 MJ m</w:t>
      </w:r>
      <w:r>
        <w:t xml:space="preserve"> </w:t>
      </w:r>
      <w:r>
        <w:t>−2</w:t>
      </w:r>
      <w:r>
        <w:t xml:space="preserve"> </w:t>
      </w:r>
      <w:r>
        <w:t>), and its outstanding performance is comparable to that of low‐viscosity resins (Hexion and Toray RS‐50) for structural applications. Second, the internal catalytic effect of ABIPs on ester exchange is unprecedented, which not only integrates the internal catalysis of tertiary amines and the effect of neighboring groups but also achieves a breakthrough. This built‐in catalysis allows ultrafast surface reprocessing to achieve superhydrophobicity and improve the thermal conductivity of its composites. The integration of toughness, thermal stability, and reprocessability represents a breakthrough in epoxy thermoset design, offering a sustainable pathway for recyclable high‐performance polymers.</w:t>
      </w:r>
    </w:p>
    <w:p>
      <w:pPr>
        <w:spacing w:before="120" w:after="120"/>
      </w:pPr>
      <w:r>
        <w:rPr>
          <w:sz w:val="18"/>
        </w:rPr>
        <w:t>——————————————————————————————————————————————————————————————————————</w:t>
      </w:r>
    </w:p>
    <w:p>
      <w:pPr>
        <w:spacing w:before="160" w:after="40" w:line="240" w:lineRule="auto"/>
      </w:pPr>
      <w:r>
        <w:rPr>
          <w:b/>
        </w:rPr>
        <w:t xml:space="preserve">[242] </w:t>
      </w:r>
      <w:hyperlink r:id="rId330">
        <w:r>
          <w:rPr>
            <w:color w:val="1155CC"/>
            <w:u w:val="single"/>
          </w:rPr>
          <w:t>-40°C:多相位聚苯乙烯 制导统一沉积和快速脱尘</w:t>
        </w:r>
      </w:hyperlink>
    </w:p>
    <w:p>
      <w:pPr>
        <w:spacing w:before="0" w:after="80"/>
      </w:pPr>
      <w:r>
        <w:rPr>
          <w:i/>
          <w:sz w:val="20"/>
        </w:rPr>
        <w:t>EN: A Stable Sodium Metal Battery at −40°C: Multiphase Sodium‐Alloy Skeleton Guided Uniform Deposition and Fast Desolvation</w:t>
      </w:r>
    </w:p>
    <w:p>
      <w:pPr>
        <w:spacing w:before="0" w:after="120"/>
      </w:pPr>
      <w:r>
        <w:rPr>
          <w:b/>
        </w:rPr>
        <w:t xml:space="preserve">Source: </w:t>
      </w:r>
      <w:r>
        <w:t>Wiley: Advanced Materials: Table of Contents</w:t>
      </w:r>
      <w:r>
        <w:t xml:space="preserve">    </w:t>
      </w:r>
      <w:r>
        <w:rPr>
          <w:b/>
        </w:rPr>
        <w:t xml:space="preserve">Pub date: </w:t>
      </w:r>
      <w:r>
        <w:t>2026-01-07 05:41:04+00:00</w:t>
      </w:r>
      <w:r>
        <w:t xml:space="preserve">    </w:t>
      </w:r>
      <w:r>
        <w:rPr>
          <w:b/>
        </w:rPr>
        <w:t xml:space="preserve">DOI: </w:t>
      </w:r>
      <w:hyperlink r:id="rId331">
        <w:r>
          <w:rPr>
            <w:color w:val="1155CC"/>
            <w:u w:val="single"/>
          </w:rPr>
          <w:t>10.1002/adma.202521120</w:t>
        </w:r>
      </w:hyperlink>
    </w:p>
    <w:p>
      <w:pPr>
        <w:spacing w:before="0" w:after="120"/>
      </w:pPr>
      <w:r>
        <w:rPr>
          <w:b/>
        </w:rPr>
        <w:t xml:space="preserve">Notes: </w:t>
      </w:r>
      <w:r>
        <w:t>abstract_source=crossref</w:t>
      </w:r>
    </w:p>
    <w:p>
      <w:pPr>
        <w:spacing w:before="0" w:after="80" w:lineRule="auto" w:line="276"/>
      </w:pPr>
      <w:r>
        <w:rPr>
          <w:b/>
        </w:rPr>
        <w:t xml:space="preserve">摘要（ZH）: </w:t>
      </w:r>
      <w:r>
        <w:t>Sodium金属电池(SMBs)是高能密度贮存的有希望的候选体,但是,由于金属阳极钠(SMA)的硬化生长和结构退化,其实际实施受到阻碍。在超低温度下,这些挑战加剧,纳+运输缓慢,溶解效率低导致性能严重下降。在这里,我们通过机械滚动,将五种不同的纳美(M = Sn, Sb, Bi, In, and Ge)合金引入SMA,从而形成多阶段的纳瓦合金复合阳极(NSSBIG),这种设计会加剧合成障碍,并建立一个稳定的钠合金骨骼,从而改善社会性健康和离子传输动能。Theort</w:t>
      </w:r>
    </w:p>
    <w:p>
      <w:pPr>
        <w:spacing w:before="0" w:after="200" w:lineRule="auto" w:line="276"/>
      </w:pPr>
      <w:r>
        <w:rPr>
          <w:b/>
        </w:rPr>
        <w:t xml:space="preserve">Abstract (EN): </w:t>
      </w:r>
      <w:r>
        <w:t>Sodium metal batteries (SMBs) represent a promising candidate for high‐energy‐density storage. However, their practical implementation is hindered by dendrite growth and structural degradation of sodium metal anode (SMA). These challenges are exacerbated at ultralow temperatures, where sluggish Na</w:t>
      </w:r>
      <w:r>
        <w:t xml:space="preserve"> </w:t>
      </w:r>
      <w:r>
        <w:t>+</w:t>
      </w:r>
      <w:r>
        <w:t xml:space="preserve"> </w:t>
      </w:r>
      <w:r>
        <w:t>transport and inefficient desolvation lead to severe performance decline. Herein, we introduce five distinct Na‐M (M = Sn, Sb, Bi, In, and Ge) alloys into SMA via mechanical rolling, resulting in a multiphase sodium‐alloy composite anode (NSSBIG). This design enhances compositional disorder and establishes a stable sodium‐based alloy skeleton, which improves sodiophilicity and ion transport kinetics. Theoretical calculations reveal a multiphase synergistic effect among the alloys that accelerates charge transfer and promotes desolvation at −40°C. Benefiting from this tailored architecture, the NSSBIG symmetric cell achieves exceptional cycling stability over 1050 h at −40°C (0.1 mA cm</w:t>
      </w:r>
      <w:r>
        <w:t xml:space="preserve"> </w:t>
      </w:r>
      <w:r>
        <w:t>−2</w:t>
      </w:r>
      <w:r>
        <w:t xml:space="preserve"> </w:t>
      </w:r>
      <w:r>
        <w:t>/0.1 mA h cm</w:t>
      </w:r>
      <w:r>
        <w:t xml:space="preserve"> </w:t>
      </w:r>
      <w:r>
        <w:t>−2</w:t>
      </w:r>
      <w:r>
        <w:t xml:space="preserve"> </w:t>
      </w:r>
      <w:r>
        <w:t>). When coupled with a Na</w:t>
      </w:r>
      <w:r>
        <w:rPr>
          <w:vertAlign w:val="subscript"/>
        </w:rPr>
        <w:t>3</w:t>
      </w:r>
      <w:r>
        <w:t>V</w:t>
      </w:r>
      <w:r>
        <w:rPr>
          <w:vertAlign w:val="subscript"/>
        </w:rPr>
        <w:t>2</w:t>
      </w:r>
      <w:r>
        <w:t>(PO</w:t>
      </w:r>
      <w:r>
        <w:rPr>
          <w:vertAlign w:val="subscript"/>
        </w:rPr>
        <w:t>4</w:t>
      </w:r>
      <w:r>
        <w:t>)</w:t>
      </w:r>
      <w:r>
        <w:rPr>
          <w:vertAlign w:val="subscript"/>
        </w:rPr>
        <w:t>3</w:t>
      </w:r>
      <w:r>
        <w:t>cathode, the full cell retains 97% of its capacity after 825 cycles at −40°C (0.5 C), and a pouch‐cell configuration maintains 89.5% capacity retention over 300 cycles at −40°C (0.2 C). This work provides a feasible strategy for developing dendrite‐free anodes with rapid desolvation kinetics, establishing a viable pathway toward commercial ultralow‐temperature SMBs.</w:t>
      </w:r>
    </w:p>
    <w:p>
      <w:pPr>
        <w:spacing w:before="120" w:after="120"/>
      </w:pPr>
      <w:r>
        <w:rPr>
          <w:sz w:val="18"/>
        </w:rPr>
        <w:t>——————————————————————————————————————————————————————————————————————</w:t>
      </w:r>
    </w:p>
    <w:p>
      <w:pPr>
        <w:spacing w:before="160" w:after="40" w:line="240" w:lineRule="auto"/>
      </w:pPr>
      <w:r>
        <w:rPr>
          <w:b/>
        </w:rPr>
        <w:t xml:space="preserve">[243] </w:t>
      </w:r>
      <w:hyperlink r:id="rId332">
        <w:r>
          <w:rPr>
            <w:color w:val="1155CC"/>
            <w:u w:val="single"/>
          </w:rPr>
          <w:t>成人神经干细胞通过 METK 介介于河马阵列神经突触消除电路软静症</w:t>
        </w:r>
      </w:hyperlink>
    </w:p>
    <w:p>
      <w:pPr>
        <w:spacing w:before="0" w:after="80"/>
      </w:pPr>
      <w:r>
        <w:rPr>
          <w:i/>
          <w:sz w:val="20"/>
        </w:rPr>
        <w:t>EN: Adult neural stem cells mediate hippocampal synapse elimination for circuit homeostasis through MERTK</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33">
        <w:r>
          <w:rPr>
            <w:color w:val="1155CC"/>
            <w:u w:val="single"/>
          </w:rPr>
          <w:t>10.1073/pnas.2517096123</w:t>
        </w:r>
      </w:hyperlink>
    </w:p>
    <w:p>
      <w:pPr>
        <w:spacing w:before="0" w:after="120"/>
      </w:pPr>
      <w:r>
        <w:rPr>
          <w:b/>
        </w:rPr>
        <w:t xml:space="preserve">Notes: </w:t>
      </w:r>
      <w:r>
        <w:t>abstract_source=crossref</w:t>
      </w:r>
    </w:p>
    <w:p>
      <w:pPr>
        <w:spacing w:before="0" w:after="80" w:lineRule="auto" w:line="276"/>
      </w:pPr>
      <w:r>
        <w:rPr>
          <w:b/>
        </w:rPr>
        <w:t xml:space="preserve">摘要（ZH）: </w:t>
      </w:r>
      <w:r>
        <w:t>虽然在成人大脑的离散区域,类似放射神经干细胞(rNSCs)在整个生命周期中产生功能性神经神经元,但其功能并不限于神经的产生。最近的研究显示,RNSCs接近和(或)包装突触的过程仍然未知。不过,这些神经突触过程的功能仍然未知。在本研究中,我们报告了RNSCs在积极吞没成年河马中突触中的角色。在RNSCs缺乏脑部受体MERTK展览的Mice中,RNSCs缺乏突触性受体的MERTK减少刺激性突触、有缺陷的突触性塑料性、流行运动学习和记忆的形成受损,但正常的神经产生。此外,我们表明,由RETK公司依赖的体外神经突触动性突触动性发性畸变有助于自愿练习诱导的认知环境。</w:t>
      </w:r>
    </w:p>
    <w:p>
      <w:pPr>
        <w:spacing w:before="0" w:after="200" w:lineRule="auto" w:line="276"/>
      </w:pPr>
      <w:r>
        <w:rPr>
          <w:b/>
        </w:rPr>
        <w:t xml:space="preserve">Abstract (EN): </w:t>
      </w:r>
      <w:r>
        <w:t>Although radial-like neural stem cells (rNSCs) give rise to functional neurons throughout life in discrete regions of the adult brain, their functions are not limited to neurogenesis. Recent studies indicate that the processes of rNSCs approach and/or wrap synapses. However, the function of these processes at synapses remains unknown. In this study, we report a role for rNSCs in actively engulfing synapses in the adult hippocampus. Mice in which rNSCs lack the phagocytic receptor MERTK exhibit reduced elimination of excitatory synapses, defective synaptic plasticity, and impaired formation of hippocampal learning and memory, but normal neurogenesis. Furthermore, we show that MERTK-dependent phagocytosis of excitatory synapses by rNSCs contributes to voluntary exercise-induced cognitive enhancements. Together, our data suggest that rNSCs eliminate unnecessary excitatory synaptic connections in the adult hippocampus through MERTK, thereby maintaining circuit connectivity and cognitive function independently of neurogenesis.</w:t>
      </w:r>
    </w:p>
    <w:p>
      <w:pPr>
        <w:spacing w:before="120" w:after="120"/>
      </w:pPr>
      <w:r>
        <w:rPr>
          <w:sz w:val="18"/>
        </w:rPr>
        <w:t>——————————————————————————————————————————————————————————————————————</w:t>
      </w:r>
    </w:p>
    <w:p>
      <w:pPr>
        <w:spacing w:before="160" w:after="40" w:line="240" w:lineRule="auto"/>
      </w:pPr>
      <w:r>
        <w:rPr>
          <w:b/>
        </w:rPr>
        <w:t xml:space="preserve">[244] </w:t>
      </w:r>
      <w:hyperlink r:id="rId334">
        <w:r>
          <w:rPr>
            <w:color w:val="1155CC"/>
            <w:u w:val="single"/>
          </w:rPr>
          <w:t>回复Sun:真实世界散装密度变化支持生物碳的碳固存潜力高</w:t>
        </w:r>
      </w:hyperlink>
    </w:p>
    <w:p>
      <w:pPr>
        <w:spacing w:before="0" w:after="80"/>
      </w:pPr>
      <w:r>
        <w:rPr>
          <w:i/>
          <w:sz w:val="20"/>
        </w:rPr>
        <w:t>EN: Reply to Sun: Real-world bulk density changes support high carbon sequestration potential of biochar</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35">
        <w:r>
          <w:rPr>
            <w:color w:val="1155CC"/>
            <w:u w:val="single"/>
          </w:rPr>
          <w:t>10.1073/pnas.2533070123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[245] </w:t>
      </w:r>
      <w:hyperlink r:id="rId336">
        <w:r>
          <w:rPr>
            <w:color w:val="1155CC"/>
            <w:u w:val="single"/>
          </w:rPr>
          <w:t>多金属协同增效作用,并伴以质溶光电闪光催化</w:t>
        </w:r>
      </w:hyperlink>
    </w:p>
    <w:p>
      <w:pPr>
        <w:spacing w:before="0" w:after="80"/>
      </w:pPr>
      <w:r>
        <w:rPr>
          <w:i/>
          <w:sz w:val="20"/>
        </w:rPr>
        <w:t>EN: Multimetallic synergies in tandem plasmonic photocatalysis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37">
        <w:r>
          <w:rPr>
            <w:color w:val="1155CC"/>
            <w:u w:val="single"/>
          </w:rPr>
          <w:t>10.1073/pnas.2533097122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[246] </w:t>
      </w:r>
      <w:hyperlink r:id="rId338">
        <w:r>
          <w:rPr>
            <w:color w:val="1155CC"/>
            <w:u w:val="single"/>
          </w:rPr>
          <w:t>意图良好的发言的意外后果</w:t>
        </w:r>
      </w:hyperlink>
    </w:p>
    <w:p>
      <w:pPr>
        <w:spacing w:before="0" w:after="80"/>
      </w:pPr>
      <w:r>
        <w:rPr>
          <w:i/>
          <w:sz w:val="20"/>
        </w:rPr>
        <w:t>EN: Unintended consequences of well-intended interventions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39">
        <w:r>
          <w:rPr>
            <w:color w:val="1155CC"/>
            <w:u w:val="single"/>
          </w:rPr>
          <w:t>10.1073/pnas.2533905122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[247] </w:t>
      </w:r>
      <w:hyperlink r:id="rId340">
        <w:r>
          <w:rPr>
            <w:color w:val="1155CC"/>
            <w:u w:val="single"/>
          </w:rPr>
          <w:t>古生物学家能确定恐龙的黎明吗?</w:t>
        </w:r>
      </w:hyperlink>
    </w:p>
    <w:p>
      <w:pPr>
        <w:spacing w:before="0" w:after="80"/>
      </w:pPr>
      <w:r>
        <w:rPr>
          <w:i/>
          <w:sz w:val="20"/>
        </w:rPr>
        <w:t>EN: Can paleontologists pinpoint the dawn of the dinosaurs?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41">
        <w:r>
          <w:rPr>
            <w:color w:val="1155CC"/>
            <w:u w:val="single"/>
          </w:rPr>
          <w:t>10.1073/pnas.2535891123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[248] </w:t>
      </w:r>
      <w:hyperlink r:id="rId342">
        <w:r>
          <w:rPr>
            <w:color w:val="1155CC"/>
            <w:u w:val="single"/>
          </w:rPr>
          <w:t>Mondal等人的减缩,IL-12p40单体与IL-12其他家庭成员不同,有选择性地抑制IL-12Rβ1内化和抑制EAE</w:t>
        </w:r>
      </w:hyperlink>
    </w:p>
    <w:p>
      <w:pPr>
        <w:spacing w:before="0" w:after="80"/>
      </w:pPr>
      <w:r>
        <w:rPr>
          <w:i/>
          <w:sz w:val="20"/>
        </w:rPr>
        <w:t>EN: Retraction for Mondal et al., IL-12 p40 monomer is different from other IL-12 family members to selectively inhibit IL-12Rβ1 internalization and suppress EAE</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43">
        <w:r>
          <w:rPr>
            <w:color w:val="1155CC"/>
            <w:u w:val="single"/>
          </w:rPr>
          <w:t>10.1073/pnas.2536022123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[249] </w:t>
      </w:r>
      <w:hyperlink r:id="rId344">
        <w:r>
          <w:rPr>
            <w:color w:val="1155CC"/>
            <w:u w:val="single"/>
          </w:rPr>
          <w:t>用于模拟降水的神经一般环流模型</w:t>
        </w:r>
      </w:hyperlink>
    </w:p>
    <w:p>
      <w:pPr>
        <w:spacing w:before="0" w:after="80"/>
      </w:pPr>
      <w:r>
        <w:rPr>
          <w:i/>
          <w:sz w:val="20"/>
        </w:rPr>
        <w:t>EN: Neural general circulation models for modeling precipitation</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345">
        <w:r>
          <w:rPr>
            <w:color w:val="1155CC"/>
            <w:u w:val="single"/>
          </w:rPr>
          <w:t>10.1126/sciadv.adv6891</w:t>
        </w:r>
      </w:hyperlink>
    </w:p>
    <w:p>
      <w:pPr>
        <w:spacing w:before="0" w:after="120"/>
      </w:pPr>
      <w:r>
        <w:rPr>
          <w:b/>
        </w:rPr>
        <w:t xml:space="preserve">Notes: </w:t>
      </w:r>
      <w:r>
        <w:t>abstract_source=crossref</w:t>
      </w:r>
    </w:p>
    <w:p>
      <w:pPr>
        <w:spacing w:before="0" w:after="80" w:lineRule="auto" w:line="276"/>
      </w:pPr>
      <w:r>
        <w:rPr>
          <w:b/>
        </w:rPr>
        <w:t xml:space="preserve">摘要（ZH）: </w:t>
      </w:r>
      <w:r>
        <w:t>一般环流模型(GCM)努力准确地模拟降雨量,特别是极端和二星循环,这对人类活动和自然过程都至关重要。虽然将机器学习和物理相结合的混合模型为改进降水模拟提供了一个很有希望的途径,但它们尚未超过现有的环流模型。这里,我们提出一个基于不同神经气态GCM框架的混合模型。这种差异性促进了卫星降水观测方面的直接培训,而以前曾试图采用以高分辨率模拟为培训数据的混合模型。我们的模型在2.8°分辨率上运行,在气候方面显示现有气流模型、ERA5再分析以及一个模型的显著改进。</w:t>
      </w:r>
    </w:p>
    <w:p>
      <w:pPr>
        <w:spacing w:before="0" w:after="200" w:lineRule="auto" w:line="276"/>
      </w:pPr>
      <w:r>
        <w:rPr>
          <w:b/>
        </w:rPr>
        <w:t xml:space="preserve">Abstract (EN): </w:t>
      </w:r>
      <w:r>
        <w:t>General circulation models (GCMs) struggle to accurately simulate precipitation, particularly extremes and the diurnal cycle, which are crucial for both human activities and natural processes. Although hybrid models combining machine learning and physics offer a promising avenue to improve the simulation of precipitation, they have yet to outperform existing GCMs. Here, we present a hybrid model built on the differentiable NeuralGCM framework. This differentiability facilitates direct training on satellite-based precipitation observations, unlike previous attempts at hybrid models that relied on high-resolution simulations as training data. Our model runs at 2.8° resolution and, in the context of climate, demonstrates substantial improvements over existing GCMs, the ERA5 reanalysis, and a global cloud-resolving model in simulating precipitation. In the context of mid-range precipitation forecasting, it outperforms the ECMWF ensemble. This advance paves the way for more reliable simulations of current climate and demonstrates how training on observations can be used to improve GCMs.</w:t>
      </w:r>
    </w:p>
    <w:p>
      <w:pPr>
        <w:spacing w:before="120" w:after="120"/>
      </w:pPr>
      <w:r>
        <w:rPr>
          <w:sz w:val="18"/>
        </w:rPr>
        <w:t>——————————————————————————————————————————————————————————————————————</w:t>
      </w:r>
    </w:p>
    <w:p>
      <w:pPr>
        <w:spacing w:before="160" w:after="40" w:line="240" w:lineRule="auto"/>
      </w:pPr>
      <w:r>
        <w:rPr>
          <w:b/>
        </w:rPr>
        <w:t xml:space="preserve">[250] </w:t>
      </w:r>
      <w:hyperlink r:id="rId346">
        <w:r>
          <w:rPr>
            <w:color w:val="1155CC"/>
            <w:u w:val="single"/>
          </w:rPr>
          <w:t>森林丧失加剧了地球气候区一半以上的气候区的气象干旱</w:t>
        </w:r>
      </w:hyperlink>
    </w:p>
    <w:p>
      <w:pPr>
        <w:spacing w:before="0" w:after="80"/>
      </w:pPr>
      <w:r>
        <w:rPr>
          <w:i/>
          <w:sz w:val="20"/>
        </w:rPr>
        <w:t>EN: Forest loss intensifies meteorological drought in more than half of Earth’s climate zones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347">
        <w:r>
          <w:rPr>
            <w:color w:val="1155CC"/>
            <w:u w:val="single"/>
          </w:rPr>
          <w:t>10.1126/sciadv.adv7998</w:t>
        </w:r>
      </w:hyperlink>
    </w:p>
    <w:p>
      <w:pPr>
        <w:spacing w:before="0" w:after="120"/>
      </w:pPr>
      <w:r>
        <w:rPr>
          <w:b/>
        </w:rPr>
        <w:t xml:space="preserve">Notes: </w:t>
      </w:r>
      <w:r>
        <w:t>abstract_source=crossref</w:t>
      </w:r>
    </w:p>
    <w:p>
      <w:pPr>
        <w:spacing w:before="0" w:after="80" w:lineRule="auto" w:line="276"/>
      </w:pPr>
      <w:r>
        <w:rPr>
          <w:b/>
        </w:rPr>
        <w:t xml:space="preserve">摘要（ZH）: </w:t>
      </w:r>
      <w:r>
        <w:t>全球森林丧失通过改变地表能源平衡增加了气象干旱的风险。虽然当地对气温和降水的影响程度和基本机制尚不清楚。这里,我们分析了北冰洋、温带和热带地区的3,696对森林损失和完好无损的地点。森林损失加剧了52%以上的受影响地区的气象干旱。20年来,北冰洋地区的干旱流行率上升了5%,比热带地区的高三倍,原因是潜在热通量减少,表层反照率增加,共同抑制了对流降雨。相比之下,热带森林表现出更大的生态复原力,减缓了40%的气象干旱强化。</w:t>
      </w:r>
    </w:p>
    <w:p>
      <w:pPr>
        <w:spacing w:before="0" w:after="200" w:lineRule="auto" w:line="276"/>
      </w:pPr>
      <w:r>
        <w:rPr>
          <w:b/>
        </w:rPr>
        <w:t xml:space="preserve">Abstract (EN): </w:t>
      </w:r>
      <w:r>
        <w:t>Global forest loss increases the risk of meteorological drought by altering surface energy balances. While local impacts on temperature and precipitation are known, the extent and underlying mechanisms of its influence on meteorological drought remain unclear. Here, we analyzed 3696 paired forest loss and intact sites across boreal, temperate, and tropical zones. Forest loss intensified meteorological drought in more than 52% of affected regions. Drought prevalence in boreal zones rose by 5% over 20 years—three times greater than in tropical zones—because of reduced latent heat flux and increased surface albedo, which together suppressed convective rainfall. In contrast, tropical forests demonstrated greater ecological resilience, mitigating ~40% of meteorological drought intensification. Notably, forest loss–induced meteorological drought may further evolve into more severe agricultural and hydrological droughts. Therefore, we recommend implementing strategies tailored for each climate zone, including native forest conservation, proactive ecological restoration, and connectivity enhancement, to effectively reduce drought risk.</w:t>
      </w:r>
    </w:p>
    <w:p>
      <w:pPr>
        <w:spacing w:before="120" w:after="120"/>
      </w:pPr>
      <w:r>
        <w:rPr>
          <w:sz w:val="18"/>
        </w:rPr>
        <w:t>——————————————————————————————————————————————————————————————————————</w:t>
      </w:r>
    </w:p>
    <w:p>
      <w:pPr>
        <w:spacing w:before="160" w:after="40" w:line="240" w:lineRule="auto"/>
      </w:pPr>
      <w:r>
        <w:rPr>
          <w:b/>
        </w:rPr>
        <w:t xml:space="preserve">[251] </w:t>
      </w:r>
      <w:hyperlink r:id="rId348">
        <w:r>
          <w:rPr>
            <w:color w:val="1155CC"/>
            <w:u w:val="single"/>
          </w:rPr>
          <w:t>陆地北极生物气候极端现象的新时代</w:t>
        </w:r>
      </w:hyperlink>
    </w:p>
    <w:p>
      <w:pPr>
        <w:spacing w:before="0" w:after="80"/>
      </w:pPr>
      <w:r>
        <w:rPr>
          <w:i/>
          <w:sz w:val="20"/>
        </w:rPr>
        <w:t>EN: A new era of bioclimatic extremes in the terrestrial Arctic</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349">
        <w:r>
          <w:rPr>
            <w:color w:val="1155CC"/>
            <w:u w:val="single"/>
          </w:rPr>
          <w:t>10.1126/sciadv.adw5698</w:t>
        </w:r>
      </w:hyperlink>
    </w:p>
    <w:p>
      <w:pPr>
        <w:spacing w:before="0" w:after="120"/>
      </w:pPr>
      <w:r>
        <w:rPr>
          <w:b/>
        </w:rPr>
        <w:t xml:space="preserve">Notes: </w:t>
      </w:r>
      <w:r>
        <w:t>abstract_source=crossref</w:t>
      </w:r>
    </w:p>
    <w:p>
      <w:pPr>
        <w:spacing w:before="0" w:after="80" w:lineRule="auto" w:line="276"/>
      </w:pPr>
      <w:r>
        <w:rPr>
          <w:b/>
        </w:rPr>
        <w:t xml:space="preserve">摘要（ZH）: </w:t>
      </w:r>
      <w:r>
        <w:t>北极的气候正在迅速变暖,但引起重大生态系统扰动的极端天气事件的长期变化却不为人所熟知。 在这里,我们利用过去70年来最先进的大气再分析,表明在陆地北极的许多地区,极端天气事件的频率急剧上升。 在过去30年里,我们发现生物气候极端的显著空间变异性,包括北极高纬度地区和受冬季升温和当前降雨影响的更大地区的干旱,特别是在欧洲北极地区。在北极的三分之一地区,这种极端事件最近才开始发生。因此,北极正在进入一个生物气候极端的新时代,可能给环境带来严重后果。</w:t>
      </w:r>
    </w:p>
    <w:p>
      <w:pPr>
        <w:spacing w:before="0" w:after="200" w:lineRule="auto" w:line="276"/>
      </w:pPr>
      <w:r>
        <w:rPr>
          <w:b/>
        </w:rPr>
        <w:t xml:space="preserve">Abstract (EN): </w:t>
      </w:r>
      <w:r>
        <w:t>The Arctic climate is rapidly warming, but long-term changes in extreme weather events that cause major ecosystem disturbances are not well understood. Here, by using a state-of-the-art atmospheric reanalysis spanning the past seven decades, we show that, in many parts of the terrestrial Arctic, the frequency of extreme weather events has increased sharply. We found pronounced spatial variability in bioclimatic extremes during the past 30 years, including more droughts in the high-Arctic and greater area affected by winter-warming and rain-on-snow events, especially in the European Arctic region. Across one-third of the Arctic domain, such extreme events have only recently begun to occur. Thus, the Arctic is entering a novel era of bioclimatic extremes with likely severe consequences on cold ecosystems.</w:t>
      </w:r>
    </w:p>
    <w:p>
      <w:pPr>
        <w:spacing w:before="120" w:after="120"/>
      </w:pPr>
      <w:r>
        <w:rPr>
          <w:sz w:val="18"/>
        </w:rPr>
        <w:t>——————————————————————————————————————————————————————————————————————</w:t>
      </w:r>
    </w:p>
    <w:p>
      <w:pPr>
        <w:spacing w:before="160" w:after="40" w:line="240" w:lineRule="auto"/>
      </w:pPr>
      <w:r>
        <w:rPr>
          <w:b/>
        </w:rPr>
        <w:t xml:space="preserve">[252] </w:t>
      </w:r>
      <w:hyperlink r:id="rId350">
        <w:r>
          <w:rPr>
            <w:color w:val="1155CC"/>
            <w:u w:val="single"/>
          </w:rPr>
          <w:t>海绵进化史的古生物学和分子证据</w:t>
        </w:r>
      </w:hyperlink>
    </w:p>
    <w:p>
      <w:pPr>
        <w:spacing w:before="0" w:after="80"/>
      </w:pPr>
      <w:r>
        <w:rPr>
          <w:i/>
          <w:sz w:val="20"/>
        </w:rPr>
        <w:t>EN: Independent origins of spicules reconcile paleontological and molecular evidence of sponge evolutionary history</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351">
        <w:r>
          <w:rPr>
            <w:color w:val="1155CC"/>
            <w:u w:val="single"/>
          </w:rPr>
          <w:t>10.1126/sciadv.adx1754</w:t>
        </w:r>
      </w:hyperlink>
    </w:p>
    <w:p>
      <w:pPr>
        <w:spacing w:before="0" w:after="120"/>
      </w:pPr>
      <w:r>
        <w:rPr>
          <w:b/>
        </w:rPr>
        <w:t xml:space="preserve">Notes: </w:t>
      </w:r>
      <w:r>
        <w:t>abstract_source=crossref</w:t>
      </w:r>
    </w:p>
    <w:p>
      <w:pPr>
        <w:spacing w:before="0" w:after="80" w:lineRule="auto" w:line="276"/>
      </w:pPr>
      <w:r>
        <w:rPr>
          <w:b/>
        </w:rPr>
        <w:t xml:space="preserve">摘要（ZH）: </w:t>
      </w:r>
      <w:r>
        <w:t>海绵(海绵)是在全球生物地球化学过程中发挥关键作用的生态系统工程师。它们的进化是了解新蛋白质化古代生态学的关键,但是仍然陷于争议之中。分子时间尺度表明是托尼亚或锥体的起源,而它们最古老的明确化石则由来自已故埃迪亚卡兰岛的分解的硅石组成。我们产生了一个新的、过时的海绵植物,测试了祖先的海绵骨骼是否具有矿物化骨骼。我们以当前的知识很好地解决海绵植物质问题,并认同其起源于早期的爱迪亚卡兰岛。我们的结果表明,早期海绵没有被生物矿物化,生物化和生物化都是在波里夫拉独立地多次演变的。我们协调了化石证据。</w:t>
      </w:r>
    </w:p>
    <w:p>
      <w:pPr>
        <w:spacing w:before="0" w:after="200" w:lineRule="auto" w:line="276"/>
      </w:pPr>
      <w:r>
        <w:rPr>
          <w:b/>
        </w:rPr>
        <w:t xml:space="preserve">Abstract (EN): </w:t>
      </w:r>
      <w:r>
        <w:t>Sponges (Porifera) are ecosystem engineers that play a critical role in global biogeochemical processes. Their evolution is key to understanding Neoproterozoic paleoecology but remains mired in controversy. Molecular timescales suggest a Tonian or Cryogenian origin, while their oldest unequivocal fossils consist of disarticulated siliceous spicules from the Late Ediacaran. We derived a new, dated sponge phylogeny and tested whether ancestral sponges had mineralized skeletons. We resolve the sponge phylogeny in good agreement with current knowledge and date their origin to the early Ediacaran. Our results suggest that early sponges were not biomineralized and that both biosilicification and biocalcification evolved independently multiple times across Porifera. We reconcile fossil evidence and molecular estimates of sponge evolution by showing that the Neoproterozoic history of Porifera is limited to the Ediacaran and providing evidence suggesting that sponges are largely absent from the Ediacaran record because they were yet to evolve biomineralized skeletons.</w:t>
      </w:r>
    </w:p>
    <w:p>
      <w:pPr>
        <w:spacing w:before="120" w:after="120"/>
      </w:pPr>
      <w:r>
        <w:rPr>
          <w:sz w:val="18"/>
        </w:rPr>
        <w:t>——————————————————————————————————————————————————————————————————————</w:t>
      </w:r>
    </w:p>
    <w:p>
      <w:pPr>
        <w:spacing w:before="160" w:after="40" w:line="240" w:lineRule="auto"/>
      </w:pPr>
      <w:r>
        <w:rPr>
          <w:b/>
        </w:rPr>
        <w:t xml:space="preserve">[253] </w:t>
      </w:r>
      <w:hyperlink r:id="rId352">
        <w:r>
          <w:rPr>
            <w:color w:val="1155CC"/>
            <w:u w:val="single"/>
          </w:rPr>
          <w:t>右环境切换酶字符</w:t>
        </w:r>
      </w:hyperlink>
    </w:p>
    <w:p>
      <w:pPr>
        <w:spacing w:before="0" w:after="80"/>
      </w:pPr>
      <w:r>
        <w:rPr>
          <w:i/>
          <w:sz w:val="20"/>
        </w:rPr>
        <w:t>EN: The right environment switches the enzymatic character</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53">
        <w:r>
          <w:rPr>
            <w:color w:val="1155CC"/>
            <w:u w:val="single"/>
          </w:rPr>
          <w:t>10.1073/pnas.2531791123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354">
        <w:r>
          <w:rPr>
            <w:color w:val="1155CC"/>
            <w:u w:val="single"/>
          </w:rPr>
          <w:t>热带外林林林林林中宿舍释放的有效寒冷温度从寒冷地区上升至温暖地区</w:t>
        </w:r>
      </w:hyperlink>
    </w:p>
    <w:p>
      <w:pPr>
        <w:spacing w:before="0" w:after="80"/>
      </w:pPr>
      <w:r>
        <w:rPr>
          <w:i/>
          <w:sz w:val="20"/>
        </w:rPr>
        <w:t>EN: Effective chilling temperatures for dormancy release in extratropical forest trees increase from cold to warm regions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55">
        <w:r>
          <w:rPr>
            <w:color w:val="1155CC"/>
            <w:u w:val="single"/>
          </w:rPr>
          <w:t>10.1073/pnas.2531077123</w:t>
        </w:r>
      </w:hyperlink>
    </w:p>
    <w:p>
      <w:pPr>
        <w:spacing w:before="0" w:after="120"/>
      </w:pPr>
      <w:r>
        <w:rPr>
          <w:b/>
        </w:rPr>
        <w:t xml:space="preserve">Notes: </w:t>
      </w:r>
      <w:r>
        <w:t>abstract_source=crossref</w:t>
      </w:r>
    </w:p>
    <w:p>
      <w:pPr>
        <w:spacing w:before="0" w:after="80" w:lineRule="auto" w:line="276"/>
      </w:pPr>
      <w:r>
        <w:rPr>
          <w:b/>
        </w:rPr>
        <w:t xml:space="preserve">摘要（ZH）: </w:t>
      </w:r>
      <w:r>
        <w:t>热带外树木的季节性栖息面积是使生长与有利的气候条件同步同步增长的关键适应措施。 传统上,根据对寒冷气候的研究,通常假定宿舍释放所需的有效寒冷温度(ECT)固定在0至10°C之间,主要基于对寒冷气候的研究,但在不同气候区域,ECT范围是否不同,仍然不清楚,限制了我们预测树木应对气候变化的能力。 在这里,我们利用对14种物种的受控实验和对中国近3 000公里纬度梯度的65种物种的长期人文观察,对ECT变量进行量化。 我们的实验结果显示,估计的高EC阈值每降纬度增加0.27 °.06°C,显示幅幅幅。</w:t>
      </w:r>
    </w:p>
    <w:p>
      <w:pPr>
        <w:spacing w:before="0" w:after="200" w:lineRule="auto" w:line="276"/>
      </w:pPr>
      <w:r>
        <w:rPr>
          <w:b/>
        </w:rPr>
        <w:t xml:space="preserve">Abstract (EN): </w:t>
      </w:r>
      <w:r>
        <w:t>Seasonal dormancy in extratropical trees is a critical adaptation that synchronizes growth with favorable climatic conditions. Traditionally, the effective chilling temperatures (ECT) required for dormancy release have been assumed to be fixed, ranging between 0 and 10 °C, based largely on studies in cold climates. However, whether the ECT range varies across diverse climatic regions remains unclear, limiting our ability to predict tree responses to climate change. Here, we quantify ECT variation using controlled experiments on 14 species and long-term phenological observations of 65 species across a ~3,000 km latitudinal gradient in China. Our experimental results show that the estimated upper ECT threshold increases by 0.27 ± 0.06 °C per decreasing degree of latitude, indicating an expansion of the ECT range toward higher temperatures in warmer climates. Our modeling analysis of long-term phenological records supports this trend, showing a comparable increase of 0.18 ± 0.02 °C per decreasing degree of latitude. These findings provide empirical evidence of latitudinal variation in ECT, offering insights into the evolutionary adaptations in shaping tree seasonal growth across diverse climates, challenging the traditional view of a fixed 0 to 10 °C range. Incorporating this adaptive variation into vegetation models and management strategies is crucial for improving predictions of forest phenology, productivity, and resilience under climate warming.</w:t>
      </w:r>
    </w:p>
    <w:p>
      <w:pPr>
        <w:spacing w:before="120" w:after="120"/>
      </w:pPr>
      <w:r>
        <w:rPr>
          <w:sz w:val="18"/>
        </w:rPr>
        <w:t>——————————————————————————————————————————————————————————————————————</w:t>
      </w:r>
    </w:p>
    <w:p>
      <w:pPr>
        <w:spacing w:before="160" w:after="40" w:line="240" w:lineRule="auto"/>
      </w:pPr>
      <w:r>
        <w:rPr>
          <w:b/>
        </w:rPr>
        <w:t xml:space="preserve">[255] </w:t>
      </w:r>
      <w:hyperlink r:id="rId356">
        <w:r>
          <w:rPr>
            <w:color w:val="1155CC"/>
            <w:u w:val="single"/>
          </w:rPr>
          <w:t>重塑xxon初始部分:巨型akyrin-G作为神经发育中的可刺激性和可塑性调节器</w:t>
        </w:r>
      </w:hyperlink>
    </w:p>
    <w:p>
      <w:pPr>
        <w:spacing w:before="0" w:after="80"/>
      </w:pPr>
      <w:r>
        <w:rPr>
          <w:i/>
          <w:sz w:val="20"/>
        </w:rPr>
        <w:t>EN: Reframing the axon initial segment: Giant ankyrin-G as a modulator of excitability and plasticity in neurodevelopment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57">
        <w:r>
          <w:rPr>
            <w:color w:val="1155CC"/>
            <w:u w:val="single"/>
          </w:rPr>
          <w:t>10.1073/pnas.2530592122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[256] </w:t>
      </w:r>
      <w:hyperlink r:id="rId358">
        <w:r>
          <w:rPr>
            <w:color w:val="1155CC"/>
            <w:u w:val="single"/>
          </w:rPr>
          <w:t>博物馆收藏馆藏提供了过去遗传变异的时间记录</w:t>
        </w:r>
      </w:hyperlink>
    </w:p>
    <w:p>
      <w:pPr>
        <w:spacing w:before="0" w:after="80"/>
      </w:pPr>
      <w:r>
        <w:rPr>
          <w:i/>
          <w:sz w:val="20"/>
        </w:rPr>
        <w:t>EN: Museum collections provide a temporal record of past genetic variation</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59">
        <w:r>
          <w:rPr>
            <w:color w:val="1155CC"/>
            <w:u w:val="single"/>
          </w:rPr>
          <w:t>10.1073/pnas.2530586122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[257] </w:t>
      </w:r>
      <w:hyperlink r:id="rId360">
        <w:r>
          <w:rPr>
            <w:color w:val="1155CC"/>
            <w:u w:val="single"/>
          </w:rPr>
          <w:t>抗病毒和抗炎混合疗法减轻了SARS-COV-2感染后小鼠长期神经神经缺陷</w:t>
        </w:r>
      </w:hyperlink>
    </w:p>
    <w:p>
      <w:pPr>
        <w:spacing w:before="0" w:after="80"/>
      </w:pPr>
      <w:r>
        <w:rPr>
          <w:i/>
          <w:sz w:val="20"/>
        </w:rPr>
        <w:t>EN: Combination antiviral and anti-inflammatory therapy mitigates persistent neurological deficits in mice post SARS-CoV-2 infection</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61">
        <w:r>
          <w:rPr>
            <w:color w:val="1155CC"/>
            <w:u w:val="single"/>
          </w:rPr>
          <w:t>10.1073/pnas.2530209123</w:t>
        </w:r>
      </w:hyperlink>
    </w:p>
    <w:p>
      <w:pPr>
        <w:spacing w:before="0" w:after="120"/>
      </w:pPr>
      <w:r>
        <w:rPr>
          <w:b/>
        </w:rPr>
        <w:t xml:space="preserve">Notes: </w:t>
      </w:r>
      <w:r>
        <w:t>abstract_source=crossref</w:t>
      </w:r>
    </w:p>
    <w:p>
      <w:pPr>
        <w:spacing w:before="0" w:after="80" w:lineRule="auto" w:line="276"/>
      </w:pPr>
      <w:r>
        <w:rPr>
          <w:b/>
        </w:rPr>
        <w:t xml:space="preserve">摘要（ZH）: </w:t>
      </w:r>
      <w:r>
        <w:t>COVID-19 (PACC) 的急性后后后后后后后遗症包含持久性神经疾病,包括嗅觉和认知功能功能障碍,这种功能障碍的基础不易理解。这里,我们报告,在受六氟非神经性鼠疫感染的老鼠中,至少120天的神经机能障碍,并经过鼠鼻鼻感染的SARS-COV-2。在从鼻腔感染恢复后很久,我们观察到在嗅觉泡球球体和亚丁尼格拉体内的强氧氢氧酶表现下降。在COVID-19死亡病人的大脑中也观察到类似的变化。在这些脑区域,多聚胺性神经的脆弱性伴随着发炎性细胞素的增加和神经呼吸道的变化。RNAseq分析揭示了与人类神经退化性疾病类似的持久性微风活化作用。</w:t>
      </w:r>
    </w:p>
    <w:p>
      <w:pPr>
        <w:spacing w:before="0" w:after="200" w:lineRule="auto" w:line="276"/>
      </w:pPr>
      <w:r>
        <w:rPr>
          <w:b/>
        </w:rPr>
        <w:t xml:space="preserve">Abstract (EN): </w:t>
      </w:r>
      <w:r>
        <w:t>Post-acute sequelae of COVID-19 (PASC) encompasses persistent neurological disease, including olfactory and cognitive dysfunction. The basis for this dysfunction is poorly understood. Here, we report neurological dysfunction for at least 120 d postinfection in mice infected with a virulent nonneurotropic mouse-adapted SARS-CoV-2. Long after recovery from nasal infection, we observed diminished tyrosine hydroxylase expression in olfactory bulb glomeruli and in substantia nigra. Similar changes were observed in brains of COVID-19 deceased patients. Vulnerability of dopaminergic neurons in these brain areas was accompanied by increased proinflammatory cytokines, and neurobehavioral changes. RNAseq analysis unveiled persistent microglia activation, similar to human neurodegenerative diseases. Treatment with antivirals (nirmatrelvir and molnupiravir) at the time of infection minimally prevented neurological abnormalities, consistent with patient data. In contrast, antivirals plus corticosteroids resulted in nearly complete recovery of neurological function. Remarkably, initiation of combined therapy even three days after infection improved outcomes. Together these results demonstrate that neurological dysfunction in SARS-CoV-2 infected mice resembles human neurodegenerative disease and indicate that minimizing inflammation early after SARS-CoV-2 infection may be critical for decreasing neurological PASC. The requirement for decreasing inflammation soon after infection may also explain why antiviral therapy has had inconsistent effects in patients.</w:t>
      </w:r>
    </w:p>
    <w:p>
      <w:pPr>
        <w:spacing w:before="120" w:after="120"/>
      </w:pPr>
      <w:r>
        <w:rPr>
          <w:sz w:val="18"/>
        </w:rPr>
        <w:t>——————————————————————————————————————————————————————————————————————</w:t>
      </w:r>
    </w:p>
    <w:p>
      <w:pPr>
        <w:spacing w:before="160" w:after="40" w:line="240" w:lineRule="auto"/>
      </w:pPr>
      <w:r>
        <w:rPr>
          <w:b/>
        </w:rPr>
        <w:t xml:space="preserve">[258] </w:t>
      </w:r>
      <w:hyperlink r:id="rId362">
        <w:r>
          <w:rPr>
            <w:color w:val="1155CC"/>
            <w:u w:val="single"/>
          </w:rPr>
          <w:t>GATA2号GATA2号为He等人的校正提供便利,方便将类固醇受体受体共振动器招募到受体复合体</w:t>
        </w:r>
      </w:hyperlink>
    </w:p>
    <w:p>
      <w:pPr>
        <w:spacing w:before="0" w:after="80"/>
      </w:pPr>
      <w:r>
        <w:rPr>
          <w:i/>
          <w:sz w:val="20"/>
        </w:rPr>
        <w:t>EN: Correction for He et al., GATA2 facilitates steroid receptor coactivator recruitment to the androgen receptor complex</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63">
        <w:r>
          <w:rPr>
            <w:color w:val="1155CC"/>
            <w:u w:val="single"/>
          </w:rPr>
          <w:t>10.1073/pnas.2528643122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[259] </w:t>
      </w:r>
      <w:hyperlink r:id="rId364">
        <w:r>
          <w:rPr>
            <w:color w:val="1155CC"/>
            <w:u w:val="single"/>
          </w:rPr>
          <w:t>将不合理的散装密度值对土壤中含有生物添加物的不合理散装密度值和土壤碳固存估计偏向土壤碳吸收估计值</w:t>
        </w:r>
      </w:hyperlink>
    </w:p>
    <w:p>
      <w:pPr>
        <w:spacing w:before="0" w:after="80"/>
      </w:pPr>
      <w:r>
        <w:rPr>
          <w:i/>
          <w:sz w:val="20"/>
        </w:rPr>
        <w:t>EN: Imputing unjustified bulk density values to soils with biochar addition biases soil carbon sequestration estimates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65">
        <w:r>
          <w:rPr>
            <w:color w:val="1155CC"/>
            <w:u w:val="single"/>
          </w:rPr>
          <w:t>10.1073/pnas.2528257123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[260] </w:t>
      </w:r>
      <w:hyperlink r:id="rId366">
        <w:r>
          <w:rPr>
            <w:color w:val="1155CC"/>
            <w:u w:val="single"/>
          </w:rPr>
          <w:t>酵母进化中反复丧失自我生育率异异体体和多聚ploidy</w:t>
        </w:r>
      </w:hyperlink>
    </w:p>
    <w:p>
      <w:pPr>
        <w:spacing w:before="0" w:after="80"/>
      </w:pPr>
      <w:r>
        <w:rPr>
          <w:i/>
          <w:sz w:val="20"/>
        </w:rPr>
        <w:t>EN: Repeated losses of self-fertility shaped heterozygosity and polyploidy in yeast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67">
        <w:r>
          <w:rPr>
            <w:color w:val="1155CC"/>
            <w:u w:val="single"/>
          </w:rPr>
          <w:t>10.1073/pnas.2525679123</w:t>
        </w:r>
      </w:hyperlink>
    </w:p>
    <w:p>
      <w:pPr>
        <w:spacing w:before="0" w:after="120"/>
      </w:pPr>
      <w:r>
        <w:rPr>
          <w:b/>
        </w:rPr>
        <w:t xml:space="preserve">Notes: </w:t>
      </w:r>
      <w:r>
        <w:t>abstract_source=crossref</w:t>
      </w:r>
    </w:p>
    <w:p>
      <w:pPr>
        <w:spacing w:before="0" w:after="80" w:lineRule="auto" w:line="276"/>
      </w:pPr>
      <w:r>
        <w:rPr>
          <w:b/>
        </w:rPr>
        <w:t xml:space="preserve">摘要（ZH）: </w:t>
      </w:r>
      <w:r>
        <w:t>交配战略的进化转变对遗传变异和适应具有深远的影响。在Sachharomyce 子宫萎缩中,交配型转换是生命周期的一个中心特征,使机动细胞能够自我繁殖,并与其自身的动物后代(嗜血症)交配。然而,在不同的位置上发现了丧失这种能力的异构分离,表明这种特性是多形态的。在这里,我们实验性地指出,在具有代表性的菌株群中,交配型转换的丧失。对117个调聚物到电离子基因组群的分析显示,Ho endonucleent基因和结构中存在多种独立的功能丧失突变。</w:t>
      </w:r>
    </w:p>
    <w:p>
      <w:pPr>
        <w:spacing w:before="0" w:after="200" w:lineRule="auto" w:line="276"/>
      </w:pPr>
      <w:r>
        <w:rPr>
          <w:b/>
        </w:rPr>
        <w:t xml:space="preserve">Abstract (EN): </w:t>
      </w:r>
      <w:r>
        <w:t>Evolutionary transitions in mating strategy have profound consequences for genetic variation and adaptation. In</w:t>
      </w:r>
      <w:r>
        <w:t xml:space="preserve"> </w:t>
      </w:r>
      <w:r>
        <w:t>Saccharomyces cerevisiae</w:t>
      </w:r>
      <w:r>
        <w:t xml:space="preserve"> </w:t>
      </w:r>
      <w:r>
        <w:t>,</w:t>
      </w:r>
      <w:r>
        <w:t xml:space="preserve"> </w:t>
      </w:r>
      <w:r>
        <w:t>mating-type switching is a central feature of the life cycle that enables haploid cells to be self-fertile and mate with their own mitotic descendants (homothallism). Yet heterothallic isolates that have lost this ability are found across diverse niches, indicating that this trait is polymorphic. Here, we experimentally characterized loss of mating-type switching in a representative panel of strains. Analysis of 117 telomere-to-telomere genome assemblies revealed multiple independent loss-of-function mutations in the Ho endonuclease gene and structural variants in the silent</w:t>
      </w:r>
      <w:r>
        <w:t xml:space="preserve"> </w:t>
      </w:r>
      <w:r>
        <w:t>HML</w:t>
      </w:r>
      <w:r>
        <w:t xml:space="preserve"> </w:t>
      </w:r>
      <w:r>
        <w:t>and</w:t>
      </w:r>
      <w:r>
        <w:t xml:space="preserve"> </w:t>
      </w:r>
      <w:r>
        <w:t>HMR</w:t>
      </w:r>
      <w:r>
        <w:t xml:space="preserve"> </w:t>
      </w:r>
      <w:r>
        <w:t>cassettes, the three loci essential for switching. We estimated that at least 13 independent transitions from homothallism to heterothallism have occurred in the species history. Analysis of the</w:t>
      </w:r>
      <w:r>
        <w:t xml:space="preserve"> </w:t>
      </w:r>
      <w:r>
        <w:t>HO</w:t>
      </w:r>
      <w:r>
        <w:t xml:space="preserve"> </w:t>
      </w:r>
      <w:r>
        <w:t>genotype of 2,910 strains shows that at least 27% are heterothallic. We found that heterothallism is strongly associated with polyploidy and elevated genome-wide heterozygosity, although the strength of these associations varies between populations. Heterothallic isolates are most prevalent in domesticated and clinical clades, consistent with an origin linked to human-associated environments. However, they are also found, though less frequently, in natural niches. Signatures of recombination in</w:t>
      </w:r>
      <w:r>
        <w:t xml:space="preserve"> </w:t>
      </w:r>
      <w:r>
        <w:t>HO</w:t>
      </w:r>
      <w:r>
        <w:t xml:space="preserve"> </w:t>
      </w:r>
      <w:r>
        <w:t>sequences suggest that outcrossing contributed to the ecological and geographical distribution of the trait. Our findings reveal that mating-type switching has undergone repeated losses in</w:t>
      </w:r>
      <w:r>
        <w:t xml:space="preserve"> </w:t>
      </w:r>
      <w:r>
        <w:t>S. cerevisiae</w:t>
      </w:r>
      <w:r>
        <w:t xml:space="preserve"> </w:t>
      </w:r>
      <w:r>
        <w:t>evolution, with major consequences for genome architecture and ecological diversification.</w:t>
      </w:r>
    </w:p>
    <w:p>
      <w:pPr>
        <w:spacing w:before="120" w:after="120"/>
      </w:pPr>
      <w:r>
        <w:rPr>
          <w:sz w:val="18"/>
        </w:rPr>
        <w:t>——————————————————————————————————————————————————————————————————————</w:t>
      </w:r>
    </w:p>
    <w:p>
      <w:pPr>
        <w:spacing w:before="160" w:after="40" w:line="240" w:lineRule="auto"/>
      </w:pPr>
      <w:r>
        <w:rPr>
          <w:b/>
        </w:rPr>
        <w:t xml:space="preserve">[261] </w:t>
      </w:r>
      <w:hyperlink r:id="rId368">
        <w:r>
          <w:rPr>
            <w:color w:val="1155CC"/>
            <w:u w:val="single"/>
          </w:rPr>
          <w:t>通过超分子分子促进药物刺激刺激通过超分子分子促进药物的刺激 水凝液凝液增强本性适应性免疫交叉交谈,以防止血浆瘤复发</w:t>
        </w:r>
      </w:hyperlink>
    </w:p>
    <w:p>
      <w:pPr>
        <w:spacing w:before="0" w:after="80"/>
      </w:pPr>
      <w:r>
        <w:rPr>
          <w:i/>
          <w:sz w:val="20"/>
        </w:rPr>
        <w:t>EN: STING stimulation via supramolecular prodrug hydrogel boosts innate-adaptive immune cross-talk to prevent glioblastoma recurrence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369">
        <w:r>
          <w:rPr>
            <w:color w:val="1155CC"/>
            <w:u w:val="single"/>
          </w:rPr>
          <w:t>10.1126/sciadv.adx9671</w:t>
        </w:r>
      </w:hyperlink>
    </w:p>
    <w:p>
      <w:pPr>
        <w:spacing w:before="0" w:after="120"/>
      </w:pPr>
      <w:r>
        <w:rPr>
          <w:b/>
        </w:rPr>
        <w:t xml:space="preserve">Notes: </w:t>
      </w:r>
      <w:r>
        <w:t>abstract_source=crossref</w:t>
      </w:r>
    </w:p>
    <w:p>
      <w:pPr>
        <w:spacing w:before="0" w:after="80" w:lineRule="auto" w:line="276"/>
      </w:pPr>
      <w:r>
        <w:rPr>
          <w:b/>
        </w:rPr>
        <w:t xml:space="preserve">摘要（ZH）: </w:t>
      </w:r>
      <w:r>
        <w:t>Glioblastoma多形式(GBM)是最具侵略性的主要脑脑肿瘤,它表现出了对免疫疗法的持久性抗药性,因为其具有深远的免疫抑制性微观环境以及明显有限的T细胞渗透。 在这方面,我们设计了一个Stinging agotist- concented acented prodrug 氢凝胶,它可以同时协调原生免疫和适应性免疫的双重激活,以防止GBM手术后重现。 我们发现,这个原地-成形的水文凝胶与肿瘤剖面程序无缝结合,成为治疗剂持续肿瘤释放的药库,从而通过促进M1大型phage极化、抑制监管T细胞活动以及增强细胞毒性T淋巴细胞渗透,从而建立强大的抗菌体,从而重新规划肿瘤微观环境,从而推动M1大型两极分化,抑制监管T细胞活动,并增强细胞毒性T淋巴细胞渗透。</w:t>
      </w:r>
    </w:p>
    <w:p>
      <w:pPr>
        <w:spacing w:before="0" w:after="200" w:lineRule="auto" w:line="276"/>
      </w:pPr>
      <w:r>
        <w:rPr>
          <w:b/>
        </w:rPr>
        <w:t xml:space="preserve">Abstract (EN): </w:t>
      </w:r>
      <w:r>
        <w:t>Glioblastoma multiforme (GBM), the most aggressive primary brain tumor, demonstrates persistent resistance to immunotherapy due to its profoundly immunosuppressive microenvironment and markedly limited T cell infiltration. In this context, we engineered a STING agonist–incorporated prodrug hydrogel that orchestrates dual activation of innate and adaptive immunity to prevent postoperative GBM recurrence. We found that this in situ–forming hydrogel integrates seamlessly with tumor resection procedures, serves as a drug depot for sustained tumoral releases of therapeutic agents, and thus reprograms the tumor microenvironment by promoting M1 macrophage polarization, suppressing regulatory T cell activity, and enhancing cytotoxic T lymphocyte infiltration, thereby establishing a robust antitumor immune response. As a postoperative adjuvant therapy, the hydrogel effectively inhibits orthotopic GBM recurrence and extends animal survival while establishing durable immune memory against tumor rechallenge. Our findings demonstrate the translational potential of immunologically engineered hydrogels for STING-activated immunotherapy in preventing postresection GBM recurrence.</w:t>
      </w:r>
    </w:p>
    <w:p>
      <w:pPr>
        <w:spacing w:before="120" w:after="120"/>
      </w:pPr>
      <w:r>
        <w:rPr>
          <w:sz w:val="18"/>
        </w:rPr>
        <w:t>——————————————————————————————————————————————————————————————————————</w:t>
      </w:r>
    </w:p>
    <w:p>
      <w:pPr>
        <w:spacing w:before="160" w:after="40" w:line="240" w:lineRule="auto"/>
      </w:pPr>
      <w:r>
        <w:rPr>
          <w:b/>
        </w:rPr>
        <w:t xml:space="preserve">[262] </w:t>
      </w:r>
      <w:hyperlink r:id="rId370">
        <w:r>
          <w:rPr>
            <w:color w:val="1155CC"/>
            <w:u w:val="single"/>
          </w:rPr>
          <w:t>利用以LENN为基准的有目标的弹性类聚聚苯酯(LENN)配方优化 mRNA的交付:深入内分泌机制的透视</w:t>
        </w:r>
      </w:hyperlink>
    </w:p>
    <w:p>
      <w:pPr>
        <w:spacing w:before="0" w:after="80"/>
      </w:pPr>
      <w:r>
        <w:rPr>
          <w:i/>
          <w:sz w:val="20"/>
        </w:rPr>
        <w:t>EN: Optimizing mRNA delivery with targeted elastin-like polypeptide–based LENN formulations: Insights into the endocytosis mechanism</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71">
        <w:r>
          <w:rPr>
            <w:color w:val="1155CC"/>
            <w:u w:val="single"/>
          </w:rPr>
          <w:t>10.1073/pnas.2502486122</w:t>
        </w:r>
      </w:hyperlink>
    </w:p>
    <w:p>
      <w:pPr>
        <w:spacing w:before="0" w:after="120"/>
      </w:pPr>
      <w:r>
        <w:rPr>
          <w:b/>
        </w:rPr>
        <w:t xml:space="preserve">Notes: </w:t>
      </w:r>
      <w:r>
        <w:t>abstract_source=crossref</w:t>
      </w:r>
    </w:p>
    <w:p>
      <w:pPr>
        <w:spacing w:before="0" w:after="80" w:lineRule="auto" w:line="276"/>
      </w:pPr>
      <w:r>
        <w:rPr>
          <w:b/>
        </w:rPr>
        <w:t xml:space="preserve">摘要（ZH）: </w:t>
      </w:r>
      <w:r>
        <w:t>基因投送已成为改变基因表达方式的开拓性技术,为治疗大量疾病提供了新的可能性。我们报告说,用于mRNA输送的层层和层的聚丙酸核酸纳米粒子(LENN)系统是病毒矢量和脂肪纳米粒子系统的有吸引力的替代物。这项研究的重点是确定LENN携带 mRNA 货物的物理特性,评估其在T24膀胱肿瘤细胞中的生物性能。我们的数据显示,通过批量混合高效封装 mRNA片段,MRNA编码的润滑酶通过批量混合形成稳定在30-130纳米的LENN粒子,抗 heparin挑战,并且能够在-20°C储存3 d 的液化粉末,同时保留充分的生物活动。</w:t>
      </w:r>
    </w:p>
    <w:p>
      <w:pPr>
        <w:spacing w:before="0" w:after="200" w:lineRule="auto" w:line="276"/>
      </w:pPr>
      <w:r>
        <w:rPr>
          <w:b/>
        </w:rPr>
        <w:t xml:space="preserve">Abstract (EN): </w:t>
      </w:r>
      <w:r>
        <w:t>Gene delivery has emerged as a groundbreaking technique for altering gene expression, offering new possibilities in treating a vast array of diseases. We report a layer-by-layer elastin-like polypeptide nucleic acid nanoparticle (LENN) system for mRNA delivery as an attractive alternative to viral vectors and lipid nanoparticle (LNP) systems. This study focuses on determining the physical characteristics of LENN bearing mRNA cargo and assessing their biological performance in T24 bladder tumor cells. Our data show that mRNA encoding luciferase forms stable 30 to 130 nm LENN particles via batch mixing to efficiently encapsulate the mRNA strands, are resistant to heparin challenge, and are capable of storage at −20 °C for 3 d as lyophilized powders while retaining full biological activity after rehydration. We also demonstrate that LENN targeted to the epidermal growth factor receptor (EGFR) can efficiently deliver the mRNA cargo to the cytosol of EGFR+ T24 human bladder cancer cells via clathrin-mediated endocytosis where it is translationally active. Lipid profiling analyses show the significant role that upregulated phospholipid biosynthesis plays in nanoparticle internalization and endosomal escape compared to untargeted LENN, indicating the importance of the clathrin pathway in contributing to the delivery efficiency of LENN. Endocytosis inhibition experiments further support the involvement of the clathrin pathway. These findings highlight the compelling features of LENN with respect to their size, in vitro and in vivo targetability, mRNA encapsulation efficiency, complex stability, gene expression, and “green” manufacturability, offering an attractive alternative to existing methods for gene delivery.</w:t>
      </w:r>
    </w:p>
    <w:p>
      <w:pPr>
        <w:spacing w:before="120" w:after="120"/>
      </w:pPr>
      <w:r>
        <w:rPr>
          <w:sz w:val="18"/>
        </w:rPr>
        <w:t>——————————————————————————————————————————————————————————————————————</w:t>
      </w:r>
    </w:p>
    <w:p>
      <w:pPr>
        <w:spacing w:before="160" w:after="40" w:line="240" w:lineRule="auto"/>
      </w:pPr>
      <w:r>
        <w:rPr>
          <w:b/>
        </w:rPr>
        <w:t xml:space="preserve">[263] </w:t>
      </w:r>
      <w:hyperlink r:id="rId372">
        <w:r>
          <w:rPr>
            <w:color w:val="1155CC"/>
            <w:u w:val="single"/>
          </w:rPr>
          <w:t>由饮食信号驱动的Tr1细胞 主导着小肠道免疫环境</w:t>
        </w:r>
      </w:hyperlink>
    </w:p>
    <w:p>
      <w:pPr>
        <w:spacing w:before="0" w:after="80"/>
      </w:pPr>
      <w:r>
        <w:rPr>
          <w:i/>
          <w:sz w:val="20"/>
        </w:rPr>
        <w:t>EN: T-bet-expressing Tr1 cells driven by dietary signals dominate the small intestinal immune landscape</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73">
        <w:r>
          <w:rPr>
            <w:color w:val="1155CC"/>
            <w:u w:val="single"/>
          </w:rPr>
          <w:t>10.1073/pnas.2520747122</w:t>
        </w:r>
      </w:hyperlink>
    </w:p>
    <w:p>
      <w:pPr>
        <w:spacing w:before="0" w:after="120"/>
      </w:pPr>
      <w:r>
        <w:rPr>
          <w:b/>
        </w:rPr>
        <w:t xml:space="preserve">Notes: </w:t>
      </w:r>
      <w:r>
        <w:t>abstract_source=crossref</w:t>
      </w:r>
    </w:p>
    <w:p>
      <w:pPr>
        <w:spacing w:before="0" w:after="80" w:lineRule="auto" w:line="276"/>
      </w:pPr>
      <w:r>
        <w:rPr>
          <w:b/>
        </w:rPr>
        <w:t xml:space="preserve">摘要（ZH）: </w:t>
      </w:r>
      <w:r>
        <w:t>尽管组织内活性T细胞数量丰富,但它们对这些不同作用的贡献仍然不甚为人所知。在这里,我们确定了主要生产IL-10的Tr1T细胞,这些细胞居住在家庭主食中的小肠道拉米纳病原体中。值得注意的是,这些肠道Tr1细胞在断奶和积聚时出现,而微生物在无细菌条件下表现出类似的丰度、功能和转基因反应。相反,小肠道T-Bet +。</w:t>
      </w:r>
    </w:p>
    <w:p>
      <w:pPr>
        <w:spacing w:before="0" w:after="200" w:lineRule="auto" w:line="276"/>
      </w:pPr>
      <w:r>
        <w:rPr>
          <w:b/>
        </w:rPr>
        <w:t xml:space="preserve">Abstract (EN): </w:t>
      </w:r>
      <w:r>
        <w:t>Intestinal immunity defends against enteric pathogens, mediates symbiotic relationships with the resident microbiota, and provides tolerance to food antigens, safeguarding critical nutrient absorption and barrier functions of this mucosal tissue. Despite the abundance of tissue resident activated T cells, their contributions to these various roles remain poorly understood. Here, we identify a dominant population of IL-10 producing, T-bet-expressing Tr1 T cells, residing in the small intestinal lamina propria at homeostasis. Remarkably, these intestinal Tr1 cells emerge at the time of weaning and accumulate independently of the microbiota displaying similar abundance, function, and TCR repertoire under germ-free conditions. Instead, the small intestinal T-bet</w:t>
      </w:r>
      <w:r>
        <w:t xml:space="preserve"> </w:t>
      </w:r>
      <w:r>
        <w:t>+</w:t>
      </w:r>
      <w:r>
        <w:t xml:space="preserve"> </w:t>
      </w:r>
      <w:r>
        <w:t>Tr1 program is driven and shaped by dietary antigens, and accumulates in a cDC1-IL-27-dependent manner. Upon activation, these cells robustly express IL-10 and multiple inhibitory receptors, establishing a distinct suppressive profile. Altogether, this work uncovers a previously unappreciated dominant player in homeostatic small intestinal immunity with the potential to play critical suppressive roles in this tissue, raising important implications for the understanding of immune regulation in the intestine.</w:t>
      </w:r>
    </w:p>
    <w:p>
      <w:pPr>
        <w:spacing w:before="120" w:after="120"/>
      </w:pPr>
      <w:r>
        <w:rPr>
          <w:sz w:val="18"/>
        </w:rPr>
        <w:t>——————————————————————————————————————————————————————————————————————</w:t>
      </w:r>
    </w:p>
    <w:p>
      <w:pPr>
        <w:spacing w:before="160" w:after="40" w:line="240" w:lineRule="auto"/>
      </w:pPr>
      <w:r>
        <w:rPr>
          <w:b/>
        </w:rPr>
        <w:t xml:space="preserve">[264] </w:t>
      </w:r>
      <w:hyperlink r:id="rId374">
        <w:r>
          <w:rPr>
            <w:color w:val="1155CC"/>
            <w:u w:val="single"/>
          </w:rPr>
          <w:t>跨国性别陈规定型观念与男女的社会地位有关:跨文化民意调查的证据</w:t>
        </w:r>
      </w:hyperlink>
    </w:p>
    <w:p>
      <w:pPr>
        <w:spacing w:before="0" w:after="80"/>
      </w:pPr>
      <w:r>
        <w:rPr>
          <w:i/>
          <w:sz w:val="20"/>
        </w:rPr>
        <w:t>EN: Gender stereotypes across nations relate to the social position of women and men: Evidence from cross-cultural public opinion polls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75">
        <w:r>
          <w:rPr>
            <w:color w:val="1155CC"/>
            <w:u w:val="single"/>
          </w:rPr>
          <w:t>10.1073/pnas.2510180122</w:t>
        </w:r>
      </w:hyperlink>
    </w:p>
    <w:p>
      <w:pPr>
        <w:spacing w:before="0" w:after="120"/>
      </w:pPr>
      <w:r>
        <w:rPr>
          <w:b/>
        </w:rPr>
        <w:t xml:space="preserve">Notes: </w:t>
      </w:r>
      <w:r>
        <w:t>abstract_source=crossref</w:t>
      </w:r>
    </w:p>
    <w:p>
      <w:pPr>
        <w:spacing w:before="0" w:after="80" w:lineRule="auto" w:line="276"/>
      </w:pPr>
      <w:r>
        <w:rPr>
          <w:b/>
        </w:rPr>
        <w:t xml:space="preserve">摘要（ZH）: </w:t>
      </w:r>
      <w:r>
        <w:t>根据1995年(22个国家,答复者为22 000人)和2023年(40个国家,答复者为4 800人)的民意调查数据,这项预先登记的研究审查了性别陈规定型观念的跨文化差异,结果显示,在所有研究的国家,在这两个时间点,人们认为男性比女性更具强制性,女性比男性更具有共性,然而,这些定型观念的强度存在着巨大的跨文化差异,即共有定型观念特别与男女在社会角色上的分布有关。</w:t>
      </w:r>
    </w:p>
    <w:p>
      <w:pPr>
        <w:spacing w:before="0" w:after="200" w:lineRule="auto" w:line="276"/>
      </w:pPr>
      <w:r>
        <w:rPr>
          <w:b/>
        </w:rPr>
        <w:t xml:space="preserve">Abstract (EN): </w:t>
      </w:r>
      <w:r>
        <w:t>Gender stereotypes, defined as widely shared beliefs about the typical attributes of women and men, have far-reaching consequences for both stereotyped groups. This preregistered research examined cross-cultural variation in gender stereotypes based on public opinion poll data from 1995 (22 nations with 22,000 respondents) and 2023 (40 nations with 4,800 respondents). Results revealed that men were perceived as more agentic than women and women as more communal than men in all studied nations at both time points. Yet, substantial cross-cultural variation existed in the strength of these stereotypes whereby the communion stereotype in particular related to the distribution of women and men into social roles. The female advantage in communion was stronger the larger women’s share in the labor force and the greater the occupational sex segregation, both reflecting women’s employment primarily in communal domains. The male advantage in agency likely reflects that women’s considerable inroads into leader roles put them in versions of the role entailing lesser status and power and therefore conveying lesser agency. For competence, most respondents believed that women and men are equally competent in 17 of the 23 nations surveyed in 1995 and in all 40 nations surveyed in 2023. These beliefs in competence equality were stronger in nations with greater female educational attainment and labor force participation (in 2023 but not in 1995). By identifying cross-cultural patterns and socioeconomic indicators associated with variation in gender stereotyping, this research advances understanding of how the locations of women and men in nations’ social structures inform gender stereotypes.</w:t>
      </w:r>
    </w:p>
    <w:p>
      <w:pPr>
        <w:spacing w:before="120" w:after="120"/>
      </w:pPr>
      <w:r>
        <w:rPr>
          <w:sz w:val="18"/>
        </w:rPr>
        <w:t>——————————————————————————————————————————————————————————————————————</w:t>
      </w:r>
    </w:p>
    <w:p>
      <w:pPr>
        <w:spacing w:before="160" w:after="40" w:line="240" w:lineRule="auto"/>
      </w:pPr>
      <w:r>
        <w:rPr>
          <w:b/>
        </w:rPr>
        <w:t xml:space="preserve">[265] </w:t>
      </w:r>
      <w:hyperlink r:id="rId376">
        <w:r>
          <w:rPr>
            <w:color w:val="1155CC"/>
            <w:u w:val="single"/>
          </w:rPr>
          <w:t>网络结构通过单项决定形成协商一致的动态</w:t>
        </w:r>
      </w:hyperlink>
    </w:p>
    <w:p>
      <w:pPr>
        <w:spacing w:before="0" w:after="80"/>
      </w:pPr>
      <w:r>
        <w:rPr>
          <w:i/>
          <w:sz w:val="20"/>
        </w:rPr>
        <w:t>EN: Network structure shapes consensus dynamics through individual decisions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77">
        <w:r>
          <w:rPr>
            <w:color w:val="1155CC"/>
            <w:u w:val="single"/>
          </w:rPr>
          <w:t>10.1073/pnas.2520483123</w:t>
        </w:r>
      </w:hyperlink>
    </w:p>
    <w:p>
      <w:pPr>
        <w:spacing w:before="0" w:after="120"/>
      </w:pPr>
      <w:r>
        <w:rPr>
          <w:b/>
        </w:rPr>
        <w:t xml:space="preserve">Notes: </w:t>
      </w:r>
      <w:r>
        <w:t>abstract_source=crossref</w:t>
      </w:r>
    </w:p>
    <w:p>
      <w:pPr>
        <w:spacing w:before="0" w:after="80" w:lineRule="auto" w:line="276"/>
      </w:pPr>
      <w:r>
        <w:rPr>
          <w:b/>
        </w:rPr>
        <w:t xml:space="preserve">摘要（ZH）: </w:t>
      </w:r>
      <w:r>
        <w:t>在分散的在线网络中,共享叙事如何出现?先前使用简化团体协调任务(如脸命名)的研究显示,网络结构形成集团共识,但基本的认知机制仍然不明确。这里,我们研究网络结构如何影响试验性在线社交网络中共享叙事信仰的出现和语义内容,如何利用自然语言处理措施和代理模式模型来影响这些共同叙事信仰的出现和语义内容。具有复杂因果结构的媒体内容通过鼓励长期探索背景知识来减轻网络结构的影响。然而,网络结构仍然影响所传达的叙事内容。基于嵌入式的叙事协调措施显示,完全相连的团体将互动更多地导向c。</w:t>
      </w:r>
    </w:p>
    <w:p>
      <w:pPr>
        <w:spacing w:before="0" w:after="200" w:lineRule="auto" w:line="276"/>
      </w:pPr>
      <w:r>
        <w:rPr>
          <w:b/>
        </w:rPr>
        <w:t xml:space="preserve">Abstract (EN): </w:t>
      </w:r>
      <w:r>
        <w:t>How do shared narratives emerge in decentralized online networks? Prior research using simplified group coordination tasks (e.g., face-naming) shows network structure shapes group consensus, but the underlying cognitive mechanisms remain unclear. Here, we examine how network structure influences the emergence and semantic content of shared narrative beliefs in experimental online social networks, using natural language processing measures and agent-based modeling. Media content with complex causal structure attenuates network structure effects by encouraging longer exploration of background knowledge. Yet network structure still shapes the narrative content communicated. An embedding-based narrative alignment measure shows that fully connected groups orient their interactions more toward communicating causes of an event, whereas locally connected networks emphasize the event’s effects. A group’s network structure also influences representational and language change in personal narratives: participants in fully connected networks showed the largest increase in causal language in personal narratives written after interaction, which also orient more around the narrative’s causal events.</w:t>
      </w:r>
    </w:p>
    <w:p>
      <w:pPr>
        <w:spacing w:before="120" w:after="120"/>
      </w:pPr>
      <w:r>
        <w:rPr>
          <w:sz w:val="18"/>
        </w:rPr>
        <w:t>——————————————————————————————————————————————————————————————————————</w:t>
      </w:r>
    </w:p>
    <w:p>
      <w:pPr>
        <w:spacing w:before="160" w:after="40" w:line="240" w:lineRule="auto"/>
      </w:pPr>
      <w:r>
        <w:rPr>
          <w:b/>
        </w:rPr>
        <w:t xml:space="preserve">[266] </w:t>
      </w:r>
      <w:hyperlink r:id="rId378">
        <w:r>
          <w:rPr>
            <w:color w:val="1155CC"/>
            <w:u w:val="single"/>
          </w:rPr>
          <w:t>预计即将发生事件是时间变化不定的</w:t>
        </w:r>
      </w:hyperlink>
    </w:p>
    <w:p>
      <w:pPr>
        <w:spacing w:before="0" w:after="80"/>
      </w:pPr>
      <w:r>
        <w:rPr>
          <w:i/>
          <w:sz w:val="20"/>
        </w:rPr>
        <w:t>EN: The anticipation of imminent events is time-scale invariant</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79">
        <w:r>
          <w:rPr>
            <w:color w:val="1155CC"/>
            <w:u w:val="single"/>
          </w:rPr>
          <w:t>10.1073/pnas.2518982123</w:t>
        </w:r>
      </w:hyperlink>
    </w:p>
    <w:p>
      <w:pPr>
        <w:spacing w:before="0" w:after="120"/>
      </w:pPr>
      <w:r>
        <w:rPr>
          <w:b/>
        </w:rPr>
        <w:t xml:space="preserve">Notes: </w:t>
      </w:r>
      <w:r>
        <w:t>abstract_source=crossref</w:t>
      </w:r>
    </w:p>
    <w:p>
      <w:pPr>
        <w:spacing w:before="0" w:after="80" w:lineRule="auto" w:line="276"/>
      </w:pPr>
      <w:r>
        <w:rPr>
          <w:b/>
        </w:rPr>
        <w:t xml:space="preserve">摘要（ZH）: </w:t>
      </w:r>
      <w:r>
        <w:t>人类预测了即将发生事件的时机,以产生快速和准确的行动、决定和其他行为。这种时间预测对于广泛的时间尺度至关重要,特别是从几百毫秒到几秒钟不等。尽管我们对基本时间行为及其内在神经机制的理解有了进步,但预测是否在这些短暂的时间尺度上是稳定的,这仍然是个未决问题。最近的工作表明,大脑模拟了各种事件的概率密度函数(PDF),这暗示了时间预测的明理机制。在这里,我们调查这一计算是否在事件分布覆盖不同时间跨度时进行。我们显示,无论时间跨度、预测程度如何,衡量为“重新计算 ” 。</w:t>
      </w:r>
    </w:p>
    <w:p>
      <w:pPr>
        <w:spacing w:before="0" w:after="200" w:lineRule="auto" w:line="276"/>
      </w:pPr>
      <w:r>
        <w:rPr>
          <w:b/>
        </w:rPr>
        <w:t xml:space="preserve">Abstract (EN): </w:t>
      </w:r>
      <w:r>
        <w:t>Humans predict the timing of imminent events to generate fast and precise actions, decisions, and other behaviors. Such temporal anticipation is critical over wide timescales, and especially salient over the range from hundreds of milliseconds to a few seconds. Despite advances in our understanding of basic timing behavior and its underlying neural mechanisms, it remains an open question whether anticipation is stable across these short time scales. Recent work shows that the brain models the probability density function (PDF) of events across time, suggesting a canonical mechanism for temporal anticipation. Here, we investigate whether this computation holds when the event distribution covers different time spans. We show that, irrespective of the time span, anticipation, measured as reaction time, scales with the event distribution. This demonstrates that the key computation—the estimation of event probability density—is invariant across temporal scales. We further show that the precision of anticipation is also scale invariant which contradicts Weber’s law. The results are established in vision and audition, suggesting that the core computations in temporal anticipation are independent of sensory modality. Perceptual systems exploit probability estimation over time independently of temporal scale to anticipate imminent events.</w:t>
      </w:r>
    </w:p>
    <w:p>
      <w:pPr>
        <w:spacing w:before="120" w:after="120"/>
      </w:pPr>
      <w:r>
        <w:rPr>
          <w:sz w:val="18"/>
        </w:rPr>
        <w:t>——————————————————————————————————————————————————————————————————————</w:t>
      </w:r>
    </w:p>
    <w:p>
      <w:pPr>
        <w:spacing w:before="160" w:after="40" w:line="240" w:lineRule="auto"/>
      </w:pPr>
      <w:r>
        <w:rPr>
          <w:b/>
        </w:rPr>
        <w:t xml:space="preserve">[267] </w:t>
      </w:r>
      <w:hyperlink r:id="rId380">
        <w:r>
          <w:rPr>
            <w:color w:val="1155CC"/>
            <w:u w:val="single"/>
          </w:rPr>
          <w:t>通过超微电子阳性联苯质谱测量法将质子混合电子转移机械式硝酸盐库通过超微电子相连接质谱仪将硝酸盐转移至氨</w:t>
        </w:r>
      </w:hyperlink>
    </w:p>
    <w:p>
      <w:pPr>
        <w:spacing w:before="0" w:after="80"/>
      </w:pPr>
      <w:r>
        <w:rPr>
          <w:i/>
          <w:sz w:val="20"/>
        </w:rPr>
        <w:t>EN: Unveiling a proton-coupled electron-transfer mechanistic library of nitrate to ammonia via ultramicroelectrode-hyphenated mass spectrometry</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81">
        <w:r>
          <w:rPr>
            <w:color w:val="1155CC"/>
            <w:u w:val="single"/>
          </w:rPr>
          <w:t>10.1073/pnas.2518909122</w:t>
        </w:r>
      </w:hyperlink>
    </w:p>
    <w:p>
      <w:pPr>
        <w:spacing w:before="0" w:after="120"/>
      </w:pPr>
      <w:r>
        <w:rPr>
          <w:b/>
        </w:rPr>
        <w:t xml:space="preserve">Notes: </w:t>
      </w:r>
      <w:r>
        <w:t>abstract_source=crossref</w:t>
      </w:r>
    </w:p>
    <w:p>
      <w:pPr>
        <w:spacing w:before="0" w:after="80" w:lineRule="auto" w:line="276"/>
      </w:pPr>
      <w:r>
        <w:rPr>
          <w:b/>
        </w:rPr>
        <w:t xml:space="preserve">摘要（ZH）: </w:t>
      </w:r>
      <w:r>
        <w:t>对于宝贵的氨合成和绿色氮循环利用而言,电催化硝酸减少反应(NO 3 RR)是常规Haber-Bosch工艺的一种可持续替代方法。NO 3 RR涉及复杂的多步质联式电子传输(PCET),以多种氮-氧素中间体和反应分支为特征。整合这一复杂的反应库对于合理调整NO 3 RR,以改进实际应用至关重要,但它仍然是一个艰巨的挑战。在这里,我们提出了一种现场超微电律-连字符质谱学技术,以系统调查动态电催化剂的NO 3。</w:t>
      </w:r>
    </w:p>
    <w:p>
      <w:pPr>
        <w:spacing w:before="0" w:after="200" w:lineRule="auto" w:line="276"/>
      </w:pPr>
      <w:r>
        <w:rPr>
          <w:b/>
        </w:rPr>
        <w:t xml:space="preserve">Abstract (EN): </w:t>
      </w:r>
      <w:r>
        <w:t>For valuable ammonia synthesis and green nitrogen recycling, electrocatalytic nitrate reduction reaction (NO</w:t>
      </w:r>
      <w:r>
        <w:rPr>
          <w:vertAlign w:val="subscript"/>
        </w:rPr>
        <w:t>3</w:t>
      </w:r>
      <w:r>
        <w:t>RR) presents a sustainable alternative to the conventional Haber–Bosch process. The NO</w:t>
      </w:r>
      <w:r>
        <w:rPr>
          <w:vertAlign w:val="subscript"/>
        </w:rPr>
        <w:t>3</w:t>
      </w:r>
      <w:r>
        <w:t>RR involves intricate, multi-step proton-coupled electron transfers (PCET) featuring multiple nitrogen-oxygen intermediates and reaction branches. Unveiling this complex reaction library is crucial for rational tailoring of NO</w:t>
      </w:r>
      <w:r>
        <w:rPr>
          <w:vertAlign w:val="subscript"/>
        </w:rPr>
        <w:t>3</w:t>
      </w:r>
      <w:r>
        <w:t>RR for improved practical application, yet it remains a formidable challenge. Herein we present an in situ ultramicroelectrode-hyphenated mass spectrometry technique to systematically investigate the dynamic electrocatalytic NO</w:t>
      </w:r>
      <w:r>
        <w:rPr>
          <w:vertAlign w:val="subscript"/>
        </w:rPr>
        <w:t>3</w:t>
      </w:r>
      <w:r>
        <w:t>RR, using a cobalt-based molecular catalyst as a model system, and to decipher its mechanistic library under complex reaction environments (potential- and pH-dependent). Several key short-lived CoNO</w:t>
      </w:r>
      <w:r>
        <w:t xml:space="preserve"> </w:t>
      </w:r>
      <w:r>
        <w:t>x</w:t>
      </w:r>
      <w:r>
        <w:t xml:space="preserve"> </w:t>
      </w:r>
      <w:r>
        <w:t>H</w:t>
      </w:r>
      <w:r>
        <w:t xml:space="preserve"> </w:t>
      </w:r>
      <w:r>
        <w:t>y</w:t>
      </w:r>
      <w:r>
        <w:t xml:space="preserve"> </w:t>
      </w:r>
      <w:r>
        <w:t>intermediates were directly tracked and identified, experimentally revealing that the overall catalytic pathway of NO</w:t>
      </w:r>
      <w:r>
        <w:rPr>
          <w:vertAlign w:val="subscript"/>
        </w:rPr>
        <w:t>3</w:t>
      </w:r>
      <w:r>
        <w:t>RR proceeds through the intermediary [LCo-NO</w:t>
      </w:r>
      <w:r>
        <w:rPr>
          <w:vertAlign w:val="subscript"/>
        </w:rPr>
        <w:t>3</w:t>
      </w:r>
      <w:r>
        <w:t>]→[LCo-NO</w:t>
      </w:r>
      <w:r>
        <w:rPr>
          <w:vertAlign w:val="subscript"/>
        </w:rPr>
        <w:t>3</w:t>
      </w:r>
      <w:r>
        <w:t>H]</w:t>
      </w:r>
      <w:r>
        <w:t xml:space="preserve"> </w:t>
      </w:r>
      <w:r>
        <w:t>+</w:t>
      </w:r>
      <w:r>
        <w:t xml:space="preserve"> </w:t>
      </w:r>
      <w:r>
        <w:t>→[LCo-NO</w:t>
      </w:r>
      <w:r>
        <w:rPr>
          <w:vertAlign w:val="subscript"/>
        </w:rPr>
        <w:t>2</w:t>
      </w:r>
      <w:r>
        <w:t>]</w:t>
      </w:r>
      <w:r>
        <w:t xml:space="preserve"> </w:t>
      </w:r>
      <w:r>
        <w:t>+</w:t>
      </w:r>
      <w:r>
        <w:t xml:space="preserve"> </w:t>
      </w:r>
      <w:r>
        <w:t>→</w:t>
      </w:r>
      <w:r>
        <w:t xml:space="preserve"> </w:t>
      </w:r>
      <w:r>
        <w:t>[LCo-NO</w:t>
      </w:r>
      <w:r>
        <w:rPr>
          <w:vertAlign w:val="subscript"/>
        </w:rPr>
        <w:t>2</w:t>
      </w:r>
      <w:r>
        <w:t>H]</w:t>
      </w:r>
      <w:r>
        <w:t xml:space="preserve"> </w:t>
      </w:r>
      <w:r>
        <w:t>+</w:t>
      </w:r>
      <w:r>
        <w:t xml:space="preserve"> </w:t>
      </w:r>
      <w:r>
        <w:t>→</w:t>
      </w:r>
      <w:r>
        <w:t xml:space="preserve"> </w:t>
      </w:r>
      <w:r>
        <w:t>[LCo-NO]</w:t>
      </w:r>
      <w:r>
        <w:t xml:space="preserve"> </w:t>
      </w:r>
      <w:r>
        <w:t>+</w:t>
      </w:r>
      <w:r>
        <w:t xml:space="preserve"> </w:t>
      </w:r>
      <w:r>
        <w:t>→</w:t>
      </w:r>
      <w:r>
        <w:t xml:space="preserve"> </w:t>
      </w:r>
      <w:r>
        <w:t>[LCo-NHOH]</w:t>
      </w:r>
      <w:r>
        <w:t xml:space="preserve"> </w:t>
      </w:r>
      <w:r>
        <w:t>+</w:t>
      </w:r>
      <w:r>
        <w:t xml:space="preserve"> </w:t>
      </w:r>
      <w:r>
        <w:t>→</w:t>
      </w:r>
      <w:r>
        <w:t xml:space="preserve"> </w:t>
      </w:r>
      <w:r>
        <w:t>[LCo-NH]</w:t>
      </w:r>
      <w:r>
        <w:t xml:space="preserve"> </w:t>
      </w:r>
      <w:r>
        <w:t>+</w:t>
      </w:r>
      <w:r>
        <w:t xml:space="preserve"> </w:t>
      </w:r>
      <w:r>
        <w:t>to produce NH</w:t>
      </w:r>
      <w:r>
        <w:rPr>
          <w:vertAlign w:val="subscript"/>
        </w:rPr>
        <w:t>3</w:t>
      </w:r>
      <w:r>
        <w:t>, which were further validated by isotopic</w:t>
      </w:r>
      <w:r>
        <w:rPr>
          <w:vertAlign w:val="subscript"/>
        </w:rPr>
        <w:t>15</w:t>
      </w:r>
      <w:r>
        <w:t>N-labeling and collision-induced dissociation experiments. Combining theoretical simulations, a complete PCET-based mechanistic pathway was elucidated and distinguished from competing hydrogenation–deoxygenation mechanisms. Notably, a systematically interconnected electrochemical mechanistic library for NO</w:t>
      </w:r>
      <w:r>
        <w:rPr>
          <w:vertAlign w:val="subscript"/>
        </w:rPr>
        <w:t>3</w:t>
      </w:r>
      <w:r>
        <w:t>RR, visualized through heat maps, was constructed to illustrate intermediate selectivity across a broad potential-pH space. This platform underscores the promising potential of navigating the pathway prediction and regulation of complex reaction environments, thereby advancing the mechanistic understanding of NO</w:t>
      </w:r>
      <w:r>
        <w:rPr>
          <w:vertAlign w:val="subscript"/>
        </w:rPr>
        <w:t>3</w:t>
      </w:r>
      <w:r>
        <w:t>RR and other complicated electrocatalytic processes.</w:t>
      </w:r>
    </w:p>
    <w:p>
      <w:pPr>
        <w:spacing w:before="120" w:after="120"/>
      </w:pPr>
      <w:r>
        <w:rPr>
          <w:sz w:val="18"/>
        </w:rPr>
        <w:t>——————————————————————————————————————————————————————————————————————</w:t>
      </w:r>
    </w:p>
    <w:p>
      <w:pPr>
        <w:spacing w:before="160" w:after="40" w:line="240" w:lineRule="auto"/>
      </w:pPr>
      <w:r>
        <w:rPr>
          <w:b/>
        </w:rPr>
        <w:t xml:space="preserve">[268] </w:t>
      </w:r>
      <w:hyperlink r:id="rId382">
        <w:r>
          <w:rPr>
            <w:color w:val="1155CC"/>
            <w:u w:val="single"/>
          </w:rPr>
          <w:t>含有胆酯醇的脂质晶体可以在纤维化之前直接僵硬大鼠的食性肝脏。</w:t>
        </w:r>
      </w:hyperlink>
    </w:p>
    <w:p>
      <w:pPr>
        <w:spacing w:before="0" w:after="80"/>
      </w:pPr>
      <w:r>
        <w:rPr>
          <w:i/>
          <w:sz w:val="20"/>
        </w:rPr>
        <w:t>EN: Cholesterol-containing lipid crystals can directly stiffen the rat steatotic liver before fibrosis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83">
        <w:r>
          <w:rPr>
            <w:color w:val="1155CC"/>
            <w:u w:val="single"/>
          </w:rPr>
          <w:t>10.1073/pnas.2518060123</w:t>
        </w:r>
      </w:hyperlink>
    </w:p>
    <w:p>
      <w:pPr>
        <w:spacing w:before="0" w:after="120"/>
      </w:pPr>
      <w:r>
        <w:rPr>
          <w:b/>
        </w:rPr>
        <w:t xml:space="preserve">Notes: </w:t>
      </w:r>
      <w:r>
        <w:t>abstract_source=crossref</w:t>
      </w:r>
    </w:p>
    <w:p>
      <w:pPr>
        <w:spacing w:before="0" w:after="80" w:lineRule="auto" w:line="276"/>
      </w:pPr>
      <w:r>
        <w:rPr>
          <w:b/>
        </w:rPr>
        <w:t xml:space="preserve">摘要（ZH）: </w:t>
      </w:r>
      <w:r>
        <w:t>甲骨文机能障碍 — — 相关血清肝病(MARCD)的特征是肝病和心肺炎等心肺病风险因素的肝病。 病人可能会从单体胃病发展到纤维化、末阶段肝病和肝细胞细胞癌等并发症。 进化的原因还不清楚。 我们以前曾表明肝硬化会引发纤维化。 然而,肝脂、特别是胆固醇累积的机械作用并不清楚。 我们使用老鼠饮食模型来调查脂肪累积如何影响肝力。 活性硬度是通过血清和磁再感应器测量的,硬度和脂滴(LDs)或含有胆固醇的脂晶之间的关联是由微量测量的。</w:t>
      </w:r>
    </w:p>
    <w:p>
      <w:pPr>
        <w:spacing w:before="0" w:after="200" w:lineRule="auto" w:line="276"/>
      </w:pPr>
      <w:r>
        <w:rPr>
          <w:b/>
        </w:rPr>
        <w:t xml:space="preserve">Abstract (EN): </w:t>
      </w:r>
      <w:r>
        <w:t>Metabolic dysfunction–associated steatotic liver disease (MASLD) is characterized by liver steatosis with cardiometabolic risk factors like dyslipidemia. Patients may progress from steatosis alone to complications such as fibrosis, end-stage liver disease, and hepatocellular carcinoma. The cause of progression is unclear. We previously showed that liver stiffening can drive fibrosis. However, the mechanical contributions of hepatic lipid and especially cholesterol accumulation are not known. We used rat dietary models to investigate how lipid accumulation affects liver mechanics. Liver stiffness was measured using rheology and magnetic resonance elastography, and associations between stiffness and lipid droplets (LDs) or cholesterol-containing lipid crystals were measured by microindentation-visualization. Polarized light, confocal reflection, and cryo–electron microscopy were employed to assess crystal abundance and structure. LDs and crystals extracted from livers were embedded in fibrous tissue mimics to isolate mechanical effects away from inflammation or fibrosis. Methyl-β-cyclodextrin perfusion was performed to assess whether cholesterol depletion reduced crystal abundance and tissue stiffness. Increased hepatic cholesterol storage led to the formation of cholesterol-containing lipid crystals in the liver. Steatotic livers with crystals stiffened before fibrosis while steatotic livers without crystals did not stiffen or fibrose. Lipid crystals stiffened tissue mimics while LDs did not, suggesting that crystals directly cause stiffening. Cholesterol depletion reduced crystal abundance and reverted tissue stiffness to near controls without changing inflammation, suggesting key roles for cholesterol in tissue stiffening. Lipid crystals cause profibrogenic liver stiffening, connecting high dietary cholesterol to MASLD progression, and may be a target for new diagnostic tools and therapeutics for progressive MASLD.</w:t>
      </w:r>
    </w:p>
    <w:p>
      <w:pPr>
        <w:spacing w:before="120" w:after="120"/>
      </w:pPr>
      <w:r>
        <w:rPr>
          <w:sz w:val="18"/>
        </w:rPr>
        <w:t>——————————————————————————————————————————————————————————————————————</w:t>
      </w:r>
    </w:p>
    <w:p>
      <w:pPr>
        <w:spacing w:before="160" w:after="40" w:line="240" w:lineRule="auto"/>
      </w:pPr>
      <w:r>
        <w:rPr>
          <w:b/>
        </w:rPr>
        <w:t xml:space="preserve">[269] </w:t>
      </w:r>
      <w:hyperlink r:id="rId384">
        <w:r>
          <w:rPr>
            <w:color w:val="1155CC"/>
            <w:u w:val="single"/>
          </w:rPr>
          <w:t>USP25 抑制通过恢复脑膜畸形来改善帕金森病</w:t>
        </w:r>
      </w:hyperlink>
    </w:p>
    <w:p>
      <w:pPr>
        <w:spacing w:before="0" w:after="80"/>
      </w:pPr>
      <w:r>
        <w:rPr>
          <w:i/>
          <w:sz w:val="20"/>
        </w:rPr>
        <w:t>EN: USP25 inhibition ameliorates Parkinson’s disease by restoring mitophagy</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85">
        <w:r>
          <w:rPr>
            <w:color w:val="1155CC"/>
            <w:u w:val="single"/>
          </w:rPr>
          <w:t>10.1073/pnas.2516471123</w:t>
        </w:r>
      </w:hyperlink>
    </w:p>
    <w:p>
      <w:pPr>
        <w:spacing w:before="0" w:after="120"/>
      </w:pPr>
      <w:r>
        <w:rPr>
          <w:b/>
        </w:rPr>
        <w:t xml:space="preserve">Notes: </w:t>
      </w:r>
      <w:r>
        <w:t>abstract_source=crossref</w:t>
      </w:r>
    </w:p>
    <w:p>
      <w:pPr>
        <w:spacing w:before="0" w:after="80" w:lineRule="auto" w:line="276"/>
      </w:pPr>
      <w:r>
        <w:rPr>
          <w:b/>
        </w:rPr>
        <w:t xml:space="preserve">摘要（ZH）: </w:t>
      </w:r>
      <w:r>
        <w:t>帕金森氏病(PD)是一种渐进性神经降解性疾病,它给全球健康投下了很大的阴影,而确定PD的治疗目标将赋予更有效的临床治疗能力。 将无处不在的酶USP25的基因编码已被确定为PD的易感染中心,但是在PD中USP25的作用仍然不得而知。 在这项研究中,我们发现USP25通过破坏Mitopphagy机械,使PD的肌肉模型中的多巴胺性神经损失和运动缺陷加剧。 USP25与自发受体受体Petineurin 进行物理互动,并中断了它与K63特定聚苯乙烯链的联系,导致脑畸变和受损的mitochondria的积累。</w:t>
      </w:r>
    </w:p>
    <w:p>
      <w:pPr>
        <w:spacing w:before="0" w:after="200" w:lineRule="auto" w:line="276"/>
      </w:pPr>
      <w:r>
        <w:rPr>
          <w:b/>
        </w:rPr>
        <w:t xml:space="preserve">Abstract (EN): </w:t>
      </w:r>
      <w:r>
        <w:t>Parkinson’s disease (PD) is a progressive neurodegenerative disease that casts a significant shadow over global health and the identification of therapeutic targets for PD will empower more effective clinical treatment. The gene encoding the deubiquitinating enzyme USP25 has been identified as a susceptible locus for PD, but the role of USP25 in PD remains unknown. In this study, we found that USP25 exacerbated dopaminergic neuronal loss and motor deficits in murine models of PD by sabotaging the mitophagy machinery. USP25 physically interacted with the autophagy receptor optineurin and disrupted its linkage with K63-specific polyubiquitin chains, leading to impaired mitophagy and the accumulation of damaged mitochondria. Genetic ablation or pharmacological inhibition of USP25 significantly restored mitophagy and thereby impeded the neurodegenerative progression in PD model mice. Collectively, our results unravel a pivotal role of USP25 in PD and identify USP25 as a pharmacological target for the development of PD drugs.</w:t>
      </w:r>
    </w:p>
    <w:p>
      <w:pPr>
        <w:spacing w:before="120" w:after="120"/>
      </w:pPr>
      <w:r>
        <w:rPr>
          <w:sz w:val="18"/>
        </w:rPr>
        <w:t>——————————————————————————————————————————————————————————————————————</w:t>
      </w:r>
    </w:p>
    <w:p>
      <w:pPr>
        <w:spacing w:before="160" w:after="40" w:line="240" w:lineRule="auto"/>
      </w:pPr>
      <w:r>
        <w:rPr>
          <w:b/>
        </w:rPr>
        <w:t xml:space="preserve">[270] </w:t>
      </w:r>
      <w:hyperlink r:id="rId386">
        <w:r>
          <w:rPr>
            <w:color w:val="1155CC"/>
            <w:u w:val="single"/>
          </w:rPr>
          <w:t>在Caenorhabditis elegans生产挥发性性激素时涉及的奥子转移酶基因</w:t>
        </w:r>
      </w:hyperlink>
    </w:p>
    <w:p>
      <w:pPr>
        <w:spacing w:before="0" w:after="80"/>
      </w:pPr>
      <w:r>
        <w:rPr>
          <w:i/>
          <w:sz w:val="20"/>
        </w:rPr>
        <w:t>EN: O-acyltransferase genes involved in the production of volatile sex pheromones in Caenorhabditis elegans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87">
        <w:r>
          <w:rPr>
            <w:color w:val="1155CC"/>
            <w:u w:val="single"/>
          </w:rPr>
          <w:t>10.1073/pnas.2524778123</w:t>
        </w:r>
      </w:hyperlink>
    </w:p>
    <w:p>
      <w:pPr>
        <w:spacing w:before="0" w:after="120"/>
      </w:pPr>
      <w:r>
        <w:rPr>
          <w:b/>
        </w:rPr>
        <w:t xml:space="preserve">Notes: </w:t>
      </w:r>
      <w:r>
        <w:t>abstract_source=crossref</w:t>
      </w:r>
    </w:p>
    <w:p>
      <w:pPr>
        <w:spacing w:before="0" w:after="80" w:lineRule="auto" w:line="276"/>
      </w:pPr>
      <w:r>
        <w:rPr>
          <w:b/>
        </w:rPr>
        <w:t xml:space="preserve">摘要（ZH）: </w:t>
      </w:r>
      <w:r>
        <w:t>基因家庭扩张对于功能多样化至关重要,然而,对代谢途径的贡献往往不明确。 在Caenorhabbiditis(Caenorhabiditis ) 中,扩大的O-子转移酶(OAC)家族(OAC) — — 将碳基组转移至氢氧化亚基体的酶(Enzymes)家族 — — 尽管与脂肪新陈代谢有牵连,但其特征仍然很差。 我们发现,在染色体I方面,有四个相邻的parlog(oac-13、oac-16、oac-25和oac-28)在相邻的parlogs(oac-13、oc-16、oac-25和oac-28)。</w:t>
      </w:r>
    </w:p>
    <w:p>
      <w:pPr>
        <w:spacing w:before="0" w:after="200" w:lineRule="auto" w:line="276"/>
      </w:pPr>
      <w:r>
        <w:rPr>
          <w:b/>
        </w:rPr>
        <w:t xml:space="preserve">Abstract (EN): </w:t>
      </w:r>
      <w:r>
        <w:t>Gene family expansions are critical for functional diversification, yet the contributions of paralogs to metabolic pathways are often unclear. In</w:t>
      </w:r>
      <w:r>
        <w:t xml:space="preserve"> </w:t>
      </w:r>
      <w:r>
        <w:t>Caenorhabditis</w:t>
      </w:r>
      <w:r>
        <w:t xml:space="preserve"> </w:t>
      </w:r>
      <w:r>
        <w:t>, the expanded O-acyltransferase (OAC) family—enzymes that transfer acyl groups to hydroxylated substrates—remains poorly characterized despite having been implicated in lipid metabolism. Using CRISPR-Cas9 mutagenesis, behavioral assays, gas chromatographic-mass spectral (GC-MS) analyses, and metabolomics, we systematically analyzed 59 OAC-family protein-coding genes to define their roles in regulating signaling molecules. We found that four adjacent paralogs (</w:t>
      </w:r>
      <w:r>
        <w:t xml:space="preserve"> </w:t>
      </w:r>
      <w:r>
        <w:t>oac-13, oac-16, oac-25,</w:t>
      </w:r>
      <w:r>
        <w:t xml:space="preserve"> </w:t>
      </w:r>
      <w:r>
        <w:t>and</w:t>
      </w:r>
      <w:r>
        <w:t xml:space="preserve"> </w:t>
      </w:r>
      <w:r>
        <w:t>oac-28</w:t>
      </w:r>
      <w:r>
        <w:t xml:space="preserve"> </w:t>
      </w:r>
      <w:r>
        <w:t>) on chromosome I are required for synthesizing volatile sex pheromones—airborne signals critical for male mate-searching. Specifically, oac</w:t>
      </w:r>
      <w:r>
        <w:t xml:space="preserve"> </w:t>
      </w:r>
      <w:r>
        <w:t>-13</w:t>
      </w:r>
      <w:r>
        <w:t xml:space="preserve"> </w:t>
      </w:r>
      <w:r>
        <w:t>and</w:t>
      </w:r>
      <w:r>
        <w:t xml:space="preserve"> </w:t>
      </w:r>
      <w:r>
        <w:t>oac-16</w:t>
      </w:r>
      <w:r>
        <w:t xml:space="preserve"> </w:t>
      </w:r>
      <w:r>
        <w:t>are necessary for producing both major pheromone components, while the identical tandem paralogs</w:t>
      </w:r>
      <w:r>
        <w:t xml:space="preserve"> </w:t>
      </w:r>
      <w:r>
        <w:t>oac-25</w:t>
      </w:r>
      <w:r>
        <w:t xml:space="preserve"> </w:t>
      </w:r>
      <w:r>
        <w:t>and</w:t>
      </w:r>
      <w:r>
        <w:t xml:space="preserve"> </w:t>
      </w:r>
      <w:r>
        <w:t>oac-28</w:t>
      </w:r>
      <w:r>
        <w:t xml:space="preserve"> </w:t>
      </w:r>
      <w:r>
        <w:t>regulate the production of the later-eluting component in gas chromatography. Disruption of these genes reduced production of key pheromone components and impaired male attraction. Metabolomics revealed that</w:t>
      </w:r>
      <w:r>
        <w:t xml:space="preserve"> </w:t>
      </w:r>
      <w:r>
        <w:t>oac-16</w:t>
      </w:r>
      <w:r>
        <w:t xml:space="preserve"> </w:t>
      </w:r>
      <w:r>
        <w:t>and other OACs also modulate the synthesis and secretion of nonvolatile ascaroside pheromones, indicating dual roles in chemical signaling. This work uncovers functional specialization within an expanded gene family, illustrating how redundancy and divergence enable adaptive evolution of communication systems.</w:t>
      </w:r>
    </w:p>
    <w:p>
      <w:pPr>
        <w:spacing w:before="120" w:after="120"/>
      </w:pPr>
      <w:r>
        <w:rPr>
          <w:sz w:val="18"/>
        </w:rPr>
        <w:t>——————————————————————————————————————————————————————————————————————</w:t>
      </w:r>
    </w:p>
    <w:p>
      <w:pPr>
        <w:spacing w:before="160" w:after="40" w:line="240" w:lineRule="auto"/>
      </w:pPr>
      <w:r>
        <w:rPr>
          <w:b/>
        </w:rPr>
        <w:t xml:space="preserve">[271] </w:t>
      </w:r>
      <w:hyperlink r:id="rId388">
        <w:r>
          <w:rPr>
            <w:color w:val="1155CC"/>
            <w:u w:val="single"/>
          </w:rPr>
          <w:t>对李等人的辅助信息进行更正后,p53缺陷导致MTHFD2转录,以促进细胞扩散和抑制DNA损害</w:t>
        </w:r>
      </w:hyperlink>
    </w:p>
    <w:p>
      <w:pPr>
        <w:spacing w:before="0" w:after="80"/>
      </w:pPr>
      <w:r>
        <w:rPr>
          <w:i/>
          <w:sz w:val="20"/>
        </w:rPr>
        <w:t>EN: Correction to Supporting Information for Li et al., p53 deficiency induces MTHFD2 transcription to promote cell proliferation and restrain DNA damage</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389">
        <w:r>
          <w:rPr>
            <w:color w:val="1155CC"/>
            <w:u w:val="single"/>
          </w:rPr>
          <w:t>10.1073/pnas.2536995123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[272] </w:t>
      </w:r>
      <w:hyperlink r:id="rId390">
        <w:r>
          <w:rPr>
            <w:color w:val="1155CC"/>
            <w:u w:val="single"/>
          </w:rPr>
          <w:t>光呼吸和火焰的合并效应强烈调节大气氧气水平</w:t>
        </w:r>
      </w:hyperlink>
    </w:p>
    <w:p>
      <w:pPr>
        <w:spacing w:before="0" w:after="80"/>
      </w:pPr>
      <w:r>
        <w:rPr>
          <w:i/>
          <w:sz w:val="20"/>
        </w:rPr>
        <w:t>EN: Combined effects of photorespiration and fire strongly regulate atmospheric oxygen levels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391">
        <w:r>
          <w:rPr>
            <w:color w:val="1155CC"/>
            <w:u w:val="single"/>
          </w:rPr>
          <w:t>10.1126/sciadv.ady0542</w:t>
        </w:r>
      </w:hyperlink>
    </w:p>
    <w:p>
      <w:pPr>
        <w:spacing w:before="0" w:after="120"/>
      </w:pPr>
      <w:r>
        <w:rPr>
          <w:b/>
        </w:rPr>
        <w:t xml:space="preserve">Notes: </w:t>
      </w:r>
      <w:r>
        <w:t>abstract_source=crossref</w:t>
      </w:r>
    </w:p>
    <w:p>
      <w:pPr>
        <w:spacing w:before="0" w:after="80" w:lineRule="auto" w:line="276"/>
      </w:pPr>
      <w:r>
        <w:rPr>
          <w:b/>
        </w:rPr>
        <w:t xml:space="preserve">摘要（ZH）: </w:t>
      </w:r>
      <w:r>
        <w:t>在过去的4亿年中,大气氧浓度一直非常稳定,这表明存在强有力的监管机制。由于野火对氧气的敏感性,传统上认为野火通过限制陆地植被控制氧气水平;然而,这种反馈被热带生态系统高湿度水平所抵消。我们利用植被模型表明,当氧气燃烧效应受到高湿度的抑制时,光呼吸会因温度的升高而更加有效。这些过程相互作用,在氧气水平达到35%时,模拟的全球生物量减少86%。这种共同调节对大气氧量的控制比野火本身要严格得多,提供了以前未知的微小量。</w:t>
      </w:r>
    </w:p>
    <w:p>
      <w:pPr>
        <w:spacing w:before="0" w:after="200" w:lineRule="auto" w:line="276"/>
      </w:pPr>
      <w:r>
        <w:rPr>
          <w:b/>
        </w:rPr>
        <w:t xml:space="preserve">Abstract (EN): </w:t>
      </w:r>
      <w:r>
        <w:t>Atmospheric oxygen concentrations have remained remarkably stable over the past ~400 million years (Myr), suggesting the presence of robust regulatory mechanisms. Because of its sensitivity to oxygen, wildfire was traditionally assumed to control oxygen levels by limiting terrestrial vegetation; however, this feedback is nullified by high moisture levels in tropical ecosystems. Using vegetation modeling, we show that where oxygen-fire effects are dampened by high moisture, photorespiration becomes more effective through increased temperatures. Together, these processes interact to drive an 86% reduction in modeled global biomass when oxygen levels reach 35%. This coregulation imposes substantially tighter control of atmospheric oxygen than wildfire alone, providing previously unknown insights into the spatial and interactive feedbacks that may explain the remarkable stability of oxygen levels since the evolution of forests.</w:t>
      </w:r>
    </w:p>
    <w:p>
      <w:pPr>
        <w:spacing w:before="120" w:after="120"/>
      </w:pPr>
      <w:r>
        <w:rPr>
          <w:sz w:val="18"/>
        </w:rPr>
        <w:t>——————————————————————————————————————————————————————————————————————</w:t>
      </w:r>
    </w:p>
    <w:p>
      <w:pPr>
        <w:spacing w:before="160" w:after="40" w:line="240" w:lineRule="auto"/>
      </w:pPr>
      <w:r>
        <w:rPr>
          <w:b/>
        </w:rPr>
        <w:t xml:space="preserve">[273] </w:t>
      </w:r>
      <w:hyperlink r:id="rId392">
        <w:r>
          <w:rPr>
            <w:color w:val="1155CC"/>
            <w:u w:val="single"/>
          </w:rPr>
          <w:t>超过平均数:北极极端为何重要</w:t>
        </w:r>
      </w:hyperlink>
    </w:p>
    <w:p>
      <w:pPr>
        <w:spacing w:before="0" w:after="80"/>
      </w:pPr>
      <w:r>
        <w:rPr>
          <w:i/>
          <w:sz w:val="20"/>
        </w:rPr>
        <w:t>EN: Beyond averages: Why Arctic extremes matter</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393">
        <w:r>
          <w:rPr>
            <w:color w:val="1155CC"/>
            <w:u w:val="single"/>
          </w:rPr>
          <w:t>10.1126/sciadv.aee7980</w:t>
        </w:r>
      </w:hyperlink>
    </w:p>
    <w:p>
      <w:pPr>
        <w:spacing w:before="0" w:after="120"/>
      </w:pPr>
      <w:r>
        <w:rPr>
          <w:b/>
        </w:rPr>
        <w:t xml:space="preserve">Notes: </w:t>
      </w:r>
      <w:r>
        <w:t>abstract_source=crossref</w:t>
      </w:r>
    </w:p>
    <w:p>
      <w:pPr>
        <w:spacing w:before="0" w:after="80" w:lineRule="auto" w:line="276"/>
      </w:pPr>
      <w:r>
        <w:rPr>
          <w:b/>
        </w:rPr>
        <w:t xml:space="preserve">摘要（ZH）: </w:t>
      </w:r>
      <w:r>
        <w:t>北极极端——不仅是逐步的趋势——正在改变生态系统,持续监测对于发现、了解和应对这些变革性事件至关重要。</w:t>
      </w:r>
    </w:p>
    <w:p>
      <w:pPr>
        <w:spacing w:before="0" w:after="200" w:lineRule="auto" w:line="276"/>
      </w:pPr>
      <w:r>
        <w:rPr>
          <w:b/>
        </w:rPr>
        <w:t xml:space="preserve">Abstract (EN): </w:t>
      </w:r>
      <w:r>
        <w:t>Arctic extremes—not only gradual trends—are reshaping ecosystems. Sustained monitoring is vital to detect, understand, and respond to these transformative events.</w:t>
      </w:r>
    </w:p>
    <w:p>
      <w:pPr>
        <w:spacing w:before="120" w:after="120"/>
      </w:pPr>
      <w:r>
        <w:rPr>
          <w:sz w:val="18"/>
        </w:rPr>
        <w:t>——————————————————————————————————————————————————————————————————————</w:t>
      </w:r>
    </w:p>
    <w:p>
      <w:pPr>
        <w:spacing w:before="160" w:after="40" w:line="240" w:lineRule="auto"/>
      </w:pPr>
      <w:r>
        <w:rPr>
          <w:b/>
        </w:rPr>
        <w:t xml:space="preserve">[274] </w:t>
      </w:r>
      <w:hyperlink r:id="rId394">
        <w:r>
          <w:rPr>
            <w:color w:val="1155CC"/>
            <w:u w:val="single"/>
          </w:rPr>
          <w:t>Arbo病毒操纵大米的挥发性排放,保护昆虫病媒免受野外自然敌人的侵害</w:t>
        </w:r>
      </w:hyperlink>
    </w:p>
    <w:p>
      <w:pPr>
        <w:spacing w:before="0" w:after="80"/>
      </w:pPr>
      <w:r>
        <w:rPr>
          <w:i/>
          <w:sz w:val="20"/>
        </w:rPr>
        <w:t>EN: Arboviruses manipulate rice’s volatile emissions, protecting insect vectors from natural enemies in the field</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395">
        <w:r>
          <w:rPr>
            <w:color w:val="1155CC"/>
            <w:u w:val="single"/>
          </w:rPr>
          <w:t>10.1126/sciadv.aeb5215</w:t>
        </w:r>
      </w:hyperlink>
    </w:p>
    <w:p>
      <w:pPr>
        <w:spacing w:before="0" w:after="120"/>
      </w:pPr>
      <w:r>
        <w:rPr>
          <w:b/>
        </w:rPr>
        <w:t xml:space="preserve">Notes: </w:t>
      </w:r>
      <w:r>
        <w:t>abstract_source=crossref</w:t>
      </w:r>
    </w:p>
    <w:p>
      <w:pPr>
        <w:spacing w:before="0" w:after="80" w:lineRule="auto" w:line="276"/>
      </w:pPr>
      <w:r>
        <w:rPr>
          <w:b/>
        </w:rPr>
        <w:t xml:space="preserve">摘要（ZH）: </w:t>
      </w:r>
      <w:r>
        <w:t>病媒传染的植物病毒依赖昆虫病媒进行传播,并往往抑制限制病媒生存和扩散的宿主防御。然而,它们对于挥发性间接防御的影响仍然不清楚。这里我们表明,稻谷病毒抑制了甲基硅酸盐(MesSA)排放,损害寄生虫的招募,并促使病媒的持久性。实地实验表明,草原诱发的主要诱发性挥发性,通过吸引卵寄生虫来抑制病媒种群。病毒通过针对基本Helix-loop-helix转录因子OsMYC2、一个麻风酸信号中心,从而降低对OSBSMMT1和MesSA生物合成的调控,从而保护了各种水稻病毒和病媒物种之间的反应。</w:t>
      </w:r>
    </w:p>
    <w:p>
      <w:pPr>
        <w:spacing w:before="0" w:after="200" w:lineRule="auto" w:line="276"/>
      </w:pPr>
      <w:r>
        <w:rPr>
          <w:b/>
        </w:rPr>
        <w:t xml:space="preserve">Abstract (EN): </w:t>
      </w:r>
      <w:r>
        <w:t>Vector-borne plant viruses depend on insect vectors for transmission and often suppress host defenses that limit vector survival and spread. However, their impact on volatile-mediated indirect defenses remains unclear. Here, we show that rice viruses inhibit methyl salicylate (MeSA) emission, impairing parasitoid recruitment and promoting vector persistence. Field experiments demonstrate that MeSA, a key herbivore-induced volatile, suppresses vector populations by attracting egg parasitoids. Viruses counter this by targeting basic-helix-loop-helix transcription factor OsMYC2, a jasmonic acid signaling hub, thereby down-regulating</w:t>
      </w:r>
      <w:r>
        <w:t xml:space="preserve"> </w:t>
      </w:r>
      <w:r>
        <w:t>OsBSMT1</w:t>
      </w:r>
      <w:r>
        <w:t xml:space="preserve"> </w:t>
      </w:r>
      <w:r>
        <w:t>and MeSA biosynthesis, responses conserved across diverse rice viruses and vector species. MeSA applications in the field restore parasitoid-mediated vector suppression, highlighting its potential for sustainable disease control. MeSA is a central ecological signal in a previously unidentified viral strategy that enhances transmission.</w:t>
      </w:r>
    </w:p>
    <w:p>
      <w:pPr>
        <w:spacing w:before="120" w:after="120"/>
      </w:pPr>
      <w:r>
        <w:rPr>
          <w:sz w:val="18"/>
        </w:rPr>
        <w:t>——————————————————————————————————————————————————————————————————————</w:t>
      </w:r>
    </w:p>
    <w:p>
      <w:pPr>
        <w:spacing w:before="160" w:after="40" w:line="240" w:lineRule="auto"/>
      </w:pPr>
      <w:r>
        <w:rPr>
          <w:b/>
        </w:rPr>
        <w:t xml:space="preserve">[275] </w:t>
      </w:r>
      <w:hyperlink r:id="rId396">
        <w:r>
          <w:rPr>
            <w:color w:val="1155CC"/>
            <w:u w:val="single"/>
          </w:rPr>
          <w:t>通过翻译控制,由Nat10调解的 ac4C 肾上血清学管弦管弦管通过翻译控制确定肝脑电图学干/生殖器细胞命运</w:t>
        </w:r>
      </w:hyperlink>
    </w:p>
    <w:p>
      <w:pPr>
        <w:spacing w:before="0" w:after="80"/>
      </w:pPr>
      <w:r>
        <w:rPr>
          <w:i/>
          <w:sz w:val="20"/>
        </w:rPr>
        <w:t>EN: Nat10-mediated ac4C epitranscriptomics orchestrates hematopoietic stem/progenitor cell fate determination via translation control</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397">
        <w:r>
          <w:rPr>
            <w:color w:val="1155CC"/>
            <w:u w:val="single"/>
          </w:rPr>
          <w:t>10.1126/sciadv.ady0301</w:t>
        </w:r>
      </w:hyperlink>
    </w:p>
    <w:p>
      <w:pPr>
        <w:spacing w:before="0" w:after="120"/>
      </w:pPr>
      <w:r>
        <w:rPr>
          <w:b/>
        </w:rPr>
        <w:t xml:space="preserve">Notes: </w:t>
      </w:r>
      <w:r>
        <w:t>abstract_source=crossref</w:t>
      </w:r>
    </w:p>
    <w:p>
      <w:pPr>
        <w:spacing w:before="0" w:after="80" w:lineRule="auto" w:line="276"/>
      </w:pPr>
      <w:r>
        <w:rPr>
          <w:b/>
        </w:rPr>
        <w:t xml:space="preserve">摘要（ZH）: </w:t>
      </w:r>
      <w:r>
        <w:t>植物基因调节对于平衡肝脏干细胞(HSC)自我更新和区别至关重要,从而保持肝脏动物足迹的保持。 尽管Nat10中以RNA AC4C为媒介的变异与恶性肝炎有关,但其在正常血蛋白中的作用仍未被探索。在这里,我们开发了ULAC-seq来绘制稀有肝脏动物干细胞(HSPC)的ac4C和显露的动态、细胞型特定丙型丙型丙型丙型丙型丙型腺模式的地图,在巨型甲状腺细胞细胞-红细胞先质(MEPs)中达到峰值,这与高Nat10的表达方式相关。Nat10淘汰会破坏HSC的自我更新和逮捕MEP的区别,导致胎儿和产后的血压缺陷。机械学上,Nat10将丙型丙型丙型丙型丙型丙型丙型丙型丙型丙型丙型丙型丙型丙型丙型丙型丙型丙型丙型丙型丙型丙型丙型丙型丙型丙型丙型丙型丙型丙型丙型</w:t>
      </w:r>
    </w:p>
    <w:p>
      <w:pPr>
        <w:spacing w:before="0" w:after="200" w:lineRule="auto" w:line="276"/>
      </w:pPr>
      <w:r>
        <w:rPr>
          <w:b/>
        </w:rPr>
        <w:t xml:space="preserve">Abstract (EN): </w:t>
      </w:r>
      <w:r>
        <w:t>Epigenetic regulation is crucial for balancing hematopoietic stem cell (HSC) self-renewal and differentiation, thereby maintaining hematopoietic homeostasis. Although Nat10-mediated RNA ac4C modification has been implicated in malignant hematopoiesis, its role in normal hematopoiesis remains unexplored. Here, we developed ULAC-seq to map ac4C in rare hematopoietic stem/progenitor cells (HSPCs) and revealed dynamic, cell-type–specific ac4C patterns, peaking in megakaryocyte-erythroid progenitors (MEPs), correlating with elevated Nat10 expression. Nat10 knockout disrupts HSC self-renewal and arrests MEP differentiation, leading to fetal and postnatal hematopoietic failure. Mechanistically, Nat10 deposits ac4C on mRNAs encoding key hematopoietic transcription regulators (e.g., Nfix), thereby enhancing their translation. Nat10 loss reduces Nfix protein levels and suppresses expression of its target genes (e.g., Mpl) that govern HSPC fate, while Nfix reconstitution rescues colony-forming defects in Nat10-null HSPCs. Our findings reveal that Nat10 orchestrates hematopoiesis through ac4C-dependent translational control of transcriptional factors, establishing an epitranscriptome-transcriptome regulatory axis essential for HSC maintenance and function.</w:t>
      </w:r>
    </w:p>
    <w:p>
      <w:pPr>
        <w:spacing w:before="120" w:after="120"/>
      </w:pPr>
      <w:r>
        <w:rPr>
          <w:sz w:val="18"/>
        </w:rPr>
        <w:t>——————————————————————————————————————————————————————————————————————</w:t>
      </w:r>
    </w:p>
    <w:p>
      <w:pPr>
        <w:spacing w:before="160" w:after="40" w:line="240" w:lineRule="auto"/>
      </w:pPr>
      <w:r>
        <w:rPr>
          <w:b/>
        </w:rPr>
        <w:t xml:space="preserve">[276] </w:t>
      </w:r>
      <w:hyperlink r:id="rId398">
        <w:r>
          <w:rPr>
            <w:color w:val="1155CC"/>
            <w:u w:val="single"/>
          </w:rPr>
          <w:t>具有高性能粘附和接触适应性且具有高性能的受生物启发的跨中型壁攀爬机器人</w:t>
        </w:r>
      </w:hyperlink>
    </w:p>
    <w:p>
      <w:pPr>
        <w:spacing w:before="0" w:after="80"/>
      </w:pPr>
      <w:r>
        <w:rPr>
          <w:i/>
          <w:sz w:val="20"/>
        </w:rPr>
        <w:t>EN: Bioinspired cross-medium wall-climbing robot with high-performance adhesion and contact adaptability</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399">
        <w:r>
          <w:rPr>
            <w:color w:val="1155CC"/>
            <w:u w:val="single"/>
          </w:rPr>
          <w:t>10.1126/sciadv.aea8014</w:t>
        </w:r>
      </w:hyperlink>
    </w:p>
    <w:p>
      <w:pPr>
        <w:spacing w:before="0" w:after="120"/>
      </w:pPr>
      <w:r>
        <w:rPr>
          <w:b/>
        </w:rPr>
        <w:t xml:space="preserve">Notes: </w:t>
      </w:r>
      <w:r>
        <w:t>abstract_source=crossref</w:t>
      </w:r>
    </w:p>
    <w:p>
      <w:pPr>
        <w:spacing w:before="0" w:after="80" w:lineRule="auto" w:line="276"/>
      </w:pPr>
      <w:r>
        <w:rPr>
          <w:b/>
        </w:rPr>
        <w:t xml:space="preserve">摘要（ZH）: </w:t>
      </w:r>
      <w:r>
        <w:t>在空间封闭、高风险或放射性环境中执行重复性或具有挑战性的任务时,利用无数附加/牵制机制取代人类,以墙壁攀爬机器人(WCRs),在空间封闭、高风险或放射性环境中执行重复性或具有挑战性的任务,引起了相当大的研究兴趣,然而,其应用仍然局限于环境和地表特定情景,为此,我们展示了一种可接触适应、可剥皮、耐剥皮和跨中度的WCR(WCRs),结合了壁岩和章鱼启发的自适应性硬软混合轨道。在机器人轨道上的空心蘑菇状粘性微结构(HMSSMs),同时将壁炉和章鱼的粘合结构形态和继承其功能结合起来。</w:t>
      </w:r>
    </w:p>
    <w:p>
      <w:pPr>
        <w:spacing w:before="0" w:after="200" w:lineRule="auto" w:line="276"/>
      </w:pPr>
      <w:r>
        <w:rPr>
          <w:b/>
        </w:rPr>
        <w:t xml:space="preserve">Abstract (EN): </w:t>
      </w:r>
      <w:r>
        <w:t>Wall-climbing robots (WCRs) using numerous attachment/grasping mechanisms replace humans in executing repetitive or challenging tasks in space-confined, high-risk, or radioactive environments, garnering substantial research interest. Nevertheless, their application remains limited to environment- and surface-specific scenarios. To this end, we present a contact-adaptable, peeling-resistant, and cross-medium WCR integrated with gecko- and octopus-inspired self-adaptive rigid-soft hybrid tracks. The hollow mushroom-shaped adhesive microstructures (HMSAMSs) on the robot tracks simultaneously couple the adhesive structural morphologies of gecko and octopus as well as inherit their functions. These microstructures demonstrate superior normal and tangential adhesion forces and adhesion-to-preload ratios in dry and underwater environments, endowing the WCR with stable cross-medium performance. Furthermore, we construct discrete HMSAMS patches and rigid-soft components in robot track, respectively mimicking biological adhesion’s mechanical decoupling and bone-muscle functions, which effectively prevent interface crack propagation, improve peeling threshold, and enhance contact adaptability. The WCR with aforementioned advantages substantially adapts to diverse material surfaces in complex multimedia environments, accelerating its universal application.</w:t>
      </w:r>
    </w:p>
    <w:p>
      <w:pPr>
        <w:spacing w:before="120" w:after="120"/>
      </w:pPr>
      <w:r>
        <w:rPr>
          <w:sz w:val="18"/>
        </w:rPr>
        <w:t>——————————————————————————————————————————————————————————————————————</w:t>
      </w:r>
    </w:p>
    <w:p>
      <w:pPr>
        <w:spacing w:before="160" w:after="40" w:line="240" w:lineRule="auto"/>
      </w:pPr>
      <w:r>
        <w:rPr>
          <w:b/>
        </w:rPr>
        <w:t xml:space="preserve">[277] </w:t>
      </w:r>
      <w:hyperlink r:id="rId400">
        <w:r>
          <w:rPr>
            <w:color w:val="1155CC"/>
            <w:u w:val="single"/>
          </w:rPr>
          <w:t>绘制几何复杂空间中生命差异和进化制约因素图</w:t>
        </w:r>
      </w:hyperlink>
    </w:p>
    <w:p>
      <w:pPr>
        <w:spacing w:before="0" w:after="80"/>
      </w:pPr>
      <w:r>
        <w:rPr>
          <w:i/>
          <w:sz w:val="20"/>
        </w:rPr>
        <w:t>EN: Mapping life’s disparity and evolutionary constraints in a geometric complexity space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01">
        <w:r>
          <w:rPr>
            <w:color w:val="1155CC"/>
            <w:u w:val="single"/>
          </w:rPr>
          <w:t>10.1126/sciadv.aea6945</w:t>
        </w:r>
      </w:hyperlink>
    </w:p>
    <w:p>
      <w:pPr>
        <w:spacing w:before="0" w:after="120"/>
      </w:pPr>
      <w:r>
        <w:rPr>
          <w:b/>
        </w:rPr>
        <w:t xml:space="preserve">Notes: </w:t>
      </w:r>
      <w:r>
        <w:t>abstract_source=crossref</w:t>
      </w:r>
    </w:p>
    <w:p>
      <w:pPr>
        <w:spacing w:before="0" w:after="80" w:lineRule="auto" w:line="276"/>
      </w:pPr>
      <w:r>
        <w:rPr>
          <w:b/>
        </w:rPr>
        <w:t xml:space="preserve">摘要（ZH）: </w:t>
      </w:r>
      <w:r>
        <w:t>地球生物圈呈现了显著的多样性,但生命的全部形态范围和界限基本上仍未探索。 在这里,我们开发了一个几何复杂空间,用身体质量和结构密度和异质的分形描述符来比较所有已知的单细胞和多细胞的植物。 通过对大量现存生物形状应用这一方法,我们发现生命利用了一小部分结构可能性,围绕线性、四舍五入和密集结构形式进行分组,同时始终避免复杂的异形。 我们表明,这种限制是生理、代谢和发育方面的深度限制造成的,这些限制是由身体大小和生态生活方式的演变形成的。</w:t>
      </w:r>
    </w:p>
    <w:p>
      <w:pPr>
        <w:spacing w:before="0" w:after="200" w:lineRule="auto" w:line="276"/>
      </w:pPr>
      <w:r>
        <w:rPr>
          <w:b/>
        </w:rPr>
        <w:t xml:space="preserve">Abstract (EN): </w:t>
      </w:r>
      <w:r>
        <w:t>The Earth’s biosphere exhibits a notable diversity of forms, yet the full morphological extent and limits of life remain largely unexplored. Here, we develop a geometric complexity space for comparing all known unicellular and multicellular phyla using fractal descriptors of the density and heterogeneity of body mass and structure. By applying this approach to a large set of extant biological shapes, we show that life exploits a tiny portion of structural possibilities, clustering around linear, rounded, and densely structured forms, while consistently avoiding complex heteromorphic ones. We show that this restriction results from deep physical, metabolic, and developmental limitations, shaped over geological time by the evolution of body size and ecological lifestyle. Our findings provide a global, quantitative perspective on the long-standing interplay between chance and necessity in evolution, with implications for the expected forms of life beyond Earth.</w:t>
      </w:r>
    </w:p>
    <w:p>
      <w:pPr>
        <w:spacing w:before="120" w:after="120"/>
      </w:pPr>
      <w:r>
        <w:rPr>
          <w:sz w:val="18"/>
        </w:rPr>
        <w:t>——————————————————————————————————————————————————————————————————————</w:t>
      </w:r>
    </w:p>
    <w:p>
      <w:pPr>
        <w:spacing w:before="160" w:after="40" w:line="240" w:lineRule="auto"/>
      </w:pPr>
      <w:r>
        <w:rPr>
          <w:b/>
        </w:rPr>
        <w:t xml:space="preserve">[278] </w:t>
      </w:r>
      <w:hyperlink r:id="rId402">
        <w:r>
          <w:rPr>
            <w:color w:val="1155CC"/>
            <w:u w:val="single"/>
          </w:rPr>
          <w:t>受神经结构和塑料突触所启发的普通软机器人控制器,该神经结构和塑料突触可适应不同的手臂、任务和扰动</w:t>
        </w:r>
      </w:hyperlink>
    </w:p>
    <w:p>
      <w:pPr>
        <w:spacing w:before="0" w:after="80"/>
      </w:pPr>
      <w:r>
        <w:rPr>
          <w:i/>
          <w:sz w:val="20"/>
        </w:rPr>
        <w:t>EN: A general soft robotic controller inspired by neuronal structural and plastic synapses that adapts to diverse arms, tasks, and perturbations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03">
        <w:r>
          <w:rPr>
            <w:color w:val="1155CC"/>
            <w:u w:val="single"/>
          </w:rPr>
          <w:t>10.1126/sciadv.aea3712</w:t>
        </w:r>
      </w:hyperlink>
    </w:p>
    <w:p>
      <w:pPr>
        <w:spacing w:before="0" w:after="120"/>
      </w:pPr>
      <w:r>
        <w:rPr>
          <w:b/>
        </w:rPr>
        <w:t xml:space="preserve">Notes: </w:t>
      </w:r>
      <w:r>
        <w:t>abstract_source=crossref</w:t>
      </w:r>
    </w:p>
    <w:p>
      <w:pPr>
        <w:spacing w:before="0" w:after="80" w:lineRule="auto" w:line="276"/>
      </w:pPr>
      <w:r>
        <w:rPr>
          <w:b/>
        </w:rPr>
        <w:t xml:space="preserve">摘要（ZH）: </w:t>
      </w:r>
      <w:r>
        <w:t>人类的智能来自符合要求的形态学与能够适应性学习的认知系统之间的相互作用。软机器人表现出类似的机械性合规性,但它们仍然需要能够贯穿各种任务和适应未知条件的学习能力。我们提出了一个神经受启发的控制框架,将双对的离线离线分解与学习的收缩度尺度结合起来。离线“结构突触”编码了任务-认知特征,而在线“塑料突触”则是根据与长期强力和抑郁度相一致的错误定型规则更新的配置特定参数。收缩指标是一种自制抑制,提供了稳定性保障。我们验证了我们对电缆驱动和形状模拟的方法。我们验证了我们对电缆驱动和形状模拟的方法。</w:t>
      </w:r>
    </w:p>
    <w:p>
      <w:pPr>
        <w:spacing w:before="0" w:after="200" w:lineRule="auto" w:line="276"/>
      </w:pPr>
      <w:r>
        <w:rPr>
          <w:b/>
        </w:rPr>
        <w:t xml:space="preserve">Abstract (EN): </w:t>
      </w:r>
      <w:r>
        <w:t>Human intelligence arises from the interplay between a compliant morphology and a cognitive system that is capable of adaptive learning. Soft robots exhibit similar mechanical compliance, but they still need learning capabilities that can be generalized across tasks and adapted to unknown conditions. We present a neuron-inspired control framework that couples a paired offline-online decomposition with a learned contraction metric. Offline “structural synapses” encode task-agnostic features, while online “plastic synapses” are configuration-specific parameters updated by error-gated rules consistent with long-term potentiation and depression. The contraction metric serves as a homeostatic constraint, providing a stability guarantee. We validate our approach on cable-driven and shape-memory-alloy soft arms across trajectory tracking, pick-and-place, and whole-body shaping tasks. Compared with baseline methods, our approach reduces tracking error by 44 to 55% and maintains more than 92% shape accuracy under perturbations, including varying payloads, dynamic airflow, and actuator failures. These results establish a general controller that adapts to diverse soft arms, tasks, and perturbations.</w:t>
      </w:r>
    </w:p>
    <w:p>
      <w:pPr>
        <w:spacing w:before="120" w:after="120"/>
      </w:pPr>
      <w:r>
        <w:rPr>
          <w:sz w:val="18"/>
        </w:rPr>
        <w:t>——————————————————————————————————————————————————————————————————————</w:t>
      </w:r>
    </w:p>
    <w:p>
      <w:pPr>
        <w:spacing w:before="160" w:after="40" w:line="240" w:lineRule="auto"/>
      </w:pPr>
      <w:r>
        <w:rPr>
          <w:b/>
        </w:rPr>
        <w:t xml:space="preserve">[279] </w:t>
      </w:r>
      <w:hyperlink r:id="rId404">
        <w:r>
          <w:rPr>
            <w:color w:val="1155CC"/>
            <w:u w:val="single"/>
          </w:rPr>
          <w:t>为高效二氧化碳捕获而具有超per湿度和超选择性的可缩缩纳米松缩的离子液体膜膜</w:t>
        </w:r>
      </w:hyperlink>
    </w:p>
    <w:p>
      <w:pPr>
        <w:spacing w:before="0" w:after="80"/>
      </w:pPr>
      <w:r>
        <w:rPr>
          <w:i/>
          <w:sz w:val="20"/>
        </w:rPr>
        <w:t>EN: Scalable nanoconfined ionic liquid membranes with ultrapermeance and ultraselectivity for efficient CO2 capture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05">
        <w:r>
          <w:rPr>
            <w:color w:val="1155CC"/>
            <w:u w:val="single"/>
          </w:rPr>
          <w:t>10.1126/sciadv.aea1329</w:t>
        </w:r>
      </w:hyperlink>
    </w:p>
    <w:p>
      <w:pPr>
        <w:spacing w:before="0" w:after="120"/>
      </w:pPr>
      <w:r>
        <w:rPr>
          <w:b/>
        </w:rPr>
        <w:t xml:space="preserve">Notes: </w:t>
      </w:r>
      <w:r>
        <w:t>abstract_source=crossref</w:t>
      </w:r>
    </w:p>
    <w:p>
      <w:pPr>
        <w:spacing w:before="0" w:after="80" w:lineRule="auto" w:line="276"/>
      </w:pPr>
      <w:r>
        <w:rPr>
          <w:b/>
        </w:rPr>
        <w:t xml:space="preserve">摘要（ZH）: </w:t>
      </w:r>
      <w:r>
        <w:t>支持的离子液体膜( ionic 液态膜 ) ( SILMs ) 具有吸引气体分离的吸引力, 考虑到金枪鱼的可耐性、高气体选择性和制造的易易易性。 但是,由于SILM的内在不稳定性限制了它们的实际用途。 在这里,我们设计、制造和调查了一种超透渗透性、超选择性和稳定的纳米封闭离子液( NCIL)膜,以便高效捕获二氧化碳2。 具体来说,一个薄薄的、开放的和统一的纳米封闭的单壁碳纳米管网络与高CO2 — 选择性离子液体载体结合,使得1,654 GP和CO2/N2的高级CO2渗透能力得以实现。</w:t>
      </w:r>
    </w:p>
    <w:p>
      <w:pPr>
        <w:spacing w:before="0" w:after="200" w:lineRule="auto" w:line="276"/>
      </w:pPr>
      <w:r>
        <w:rPr>
          <w:b/>
        </w:rPr>
        <w:t xml:space="preserve">Abstract (EN): </w:t>
      </w:r>
      <w:r>
        <w:t>Supported ionic liquid membranes (SILMs) stand attractive for gas separation considering the tunability, high gas selectivity, and ease of fabrication. However, the intrinsic instability of SILMs limited their practical use. Here, we designed, fabricated, and investigated an ultrapermeable, ultraselective, and stable nanoconfined ionic liquid (NCIL) membrane for highly efficient CO</w:t>
      </w:r>
      <w:r>
        <w:rPr>
          <w:vertAlign w:val="subscript"/>
        </w:rPr>
        <w:t>2</w:t>
      </w:r>
      <w:r>
        <w:t>capture. Specifically, the combination of a thin, open, and uniform nanoconfined network of single-walled carbon nanotube with highly CO</w:t>
      </w:r>
      <w:r>
        <w:rPr>
          <w:vertAlign w:val="subscript"/>
        </w:rPr>
        <w:t>2</w:t>
      </w:r>
      <w:r>
        <w:t>–selective ionic liquid carrier enabled the superior CO</w:t>
      </w:r>
      <w:r>
        <w:rPr>
          <w:vertAlign w:val="subscript"/>
        </w:rPr>
        <w:t>2</w:t>
      </w:r>
      <w:r>
        <w:t>permeance of 1654 GPU and CO</w:t>
      </w:r>
      <w:r>
        <w:rPr>
          <w:vertAlign w:val="subscript"/>
        </w:rPr>
        <w:t>2</w:t>
      </w:r>
      <w:r>
        <w:t>/N</w:t>
      </w:r>
      <w:r>
        <w:rPr>
          <w:vertAlign w:val="subscript"/>
        </w:rPr>
        <w:t>2</w:t>
      </w:r>
      <w:r>
        <w:t>selectivity of 1132, surpassing most state-of-the-art facilitated transport membranes. The scale-up potential of the NCIL membrane was demonstrated under simulated natural gas flue gas conditions, achieving CO</w:t>
      </w:r>
      <w:r>
        <w:rPr>
          <w:vertAlign w:val="subscript"/>
        </w:rPr>
        <w:t>2</w:t>
      </w:r>
      <w:r>
        <w:t>enrichment from 4.2 to 98% in a single step. Given the processability and scalability of NCIL membrane, this work affirms the industrial potential of SILMs and offers a viable strategy for designing and fabricating stable SILMs for gas separation.</w:t>
      </w:r>
    </w:p>
    <w:p>
      <w:pPr>
        <w:spacing w:before="120" w:after="120"/>
      </w:pPr>
      <w:r>
        <w:rPr>
          <w:sz w:val="18"/>
        </w:rPr>
        <w:t>——————————————————————————————————————————————————————————————————————</w:t>
      </w:r>
    </w:p>
    <w:p>
      <w:pPr>
        <w:spacing w:before="160" w:after="40" w:line="240" w:lineRule="auto"/>
      </w:pPr>
      <w:r>
        <w:rPr>
          <w:b/>
        </w:rPr>
        <w:t xml:space="preserve">[280] </w:t>
      </w:r>
      <w:hyperlink r:id="rId406">
        <w:r>
          <w:rPr>
            <w:color w:val="1155CC"/>
            <w:u w:val="single"/>
          </w:rPr>
          <w:t>通过上调管制的Areg-EGFFR信号,发出促进移植容忍的信号,使T细胞耗竭</w:t>
        </w:r>
      </w:hyperlink>
    </w:p>
    <w:p>
      <w:pPr>
        <w:spacing w:before="0" w:after="80"/>
      </w:pPr>
      <w:r>
        <w:rPr>
          <w:i/>
          <w:sz w:val="20"/>
        </w:rPr>
        <w:t>EN: Allospecific splenic Tr1 cells drive effector T cell exhaustion through up-regulated Areg-EGFR signaling to promote transplant tolerance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07">
        <w:r>
          <w:rPr>
            <w:color w:val="1155CC"/>
            <w:u w:val="single"/>
          </w:rPr>
          <w:t>10.1126/sciadv.aea0567</w:t>
        </w:r>
      </w:hyperlink>
    </w:p>
    <w:p>
      <w:pPr>
        <w:spacing w:before="0" w:after="120"/>
      </w:pPr>
      <w:r>
        <w:rPr>
          <w:b/>
        </w:rPr>
        <w:t xml:space="preserve">Notes: </w:t>
      </w:r>
      <w:r>
        <w:t>abstract_source=crossref</w:t>
      </w:r>
    </w:p>
    <w:p>
      <w:pPr>
        <w:spacing w:before="0" w:after="80" w:lineRule="auto" w:line="276"/>
      </w:pPr>
      <w:r>
        <w:rPr>
          <w:b/>
        </w:rPr>
        <w:t xml:space="preserve">摘要（ZH）: </w:t>
      </w:r>
      <w:r>
        <w:t>给移植带来稳定的耐受性仍然是免疫学上的一项挑战。 此前,我们通过先发性抗原向原地的抗原展示细胞投射到原地的抗原细胞中,对非人类灵长类动物中的异源子物质进行耐受性。 这里,与捐赠者混合的MHC-I Peptide — 装载的MHC-II四重体进行大规模细胞测量显示,在宽容接受者的脾脏中,异同的CD4 + T 细胞组的积累。 Areg + Tr1 监管和最终耗尽的EGFR hi T (Tex) 细胞代表了主要的异性特定子细胞。 轨迹分析表明,抗基因体验效果记忆T 细胞被区分为抑制性Areg +。</w:t>
      </w:r>
    </w:p>
    <w:p>
      <w:pPr>
        <w:spacing w:before="0" w:after="200" w:lineRule="auto" w:line="276"/>
      </w:pPr>
      <w:r>
        <w:rPr>
          <w:b/>
        </w:rPr>
        <w:t xml:space="preserve">Abstract (EN): </w:t>
      </w:r>
      <w:r>
        <w:t>Inducing stable tolerance to transplants remains a challenge in immunology. Previously, we induced tolerance to allogeneic islets in nonhuman primates by preemptive alloantigen delivery to antigen-presenting cells in situ. Here, mass cytometry phenotyping with incorporated donor-derived MHC-I peptide–loaded MHC-II tetramers revealed accumulation of allospecific CD4</w:t>
      </w:r>
      <w:r>
        <w:t xml:space="preserve"> </w:t>
      </w:r>
      <w:r>
        <w:t>+</w:t>
      </w:r>
      <w:r>
        <w:t xml:space="preserve"> </w:t>
      </w:r>
      <w:r>
        <w:t>T cell clusters in the spleen of tolerant recipients. Areg</w:t>
      </w:r>
      <w:r>
        <w:t xml:space="preserve"> </w:t>
      </w:r>
      <w:r>
        <w:t>+</w:t>
      </w:r>
      <w:r>
        <w:t xml:space="preserve"> </w:t>
      </w:r>
      <w:r>
        <w:t>Tr1 regulatory and terminally exhausted EGFR</w:t>
      </w:r>
      <w:r>
        <w:t xml:space="preserve"> </w:t>
      </w:r>
      <w:r>
        <w:t>hi</w:t>
      </w:r>
      <w:r>
        <w:t xml:space="preserve"> </w:t>
      </w:r>
      <w:r>
        <w:t>T (Tex) cells represented the predominant allospecific subsets. Trajectory analysis showed that antigen-experienced effector memory T cells differentiated into suppressive Areg</w:t>
      </w:r>
      <w:r>
        <w:t xml:space="preserve"> </w:t>
      </w:r>
      <w:r>
        <w:t>+</w:t>
      </w:r>
      <w:r>
        <w:t xml:space="preserve"> </w:t>
      </w:r>
      <w:r>
        <w:t>Tr1 and EGFR</w:t>
      </w:r>
      <w:r>
        <w:t xml:space="preserve"> </w:t>
      </w:r>
      <w:r>
        <w:t>+</w:t>
      </w:r>
      <w:r>
        <w:t xml:space="preserve"> </w:t>
      </w:r>
      <w:r>
        <w:t>TOX</w:t>
      </w:r>
      <w:r>
        <w:t xml:space="preserve"> </w:t>
      </w:r>
      <w:r>
        <w:t>+</w:t>
      </w:r>
      <w:r>
        <w:t xml:space="preserve"> </w:t>
      </w:r>
      <w:r>
        <w:t>Nur77</w:t>
      </w:r>
      <w:r>
        <w:t xml:space="preserve"> </w:t>
      </w:r>
      <w:r>
        <w:t>+</w:t>
      </w:r>
      <w:r>
        <w:t xml:space="preserve"> </w:t>
      </w:r>
      <w:r>
        <w:t>TCF-1</w:t>
      </w:r>
      <w:r>
        <w:t xml:space="preserve"> </w:t>
      </w:r>
      <w:r>
        <w:t>−</w:t>
      </w:r>
      <w:r>
        <w:t>Tex subsets. Cell-cell communication mapping showed that exhausted and effector memory T cells engaged with allospecific Tr1 cells via the Areg-EGFR axis. Gene silencing studies confirmed that Tr1 cells use Areg-EGFR signaling to drive the metabolic suppression and epigenetic reprogramming of CD4</w:t>
      </w:r>
      <w:r>
        <w:t xml:space="preserve"> </w:t>
      </w:r>
      <w:r>
        <w:t>+</w:t>
      </w:r>
      <w:r>
        <w:t xml:space="preserve"> </w:t>
      </w:r>
      <w:r>
        <w:t>T cells through a Nur77-dependent pathway. These findings point to the splenic Areg</w:t>
      </w:r>
      <w:r>
        <w:t xml:space="preserve"> </w:t>
      </w:r>
      <w:r>
        <w:t>+</w:t>
      </w:r>
      <w:r>
        <w:t xml:space="preserve"> </w:t>
      </w:r>
      <w:r>
        <w:t>Tr1 cell-EGFR</w:t>
      </w:r>
      <w:r>
        <w:t xml:space="preserve"> </w:t>
      </w:r>
      <w:r>
        <w:t>+</w:t>
      </w:r>
      <w:r>
        <w:t xml:space="preserve"> </w:t>
      </w:r>
      <w:r>
        <w:t>Teff cell axis as a critical immunoregulatory pathway in peripheral transplant tolerance.</w:t>
      </w:r>
    </w:p>
    <w:p>
      <w:pPr>
        <w:spacing w:before="120" w:after="120"/>
      </w:pPr>
      <w:r>
        <w:rPr>
          <w:sz w:val="18"/>
        </w:rPr>
        <w:t>——————————————————————————————————————————————————————————————————————</w:t>
      </w:r>
    </w:p>
    <w:p>
      <w:pPr>
        <w:spacing w:before="160" w:after="40" w:line="240" w:lineRule="auto"/>
      </w:pPr>
      <w:r>
        <w:rPr>
          <w:b/>
        </w:rPr>
        <w:t xml:space="preserve">[281] </w:t>
      </w:r>
      <w:hyperlink r:id="rId408">
        <w:r>
          <w:rPr>
            <w:color w:val="1155CC"/>
            <w:u w:val="single"/>
          </w:rPr>
          <w:t>城市大气中微塑料和纳米塑料在城市大气中的丰度</w:t>
        </w:r>
      </w:hyperlink>
    </w:p>
    <w:p>
      <w:pPr>
        <w:spacing w:before="0" w:after="80"/>
      </w:pPr>
      <w:r>
        <w:rPr>
          <w:i/>
          <w:sz w:val="20"/>
        </w:rPr>
        <w:t>EN: Abundance of microplastics and nanoplastics in urban atmosphere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09">
        <w:r>
          <w:rPr>
            <w:color w:val="1155CC"/>
            <w:u w:val="single"/>
          </w:rPr>
          <w:t>10.1126/sciadv.adz7779</w:t>
        </w:r>
      </w:hyperlink>
    </w:p>
    <w:p>
      <w:pPr>
        <w:spacing w:before="0" w:after="120"/>
      </w:pPr>
      <w:r>
        <w:rPr>
          <w:b/>
        </w:rPr>
        <w:t xml:space="preserve">Notes: </w:t>
      </w:r>
      <w:r>
        <w:t>abstract_source=crossref</w:t>
      </w:r>
    </w:p>
    <w:p>
      <w:pPr>
        <w:spacing w:before="0" w:after="80" w:lineRule="auto" w:line="276"/>
      </w:pPr>
      <w:r>
        <w:rPr>
          <w:b/>
        </w:rPr>
        <w:t xml:space="preserve">摘要（ZH）: </w:t>
      </w:r>
      <w:r>
        <w:t>微塑料(MPs)和纳米塑料(NPs)是新出现的环境污染物,但它们在大气中的行为仍然不为人所知。 我们使用一种能够探测小到200纳米的塑料微粒的创新方法,用气溶胶、干和湿沉积以及两个中国特大城市广州和习安的再悬浮量量化了MPs和NPs。 广州空气中浓度达到每立方米1.8×10 5 MPs和每立方米5.0×10 4 NPs,西安每立方米1.4×10 5 MPs和3.0×10 4 NPs。 估计显示,在MP和NP中,每立方米有2到5个数量级的差异。</w:t>
      </w:r>
    </w:p>
    <w:p>
      <w:pPr>
        <w:spacing w:before="0" w:after="200" w:lineRule="auto" w:line="276"/>
      </w:pPr>
      <w:r>
        <w:rPr>
          <w:b/>
        </w:rPr>
        <w:t xml:space="preserve">Abstract (EN): </w:t>
      </w:r>
      <w:r>
        <w:t>Microplastics (MPs) and nanoplastics (NPs) are emerging environmental pollutants, yet their behavior in the atmosphere remains poorly understood. Using an innovative method capable of detecting plastic particles as small as 200 nanometers, we quantified MPs and NPs in aerosols, dry and wet deposition, and resuspension in two Chinese megacities, Guangzhou and Xi’an. Airborne concentrations reached 1.8 × 10</w:t>
      </w:r>
      <w:r>
        <w:rPr>
          <w:vertAlign w:val="subscript"/>
        </w:rPr>
        <w:t>5</w:t>
      </w:r>
      <w:r>
        <w:t>MPs per cubic meter and 5.0 × 10</w:t>
      </w:r>
      <w:r>
        <w:rPr>
          <w:vertAlign w:val="subscript"/>
        </w:rPr>
        <w:t>4</w:t>
      </w:r>
      <w:r>
        <w:t>NPs per cubic meter in Guangzhou and 1.4 × 10</w:t>
      </w:r>
      <w:r>
        <w:rPr>
          <w:vertAlign w:val="subscript"/>
        </w:rPr>
        <w:t>5</w:t>
      </w:r>
      <w:r>
        <w:t>MPs per cubic meter and 3.0 × 10</w:t>
      </w:r>
      <w:r>
        <w:rPr>
          <w:vertAlign w:val="subscript"/>
        </w:rPr>
        <w:t>4</w:t>
      </w:r>
      <w:r>
        <w:t>NPs per cubic meter in Xi’an. Estimates revealed a variation of two to five orders of magnitude in MP and NP fluxes across major atmospheric compartments, dominated by road dust resuspension and rainfall-driven wet precipitation. Plastic particles were more heterogeneously mixed in deposition samples than in aerosols and resuspension, indicating enhanced aggregation and removal. These results provide an integrated assessment of MPs and NPs in urban atmospheric processes and offer critical insights into their transformation, fate, and potential implication for climate, ecosystems, and human health.</w:t>
      </w:r>
    </w:p>
    <w:p>
      <w:pPr>
        <w:spacing w:before="120" w:after="120"/>
      </w:pPr>
      <w:r>
        <w:rPr>
          <w:sz w:val="18"/>
        </w:rPr>
        <w:t>——————————————————————————————————————————————————————————————————————</w:t>
      </w:r>
    </w:p>
    <w:p>
      <w:pPr>
        <w:spacing w:before="160" w:after="40" w:line="240" w:lineRule="auto"/>
      </w:pPr>
      <w:r>
        <w:rPr>
          <w:b/>
        </w:rPr>
        <w:t xml:space="preserve">[282] </w:t>
      </w:r>
      <w:hyperlink r:id="rId410">
        <w:r>
          <w:rPr>
            <w:color w:val="1155CC"/>
            <w:u w:val="single"/>
          </w:rPr>
          <w:t>消除:非本地机制如何助长生活各领域的膜裂变</w:t>
        </w:r>
      </w:hyperlink>
    </w:p>
    <w:p>
      <w:pPr>
        <w:spacing w:before="0" w:after="80"/>
      </w:pPr>
      <w:r>
        <w:rPr>
          <w:i/>
          <w:sz w:val="20"/>
        </w:rPr>
        <w:t>EN: Friction-driven scission: How nonlocal mechanisms contribute to membrane fission across domains of life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11">
        <w:r>
          <w:rPr>
            <w:color w:val="1155CC"/>
            <w:u w:val="single"/>
          </w:rPr>
          <w:t>10.1126/sciadv.adz7607</w:t>
        </w:r>
      </w:hyperlink>
    </w:p>
    <w:p>
      <w:pPr>
        <w:spacing w:before="0" w:after="120"/>
      </w:pPr>
      <w:r>
        <w:rPr>
          <w:b/>
        </w:rPr>
        <w:t xml:space="preserve">Notes: </w:t>
      </w:r>
      <w:r>
        <w:t>abstract_source=crossref</w:t>
      </w:r>
    </w:p>
    <w:p>
      <w:pPr>
        <w:spacing w:before="0" w:after="80" w:lineRule="auto" w:line="276"/>
      </w:pPr>
      <w:r>
        <w:rPr>
          <w:b/>
        </w:rPr>
        <w:t xml:space="preserve">摘要（ZH）: </w:t>
      </w:r>
      <w:r>
        <w:t>脑膜裂变是一个耗能的过程,对生活的所有领域都至关重要。原型裂变机制利用当地能源投入,如核核素的三磷酸盐水解,来控制和切断膜膜。然而,有些膜裂变反应自相矛盾地依赖蛋白脚架,而蛋白刀片本身稳定下来,而不是切除膜膜。结果这些蛋白并不单独起作用;它们使用非本地能源投入,产生膜紧张度梯度。这种梯度会调动膜流,反过来又会缓解膜紧张的梯度。通过干扰膜流,蛋白片碎片导致膜紧张加剧到机械故障的地步。膜裂变。这种摩擦驱动的消除机制是通用的,节制的。</w:t>
      </w:r>
    </w:p>
    <w:p>
      <w:pPr>
        <w:spacing w:before="0" w:after="200" w:lineRule="auto" w:line="276"/>
      </w:pPr>
      <w:r>
        <w:rPr>
          <w:b/>
        </w:rPr>
        <w:t xml:space="preserve">Abstract (EN): </w:t>
      </w:r>
      <w:r>
        <w:t>Membrane fission is an energy-consuming process, critical for all domains of life. Prototypical fission machineries use local energy input such as nucleoside triphosphate hydrolysis to constrict and cut membranes. However, some membrane fission reactions paradoxically rely on protein scaffolds that by themselves stabilize rather than cut membranes. It turns out these proteins do not work alone; they use nonlocal energy input that generates a membrane tension gradient. Such a gradient mobilizes membrane flow that in turn tends to relax the membrane tension gradient. By interfering with membrane flow, the protein scaffold causes the membrane tension to increase unchecked to the point of mechanical failure, membrane fission. This friction-driven scission (FDS) mechanism is generic, conserved from bacteria to humans, and only requires two ingredients: a membrane tension generating process and a protein scaffold that hinders the associated membrane flow. Because both are often present in cells, it is likely that FDS contributes to membrane fission more frequently than previously appreciated.</w:t>
      </w:r>
    </w:p>
    <w:p>
      <w:pPr>
        <w:spacing w:before="120" w:after="120"/>
      </w:pPr>
      <w:r>
        <w:rPr>
          <w:sz w:val="18"/>
        </w:rPr>
        <w:t>——————————————————————————————————————————————————————————————————————</w:t>
      </w:r>
    </w:p>
    <w:p>
      <w:pPr>
        <w:spacing w:before="160" w:after="40" w:line="240" w:lineRule="auto"/>
      </w:pPr>
      <w:r>
        <w:rPr>
          <w:b/>
        </w:rPr>
        <w:t xml:space="preserve">[283] </w:t>
      </w:r>
      <w:hyperlink r:id="rId412">
        <w:r>
          <w:rPr>
            <w:color w:val="1155CC"/>
            <w:u w:val="single"/>
          </w:rPr>
          <w:t>通过转录要素约束地点的生物物理特性对空间增强器进行数量调整</w:t>
        </w:r>
      </w:hyperlink>
    </w:p>
    <w:p>
      <w:pPr>
        <w:spacing w:before="0" w:after="80"/>
      </w:pPr>
      <w:r>
        <w:rPr>
          <w:i/>
          <w:sz w:val="20"/>
        </w:rPr>
        <w:t>EN: Quantitative modulation of a spatial enhancer through the biophysical properties of a transcription factor binding site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13">
        <w:r>
          <w:rPr>
            <w:color w:val="1155CC"/>
            <w:u w:val="single"/>
          </w:rPr>
          <w:t>10.1126/sciadv.adz5902</w:t>
        </w:r>
      </w:hyperlink>
    </w:p>
    <w:p>
      <w:pPr>
        <w:spacing w:before="0" w:after="120"/>
      </w:pPr>
      <w:r>
        <w:rPr>
          <w:b/>
        </w:rPr>
        <w:t xml:space="preserve">Notes: </w:t>
      </w:r>
      <w:r>
        <w:t>abstract_source=crossref</w:t>
      </w:r>
    </w:p>
    <w:p>
      <w:pPr>
        <w:spacing w:before="0" w:after="80" w:lineRule="auto" w:line="276"/>
      </w:pPr>
      <w:r>
        <w:rPr>
          <w:b/>
        </w:rPr>
        <w:t xml:space="preserve">摘要（ZH）: </w:t>
      </w:r>
      <w:r>
        <w:t>以转录系数对基因表达方式进行微调对于正常发展至关重要,但如何将TF捆绑转化为精确的表达水平却不易理解。我们用Drosophilla 增强剂对TF Ddistal-dotal(Dll) 的反应来调查这一关系。我们通过将计算结构分析与相对TFBS亲和增强活动量化相结合,描述了TF浓度如何在发展中的Drosophilla翼中转化为精确表达。我们表明,虽然增强剂的监管功能一般遵循古典山等式,但还需要几个术语来描述亲和性、定向、顺序和翼的效应。</w:t>
      </w:r>
    </w:p>
    <w:p>
      <w:pPr>
        <w:spacing w:before="0" w:after="200" w:lineRule="auto" w:line="276"/>
      </w:pPr>
      <w:r>
        <w:rPr>
          <w:b/>
        </w:rPr>
        <w:t xml:space="preserve">Abstract (EN): </w:t>
      </w:r>
      <w:r>
        <w:t>Fine-tuning of gene expression by transcription factors (TFs) is essential for normal development, but how TF binding is converted into precise expression levels is poorly understood. We used a</w:t>
      </w:r>
      <w:r>
        <w:t xml:space="preserve"> </w:t>
      </w:r>
      <w:r>
        <w:t>Drosophila</w:t>
      </w:r>
      <w:r>
        <w:t xml:space="preserve"> </w:t>
      </w:r>
      <w:r>
        <w:t>enhancer responding to the TF Distal-less (Dll) to investigate this relationship. By combining computational structure analysis and quantifying relative TFBS affinity and enhancer activity, we describe how TF concentration is converted into precise expression across the developing</w:t>
      </w:r>
      <w:r>
        <w:t xml:space="preserve"> </w:t>
      </w:r>
      <w:r>
        <w:t>Drosophila</w:t>
      </w:r>
      <w:r>
        <w:t xml:space="preserve"> </w:t>
      </w:r>
      <w:r>
        <w:t>wing. We show that, although the regulatory function of the enhancer generally follows the classical Hill equation, several additional terms are needed to describe the effects of affinity, orientation, sequence, and wing region on the maximum achievable expression and position of transcriptional activity in a tissue. We also found that Dll relies on two distinct sets of amino acid–DNA contacts for binding to higher affinity sites, but contacts are more evenly distributed at lower affinities. Our work integrates information at molecular and tissue scales to describe how the modulation of a single TFBS determines the regulatory function of an enhancer in a complex in vivo environment.</w:t>
      </w:r>
    </w:p>
    <w:p>
      <w:pPr>
        <w:spacing w:before="120" w:after="120"/>
      </w:pPr>
      <w:r>
        <w:rPr>
          <w:sz w:val="18"/>
        </w:rPr>
        <w:t>——————————————————————————————————————————————————————————————————————</w:t>
      </w:r>
    </w:p>
    <w:p>
      <w:pPr>
        <w:spacing w:before="160" w:after="40" w:line="240" w:lineRule="auto"/>
      </w:pPr>
      <w:r>
        <w:rPr>
          <w:b/>
        </w:rPr>
        <w:t xml:space="preserve">[284] </w:t>
      </w:r>
      <w:hyperlink r:id="rId414">
        <w:r>
          <w:rPr>
            <w:color w:val="1155CC"/>
            <w:u w:val="single"/>
          </w:rPr>
          <w:t>与上皮皮肤膜有关、与上皮皮肤膜有关的定期骨骼限制内分泌性硬化,以稳定神经-皮肤接触并保存斧头。</w:t>
        </w:r>
      </w:hyperlink>
    </w:p>
    <w:p>
      <w:pPr>
        <w:spacing w:before="0" w:after="80"/>
      </w:pPr>
      <w:r>
        <w:rPr>
          <w:i/>
          <w:sz w:val="20"/>
        </w:rPr>
        <w:t>EN: An epidermal membrane-associated periodic skeleton restricts endocytosis to stabilize neuron-epidermal attachment and preserve axons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15">
        <w:r>
          <w:rPr>
            <w:color w:val="1155CC"/>
            <w:u w:val="single"/>
          </w:rPr>
          <w:t>10.1126/sciadv.adz4762</w:t>
        </w:r>
      </w:hyperlink>
    </w:p>
    <w:p>
      <w:pPr>
        <w:spacing w:before="0" w:after="120"/>
      </w:pPr>
      <w:r>
        <w:rPr>
          <w:b/>
        </w:rPr>
        <w:t xml:space="preserve">Notes: </w:t>
      </w:r>
      <w:r>
        <w:t>abstract_source=crossref</w:t>
      </w:r>
    </w:p>
    <w:p>
      <w:pPr>
        <w:spacing w:before="0" w:after="80" w:lineRule="auto" w:line="276"/>
      </w:pPr>
      <w:r>
        <w:rPr>
          <w:b/>
        </w:rPr>
        <w:t xml:space="preserve">摘要（ZH）: </w:t>
      </w:r>
      <w:r>
        <w:t>光谱是高度保护的分子,这些分子在轴轴内形成一种不同的膜相关周期骨架,以提供机械抗御力。在Caenorhabditis elegans 中,UNC-70/-Spectrin还在顶部内发挥作用,以保持感官神经元的完整性。这个组织中的精确分子组织和调节这种保护的细胞机制是未知的。在这里,我们用三维结构的照明显微镜检查,显示外膜mal SPPC-1/α-spectrin 和 UNC-70/-spectrin 形成一个周期为~200 nm的红细胞。这个直发性皮肤显像素的诱因是开发一个轴,并在轴再生过程中对其进行改造,从而产生了一个“分子印记”。</w:t>
      </w:r>
    </w:p>
    <w:p>
      <w:pPr>
        <w:spacing w:before="0" w:after="200" w:lineRule="auto" w:line="276"/>
      </w:pPr>
      <w:r>
        <w:rPr>
          <w:b/>
        </w:rPr>
        <w:t xml:space="preserve">Abstract (EN): </w:t>
      </w:r>
      <w:r>
        <w:t>Spectrins are highly conserved molecules that form a distinct membrane-associated periodic scaffold within axons to provide mechanical resilience. In</w:t>
      </w:r>
      <w:r>
        <w:t xml:space="preserve"> </w:t>
      </w:r>
      <w:r>
        <w:t>Caenorhabditis elegans</w:t>
      </w:r>
      <w:r>
        <w:t xml:space="preserve"> </w:t>
      </w:r>
      <w:r>
        <w:t>, UNC-70/ß-Spectrin also functions within the epidermis to maintain the integrity of sensory neurons. The precise molecular organization in this tissue and the cellular mechanisms that mediate this protection are unknown. Here, using three-dimensional structured illumination microscopy, we show that epidermal SPC-1/α-Spectrin and UNC-70/ß-Spectrin form a crescent-shaped scaffold with a periodicity of ~200 nm that embraces adjacent axons. This epidermal Spectrin scaffold is induced by developing axons and reformed during axonal regeneration, creating a “molecular imprint” of the nervous system. Disruption of this epidermal scaffold causes axonal damage, and we propose that it protects axons by restricting the endocytosis of cell adhesion molecules required for axonal-epidermal adhesion. Our findings reveal a distinct periodic Spectrin scaffold within the epidermis that is molded by the developing nervous system and protects axons from damage.</w:t>
      </w:r>
    </w:p>
    <w:p>
      <w:pPr>
        <w:spacing w:before="120" w:after="120"/>
      </w:pPr>
      <w:r>
        <w:rPr>
          <w:sz w:val="18"/>
        </w:rPr>
        <w:t>——————————————————————————————————————————————————————————————————————</w:t>
      </w:r>
    </w:p>
    <w:p>
      <w:pPr>
        <w:spacing w:before="160" w:after="40" w:line="240" w:lineRule="auto"/>
      </w:pPr>
      <w:r>
        <w:rPr>
          <w:b/>
        </w:rPr>
        <w:t xml:space="preserve">[285] </w:t>
      </w:r>
      <w:hyperlink r:id="rId416">
        <w:r>
          <w:rPr>
            <w:color w:val="1155CC"/>
            <w:u w:val="single"/>
          </w:rPr>
          <w:t>60,000年前南部非洲微石灰箭头毒毒使用直接证据</w:t>
        </w:r>
      </w:hyperlink>
    </w:p>
    <w:p>
      <w:pPr>
        <w:spacing w:before="0" w:after="80"/>
      </w:pPr>
      <w:r>
        <w:rPr>
          <w:i/>
          <w:sz w:val="20"/>
        </w:rPr>
        <w:t>EN: Direct evidence for poison use on microlithic arrowheads in Southern Africa at 60,000 years ago</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17">
        <w:r>
          <w:rPr>
            <w:color w:val="1155CC"/>
            <w:u w:val="single"/>
          </w:rPr>
          <w:t>10.1126/sciadv.adz3281</w:t>
        </w:r>
      </w:hyperlink>
    </w:p>
    <w:p>
      <w:pPr>
        <w:spacing w:before="0" w:after="120"/>
      </w:pPr>
      <w:r>
        <w:rPr>
          <w:b/>
        </w:rPr>
        <w:t xml:space="preserve">Notes: </w:t>
      </w:r>
      <w:r>
        <w:t>abstract_source=crossref</w:t>
      </w:r>
    </w:p>
    <w:p>
      <w:pPr>
        <w:spacing w:before="0" w:after="80" w:lineRule="auto" w:line="276"/>
      </w:pPr>
      <w:r>
        <w:rPr>
          <w:b/>
        </w:rPr>
        <w:t xml:space="preserve">摘要（ZH）: </w:t>
      </w:r>
      <w:r>
        <w:t>通过有针对性的微化学和生物分子分析,我们查明了南非夸祖祖鲁-纳塔尔乌姆拉图扎纳岩石掩蔽地上从60 000年前挖掘出来的有毒微土上的有毒植物藻类痕迹,这些藻类树脂和上腺素仅来自非洲南部本土的阿玛利利里达塞(L.f.),最有可能的来源是布奥赫迪西卡(L.f.) 赫布(Herb. blub exudate),也与历史上记载的箭毒有关。据我们所知,我们提供了第一个直接证据,证明这种植物毒药在普利斯托克狩猎武器尖尖上的应用。发现突出表明了生存战略的复杂性。</w:t>
      </w:r>
    </w:p>
    <w:p>
      <w:pPr>
        <w:spacing w:before="0" w:after="200" w:lineRule="auto" w:line="276"/>
      </w:pPr>
      <w:r>
        <w:rPr>
          <w:b/>
        </w:rPr>
        <w:t xml:space="preserve">Abstract (EN): </w:t>
      </w:r>
      <w:r>
        <w:t>Poisoned weapons are a hallmark of advanced hunter-gatherer technology. Through targeted microchemical and biomolecular analyses, we identified traces of toxic plant alkaloids on backed microliths from Umhlatuzana Rock Shelter in KwaZulu-Natal, South Africa, excavated from a level dated to 60,000 years ago. The alkaloids buphandrine and epibuphanisine only originate from Amaryllidaceae indigenous to southern Africa. The most likely source is</w:t>
      </w:r>
      <w:r>
        <w:t xml:space="preserve"> </w:t>
      </w:r>
      <w:r>
        <w:t>Boophone disticha</w:t>
      </w:r>
      <w:r>
        <w:t xml:space="preserve"> </w:t>
      </w:r>
      <w:r>
        <w:t>(L.f.) Herb. bulb exudate, also associated with historically documented arrow poisons. To our knowledge, we present the first direct evidence for the application of this plant-based poison on the tips of Pleistocene hunting weapons. The discovery highlights the complexity of subsistence strategies and cognition in southern Africa since the mid-Pleistocene.</w:t>
      </w:r>
    </w:p>
    <w:p>
      <w:pPr>
        <w:spacing w:before="120" w:after="120"/>
      </w:pPr>
      <w:r>
        <w:rPr>
          <w:sz w:val="18"/>
        </w:rPr>
        <w:t>——————————————————————————————————————————————————————————————————————</w:t>
      </w:r>
    </w:p>
    <w:p>
      <w:pPr>
        <w:spacing w:before="160" w:after="40" w:line="240" w:lineRule="auto"/>
      </w:pPr>
      <w:r>
        <w:rPr>
          <w:b/>
        </w:rPr>
        <w:t xml:space="preserve">[286] </w:t>
      </w:r>
      <w:hyperlink r:id="rId418">
        <w:r>
          <w:rPr>
            <w:color w:val="1155CC"/>
            <w:u w:val="single"/>
          </w:rPr>
          <w:t>Dome A的第一亚毫米灯光:在大规模恒星反馈中追踪碳循环</w:t>
        </w:r>
      </w:hyperlink>
    </w:p>
    <w:p>
      <w:pPr>
        <w:spacing w:before="0" w:after="80"/>
      </w:pPr>
      <w:r>
        <w:rPr>
          <w:i/>
          <w:sz w:val="20"/>
        </w:rPr>
        <w:t>EN: First submillimeter lights from Dome A: Tracing the carbon cycle in the feedback of massive stars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19">
        <w:r>
          <w:rPr>
            <w:color w:val="1155CC"/>
            <w:u w:val="single"/>
          </w:rPr>
          <w:t>10.1126/sciadv.aea9433</w:t>
        </w:r>
      </w:hyperlink>
    </w:p>
    <w:p>
      <w:pPr>
        <w:spacing w:before="0" w:after="120"/>
      </w:pPr>
      <w:r>
        <w:rPr>
          <w:b/>
        </w:rPr>
        <w:t xml:space="preserve">Notes: </w:t>
      </w:r>
      <w:r>
        <w:t>abstract_source=crossref</w:t>
      </w:r>
    </w:p>
    <w:p>
      <w:pPr>
        <w:spacing w:before="0" w:after="80" w:lineRule="auto" w:line="276"/>
      </w:pPr>
      <w:r>
        <w:rPr>
          <w:b/>
        </w:rPr>
        <w:t xml:space="preserve">摘要（ZH）: </w:t>
      </w:r>
      <w:r>
        <w:t>碳在其离子化、原子和分子阶段之间循环的碳循环决定了星际介质(ISM)的化学构成和物理条件。然而,对全碳循环的地面研究受到大气吸收的限制。Dome A是最有前景的亚毫米天文学场所,长期以来一直无法成功进行亚毫米天文学观测。我们利用60厘米的南极地铁赫兹探险器,展示了第一个成功的CO(4-3)和[CI](P1 3)</w:t>
      </w:r>
    </w:p>
    <w:p>
      <w:pPr>
        <w:spacing w:before="0" w:after="200" w:lineRule="auto" w:line="276"/>
      </w:pPr>
      <w:r>
        <w:rPr>
          <w:b/>
        </w:rPr>
        <w:t xml:space="preserve">Abstract (EN): </w:t>
      </w:r>
      <w:r>
        <w:t>The cycling of carbon between its ionized, atomic, and molecular phases shapes the chemical compositions and physical conditions of the interstellar medium (ISM). However, ground-based studies of the full carbon cycle have been limited by atmospheric absorption. Dome A, the most promising site for submillimeter astronomy, has long resisted successful submillimeter astronomical observations. Using the 60-centimeter Antarctic Terahertz Explorer, we present the first successful CO (4-3) and [CI] (</w:t>
      </w:r>
      <w:r>
        <w:t xml:space="preserve"> </w:t>
      </w:r>
      <w:r>
        <w:t>P</w:t>
      </w:r>
      <w:r>
        <w:rPr>
          <w:vertAlign w:val="subscript"/>
        </w:rPr>
        <w:t>1</w:t>
      </w:r>
      <w:r>
        <w:t xml:space="preserve"> </w:t>
      </w:r>
      <w:r>
        <w:rPr>
          <w:vertAlign w:val="subscript"/>
        </w:rPr>
        <w:t>3</w:t>
      </w:r>
      <w:r>
        <w:t xml:space="preserve"> </w:t>
      </w:r>
      <w:r>
        <w:t>−</w:t>
      </w:r>
      <w:r>
        <w:t xml:space="preserve"> </w:t>
      </w:r>
      <w:r>
        <w:t>P</w:t>
      </w:r>
      <w:r>
        <w:rPr>
          <w:vertAlign w:val="subscript"/>
        </w:rPr>
        <w:t>0</w:t>
      </w:r>
      <w:r>
        <w:t xml:space="preserve"> </w:t>
      </w:r>
      <w:r>
        <w:rPr>
          <w:vertAlign w:val="subscript"/>
        </w:rPr>
        <w:t>3</w:t>
      </w:r>
      <w:r>
        <w:t xml:space="preserve"> </w:t>
      </w:r>
      <w:r>
        <w:t>) mapping observations of two archetypal triggered massive star-formation regions at Dome A. These data, together with archival [CII], provide the first complete characterization of all three carbon phases in these environments. We find elevated C</w:t>
      </w:r>
      <w:r>
        <w:rPr>
          <w:vertAlign w:val="subscript"/>
        </w:rPr>
        <w:t>0</w:t>
      </w:r>
      <w:r>
        <w:t>/CO abundance ratios in high-extinction regions, plausibly driven by deep penetration of intense radiation fields from massive stars into a clumpy ISM. These findings mark a major milestone for submillimeter astronomy at Dome A and offer valuable insights into the impact of massive star feedback on the surrounding ISM.</w:t>
      </w:r>
    </w:p>
    <w:p>
      <w:pPr>
        <w:spacing w:before="120" w:after="120"/>
      </w:pPr>
      <w:r>
        <w:rPr>
          <w:sz w:val="18"/>
        </w:rPr>
        <w:t>——————————————————————————————————————————————————————————————————————</w:t>
      </w:r>
    </w:p>
    <w:p>
      <w:pPr>
        <w:spacing w:before="160" w:after="40" w:line="240" w:lineRule="auto"/>
      </w:pPr>
      <w:r>
        <w:rPr>
          <w:b/>
        </w:rPr>
        <w:t xml:space="preserve">[287] </w:t>
      </w:r>
      <w:hyperlink r:id="rId420">
        <w:r>
          <w:rPr>
            <w:color w:val="1155CC"/>
            <w:u w:val="single"/>
          </w:rPr>
          <w:t>通过TGF-β信号器进行肺部修复</w:t>
        </w:r>
      </w:hyperlink>
    </w:p>
    <w:p>
      <w:pPr>
        <w:spacing w:before="0" w:after="80"/>
      </w:pPr>
      <w:r>
        <w:rPr>
          <w:i/>
          <w:sz w:val="20"/>
        </w:rPr>
        <w:t>EN: Control of airway basal stem cell–mediated lung repair by TGF-β signaling</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21">
        <w:r>
          <w:rPr>
            <w:color w:val="1155CC"/>
            <w:u w:val="single"/>
          </w:rPr>
          <w:t>10.1126/sciadv.adz1519</w:t>
        </w:r>
      </w:hyperlink>
    </w:p>
    <w:p>
      <w:pPr>
        <w:spacing w:before="0" w:after="120"/>
      </w:pPr>
      <w:r>
        <w:rPr>
          <w:b/>
        </w:rPr>
        <w:t xml:space="preserve">Notes: </w:t>
      </w:r>
      <w:r>
        <w:t>abstract_source=crossref</w:t>
      </w:r>
    </w:p>
    <w:p>
      <w:pPr>
        <w:spacing w:before="0" w:after="80" w:lineRule="auto" w:line="276"/>
      </w:pPr>
      <w:r>
        <w:rPr>
          <w:b/>
        </w:rPr>
        <w:t xml:space="preserve">摘要（ZH）: </w:t>
      </w:r>
      <w:r>
        <w:t>在肺部严重损伤后,空气路管管干细胞(BCs)被确认为常住干细胞,负责重组上皮屏障,并区分成多种上皮细胞类型;然而,受伤肺部微环境用于调节不列颠哥伦比亚介导肺部修复的机制尚不清楚;在这里,我们表明,不列颠哥伦比亚可以感知到受伤肺免疫微环境的活性改变生长因子(TGF-β)梯度。针对脊髓灰质切除(PROTAC)的蛋白解干扰了TGF-β信号,导致细胞在移植到阿尔维拉尔地区后出现高血压和屏障功能丧失。</w:t>
      </w:r>
    </w:p>
    <w:p>
      <w:pPr>
        <w:spacing w:before="0" w:after="200" w:lineRule="auto" w:line="276"/>
      </w:pPr>
      <w:r>
        <w:rPr>
          <w:b/>
        </w:rPr>
        <w:t xml:space="preserve">Abstract (EN): </w:t>
      </w:r>
      <w:r>
        <w:t>Airway basal stem cells (BCs) are recognized as resident stem cells responsible for reconstituting epithelial barriers and differentiating into multiple epithelial cell types following severe lung injury. However, the mechanism that the injured lung microenvironment uses to modulate BC-mediated lung repair remains unclear. Here, we showed that the profibrotic transforming growth factor–β (TGF-β) gradient from the injured lung immune microenvironment can be sensed by BCs. Targeted degradation of Smad2/3 in human BCs via proteolysis targeting chimera (PROTAC) disrupted TGF-β signaling, causing cell hyperplasia and barrier function loss after being transplanted into the alveolar area. Genetic ablation of the TGF-β receptor or</w:t>
      </w:r>
      <w:r>
        <w:t xml:space="preserve"> </w:t>
      </w:r>
      <w:r>
        <w:t>Smad4</w:t>
      </w:r>
      <w:r>
        <w:t xml:space="preserve"> </w:t>
      </w:r>
      <w:r>
        <w:t>in mouse BCs impaired multilineage differentiation and suppressed migration to the alveolar injury site. These data indicated that TGF-β signaling is essential for BC-mediated lung repair. Moreover, we genetically engineered human BCs to release antifibrotic bone morphogenetic protein 7 (BMP7) in response to microenvironmental TGF-β stimulation. Transplantation of this iBMP7-BC enhanced lung repair and reduced fibrosis. Collectively, this study delineates how TGF-β governs BC behavior and provides a microenvironment-responsive cell therapeutic strategy for pulmonary fibrosis.</w:t>
      </w:r>
    </w:p>
    <w:p>
      <w:pPr>
        <w:spacing w:before="120" w:after="120"/>
      </w:pPr>
      <w:r>
        <w:rPr>
          <w:sz w:val="18"/>
        </w:rPr>
        <w:t>——————————————————————————————————————————————————————————————————————</w:t>
      </w:r>
    </w:p>
    <w:p>
      <w:pPr>
        <w:spacing w:before="160" w:after="40" w:line="240" w:lineRule="auto"/>
      </w:pPr>
      <w:r>
        <w:rPr>
          <w:b/>
        </w:rPr>
        <w:t xml:space="preserve">[288] </w:t>
      </w:r>
      <w:hyperlink r:id="rId422">
        <w:r>
          <w:rPr>
            <w:color w:val="1155CC"/>
            <w:u w:val="single"/>
          </w:rPr>
          <w:t>ERα激活 NAPPT/IL33 信号,以加强蜜蜂热产生和代谢健身</w:t>
        </w:r>
      </w:hyperlink>
    </w:p>
    <w:p>
      <w:pPr>
        <w:spacing w:before="0" w:after="80"/>
      </w:pPr>
      <w:r>
        <w:rPr>
          <w:i/>
          <w:sz w:val="20"/>
        </w:rPr>
        <w:t>EN: ERα activates NAMPT/IL-33 signaling to enhance beige thermogenesis and metabolic fitness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23">
        <w:r>
          <w:rPr>
            <w:color w:val="1155CC"/>
            <w:u w:val="single"/>
          </w:rPr>
          <w:t>10.1126/sciadv.adz1385</w:t>
        </w:r>
      </w:hyperlink>
    </w:p>
    <w:p>
      <w:pPr>
        <w:spacing w:before="0" w:after="120"/>
      </w:pPr>
      <w:r>
        <w:rPr>
          <w:b/>
        </w:rPr>
        <w:t xml:space="preserve">Notes: </w:t>
      </w:r>
      <w:r>
        <w:t>abstract_source=crossref</w:t>
      </w:r>
    </w:p>
    <w:p>
      <w:pPr>
        <w:spacing w:before="0" w:after="80" w:lineRule="auto" w:line="276"/>
      </w:pPr>
      <w:r>
        <w:rPr>
          <w:b/>
        </w:rPr>
        <w:t xml:space="preserve">摘要（ZH）: </w:t>
      </w:r>
      <w:r>
        <w:t>白脂肪组织(WAT)内出现的热诱发脂肪细胞是白脂肪组织(WAT)内无法吸收的热诱发脂肪细胞,这些细胞是针对热性刺激而出现的,并产生代谢效益;然而,肥胖会损害Beige二子细胞的生成,其基本机制仍然不易理解。在这里,我们表明肥胖会导致WAT中的脂肪子细胞(APCs)丧失,同时导致雌激素(E2)水平和磷基磷基转移酶(NAPT)表达式的减少。与E2或尼可丁胺单核酸(NMNMN)(NMN)(NAD+)(NAD)(NAD)(NAD)(NAD)(NAD)(NAD +)前体(NAD)(NAD)(NAD +)(NAPOT)(NAPOT)(NAPOT)(NAPOT)(N(NAPOLOT)(N)(N)(NAMOT)(N(N(N)(N)(NANN)(N)(N)</w:t>
      </w:r>
    </w:p>
    <w:p>
      <w:pPr>
        <w:spacing w:before="0" w:after="200" w:lineRule="auto" w:line="276"/>
      </w:pPr>
      <w:r>
        <w:rPr>
          <w:b/>
        </w:rPr>
        <w:t xml:space="preserve">Abstract (EN): </w:t>
      </w:r>
      <w:r>
        <w:t>Beige adipocytes are inducible thermogenic fat cells that emerge within white adipose tissue (WAT) in response to thermogenic stimuli and confer metabolic benefits. However, obesity impairs the generation of beige adipocytes, and the underlying mechanisms remain poorly understood. Here, we show that obesity leads to a loss of adipose progenitor cells (APCs) in WAT, accompanied by reduced estrogen (E2) levels and nicotinamide phosphoribosyltransferase (NAMPT) expression. Supplementation with E2 or nicotinamide mononucleotide (NMN), an NAMPT-derived nicotinamide adenine dinucleotide (NAD</w:t>
      </w:r>
      <w:r>
        <w:t xml:space="preserve"> </w:t>
      </w:r>
      <w:r>
        <w:t>+</w:t>
      </w:r>
      <w:r>
        <w:t xml:space="preserve"> </w:t>
      </w:r>
      <w:r>
        <w:t>) precursor, restores beige adipogenesis in diet-induced obese mice. Mechanistically, estrogen receptor α (ERα) in APCs is required for beige fat formation by promoting</w:t>
      </w:r>
      <w:r>
        <w:t xml:space="preserve"> </w:t>
      </w:r>
      <w:r>
        <w:t>Nampt</w:t>
      </w:r>
      <w:r>
        <w:t xml:space="preserve"> </w:t>
      </w:r>
      <w:r>
        <w:t>transcription. We further demonstrate that NAMPT is both necessary and sufficient to drive APC proliferation and differentiation, with interleukin-33 (IL-33) acting downstream to mediate these effects. These findings uncover a critical ERα/NAMPT/IL-33 axis that preserves progenitor function and thermogenic capacity, offering a potential therapeutic strategy to combat obesity-induced beige fat failure and associated metabolic dysfunction.</w:t>
      </w:r>
    </w:p>
    <w:p>
      <w:pPr>
        <w:spacing w:before="120" w:after="120"/>
      </w:pPr>
      <w:r>
        <w:rPr>
          <w:sz w:val="18"/>
        </w:rPr>
        <w:t>——————————————————————————————————————————————————————————————————————</w:t>
      </w:r>
    </w:p>
    <w:p>
      <w:pPr>
        <w:spacing w:before="160" w:after="40" w:line="240" w:lineRule="auto"/>
      </w:pPr>
      <w:r>
        <w:rPr>
          <w:b/>
        </w:rPr>
        <w:t xml:space="preserve">[289] </w:t>
      </w:r>
      <w:hyperlink r:id="rId424">
        <w:r>
          <w:rPr>
            <w:color w:val="1155CC"/>
            <w:u w:val="single"/>
          </w:rPr>
          <w:t>Nectin-4 PET,用于预测子宫内皮皮瘤的活性叶道丁剂量反应</w:t>
        </w:r>
      </w:hyperlink>
    </w:p>
    <w:p>
      <w:pPr>
        <w:spacing w:before="0" w:after="80"/>
      </w:pPr>
      <w:r>
        <w:rPr>
          <w:i/>
          <w:sz w:val="20"/>
        </w:rPr>
        <w:t>EN: Nectin-4 PET for predicting enfortumab vedotin dose-response in urothelial carcinoma</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25">
        <w:r>
          <w:rPr>
            <w:color w:val="1155CC"/>
            <w:u w:val="single"/>
          </w:rPr>
          <w:t>10.1126/sciadv.ady1111</w:t>
        </w:r>
      </w:hyperlink>
    </w:p>
    <w:p>
      <w:pPr>
        <w:spacing w:before="0" w:after="120"/>
      </w:pPr>
      <w:r>
        <w:rPr>
          <w:b/>
        </w:rPr>
        <w:t xml:space="preserve">Notes: </w:t>
      </w:r>
      <w:r>
        <w:t>abstract_source=crossref</w:t>
      </w:r>
    </w:p>
    <w:p>
      <w:pPr>
        <w:spacing w:before="0" w:after="80" w:lineRule="auto" w:line="276"/>
      </w:pPr>
      <w:r>
        <w:rPr>
          <w:b/>
        </w:rPr>
        <w:t xml:space="preserve">摘要（ZH）: </w:t>
      </w:r>
      <w:r>
        <w:t>优化剂量战略对于平衡效果和毒性至关重要,特别是对于具有诸如抗体药物共合(ADCs)等狭窄治疗窗口的药物而言,效果和毒性平衡至关重要。本研究评估了针对Nectin-4的正电子排放断层成像(PET)成像是否能够无孔不入地量化ADCinfortumab vedotin(EV)与室外癌肿瘤的实时互动。使用成像剂[68 Ga]AJ647,EV与Nectin-4相互作用的动态变化在临床前期模型中测量,并与治疗对策相关。PET成像确定了Nectin-4接触的剂量依赖剂量变化,其次优化的EV剂量导致不完全Nectin-4接触和肿瘤增加。</w:t>
      </w:r>
    </w:p>
    <w:p>
      <w:pPr>
        <w:spacing w:before="0" w:after="200" w:lineRule="auto" w:line="276"/>
      </w:pPr>
      <w:r>
        <w:rPr>
          <w:b/>
        </w:rPr>
        <w:t xml:space="preserve">Abstract (EN): </w:t>
      </w:r>
      <w:r>
        <w:t>Optimizing dosing strategies is critical to balance effectiveness and toxicity, especially for drugs with narrow therapeutic windows such as antibody-drug conjugates (ADCs). This study evaluates whether positron emission tomography (PET) imaging targeting Nectin-4 can noninvasively quantify the real-time interaction of the ADC enfortumab vedotin (EV) with tumors in urothelial carcinoma. Using the imaging agent [</w:t>
      </w:r>
      <w:r>
        <w:rPr>
          <w:vertAlign w:val="subscript"/>
        </w:rPr>
        <w:t>68</w:t>
      </w:r>
      <w:r>
        <w:t>Ga]AJ647, dynamic changes in the interaction of EV with Nectin-4 were measured across preclinical models and correlated with therapeutic responses. PET imaging identified dose-dependent variations in Nectin-4 engagement, with suboptimal EV doses resulting in incomplete Nectin-4 engagement and increased tumor growth. Crucially, PET-measured target engagement predicted therapeutic outcomes more reliably than either drug dose or baseline target expression. By defining effective target engagement levels needed for optimal therapeutic outcomes, PET imaging provides a clear benchmark for dosing decisions, maximizing efficacy while potentially reducing exposure to higher, toxic doses and thereby enhancing patient safety.</w:t>
      </w:r>
    </w:p>
    <w:p>
      <w:pPr>
        <w:spacing w:before="120" w:after="120"/>
      </w:pPr>
      <w:r>
        <w:rPr>
          <w:sz w:val="18"/>
        </w:rPr>
        <w:t>——————————————————————————————————————————————————————————————————————</w:t>
      </w:r>
    </w:p>
    <w:p>
      <w:pPr>
        <w:spacing w:before="160" w:after="40" w:line="240" w:lineRule="auto"/>
      </w:pPr>
      <w:r>
        <w:rPr>
          <w:b/>
        </w:rPr>
        <w:t xml:space="preserve">[290] </w:t>
      </w:r>
      <w:hyperlink r:id="rId426">
        <w:r>
          <w:rPr>
            <w:color w:val="1155CC"/>
            <w:u w:val="single"/>
          </w:rPr>
          <w:t>直线无孔不入的诱发器</w:t>
        </w:r>
      </w:hyperlink>
    </w:p>
    <w:p>
      <w:pPr>
        <w:spacing w:before="0" w:after="80"/>
      </w:pPr>
      <w:r>
        <w:rPr>
          <w:i/>
          <w:sz w:val="20"/>
        </w:rPr>
        <w:t>EN: Linear ubiquitination triggers Amph-mediated T-tubule biogenesis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27">
        <w:r>
          <w:rPr>
            <w:color w:val="1155CC"/>
            <w:u w:val="single"/>
          </w:rPr>
          <w:t>10.1126/sciadv.ady4934</w:t>
        </w:r>
      </w:hyperlink>
    </w:p>
    <w:p>
      <w:pPr>
        <w:spacing w:before="0" w:after="120"/>
      </w:pPr>
      <w:r>
        <w:rPr>
          <w:b/>
        </w:rPr>
        <w:t xml:space="preserve">Notes: </w:t>
      </w:r>
      <w:r>
        <w:t>abstract_source=crossref</w:t>
      </w:r>
    </w:p>
    <w:p>
      <w:pPr>
        <w:spacing w:before="0" w:after="80" w:lineRule="auto" w:line="276"/>
      </w:pPr>
      <w:r>
        <w:rPr>
          <w:b/>
        </w:rPr>
        <w:t xml:space="preserve">摘要（ZH）: </w:t>
      </w:r>
      <w:r>
        <w:t>T-tubules是肌肉等离子膜(T-tubules)的穿透,有助于迅速传播行动潜力,确保肌肉同步收缩。尽管它们在肌肉生理学中起着关键作用,但T-tubulule形成背后的机制仍然难以捉摸。在这里,我们确定LUBEL/RNF31,一种对线性(M1-联)无处不在负责的无处不在的E3ligase,作为Drosophilla T-tubule生物起源的关键调节器。LUBEL的丧失导致阿姆菲物理(Amph)-阳性膜床,而不是管状网络。LUBEL的紫丁线性活动以及与Amph的直接互动,一种涉及膜管状的BAR域性蛋白,对于适当的T-tubule形态至关重要。LUBEL和M1-联系的紫丁链作为管系。</w:t>
      </w:r>
    </w:p>
    <w:p>
      <w:pPr>
        <w:spacing w:before="0" w:after="200" w:lineRule="auto" w:line="276"/>
      </w:pPr>
      <w:r>
        <w:rPr>
          <w:b/>
        </w:rPr>
        <w:t xml:space="preserve">Abstract (EN): </w:t>
      </w:r>
      <w:r>
        <w:t>Transverse tubules (T-tubules) are invaginations of the muscle plasma membrane that facilitate rapid transmission of action potentials, ensuring synchronized muscle contraction. Despite their essential role in muscle physiology, the mechanisms underlying T-tubule formation remain elusive. Here, we identify LUBEL/RNF31, a ubiquitin E3 ligase responsible for linear (M1-linked) ubiquitination, as a key regulator of T-tubule biogenesis in</w:t>
      </w:r>
      <w:r>
        <w:t xml:space="preserve"> </w:t>
      </w:r>
      <w:r>
        <w:t>Drosophila</w:t>
      </w:r>
      <w:r>
        <w:t xml:space="preserve"> </w:t>
      </w:r>
      <w:r>
        <w:t>. Loss of LUBEL leads to Amphiphysin (Amph)–positive membrane sheets instead of tubular networks. The ubiquitin ligase activity of LUBEL and direct interaction with Amph, a BAR domain protein involved in membrane tubulation, are crucial for proper T-tubule morphology. LUBEL and M1-linked ubiquitin chains assemble into puncta on membranes through multivalent interactions, facilitating Amph-mediated tubulation. Notably, the Amph-LUBEL/RNF31 interaction is evolutionarily conserved across species, underscoring a fundamental role for linear ubiquitination in membrane remodeling. Our findings uncover an unexpected function of linear ubiquitination in membrane deformation driven by BAR proteins.</w:t>
      </w:r>
    </w:p>
    <w:p>
      <w:pPr>
        <w:spacing w:before="120" w:after="120"/>
      </w:pPr>
      <w:r>
        <w:rPr>
          <w:sz w:val="18"/>
        </w:rPr>
        <w:t>——————————————————————————————————————————————————————————————————————</w:t>
      </w:r>
    </w:p>
    <w:p>
      <w:pPr>
        <w:spacing w:before="160" w:after="40" w:line="240" w:lineRule="auto"/>
      </w:pPr>
      <w:r>
        <w:rPr>
          <w:b/>
        </w:rPr>
        <w:t xml:space="preserve">[291] </w:t>
      </w:r>
      <w:hyperlink r:id="rId428">
        <w:r>
          <w:rPr>
            <w:color w:val="1155CC"/>
            <w:u w:val="single"/>
          </w:rPr>
          <w:t>用于CD4+T细胞中人体细胞细胞毒性方案的一组不同的干细胞内存</w:t>
        </w:r>
      </w:hyperlink>
    </w:p>
    <w:p>
      <w:pPr>
        <w:spacing w:before="0" w:after="80"/>
      </w:pPr>
      <w:r>
        <w:rPr>
          <w:i/>
          <w:sz w:val="20"/>
        </w:rPr>
        <w:t>EN: A distinct subset of stem-cell memory is poised for the cytotoxicity program in CD4+ T cells in humans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29">
        <w:r>
          <w:rPr>
            <w:color w:val="1155CC"/>
            <w:u w:val="single"/>
          </w:rPr>
          <w:t>10.1126/sciadv.ady6423</w:t>
        </w:r>
      </w:hyperlink>
    </w:p>
    <w:p>
      <w:pPr>
        <w:spacing w:before="0" w:after="120"/>
      </w:pPr>
      <w:r>
        <w:rPr>
          <w:b/>
        </w:rPr>
        <w:t xml:space="preserve">Notes: </w:t>
      </w:r>
      <w:r>
        <w:t>abstract_source=crossref</w:t>
      </w:r>
    </w:p>
    <w:p>
      <w:pPr>
        <w:spacing w:before="0" w:after="80" w:lineRule="auto" w:line="276"/>
      </w:pPr>
      <w:r>
        <w:rPr>
          <w:b/>
        </w:rPr>
        <w:t xml:space="preserve">摘要（ZH）: </w:t>
      </w:r>
      <w:r>
        <w:t>据报道,具有细胞毒性潜力的CD4 +细胞毒性T淋巴细胞细胞细胞(CD4-CTLs)是许多疾病的免疫反应保护的组成部分,然而,与CD8 + (CD8)-CTLs相比,对于它们的直系、分子特性和细胞分析潜力缺乏了解,限制了它们的效用。因此,通过同时分析人类外围CD4-CTLs和CD8-CTLs,我们证明它们对于细胞毒性程序是无法区分的。此外,我们采用了综合多组法,将CD4 + T 细胞内存子集的抄录、T细胞抗细胞感应器接收器和开染色素简介结合起来,我们发现了一个干细胞内存子。</w:t>
      </w:r>
    </w:p>
    <w:p>
      <w:pPr>
        <w:spacing w:before="0" w:after="200" w:lineRule="auto" w:line="276"/>
      </w:pPr>
      <w:r>
        <w:rPr>
          <w:b/>
        </w:rPr>
        <w:t xml:space="preserve">Abstract (EN): </w:t>
      </w:r>
      <w:r>
        <w:t>The CD4</w:t>
      </w:r>
      <w:r>
        <w:t xml:space="preserve"> </w:t>
      </w:r>
      <w:r>
        <w:t>+</w:t>
      </w:r>
      <w:r>
        <w:t xml:space="preserve"> </w:t>
      </w:r>
      <w:r>
        <w:t>cytotoxic T lymphocytes (CD4-CTLs) with cytotoxic potential are reported to be the components of protective immune response in many diseases. However, the lack of understanding about their lineage, molecular character, and cytolytic potential in comparison to CD8</w:t>
      </w:r>
      <w:r>
        <w:t xml:space="preserve"> </w:t>
      </w:r>
      <w:r>
        <w:t>+</w:t>
      </w:r>
      <w:r>
        <w:t xml:space="preserve"> </w:t>
      </w:r>
      <w:r>
        <w:t>(CD8)-CTLs has restricted their utility. Thus, here, by parallelly analyzing the human peripheral CD4-CTLs and CD8-CTLs, we demonstrate that they are indistinguishable for the cytotoxic program. Furthermore, using an integrative multiomics approach combining the transcriptome, T cell antigen-receptor repertoire, and open chromatin profile of CD4</w:t>
      </w:r>
      <w:r>
        <w:t xml:space="preserve"> </w:t>
      </w:r>
      <w:r>
        <w:t>+</w:t>
      </w:r>
      <w:r>
        <w:t xml:space="preserve"> </w:t>
      </w:r>
      <w:r>
        <w:t>T cell memory subsets, we found a stem-cell memory subset that is precommitted to the cytotoxicity program. Through an in vitro differentiation model, we developed CD4</w:t>
      </w:r>
      <w:r>
        <w:t xml:space="preserve"> </w:t>
      </w:r>
      <w:r>
        <w:t>+</w:t>
      </w:r>
      <w:r>
        <w:t xml:space="preserve"> </w:t>
      </w:r>
      <w:r>
        <w:t>T cells with cytolytic potential coexpressing and exhibiting progressive chromatin accessibility for cytotoxicity- and longevity-associated genes, hence generating long-lived CD4-CTL effectors of varying cytotoxic capacity. Together, our study advocates for exploring both CD4-CTLs and CD8-CTLs for vaccine development, vaccine efficacy testing, and immunotherapies and cell-based therapies for precision medicine.</w:t>
      </w:r>
    </w:p>
    <w:p>
      <w:pPr>
        <w:spacing w:before="120" w:after="120"/>
      </w:pPr>
      <w:r>
        <w:rPr>
          <w:sz w:val="18"/>
        </w:rPr>
        <w:t>——————————————————————————————————————————————————————————————————————</w:t>
      </w:r>
    </w:p>
    <w:p>
      <w:pPr>
        <w:spacing w:before="160" w:after="40" w:line="240" w:lineRule="auto"/>
      </w:pPr>
      <w:r>
        <w:rPr>
          <w:b/>
        </w:rPr>
        <w:t xml:space="preserve">[292] </w:t>
      </w:r>
      <w:hyperlink r:id="rId430">
        <w:r>
          <w:rPr>
            <w:color w:val="1155CC"/>
            <w:u w:val="single"/>
          </w:rPr>
          <w:t>Yeh pilus adhessin 配备了α- 冷冻片片状动脉, 有助于佩服</w:t>
        </w:r>
      </w:hyperlink>
    </w:p>
    <w:p>
      <w:pPr>
        <w:spacing w:before="0" w:after="80"/>
      </w:pPr>
      <w:r>
        <w:rPr>
          <w:i/>
          <w:sz w:val="20"/>
        </w:rPr>
        <w:t>EN: The Yeh pilus adhesin is equipped with an α-helical flap motif, which contributes to pectin adherence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31">
        <w:r>
          <w:rPr>
            <w:color w:val="1155CC"/>
            <w:u w:val="single"/>
          </w:rPr>
          <w:t>10.1126/sciadv.adz1301</w:t>
        </w:r>
      </w:hyperlink>
    </w:p>
    <w:p>
      <w:pPr>
        <w:spacing w:before="0" w:after="120"/>
      </w:pPr>
      <w:r>
        <w:rPr>
          <w:b/>
        </w:rPr>
        <w:t xml:space="preserve">Notes: </w:t>
      </w:r>
      <w:r>
        <w:t>abstract_source=crossref</w:t>
      </w:r>
    </w:p>
    <w:p>
      <w:pPr>
        <w:spacing w:before="0" w:after="80" w:lineRule="auto" w:line="276"/>
      </w:pPr>
      <w:r>
        <w:rPr>
          <w:b/>
        </w:rPr>
        <w:t xml:space="preserve">摘要（ZH）: </w:t>
      </w:r>
      <w:r>
        <w:t>Yeh cheperone-usher 路径(CUP) pilus adhesin 编码在半数的 Esherichia coli coli 编码中。然而,在 E. coli 持久性和病理起源中,它的结构和功能却鲜为人知。结构性调查显示,YehD 及其相对的YhlD 的粘合受体受体域(RBDs) 都拥有一个罐头丰厚的核和在核心断裂端的α-冷合翼点。 使用分子动态模拟在开放和封闭的相容中都观察到了这一扇形。 闭合的相容取决于扇形末的氨酸的防水补补补。 从功能上看, YehD RBD 能够将皮质结合, 一个聚沙迦。</w:t>
      </w:r>
    </w:p>
    <w:p>
      <w:pPr>
        <w:spacing w:before="0" w:after="200" w:lineRule="auto" w:line="276"/>
      </w:pPr>
      <w:r>
        <w:rPr>
          <w:b/>
        </w:rPr>
        <w:t xml:space="preserve">Abstract (EN): </w:t>
      </w:r>
      <w:r>
        <w:t>The Yeh chaperone-usher pathway (CUP) pilus adhesin is encoded in one-half of all</w:t>
      </w:r>
      <w:r>
        <w:t xml:space="preserve"> </w:t>
      </w:r>
      <w:r>
        <w:t>Escherichia coli</w:t>
      </w:r>
      <w:r>
        <w:t xml:space="preserve"> </w:t>
      </w:r>
      <w:r>
        <w:t>. Yet little is known about its structure and function in</w:t>
      </w:r>
      <w:r>
        <w:t xml:space="preserve"> </w:t>
      </w:r>
      <w:r>
        <w:t>E. coli</w:t>
      </w:r>
      <w:r>
        <w:t xml:space="preserve"> </w:t>
      </w:r>
      <w:r>
        <w:t>persistence and pathogenesis. Structural investigations reveal that the adhesin receptor binding domains (RBDs) of YehD and its relative YhlD both share a canonical β-rich core and an α-helical flap motif that is hinged at the distal end of the core. This flap was observed in both open and closed conformations using molecular dynamics simulations. The closed conformation is dependent on a hydrophobic patch of amino acids on the distal end of the flap. Functionally, YehD</w:t>
      </w:r>
      <w:r>
        <w:t xml:space="preserve"> </w:t>
      </w:r>
      <w:r>
        <w:t>RBD</w:t>
      </w:r>
      <w:r>
        <w:t xml:space="preserve"> </w:t>
      </w:r>
      <w:r>
        <w:t>is able to bind pectin, a polysaccharide ubiquitous in plant material. Mutations that interrupt the closed conformation increase the affinity of the protein to pectin, suggesting that the flap contributes mechanistically to pectin binding. Furthermore, in vivo, the pilus contributes to gastrointestinal (GI) tract colonization in the absence of the type 1 pilus. Hence, we report the ability of YehD to bind pectin representing a possible colonization mechanism of the GI tract via a structurally distinct CUP adhesin.</w:t>
      </w:r>
    </w:p>
    <w:p>
      <w:pPr>
        <w:spacing w:before="120" w:after="120"/>
      </w:pPr>
      <w:r>
        <w:rPr>
          <w:sz w:val="18"/>
        </w:rPr>
        <w:t>——————————————————————————————————————————————————————————————————————</w:t>
      </w:r>
    </w:p>
    <w:p>
      <w:pPr>
        <w:spacing w:before="160" w:after="40" w:line="240" w:lineRule="auto"/>
      </w:pPr>
      <w:r>
        <w:rPr>
          <w:b/>
        </w:rPr>
        <w:t xml:space="preserve">[293] </w:t>
      </w:r>
      <w:hyperlink r:id="rId432">
        <w:r>
          <w:rPr>
            <w:color w:val="1155CC"/>
            <w:u w:val="single"/>
          </w:rPr>
          <w:t>用于机械敏感的心脏电电电生理学的极硬性生物电子界面</w:t>
        </w:r>
      </w:hyperlink>
    </w:p>
    <w:p>
      <w:pPr>
        <w:spacing w:before="0" w:after="80"/>
      </w:pPr>
      <w:r>
        <w:rPr>
          <w:i/>
          <w:sz w:val="20"/>
        </w:rPr>
        <w:t>EN: Ultrapliable bioelectronic interface for mechanosensitive cardiac electrophysiology</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33">
        <w:r>
          <w:rPr>
            <w:color w:val="1155CC"/>
            <w:u w:val="single"/>
          </w:rPr>
          <w:t>10.1126/sciadv.adz1253</w:t>
        </w:r>
      </w:hyperlink>
    </w:p>
    <w:p>
      <w:pPr>
        <w:spacing w:before="0" w:after="120"/>
      </w:pPr>
      <w:r>
        <w:rPr>
          <w:b/>
        </w:rPr>
        <w:t xml:space="preserve">Notes: </w:t>
      </w:r>
      <w:r>
        <w:t>abstract_source=crossref</w:t>
      </w:r>
    </w:p>
    <w:p>
      <w:pPr>
        <w:spacing w:before="0" w:after="80" w:lineRule="auto" w:line="276"/>
      </w:pPr>
      <w:r>
        <w:rPr>
          <w:b/>
        </w:rPr>
        <w:t xml:space="preserve">摘要（ZH）: </w:t>
      </w:r>
      <w:r>
        <w:t>尽管心血管细胞具有机械敏感的特性,但现有的生物电子往往表现出巨型螺旋成型。弥合组织与生物电子之间的机械不匹配对于建立与生理相关的体外心血管模型和推进疗法是不可或缺的。在这里,我们展示了具有组织匹配模量的模量(~10千帕斯卡)和可伸缩的金微电路的平台,用于对体外心脏电生理学进行长期、高纤维监测。 由软凝胶矩阵和嵌入金电路的超强纳米胶片组成,我们的装置实现了前所未有的组织整合并保存了天然心血管机械学,导致机械收缩增加140 %, 电动增加100 % 。</w:t>
      </w:r>
    </w:p>
    <w:p>
      <w:pPr>
        <w:spacing w:before="0" w:after="200" w:lineRule="auto" w:line="276"/>
      </w:pPr>
      <w:r>
        <w:rPr>
          <w:b/>
        </w:rPr>
        <w:t xml:space="preserve">Abstract (EN): </w:t>
      </w:r>
      <w:r>
        <w:t>Existing bioelectronics often exhibit megapascal-scale moduli, despite the mechanosensitive nature of cardiomyocytes. Bridging the mechanical mismatch between tissue and bioelectronics is indispensable for building physiologically relevant in vitro cardiac models and advancing therapies. Here, we present Pliable Ultrathin Layered Sensing Electronics (PULSE), a platform with tissue-matched modulus (~10 kilopascals) and stretchable gold microcircuitry for long-term, high-fidelity monitoring of cardiac electrophysiology in vitro. Composed of a soft gel matrix and an ultrathin nanofilm embedded with gold circuits, our device achieves unprecedented tissue integration and preserves natural cardiomyocyte mechanics, resulting in a 140% increase in mechanical contraction and a 100% increase in electrical signals compared to conventional electronics. Cardiac tissue that grows our device exhibited enhanced drug sensitivity and response in cardiac dysfunction, revolutionizing disease modeling. By facilitating seamless interaction at the tissue-electronic interface, our platform offers a transformative perspective for advancing cardiac modeling and next-generation bioelectronic applications.</w:t>
      </w:r>
    </w:p>
    <w:p>
      <w:pPr>
        <w:spacing w:before="120" w:after="120"/>
      </w:pPr>
      <w:r>
        <w:rPr>
          <w:sz w:val="18"/>
        </w:rPr>
        <w:t>——————————————————————————————————————————————————————————————————————</w:t>
      </w:r>
    </w:p>
    <w:p>
      <w:pPr>
        <w:spacing w:before="160" w:after="40" w:line="240" w:lineRule="auto"/>
      </w:pPr>
      <w:r>
        <w:rPr>
          <w:b/>
        </w:rPr>
        <w:t xml:space="preserve">[294] </w:t>
      </w:r>
      <w:hyperlink r:id="rId434">
        <w:r>
          <w:rPr>
            <w:color w:val="1155CC"/>
            <w:u w:val="single"/>
          </w:rPr>
          <w:t>CXCR5 查明了在化物中为潜在乙基乙基V特性而浓缩的干样常住内存 CD8+T细胞</w:t>
        </w:r>
      </w:hyperlink>
    </w:p>
    <w:p>
      <w:pPr>
        <w:spacing w:before="0" w:after="80"/>
      </w:pPr>
      <w:r>
        <w:rPr>
          <w:i/>
          <w:sz w:val="20"/>
        </w:rPr>
        <w:t>EN: CXCR5 identifies stem-like resident memory CD8⁺ T cells enriched for latent EBV specificity in tonsils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35">
        <w:r>
          <w:rPr>
            <w:color w:val="1155CC"/>
            <w:u w:val="single"/>
          </w:rPr>
          <w:t>10.1126/sciadv.ady8316</w:t>
        </w:r>
      </w:hyperlink>
    </w:p>
    <w:p>
      <w:pPr>
        <w:spacing w:before="0" w:after="120"/>
      </w:pPr>
      <w:r>
        <w:rPr>
          <w:b/>
        </w:rPr>
        <w:t xml:space="preserve">Notes: </w:t>
      </w:r>
      <w:r>
        <w:t>abstract_source=crossref</w:t>
      </w:r>
    </w:p>
    <w:p>
      <w:pPr>
        <w:spacing w:before="0" w:after="80" w:lineRule="auto" w:line="276"/>
      </w:pPr>
      <w:r>
        <w:rPr>
          <w:b/>
        </w:rPr>
        <w:t xml:space="preserve">摘要（ZH）: </w:t>
      </w:r>
      <w:r>
        <w:t>CXCR5 + CXCRR5 + CD8 + T 细胞在慢性感染的情况下成为抗病毒免疫的关键媒介,但是,它们的功能属性和组织分布仍然没有完全界定,特别是相对于抗原特性而言。在这里,我们调查了整个人体多个地点的CXCR5 + CD8 + T 细胞的解解剖本地化和抗病毒特性,重点是奥眼血清、淋巴组织。</w:t>
      </w:r>
    </w:p>
    <w:p>
      <w:pPr>
        <w:spacing w:before="0" w:after="200" w:lineRule="auto" w:line="276"/>
      </w:pPr>
      <w:r>
        <w:rPr>
          <w:b/>
        </w:rPr>
        <w:t xml:space="preserve">Abstract (EN): </w:t>
      </w:r>
      <w:r>
        <w:t>CXCR5</w:t>
      </w:r>
      <w:r>
        <w:t xml:space="preserve"> </w:t>
      </w:r>
      <w:r>
        <w:t>+</w:t>
      </w:r>
      <w:r>
        <w:t xml:space="preserve"> </w:t>
      </w:r>
      <w:r>
        <w:t>CD8</w:t>
      </w:r>
      <w:r>
        <w:t xml:space="preserve"> </w:t>
      </w:r>
      <w:r>
        <w:t>+</w:t>
      </w:r>
      <w:r>
        <w:t xml:space="preserve"> </w:t>
      </w:r>
      <w:r>
        <w:t>T cells emerged as key mediators of antiviral immunity in the context of chronic infection. However, their functional attributes and tissue distribution remain incompletely defined, especially in relation to antigen specificity. Here, we investigated the anatomical localization and antiviral properties of CXCR5</w:t>
      </w:r>
      <w:r>
        <w:t xml:space="preserve"> </w:t>
      </w:r>
      <w:r>
        <w:t>+</w:t>
      </w:r>
      <w:r>
        <w:t xml:space="preserve"> </w:t>
      </w:r>
      <w:r>
        <w:t>CD8</w:t>
      </w:r>
      <w:r>
        <w:t xml:space="preserve"> </w:t>
      </w:r>
      <w:r>
        <w:t>+</w:t>
      </w:r>
      <w:r>
        <w:t xml:space="preserve"> </w:t>
      </w:r>
      <w:r>
        <w:t>T cells across multiple sites throughout the human body, with an emphasis on oropharyngeal lymphoid tissues. Tonsils harbored the highest frequencies of CXCR5</w:t>
      </w:r>
      <w:r>
        <w:t xml:space="preserve"> </w:t>
      </w:r>
      <w:r>
        <w:t>+</w:t>
      </w:r>
      <w:r>
        <w:t xml:space="preserve"> </w:t>
      </w:r>
      <w:r>
        <w:t>CD8</w:t>
      </w:r>
      <w:r>
        <w:t xml:space="preserve"> </w:t>
      </w:r>
      <w:r>
        <w:t>+</w:t>
      </w:r>
      <w:r>
        <w:t xml:space="preserve"> </w:t>
      </w:r>
      <w:r>
        <w:t>T cells compared to other tissues, many of which expressed Granzyme K and concurrently displayed tissue residency features, as demonstrated by single cell profiling. Irrespective of clonal identity and virus specificity, CD8</w:t>
      </w:r>
      <w:r>
        <w:t xml:space="preserve"> </w:t>
      </w:r>
      <w:r>
        <w:t>+</w:t>
      </w:r>
      <w:r>
        <w:t xml:space="preserve"> </w:t>
      </w:r>
      <w:r>
        <w:t>T cells expressed CXCR5 more commonly in tonsils compared to vascular circulation. CXCR5 expression was particularly prominent among tonsil-localized CD8</w:t>
      </w:r>
      <w:r>
        <w:t xml:space="preserve"> </w:t>
      </w:r>
      <w:r>
        <w:t>+</w:t>
      </w:r>
      <w:r>
        <w:t xml:space="preserve"> </w:t>
      </w:r>
      <w:r>
        <w:t>T cells targeting Epstein-Barr virus (EBV) latent antigens and associated with a PD-1</w:t>
      </w:r>
      <w:r>
        <w:t xml:space="preserve"> </w:t>
      </w:r>
      <w:r>
        <w:t>+</w:t>
      </w:r>
      <w:r>
        <w:t xml:space="preserve"> </w:t>
      </w:r>
      <w:r>
        <w:t>resident stem-like phenotype. These data identify a CXCR5</w:t>
      </w:r>
      <w:r>
        <w:t xml:space="preserve"> </w:t>
      </w:r>
      <w:r>
        <w:t>+</w:t>
      </w:r>
      <w:r>
        <w:t xml:space="preserve"> </w:t>
      </w:r>
      <w:r>
        <w:t>tissue-resident memory CD8</w:t>
      </w:r>
      <w:r>
        <w:t xml:space="preserve"> </w:t>
      </w:r>
      <w:r>
        <w:t>+</w:t>
      </w:r>
      <w:r>
        <w:t xml:space="preserve"> </w:t>
      </w:r>
      <w:r>
        <w:t>T cell subset in human tonsils with a potential role in immune surveillance of EBV.</w:t>
      </w:r>
    </w:p>
    <w:p>
      <w:pPr>
        <w:spacing w:before="120" w:after="120"/>
      </w:pPr>
      <w:r>
        <w:rPr>
          <w:sz w:val="18"/>
        </w:rPr>
        <w:t>——————————————————————————————————————————————————————————————————————</w:t>
      </w:r>
    </w:p>
    <w:p>
      <w:pPr>
        <w:spacing w:before="160" w:after="40" w:line="240" w:lineRule="auto"/>
      </w:pPr>
      <w:r>
        <w:rPr>
          <w:b/>
        </w:rPr>
        <w:t xml:space="preserve">[295] </w:t>
      </w:r>
      <w:hyperlink r:id="rId436">
        <w:r>
          <w:rPr>
            <w:color w:val="1155CC"/>
            <w:u w:val="single"/>
          </w:rPr>
          <w:t>将AAAV基因送入纤维体控制再生结果</w:t>
        </w:r>
      </w:hyperlink>
    </w:p>
    <w:p>
      <w:pPr>
        <w:spacing w:before="0" w:after="80"/>
      </w:pPr>
      <w:r>
        <w:rPr>
          <w:i/>
          <w:sz w:val="20"/>
        </w:rPr>
        <w:t>EN: Mouse digit AAV gene delivery into fibroblasts regulates regenerative outcome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437">
        <w:r>
          <w:rPr>
            <w:color w:val="1155CC"/>
            <w:u w:val="single"/>
          </w:rPr>
          <w:t>10.1126/sciadv.adz0229</w:t>
        </w:r>
      </w:hyperlink>
    </w:p>
    <w:p>
      <w:pPr>
        <w:spacing w:before="0" w:after="120"/>
      </w:pPr>
      <w:r>
        <w:rPr>
          <w:b/>
        </w:rPr>
        <w:t xml:space="preserve">Notes: </w:t>
      </w:r>
      <w:r>
        <w:t>abstract_source=crossref</w:t>
      </w:r>
    </w:p>
    <w:p>
      <w:pPr>
        <w:spacing w:before="0" w:after="80" w:lineRule="auto" w:line="276"/>
      </w:pPr>
      <w:r>
        <w:rPr>
          <w:b/>
        </w:rPr>
        <w:t xml:space="preserve">摘要（ZH）: </w:t>
      </w:r>
      <w:r>
        <w:t>distal 滑鼠数字小滴再生,而近似数位数则经历纤维化。本研究对再生和非再生数字进行了比较的单细胞RNA测序分析,对再生和非再生数字进行了分析,以计算确定与纤维化和再生相关的纤维化亚群和基因。 为了测试已识别的候选基因是否足以改变伤口愈合结果,我们开发了一种用于数字纤维化的强健的乙型相关病毒基因传递技术。 我们发现,对候选分子的预发性基因Pcolce2 或 Prelp的过分表达改变了候选生殖性因子Ccl2的正常再生和过度表达。</w:t>
      </w:r>
    </w:p>
    <w:p>
      <w:pPr>
        <w:spacing w:before="0" w:after="200" w:lineRule="auto" w:line="276"/>
      </w:pPr>
      <w:r>
        <w:rPr>
          <w:b/>
        </w:rPr>
        <w:t xml:space="preserve">Abstract (EN): </w:t>
      </w:r>
      <w:r>
        <w:t>The distal mouse digit tip regenerates postamputation, while the proximal digit undergoes fibrosis. This study presents a comparative single-cell RNA sequencing–based analysis of regenerating and nonregenerating digits to computationally identify fibroblast subpopulations and genes associated with fibrosis and regeneration. To test the sufficiency of identified candidate genes to alter wound healing outcomes, we developed a robust adeno-associated virus gene delivery technique for digit fibroblasts. We found that overexpression of candidate profibrotic gene</w:t>
      </w:r>
      <w:r>
        <w:t xml:space="preserve"> </w:t>
      </w:r>
      <w:r>
        <w:t>Pcolce2</w:t>
      </w:r>
      <w:r>
        <w:t xml:space="preserve"> </w:t>
      </w:r>
      <w:r>
        <w:t>or</w:t>
      </w:r>
      <w:r>
        <w:t xml:space="preserve"> </w:t>
      </w:r>
      <w:r>
        <w:t>Prelp</w:t>
      </w:r>
      <w:r>
        <w:t xml:space="preserve"> </w:t>
      </w:r>
      <w:r>
        <w:t>in the blastema modifies normal regeneration and overexpression of candidate proregenerative factor</w:t>
      </w:r>
      <w:r>
        <w:t xml:space="preserve"> </w:t>
      </w:r>
      <w:r>
        <w:t>Ccl2</w:t>
      </w:r>
      <w:r>
        <w:t xml:space="preserve"> </w:t>
      </w:r>
      <w:r>
        <w:t>or</w:t>
      </w:r>
      <w:r>
        <w:t xml:space="preserve"> </w:t>
      </w:r>
      <w:r>
        <w:t>Mest</w:t>
      </w:r>
      <w:r>
        <w:t xml:space="preserve"> </w:t>
      </w:r>
      <w:r>
        <w:t>in the proximal digit substantially increases bone deposition. These data demonstrate that the computational analysis combined with the AAV delivery approach presented in this study provides a powerful framework for identifying the driving factors of fibrosis and regeneration in the mammalian digit.</w:t>
      </w:r>
    </w:p>
    <w:p>
      <w:pPr>
        <w:spacing w:before="120" w:after="120"/>
      </w:pPr>
      <w:r>
        <w:rPr>
          <w:sz w:val="18"/>
        </w:rPr>
        <w:t>——————————————————————————————————————————————————————————————————————</w:t>
      </w:r>
    </w:p>
    <w:p>
      <w:pPr>
        <w:spacing w:before="160" w:after="40" w:line="240" w:lineRule="auto"/>
      </w:pPr>
      <w:r>
        <w:rPr>
          <w:b/>
        </w:rPr>
        <w:t xml:space="preserve">[296] </w:t>
      </w:r>
      <w:hyperlink r:id="rId438">
        <w:r>
          <w:rPr>
            <w:color w:val="1155CC"/>
            <w:u w:val="single"/>
          </w:rPr>
          <w:t>[ASAP]非对称碎片的铁数据合成</w:t>
        </w:r>
      </w:hyperlink>
    </w:p>
    <w:p>
      <w:pPr>
        <w:spacing w:before="0" w:after="80"/>
      </w:pPr>
      <w:r>
        <w:rPr>
          <w:i/>
          <w:sz w:val="20"/>
        </w:rPr>
        <w:t>EN: [ASAP] Iron-Catalyzed Synthesis of Unsymmetrical Disilanes</w:t>
      </w:r>
    </w:p>
    <w:p>
      <w:pPr>
        <w:spacing w:before="0" w:after="120"/>
      </w:pPr>
      <w:r>
        <w:rPr>
          <w:b/>
        </w:rPr>
        <w:t xml:space="preserve">Source: </w:t>
      </w:r>
      <w:r>
        <w:t>Journal of the American Chemical Society: Latest Articles (ACS Publications)</w:t>
      </w:r>
      <w:r>
        <w:t xml:space="preserve">    </w:t>
      </w:r>
      <w:r>
        <w:rPr>
          <w:b/>
        </w:rPr>
        <w:t xml:space="preserve">Pub date: </w:t>
      </w:r>
      <w:r>
        <w:t>2026-01-07 09:59:21+00:00</w:t>
      </w:r>
      <w:r>
        <w:t xml:space="preserve">    </w:t>
      </w:r>
      <w:r>
        <w:rPr>
          <w:b/>
        </w:rPr>
        <w:t xml:space="preserve">DOI: </w:t>
      </w:r>
      <w:hyperlink r:id="rId439">
        <w:r>
          <w:rPr>
            <w:color w:val="1155CC"/>
            <w:u w:val="single"/>
          </w:rPr>
          <w:t>10.1021/jacs.5c18484</w:t>
        </w:r>
      </w:hyperlink>
    </w:p>
    <w:p>
      <w:pPr>
        <w:spacing w:before="0" w:after="120"/>
      </w:pPr>
      <w:r>
        <w:rPr>
          <w:b/>
        </w:rPr>
        <w:t xml:space="preserve">Notes: </w:t>
      </w:r>
      <w:r>
        <w:t>abstract_source=pubmed</w:t>
      </w:r>
    </w:p>
    <w:p>
      <w:pPr>
        <w:spacing w:before="0" w:after="80" w:lineRule="auto" w:line="276"/>
      </w:pPr>
      <w:r>
        <w:rPr>
          <w:b/>
        </w:rPr>
        <w:t xml:space="preserve">摘要（ZH）: </w:t>
      </w:r>
      <w:r>
        <w:t>Disilanes,特别是不对称的Disilanes,是有机合成中最重要的有机有机硅试剂之一,在先进材料中具有广阔的前景。尽管开发了一些合成方法,但准备可变的不对称的Disilanes仍是一项重大挑战,从而妨碍进一步的功能探索。在这里,我们报告了一项联合的离子设计战略,它使得能够开发一个新的铁催化剂,实现前所未有的用二氢狄拉因的正烷铁催化体分解。这种方法有利于高化学、再生和立体选择性合成多种不同非对称的与Si-H联系的维尼西维尼龙。机械学研究和密度功能理论计算表明,这种方法提供了一种新的模式。</w:t>
      </w:r>
    </w:p>
    <w:p>
      <w:pPr>
        <w:spacing w:before="0" w:after="200" w:lineRule="auto" w:line="276"/>
      </w:pPr>
      <w:r>
        <w:rPr>
          <w:b/>
        </w:rPr>
        <w:t xml:space="preserve">Abstract (EN): </w:t>
      </w:r>
      <w:r>
        <w:t>Disilanes, especially unsymmetrical ones, are among the most important organosilane reagents in organic synthesis and possess broad prospects in advanced materials. Despite the development of some synthetic approaches, the preparation of modifiable unsymmetrical disilanes remains a significant challenge, thereby hindering further functional exploration. Here, we report a combined ligand design strategy that enabled the development of a novel iron catalyst, achieving an unprecedented iron-catalyzed hydrodisilylation of alkynes with dihydrodisilanes. This method facilitates the highly chemo-, regio-, and stereoselective syntheses of diverse unsymmetrical vinyldisilanes with Si-H bonds. Mechanistic studies and density functional theory calculations reveal that this method provides a novel model for selective disilane functionalization that fully preserves Si-Si bonds, overcoming the limitation of low-valent transition metal catalysis, which typically cleaves Si-Si bonds. The straightforward, scalable, and readily accessible protocol exhibits an exceptional turnover frequency, good functional group tolerance, and broad substrate scope. Notably, the resulting functionalized vinyldisilanes exhibit versatile reactivity, enabling the construction of various privileged scaffolds via site-specific cleavage.</w:t>
      </w:r>
    </w:p>
    <w:p>
      <w:pPr>
        <w:spacing w:before="120" w:after="120"/>
      </w:pPr>
      <w:r>
        <w:rPr>
          <w:sz w:val="18"/>
        </w:rPr>
        <w:t>——————————————————————————————————————————————————————————————————————</w:t>
      </w:r>
    </w:p>
    <w:p>
      <w:pPr>
        <w:spacing w:before="160" w:after="40" w:line="240" w:lineRule="auto"/>
      </w:pPr>
      <w:r>
        <w:rPr>
          <w:b/>
        </w:rPr>
        <w:t xml:space="preserve">[297] </w:t>
      </w:r>
      <w:hyperlink r:id="rId440">
        <w:r>
          <w:rPr>
            <w:color w:val="1155CC"/>
            <w:u w:val="single"/>
          </w:rPr>
          <w:t>电磁(EM)</w:t>
        </w:r>
      </w:hyperlink>
    </w:p>
    <w:p>
      <w:pPr>
        <w:spacing w:before="0" w:after="80"/>
      </w:pPr>
      <w:r>
        <w:rPr>
          <w:i/>
          <w:sz w:val="20"/>
        </w:rPr>
        <w:t>EN: Electromagnetic (EM)‐Driven Functional Materials</w:t>
      </w:r>
    </w:p>
    <w:p>
      <w:pPr>
        <w:spacing w:before="0" w:after="120"/>
      </w:pPr>
      <w:r>
        <w:rPr>
          <w:b/>
        </w:rPr>
        <w:t xml:space="preserve">Source: </w:t>
      </w:r>
      <w:r>
        <w:t>Wiley: Advanced Materials: Table of Contents</w:t>
      </w:r>
      <w:r>
        <w:t xml:space="preserve">    </w:t>
      </w:r>
      <w:r>
        <w:rPr>
          <w:b/>
        </w:rPr>
        <w:t xml:space="preserve">Pub date: </w:t>
      </w:r>
      <w:r>
        <w:t>2026-01-07 10:10:25+00:00</w:t>
      </w:r>
      <w:r>
        <w:t xml:space="preserve">    </w:t>
      </w:r>
      <w:r>
        <w:rPr>
          <w:b/>
        </w:rPr>
        <w:t xml:space="preserve">DOI: </w:t>
      </w:r>
      <w:hyperlink r:id="rId441">
        <w:r>
          <w:rPr>
            <w:color w:val="1155CC"/>
            <w:u w:val="single"/>
          </w:rPr>
          <w:t>10.1002/adma.202521268</w:t>
        </w:r>
      </w:hyperlink>
    </w:p>
    <w:p>
      <w:pPr>
        <w:spacing w:before="0" w:after="120"/>
      </w:pPr>
      <w:r>
        <w:rPr>
          <w:b/>
        </w:rPr>
        <w:t xml:space="preserve">Notes: </w:t>
      </w:r>
      <w:r>
        <w:t>abstract_source=crossref</w:t>
      </w:r>
    </w:p>
    <w:p>
      <w:pPr>
        <w:spacing w:before="0" w:after="80" w:lineRule="auto" w:line="276"/>
      </w:pPr>
      <w:r>
        <w:rPr>
          <w:b/>
        </w:rPr>
        <w:t xml:space="preserve">摘要（ZH）: </w:t>
      </w:r>
      <w:r>
        <w:t>ABSTACT电磁(EM)领域被用于通信、成像和能源转让等技术,近年来,人们越来越有兴趣利用EM领域来激活功能性材料,在软机器人、生物医学装置、活性元材料和形状变形系统中进行应用,这些材料往往是包含EM-反应组件的合成材料,使其具有显著的多功能反应能力。具体地说,EM领域可以通过静电磁力和火力、Lorentz力或电磁脉冲和磁歇歇斯底体损失产生的热效应诱发电动。此外,EM领域还可以用于遥感、无线通信和电源转移,将其作用扩大到远方。</w:t>
      </w:r>
    </w:p>
    <w:p>
      <w:pPr>
        <w:spacing w:before="0" w:after="200" w:lineRule="auto" w:line="276"/>
      </w:pPr>
      <w:r>
        <w:rPr>
          <w:b/>
        </w:rPr>
        <w:t xml:space="preserve">Abstract (EN): </w:t>
      </w:r>
      <w:r>
        <w:t>Electromagnetic (EM) fields have been used in technologies such as communication, imaging, and energy transfer. In recent years, there has been growing interest in exploiting EM fields for the actuation of functional materials, enabling applications in soft robotics, biomedical devices, active metamaterials, and shape‐morphing systems. These materials are often composites that incorporate EM‐responsive components, granting them a remarkable versatility in responsiveness. Specifically, EM fields can induce actuation through static magnetic force and torque, Lorentz forces, or thermal effects via eddy currents and magnetic hysteresis losses. In addition, EM fields can be harnessed for sensing, wireless communication, and power transfer, extending their role far beyond actuation. The coexistence of such diverse mechanisms makes EM one of the most powerful and integrative external stimuli for multifunctional materials. This review provides the first holistic overview of EM‐active material systems. We systematically organize recent progress in EM‐based actuation, sensing, communication, and wireless power transfer, highlighting the fundamental principles, experimental demonstrations, and emerging design strategies. Approaches that integrate multiple EM‐driven functionalities and the role of optimization and machine learning in advancing design and control are discussed. By consolidating these advances, this review establishes a roadmap for the development of next‐generation EM‐enabled intelligent materials and devices.</w:t>
      </w:r>
    </w:p>
    <w:p>
      <w:pPr>
        <w:spacing w:before="120" w:after="120"/>
      </w:pPr>
      <w:r>
        <w:rPr>
          <w:sz w:val="18"/>
        </w:rPr>
        <w:t>——————————————————————————————————————————————————————————————————————</w:t>
      </w:r>
    </w:p>
    <w:p>
      <w:pPr>
        <w:spacing w:before="160" w:after="40" w:line="240" w:lineRule="auto"/>
      </w:pPr>
      <w:r>
        <w:rPr>
          <w:b/>
        </w:rPr>
        <w:t xml:space="preserve">[298] </w:t>
      </w:r>
      <w:hyperlink r:id="rId442">
        <w:r>
          <w:rPr>
            <w:color w:val="1155CC"/>
            <w:u w:val="single"/>
          </w:rPr>
          <w:t>雕刻骨的前途:矫形体中可吸收材料的演变</w:t>
        </w:r>
      </w:hyperlink>
    </w:p>
    <w:p>
      <w:pPr>
        <w:spacing w:before="0" w:after="80"/>
      </w:pPr>
      <w:r>
        <w:rPr>
          <w:i/>
          <w:sz w:val="20"/>
        </w:rPr>
        <w:t>EN: Sculpting the Future of Bone: The Evolution of Absorbable Materials in Orthopedics</w:t>
      </w:r>
    </w:p>
    <w:p>
      <w:pPr>
        <w:spacing w:before="0" w:after="120"/>
      </w:pPr>
      <w:r>
        <w:rPr>
          <w:b/>
        </w:rPr>
        <w:t xml:space="preserve">Source: </w:t>
      </w:r>
      <w:r>
        <w:t>Wiley: Advanced Materials: Table of Contents</w:t>
      </w:r>
      <w:r>
        <w:t xml:space="preserve">    </w:t>
      </w:r>
      <w:r>
        <w:rPr>
          <w:b/>
        </w:rPr>
        <w:t xml:space="preserve">Pub date: </w:t>
      </w:r>
      <w:r>
        <w:t>2026-01-07 10:10:46+00:00</w:t>
      </w:r>
      <w:r>
        <w:t xml:space="preserve">    </w:t>
      </w:r>
      <w:r>
        <w:rPr>
          <w:b/>
        </w:rPr>
        <w:t xml:space="preserve">DOI: </w:t>
      </w:r>
      <w:hyperlink r:id="rId443">
        <w:r>
          <w:rPr>
            <w:color w:val="1155CC"/>
            <w:u w:val="single"/>
          </w:rPr>
          <w:t>10.1002/adma.202510848</w:t>
        </w:r>
      </w:hyperlink>
    </w:p>
    <w:p>
      <w:pPr>
        <w:spacing w:before="0" w:after="120"/>
      </w:pPr>
      <w:r>
        <w:rPr>
          <w:b/>
        </w:rPr>
        <w:t xml:space="preserve">Notes: </w:t>
      </w:r>
      <w:r>
        <w:t>abstract_source=crossref</w:t>
      </w:r>
    </w:p>
    <w:p>
      <w:pPr>
        <w:spacing w:before="0" w:after="80" w:lineRule="auto" w:line="276"/>
      </w:pPr>
      <w:r>
        <w:rPr>
          <w:b/>
        </w:rPr>
        <w:t xml:space="preserve">摘要（ZH）: </w:t>
      </w:r>
      <w:r>
        <w:t>骨骼缺陷的修补仍然是一个重大的临床挑战,因为自体移植受捐赠者限制,而生物内皮植入往往需要二级手术;可吸收材料,包括聚合物、陶瓷和金属,通过提供临时支持和同步降解以配合组织再生,正在迅速改变整形护理。本审查突出了复合脚架在提高机械完整性、退化动能和骨骼感应能力方面取得的尖端进展。我们进一步探索创新系统,将具有响应性的智能材料(如光热、派生电)、4D印刷智能材料、再生疗法和骨质组织结合起来。</w:t>
      </w:r>
    </w:p>
    <w:p>
      <w:pPr>
        <w:spacing w:before="0" w:after="200" w:lineRule="auto" w:line="276"/>
      </w:pPr>
      <w:r>
        <w:rPr>
          <w:b/>
        </w:rPr>
        <w:t xml:space="preserve">Abstract (EN): </w:t>
      </w:r>
      <w:r>
        <w:t>The repair of bone defects remains a major clinical challenge, as autologous grafts are constrained by donor limitations and bioinert implants often necessitate secondary surgeries. Absorbable materials, including polymers, ceramics, and metals, are rapidly transforming orthopedic care by offering temporary support and synchronized degradation to match tissue regeneration. This review highlights cutting‐edge advances in composite scaffolds that enhance mechanical integrity, degradation kinetics, and osteoinductivity. We further explore innovative systems integrating stimuli‐responsive smart materials (e.g., photothermal, piezoelectric), 4D printing smart materials, regenerative therapies, and bone organoids. Emerging clinical data are discussed in the context of diseases such as osteonecrosis, osteomyelitis, and osteoporosis. Looking forward, we outline transformative directions, including AI‐driven scaffold design, gradient architectures, and immunomodulatory strategies to resolve the spatiotemporal mismatch between degradation and regeneration. This review offers a forward‐looking framework for next‐generation multifunctional, bioresponsive orthopedic implants.</w:t>
      </w:r>
    </w:p>
    <w:p>
      <w:pPr>
        <w:spacing w:before="120" w:after="120"/>
      </w:pPr>
      <w:r>
        <w:rPr>
          <w:sz w:val="18"/>
        </w:rPr>
        <w:t>——————————————————————————————————————————————————————————————————————</w:t>
      </w:r>
    </w:p>
    <w:p>
      <w:pPr>
        <w:spacing w:before="160" w:after="40" w:line="240" w:lineRule="auto"/>
      </w:pPr>
      <w:r>
        <w:rPr>
          <w:b/>
        </w:rPr>
        <w:t xml:space="preserve">[299] </w:t>
      </w:r>
      <w:hyperlink r:id="rId444">
        <w:r>
          <w:rPr>
            <w:color w:val="1155CC"/>
            <w:u w:val="single"/>
          </w:rPr>
          <w:t>面值为面值的固体碎裂的刘易斯对称在向 alkynols 半湿度降解反应方向的CO3O4催化器上的CO3O4 催化器上</w:t>
        </w:r>
      </w:hyperlink>
    </w:p>
    <w:p>
      <w:pPr>
        <w:spacing w:before="0" w:after="80"/>
      </w:pPr>
      <w:r>
        <w:rPr>
          <w:i/>
          <w:sz w:val="20"/>
        </w:rPr>
        <w:t>EN: Facet‐Dependent Solid Frustrated Lewis Pairs on Co3O4 Catalysts Towards Semi‐Hydrogenation Reaction of Alkynols</w:t>
      </w:r>
    </w:p>
    <w:p>
      <w:pPr>
        <w:spacing w:before="0" w:after="120"/>
      </w:pPr>
      <w:r>
        <w:rPr>
          <w:b/>
        </w:rPr>
        <w:t xml:space="preserve">Source: </w:t>
      </w:r>
      <w:r>
        <w:t>Wiley: Angewandte Chemie International Edition: Table of Contents</w:t>
      </w:r>
      <w:r>
        <w:t xml:space="preserve">    </w:t>
      </w:r>
      <w:r>
        <w:rPr>
          <w:b/>
        </w:rPr>
        <w:t xml:space="preserve">Pub date: </w:t>
      </w:r>
      <w:r>
        <w:t>2026-01-07 10:13:07+00:00</w:t>
      </w:r>
      <w:r>
        <w:t xml:space="preserve">    </w:t>
      </w:r>
      <w:r>
        <w:rPr>
          <w:b/>
        </w:rPr>
        <w:t xml:space="preserve">DOI: </w:t>
      </w:r>
      <w:hyperlink r:id="rId445">
        <w:r>
          <w:rPr>
            <w:color w:val="1155CC"/>
            <w:u w:val="single"/>
          </w:rPr>
          <w:t>10.1002/anie.202523116</w:t>
        </w:r>
      </w:hyperlink>
    </w:p>
    <w:p>
      <w:pPr>
        <w:spacing w:before="0" w:after="120"/>
      </w:pPr>
      <w:r>
        <w:rPr>
          <w:b/>
        </w:rPr>
        <w:t xml:space="preserve">Notes: </w:t>
      </w:r>
      <w:r>
        <w:t>abstract_source=crossref</w:t>
      </w:r>
    </w:p>
    <w:p>
      <w:pPr>
        <w:spacing w:before="0" w:after="80" w:lineRule="auto" w:line="276"/>
      </w:pPr>
      <w:r>
        <w:rPr>
          <w:b/>
        </w:rPr>
        <w:t xml:space="preserve">摘要（ZH）: </w:t>
      </w:r>
      <w:r>
        <w:t>摘要 烷醇半氢化成极醇是对精细化学合成的一种至关重要的工业反应,但开发高度选择性的、非不可转让的金属催化剂仍然是一项紧迫的挑战。 我们在此报告,在具体暴露的 {110} 方块上,一种Co 3 O 4 Namrod(Co 3 O 4 QNR)催化剂,含有大量固态破碎的刘易斯双胞胎(SFLPs),在这种环境中,不饱和的C2+作为刘易斯酸场,而表层氢氧基点则作为Lewisewis基点。Co 3 O 4</w:t>
      </w:r>
    </w:p>
    <w:p>
      <w:pPr>
        <w:spacing w:before="0" w:after="200" w:lineRule="auto" w:line="276"/>
      </w:pPr>
      <w:r>
        <w:rPr>
          <w:b/>
        </w:rPr>
        <w:t xml:space="preserve">Abstract (EN): </w:t>
      </w:r>
      <w:r>
        <w:t>The semi‐hydrogenation of alkynols to enols represents a vital industrial reaction for fine chemical synthesis, yet developing highly selective non‐noble metal catalysts remains an urgent challenge. Herein, we report a Co</w:t>
      </w:r>
      <w:r>
        <w:rPr>
          <w:vertAlign w:val="subscript"/>
        </w:rPr>
        <w:t>3</w:t>
      </w:r>
      <w:r>
        <w:t>O</w:t>
      </w:r>
      <w:r>
        <w:rPr>
          <w:vertAlign w:val="subscript"/>
        </w:rPr>
        <w:t>4</w:t>
      </w:r>
      <w:r>
        <w:t>nanorod (Co</w:t>
      </w:r>
      <w:r>
        <w:rPr>
          <w:vertAlign w:val="subscript"/>
        </w:rPr>
        <w:t>3</w:t>
      </w:r>
      <w:r>
        <w:t>O</w:t>
      </w:r>
      <w:r>
        <w:rPr>
          <w:vertAlign w:val="subscript"/>
        </w:rPr>
        <w:t>4</w:t>
      </w:r>
      <w:r>
        <w:t>‐NR) catalyst with abundant solid‐frustrated Lewis pairs (SFLPs) on specifically exposed {110} facets, where coordinatively unsaturated Co</w:t>
      </w:r>
      <w:r>
        <w:t xml:space="preserve"> </w:t>
      </w:r>
      <w:r>
        <w:t>2+</w:t>
      </w:r>
      <w:r>
        <w:t xml:space="preserve"> </w:t>
      </w:r>
      <w:r>
        <w:t>acts as Lewis acid site whilst the surface hydroxyl group serves as Lewis base site. The Co</w:t>
      </w:r>
      <w:r>
        <w:rPr>
          <w:vertAlign w:val="subscript"/>
        </w:rPr>
        <w:t>3</w:t>
      </w:r>
      <w:r>
        <w:t>O</w:t>
      </w:r>
      <w:r>
        <w:rPr>
          <w:vertAlign w:val="subscript"/>
        </w:rPr>
        <w:t>4</w:t>
      </w:r>
      <w:r>
        <w:t>‐NR catalyst exhibits exceptional performance toward semi‐hydrogenation from 3‐butyn‐1‐ol to 3‐buten‐1‐ol with a product yield of 88.2%, which is preponderate to other non‐noble metal catalysts. Poisoning experiments, in situ DRIFTS and theoretical calculations verify that the SFLPs sites serve as intrinsic active centers for H</w:t>
      </w:r>
      <w:r>
        <w:rPr>
          <w:vertAlign w:val="subscript"/>
        </w:rPr>
        <w:t>2</w:t>
      </w:r>
      <w:r>
        <w:t>activation/dissociation and substrate adsorption. The hydrogenation of key intermediate (C</w:t>
      </w:r>
      <w:r>
        <w:rPr>
          <w:vertAlign w:val="subscript"/>
        </w:rPr>
        <w:t>4</w:t>
      </w:r>
      <w:r>
        <w:t>H</w:t>
      </w:r>
      <w:r>
        <w:rPr>
          <w:vertAlign w:val="subscript"/>
        </w:rPr>
        <w:t>7</w:t>
      </w:r>
      <w:r>
        <w:t>O*) is identified as the rate‐determining step, where H</w:t>
      </w:r>
      <w:r>
        <w:t xml:space="preserve"> </w:t>
      </w:r>
      <w:r>
        <w:t>δ+</w:t>
      </w:r>
      <w:r>
        <w:t xml:space="preserve"> </w:t>
      </w:r>
      <w:r>
        <w:t>species strongly tethered to surface −OH group suppresses over‐hydrogenation and thereby enhances the semi‐hydrogenation selectivity. Projected density of states (PDOS) analysis reveals an accelerated hydrogenation kinetics via</w:t>
      </w:r>
      <w:r>
        <w:t xml:space="preserve"> </w:t>
      </w:r>
      <w:r>
        <w:t>d</w:t>
      </w:r>
      <w:r>
        <w:t xml:space="preserve"> </w:t>
      </w:r>
      <w:r>
        <w:t>–</w:t>
      </w:r>
      <w:r>
        <w:t xml:space="preserve"> </w:t>
      </w:r>
      <w:r>
        <w:t>p</w:t>
      </w:r>
      <w:r>
        <w:t xml:space="preserve"> </w:t>
      </w:r>
      <w:r>
        <w:t>orbital hybridization between Co 3</w:t>
      </w:r>
      <w:r>
        <w:t xml:space="preserve"> </w:t>
      </w:r>
      <w:r>
        <w:t>d</w:t>
      </w:r>
      <w:r>
        <w:t xml:space="preserve"> </w:t>
      </w:r>
      <w:r>
        <w:t>orbitals and C 2</w:t>
      </w:r>
      <w:r>
        <w:t xml:space="preserve"> </w:t>
      </w:r>
      <w:r>
        <w:t>p</w:t>
      </w:r>
      <w:r>
        <w:t xml:space="preserve"> </w:t>
      </w:r>
      <w:r>
        <w:t>orbitals in C</w:t>
      </w:r>
      <w:r>
        <w:rPr>
          <w:vertAlign w:val="subscript"/>
        </w:rPr>
        <w:t>4</w:t>
      </w:r>
      <w:r>
        <w:t>H</w:t>
      </w:r>
      <w:r>
        <w:rPr>
          <w:vertAlign w:val="subscript"/>
        </w:rPr>
        <w:t>7</w:t>
      </w:r>
      <w:r>
        <w:t>O*. This work advances the design of efficient and cost‐effective SFLPs‐based heterogeneous catalysts, which shows potential application in the synthesis of fine chemicals.</w:t>
      </w:r>
    </w:p>
    <w:p>
      <w:pPr>
        <w:spacing w:before="120" w:after="120"/>
      </w:pPr>
      <w:r>
        <w:rPr>
          <w:sz w:val="18"/>
        </w:rPr>
        <w:t>——————————————————————————————————————————————————————————————————————</w:t>
      </w:r>
    </w:p>
    <w:p>
      <w:pPr>
        <w:spacing w:before="160" w:after="40" w:line="240" w:lineRule="auto"/>
      </w:pPr>
      <w:r>
        <w:rPr>
          <w:b/>
        </w:rPr>
        <w:t xml:space="preserve">[300] </w:t>
      </w:r>
      <w:hyperlink r:id="rId446">
        <w:r>
          <w:rPr>
            <w:color w:val="1155CC"/>
            <w:u w:val="single"/>
          </w:rPr>
          <w:t>电力和灯光对高效铁解聚苯乙烯废物回收利用的协同效应</w:t>
        </w:r>
      </w:hyperlink>
    </w:p>
    <w:p>
      <w:pPr>
        <w:spacing w:before="0" w:after="80"/>
      </w:pPr>
      <w:r>
        <w:rPr>
          <w:i/>
          <w:sz w:val="20"/>
        </w:rPr>
        <w:t>EN: Synergistic Effects of Electricity and Light for Efficient Iron‐Catalyzed Recycling of Polystyrene Waste</w:t>
      </w:r>
    </w:p>
    <w:p>
      <w:pPr>
        <w:spacing w:before="0" w:after="120"/>
      </w:pPr>
      <w:r>
        <w:rPr>
          <w:b/>
        </w:rPr>
        <w:t xml:space="preserve">Source: </w:t>
      </w:r>
      <w:r>
        <w:t>Wiley: Angewandte Chemie International Edition: Table of Contents</w:t>
      </w:r>
      <w:r>
        <w:t xml:space="preserve">    </w:t>
      </w:r>
      <w:r>
        <w:rPr>
          <w:b/>
        </w:rPr>
        <w:t xml:space="preserve">Pub date: </w:t>
      </w:r>
      <w:r>
        <w:t>2026-01-07 10:13:14+00:00</w:t>
      </w:r>
      <w:r>
        <w:t xml:space="preserve">    </w:t>
      </w:r>
      <w:r>
        <w:rPr>
          <w:b/>
        </w:rPr>
        <w:t xml:space="preserve">DOI: </w:t>
      </w:r>
      <w:hyperlink r:id="rId447">
        <w:r>
          <w:rPr>
            <w:color w:val="1155CC"/>
            <w:u w:val="single"/>
          </w:rPr>
          <w:t>10.1002/anie.202519237</w:t>
        </w:r>
      </w:hyperlink>
    </w:p>
    <w:p>
      <w:pPr>
        <w:spacing w:before="0" w:after="120"/>
      </w:pPr>
      <w:r>
        <w:rPr>
          <w:b/>
        </w:rPr>
        <w:t xml:space="preserve">Notes: </w:t>
      </w:r>
      <w:r>
        <w:t>abstract_source=crossref</w:t>
      </w:r>
    </w:p>
    <w:p>
      <w:pPr>
        <w:spacing w:before="0" w:after="80" w:lineRule="auto" w:line="276"/>
      </w:pPr>
      <w:r>
        <w:rPr>
          <w:b/>
        </w:rPr>
        <w:t xml:space="preserve">摘要（ZH）: </w:t>
      </w:r>
      <w:r>
        <w:t>摘要摘要:由于塑料在日常生活的方方面面的密集使用,塑料正在环境中积累,这代表了重大的社会挑战。塑料废物在海洋中的积累预计将在2050年达到400亿吨。因此,高效的化学塑料废物回收方法对未来循环经济的需求仍然很高。在这里,我们报告了一项强大和用户友好的战略,将廉价和土生化的铁催化、轻辐照和电力结合起来,将聚苯乙烯和含有苯乙烯的共聚物循环利用到具有附加值的苯乙烯产品中,其产量高达73%。在轻辐照下使用铁电解的这一方法的强力和用户友好性得到了进一步证明。</w:t>
      </w:r>
    </w:p>
    <w:p>
      <w:pPr>
        <w:spacing w:before="0" w:after="200" w:lineRule="auto" w:line="276"/>
      </w:pPr>
      <w:r>
        <w:rPr>
          <w:b/>
        </w:rPr>
        <w:t xml:space="preserve">Abstract (EN): </w:t>
      </w:r>
      <w:r>
        <w:t>Due to their intensive use in every aspect of our everyday life, plastics are accumulating in the environment, hence representing a major societal challenge. The accumulation of plastic waste in the oceans is expected to reach 40 billion tons by 2050. Thus, efficient methods for chemical plastic waste recycling continue to be in high demand toward a future circular economy. Herein, we report a powerful and user‐friendly strategy merging inexpensive and earth‐abundant iron catalysis, light irradiation and electricity to recycle polystyrene and styrene‐containing copolymers into value‐added benzoyl products with up to 73% yield. The robustness of this approach using iron‐electrocatalysis under light irradiation was further demonstrated using postconsumer waste, also viable on multigram scale. Cathodic formation of molecular hydrogen through the hydrogen evolution reaction (HER) offers an outstanding potential for a decentralized green hydrogen economy through a societally useful anodic oxidative transformation.</w:t>
      </w:r>
    </w:p>
    <w:p>
      <w:pPr>
        <w:spacing w:before="120" w:after="120"/>
      </w:pPr>
      <w:r>
        <w:rPr>
          <w:sz w:val="18"/>
        </w:rPr>
        <w:t>——————————————————————————————————————————————————————————————————————</w:t>
      </w:r>
    </w:p>
    <w:p>
      <w:pPr>
        <w:spacing w:before="160" w:after="40" w:line="240" w:lineRule="auto"/>
      </w:pPr>
      <w:r>
        <w:rPr>
          <w:b/>
        </w:rPr>
        <w:t xml:space="preserve">[301] </w:t>
      </w:r>
      <w:hyperlink r:id="rId448">
        <w:r>
          <w:rPr>
            <w:color w:val="1155CC"/>
            <w:u w:val="single"/>
          </w:rPr>
          <w:t>CaCd2P2: 在光电化学水氧化下可见的光散光吸收Zintl磷化磷化物稳定</w:t>
        </w:r>
      </w:hyperlink>
    </w:p>
    <w:p>
      <w:pPr>
        <w:spacing w:before="0" w:after="80"/>
      </w:pPr>
      <w:r>
        <w:rPr>
          <w:i/>
          <w:sz w:val="20"/>
        </w:rPr>
        <w:t>EN: CaCd2P2: A Visible‐Light Absorbing Zintl Phosphide Stable Under Photoelectrochemical Water Oxidation</w:t>
      </w:r>
    </w:p>
    <w:p>
      <w:pPr>
        <w:spacing w:before="0" w:after="120"/>
      </w:pPr>
      <w:r>
        <w:rPr>
          <w:b/>
        </w:rPr>
        <w:t xml:space="preserve">Source: </w:t>
      </w:r>
      <w:r>
        <w:t>Wiley: Advanced Energy Materials: Table of Contents</w:t>
      </w:r>
      <w:r>
        <w:t xml:space="preserve">    </w:t>
      </w:r>
      <w:r>
        <w:rPr>
          <w:b/>
        </w:rPr>
        <w:t xml:space="preserve">Pub date: </w:t>
      </w:r>
      <w:r>
        <w:t>2026-01-07 10:13:54+00:00</w:t>
      </w:r>
      <w:r>
        <w:t xml:space="preserve">    </w:t>
      </w:r>
      <w:r>
        <w:rPr>
          <w:b/>
        </w:rPr>
        <w:t xml:space="preserve">DOI: </w:t>
      </w:r>
      <w:hyperlink r:id="rId449">
        <w:r>
          <w:rPr>
            <w:color w:val="1155CC"/>
            <w:u w:val="single"/>
          </w:rPr>
          <w:t>10.1002/aenm.202505089</w:t>
        </w:r>
      </w:hyperlink>
    </w:p>
    <w:p>
      <w:pPr>
        <w:spacing w:before="0" w:after="120"/>
      </w:pPr>
      <w:r>
        <w:rPr>
          <w:b/>
        </w:rPr>
        <w:t xml:space="preserve">Notes: </w:t>
      </w:r>
      <w:r>
        <w:t>abstract_source=crossref</w:t>
      </w:r>
    </w:p>
    <w:p>
      <w:pPr>
        <w:spacing w:before="0" w:after="80" w:lineRule="auto" w:line="276"/>
      </w:pPr>
      <w:r>
        <w:rPr>
          <w:b/>
        </w:rPr>
        <w:t xml:space="preserve">摘要（ZH）: </w:t>
      </w:r>
      <w:r>
        <w:t>对太阳能燃料来说,一个关键的瓶颈是缺乏稳定且强力吸收的供氧进化反应的光电化材料(OER),现代方法通常在稳定但吸收力弱的材料(如宽带氧化物)之间进行交换,或大量吸收依赖封装稳定且催化力弱的材料(如IIIV半导体组)之间进行交换,例如,半导体的IIIV半导体组,如FeP 2等过渡性金属磷化物等材料,据知在OER氧化环境中进行有益的原地表变异,尽管稳定性仍然是一个主要障碍。我们在此报告CaCd 2 P。</w:t>
      </w:r>
    </w:p>
    <w:p>
      <w:pPr>
        <w:spacing w:before="0" w:after="200" w:lineRule="auto" w:line="276"/>
      </w:pPr>
      <w:r>
        <w:rPr>
          <w:b/>
        </w:rPr>
        <w:t xml:space="preserve">Abstract (EN): </w:t>
      </w:r>
      <w:r>
        <w:t>A key bottleneck to solar fuels is the absence of stable and strongly absorbing photoelectrode materials for the oxygen evolution reaction (OER). Modern approaches generally trade off between stable but weakly absorbing materials, such as wide bandgap oxides, or strongly absorbing materials that rely on encapsulation for stability and are weakly catalytic, such as the III‐V family of semiconductors. Of interest are materials like transition metal phosphides, such as FeP</w:t>
      </w:r>
      <w:r>
        <w:rPr>
          <w:vertAlign w:val="subscript"/>
        </w:rPr>
        <w:t>2</w:t>
      </w:r>
      <w:r>
        <w:t>, that are known to undergo beneficial in situ surface transformations in the oxidative environment of OER, though stability has remained a primary hurdle. Here, we report on CaCd</w:t>
      </w:r>
      <w:r>
        <w:rPr>
          <w:vertAlign w:val="subscript"/>
        </w:rPr>
        <w:t>2</w:t>
      </w:r>
      <w:r>
        <w:t>P</w:t>
      </w:r>
      <w:r>
        <w:rPr>
          <w:vertAlign w:val="subscript"/>
        </w:rPr>
        <w:t>2</w:t>
      </w:r>
      <w:r>
        <w:t>, a Zintl phase visible‐light absorber with favorable 1.6 eV bandgap, that we identified using high‐throughput computational screening. Using a combination of photoelectrochemical measurements, microscopy, and spectroscopy, we show that CaCd</w:t>
      </w:r>
      <w:r>
        <w:rPr>
          <w:vertAlign w:val="subscript"/>
        </w:rPr>
        <w:t>2</w:t>
      </w:r>
      <w:r>
        <w:t>P</w:t>
      </w:r>
      <w:r>
        <w:rPr>
          <w:vertAlign w:val="subscript"/>
        </w:rPr>
        <w:t>2</w:t>
      </w:r>
      <w:r>
        <w:t>undergoes a light‐stabilized surface transformation that renders it stable under alkaline OER conditions. We also show that the well known OER catalyst CoPi can act as a stable co‐catalyst in synergy with the modified in situ CaCd</w:t>
      </w:r>
      <w:r>
        <w:rPr>
          <w:vertAlign w:val="subscript"/>
        </w:rPr>
        <w:t>2</w:t>
      </w:r>
      <w:r>
        <w:t>P</w:t>
      </w:r>
      <w:r>
        <w:rPr>
          <w:vertAlign w:val="subscript"/>
        </w:rPr>
        <w:t>2</w:t>
      </w:r>
      <w:r>
        <w:t>surface. The light‐induced stabilizing transformation that CaCd</w:t>
      </w:r>
      <w:r>
        <w:rPr>
          <w:vertAlign w:val="subscript"/>
        </w:rPr>
        <w:t>2</w:t>
      </w:r>
      <w:r>
        <w:t>P</w:t>
      </w:r>
      <w:r>
        <w:rPr>
          <w:vertAlign w:val="subscript"/>
        </w:rPr>
        <w:t>2</w:t>
      </w:r>
      <w:r>
        <w:t>undergoes is in sharp contrast to the photocorrosion commonly observed in visible light‐absorbing photoelectrodes. The broader AM</w:t>
      </w:r>
      <w:r>
        <w:rPr>
          <w:vertAlign w:val="subscript"/>
        </w:rPr>
        <w:t>2</w:t>
      </w:r>
      <w:r>
        <w:t>P</w:t>
      </w:r>
      <w:r>
        <w:rPr>
          <w:vertAlign w:val="subscript"/>
        </w:rPr>
        <w:t>2</w:t>
      </w:r>
      <w:r>
        <w:t>family of Zintl phases offers a significant opportunity to explore stabilizing interface chemistry and re‐design the manner in which low‐bandgap semiconductors are used for photoelectrochemical energy conversion.</w:t>
      </w:r>
    </w:p>
    <w:p>
      <w:pPr>
        <w:spacing w:before="120" w:after="120"/>
      </w:pPr>
      <w:r>
        <w:rPr>
          <w:sz w:val="18"/>
        </w:rPr>
        <w:t>——————————————————————————————————————————————————————————————————————</w:t>
      </w:r>
    </w:p>
    <w:p>
      <w:pPr>
        <w:spacing w:before="160" w:after="40" w:line="240" w:lineRule="auto"/>
      </w:pPr>
      <w:r>
        <w:rPr>
          <w:b/>
        </w:rPr>
        <w:t xml:space="preserve">[302] </w:t>
      </w:r>
      <w:hyperlink r:id="rId450">
        <w:r>
          <w:rPr>
            <w:color w:val="1155CC"/>
            <w:u w:val="single"/>
          </w:rPr>
          <w:t>核精度-S和Ni 上空的电益-Ni站点@MoS2 Nanoreactors 能够高高效水合锌辅助氢生产</w:t>
        </w:r>
      </w:hyperlink>
    </w:p>
    <w:p>
      <w:pPr>
        <w:spacing w:before="0" w:after="80"/>
      </w:pPr>
      <w:r>
        <w:rPr>
          <w:i/>
          <w:sz w:val="20"/>
        </w:rPr>
        <w:t>EN: Nucleophilicity‐S and Electrophilicity‐Ni Sites Over Ni@MoS2 Nanoreactors Enable Highly Efficient Hydrazine‐Assisted Hydrogen Production</w:t>
      </w:r>
    </w:p>
    <w:p>
      <w:pPr>
        <w:spacing w:before="0" w:after="120"/>
      </w:pPr>
      <w:r>
        <w:rPr>
          <w:b/>
        </w:rPr>
        <w:t xml:space="preserve">Source: </w:t>
      </w:r>
      <w:r>
        <w:t>Wiley: Advanced Energy Materials: Table of Contents</w:t>
      </w:r>
      <w:r>
        <w:t xml:space="preserve">    </w:t>
      </w:r>
      <w:r>
        <w:rPr>
          <w:b/>
        </w:rPr>
        <w:t xml:space="preserve">Pub date: </w:t>
      </w:r>
      <w:r>
        <w:t>2026-01-07 10:14:23+00:00</w:t>
      </w:r>
      <w:r>
        <w:t xml:space="preserve">    </w:t>
      </w:r>
      <w:r>
        <w:rPr>
          <w:b/>
        </w:rPr>
        <w:t xml:space="preserve">DOI: </w:t>
      </w:r>
      <w:hyperlink r:id="rId451">
        <w:r>
          <w:rPr>
            <w:color w:val="1155CC"/>
            <w:u w:val="single"/>
          </w:rPr>
          <w:t>10.1002/aenm.202506017</w:t>
        </w:r>
      </w:hyperlink>
    </w:p>
    <w:p>
      <w:pPr>
        <w:spacing w:before="0" w:after="120"/>
      </w:pPr>
      <w:r>
        <w:rPr>
          <w:b/>
        </w:rPr>
        <w:t xml:space="preserve">Notes: </w:t>
      </w:r>
      <w:r>
        <w:t>abstract_source=crossref</w:t>
      </w:r>
    </w:p>
    <w:p>
      <w:pPr>
        <w:spacing w:before="0" w:after="80" w:lineRule="auto" w:line="276"/>
      </w:pPr>
      <w:r>
        <w:rPr>
          <w:b/>
        </w:rPr>
        <w:t xml:space="preserve">摘要（ZH）: </w:t>
      </w:r>
      <w:r>
        <w:t>Hydizine 辅助水电解法为氢生产提供了很有希望的战略,它大大减少了能源消耗,同时能够对含氢氨的有害废水进行补救,但是,由于氢氨氧化反应(HzOR)和氢进化反应(HER)的不兼容反应机制,高效双功能电催化剂的发展仍然具有挑战性。</w:t>
      </w:r>
    </w:p>
    <w:p>
      <w:pPr>
        <w:spacing w:before="0" w:after="200" w:lineRule="auto" w:line="276"/>
      </w:pPr>
      <w:r>
        <w:rPr>
          <w:b/>
        </w:rPr>
        <w:t xml:space="preserve">Abstract (EN): </w:t>
      </w:r>
      <w:r>
        <w:t>Hydrazine‐assisted water electrolysis offers a promising strategy for hydrogen production by significantly reducing the energy consumption while simultaneously enabling the remediation of hazardous hydrazine‐containing wastewater. However, the development of efficient bifunctional electrocatalysts remains challenging due to the incompatible reaction mechanisms of the hydrazine oxidation reaction (HzOR) and the hydrogen evolution reaction (HER). Herein, we design a hollow MoS</w:t>
      </w:r>
      <w:r>
        <w:rPr>
          <w:vertAlign w:val="subscript"/>
        </w:rPr>
        <w:t>2</w:t>
      </w:r>
      <w:r>
        <w:t>nanoreactor decorated with Ni nanoparticles (Ni</w:t>
      </w:r>
      <w:r>
        <w:t xml:space="preserve"> </w:t>
      </w:r>
      <w:r>
        <w:t>x</w:t>
      </w:r>
      <w:r>
        <w:t xml:space="preserve"> </w:t>
      </w:r>
      <w:r>
        <w:t>@MoS</w:t>
      </w:r>
      <w:r>
        <w:rPr>
          <w:vertAlign w:val="subscript"/>
        </w:rPr>
        <w:t>2</w:t>
      </w:r>
      <w:r>
        <w:t>) featuring strong metal‐support interaction (SMSI). The SMSI‐induced interfacial electron redistribution creates nucleophilic S sites and electrophilic Ni sites, which synergistically lower H</w:t>
      </w:r>
      <w:r>
        <w:t xml:space="preserve"> </w:t>
      </w:r>
      <w:r>
        <w:t>*</w:t>
      </w:r>
      <w:r>
        <w:t xml:space="preserve"> </w:t>
      </w:r>
      <w:r>
        <w:t>adsorption energy barrier in HER and favor the N─N bond breakage in HzOR. The optimized Ni</w:t>
      </w:r>
      <w:r>
        <w:rPr>
          <w:vertAlign w:val="subscript"/>
        </w:rPr>
        <w:t>2</w:t>
      </w:r>
      <w:r>
        <w:t>@MoS</w:t>
      </w:r>
      <w:r>
        <w:rPr>
          <w:vertAlign w:val="subscript"/>
        </w:rPr>
        <w:t>2</w:t>
      </w:r>
      <w:r>
        <w:t>nanoreactor demonstrates exceptional bifunctional performance, achieving a current density of 100 mA cm</w:t>
      </w:r>
      <w:r>
        <w:t xml:space="preserve"> </w:t>
      </w:r>
      <w:r>
        <w:t>–</w:t>
      </w:r>
      <w:r>
        <w:rPr>
          <w:vertAlign w:val="subscript"/>
        </w:rPr>
        <w:t>2</w:t>
      </w:r>
      <w:r>
        <w:t>at only 0.193 V in hybrid HzOR‐assisted water electrolysis, outperforming the most reported bifunctional catalysts. Moreover, the electrolyzer exhibits excellent long‐term operational stability, maintaining consistent performance over 200 h at 200 mA cm</w:t>
      </w:r>
      <w:r>
        <w:t xml:space="preserve"> </w:t>
      </w:r>
      <w:r>
        <w:t>−2</w:t>
      </w:r>
      <w:r>
        <w:t xml:space="preserve"> </w:t>
      </w:r>
      <w:r>
        <w:t>. This work proposes a plausible N─N bond breakage pathway in HzOR enabled by SMSI strategy, offering new insights into the water electrolysis for green hydrogen production.</w:t>
      </w:r>
    </w:p>
    <w:p>
      <w:pPr>
        <w:spacing w:before="120" w:after="120"/>
      </w:pPr>
      <w:r>
        <w:rPr>
          <w:sz w:val="18"/>
        </w:rPr>
        <w:t>——————————————————————————————————————————————————————————————————————</w:t>
      </w:r>
    </w:p>
    <w:p>
      <w:pPr>
        <w:spacing w:before="160" w:after="40" w:line="240" w:lineRule="auto"/>
      </w:pPr>
      <w:r>
        <w:rPr>
          <w:b/>
        </w:rPr>
        <w:t xml:space="preserve">[303] </w:t>
      </w:r>
      <w:hyperlink r:id="rId452">
        <w:r>
          <w:rPr>
            <w:color w:val="1155CC"/>
            <w:u w:val="single"/>
          </w:rPr>
          <w:t>“Sheet Inhibitor to Anchor Protein Protein Protein Protein 互动界面设计”的侧侧侧Chain工程指南</w:t>
        </w:r>
      </w:hyperlink>
    </w:p>
    <w:p>
      <w:pPr>
        <w:spacing w:before="0" w:after="80"/>
      </w:pPr>
      <w:r>
        <w:rPr>
          <w:i/>
          <w:sz w:val="20"/>
        </w:rPr>
        <w:t>EN: Side‐Chain Engineering Guides the Design of β‐Sheet Inhibitor to Anchor Protein‐Protein Interaction Interfaces</w:t>
      </w:r>
    </w:p>
    <w:p>
      <w:pPr>
        <w:spacing w:before="0" w:after="120"/>
      </w:pPr>
      <w:r>
        <w:rPr>
          <w:b/>
        </w:rPr>
        <w:t xml:space="preserve">Source: </w:t>
      </w:r>
      <w:r>
        <w:t>Wiley: Angewandte Chemie International Edition: Table of Contents</w:t>
      </w:r>
      <w:r>
        <w:t xml:space="preserve">    </w:t>
      </w:r>
      <w:r>
        <w:rPr>
          <w:b/>
        </w:rPr>
        <w:t xml:space="preserve">Pub date: </w:t>
      </w:r>
      <w:r>
        <w:t>2026-01-07 10:20:35+00:00</w:t>
      </w:r>
      <w:r>
        <w:t xml:space="preserve">    </w:t>
      </w:r>
      <w:r>
        <w:rPr>
          <w:b/>
        </w:rPr>
        <w:t xml:space="preserve">DOI: </w:t>
      </w:r>
      <w:hyperlink r:id="rId453">
        <w:r>
          <w:rPr>
            <w:color w:val="1155CC"/>
            <w:u w:val="single"/>
          </w:rPr>
          <w:t>10.1002/anie.202521473</w:t>
        </w:r>
      </w:hyperlink>
    </w:p>
    <w:p>
      <w:pPr>
        <w:spacing w:before="0" w:after="120"/>
      </w:pPr>
      <w:r>
        <w:rPr>
          <w:b/>
        </w:rPr>
        <w:t xml:space="preserve">Notes: </w:t>
      </w:r>
      <w:r>
        <w:t>abstract_source=crossref</w:t>
      </w:r>
    </w:p>
    <w:p>
      <w:pPr>
        <w:spacing w:before="0" w:after="80" w:lineRule="auto" w:line="276"/>
      </w:pPr>
      <w:r>
        <w:rPr>
          <w:b/>
        </w:rPr>
        <w:t xml:space="preserve">摘要（ZH）: </w:t>
      </w:r>
      <w:r>
        <w:t>在药用化学研究中,仍然存在着一项挑战。直接将表元素与PPI接口分离,作为抑制剂是一种可行的战略。虽然有用,但PPI产生的浸泡物通常会失去其自然的二级结构,导致亲和性低。如何建立稳定的表抑制剂仍然难以实现,主要原因是缺乏可靠的战略来指导表脊椎的设计。在本研究中,我们提议了氨酸侧链工程战略(ASE)来设计表抑制剂。具体地说,这一战略以自然蛋白表所观察到的氨酸配对原则为基础,并进一步整合了该原则。</w:t>
      </w:r>
    </w:p>
    <w:p>
      <w:pPr>
        <w:spacing w:before="0" w:after="200" w:lineRule="auto" w:line="276"/>
      </w:pPr>
      <w:r>
        <w:rPr>
          <w:b/>
        </w:rPr>
        <w:t xml:space="preserve">Abstract (EN): </w:t>
      </w:r>
      <w:r>
        <w:t>Customizing inhibitors for β‐sheet mediated protein‐protein interactions (PPIs) remains a challenge in medicinal chemistry research. Directly separating β‐sheet elements from the PPI interface as inhibitors represents a feasible strategy. Although useful, peptides derived from PPIs typically lose their natural secondary structure, resulting in low affinity. How to construct stable β‐sheet inhibitors remains elusive, mainly due to the lack of reliable strategies to guide the design of β‐sheet backbones. In this study, we propose an amino acid side‐chain engineering strategy (AASE) to design of β‐sheet inhibitors. Specifically, this strategy was based on the amino acid pairing (AAP) principle observed in the β‐sheets of natural proteins, and further integrates the complementarity of various non‐covalent interactions between β‐strand side chains. When combined with high‐throughput peptide screening technology, above strategy can generate structurally defined β‐sheet inhibitors. We validated the physicochemical properties of the β‐sheet structures obtained under the aforementioned strategy and prioritized the peptide EH. The β‐sheet inhibitor formed by EH exhibits potent biological functions, enabling high‐resolution imaging of tumors in the NIR window and guiding tumor resection. In addition, EH can inhibit tumor growth as a PD‐1/PD‐L1 checkpoint blockade. This strategy provides valuable guidance for the design of PPI inhibitors with β‐sheet structures.</w:t>
      </w:r>
    </w:p>
    <w:p>
      <w:pPr>
        <w:spacing w:before="120" w:after="120"/>
      </w:pPr>
      <w:r>
        <w:rPr>
          <w:sz w:val="18"/>
        </w:rPr>
        <w:t>——————————————————————————————————————————————————————————————————————</w:t>
      </w:r>
    </w:p>
    <w:p>
      <w:pPr>
        <w:spacing w:before="160" w:after="40" w:line="240" w:lineRule="auto"/>
      </w:pPr>
      <w:r>
        <w:rPr>
          <w:b/>
        </w:rPr>
        <w:t xml:space="preserve">[304] </w:t>
      </w:r>
      <w:hyperlink r:id="rId454">
        <w:r>
          <w:rPr>
            <w:color w:val="1155CC"/>
            <w:u w:val="single"/>
          </w:rPr>
          <w:t>高能量密度锂硫硫粉槽</w:t>
        </w:r>
      </w:hyperlink>
    </w:p>
    <w:p>
      <w:pPr>
        <w:spacing w:before="0" w:after="80"/>
      </w:pPr>
      <w:r>
        <w:rPr>
          <w:i/>
          <w:sz w:val="20"/>
        </w:rPr>
        <w:t>EN: A High Energy Density Lithium‐Sulfur Pouch Cell Via Lignin‐Based Ionic Conductive Binder With Oxygen‐Rich Coordinating Sites</w:t>
      </w:r>
    </w:p>
    <w:p>
      <w:pPr>
        <w:spacing w:before="0" w:after="120"/>
      </w:pPr>
      <w:r>
        <w:rPr>
          <w:b/>
        </w:rPr>
        <w:t xml:space="preserve">Source: </w:t>
      </w:r>
      <w:r>
        <w:t>Wiley: Advanced Materials: Table of Contents</w:t>
      </w:r>
      <w:r>
        <w:t xml:space="preserve">    </w:t>
      </w:r>
      <w:r>
        <w:rPr>
          <w:b/>
        </w:rPr>
        <w:t xml:space="preserve">Pub date: </w:t>
      </w:r>
      <w:r>
        <w:t>2026-01-07 10:21:02+00:00</w:t>
      </w:r>
      <w:r>
        <w:t xml:space="preserve">    </w:t>
      </w:r>
      <w:r>
        <w:rPr>
          <w:b/>
        </w:rPr>
        <w:t xml:space="preserve">DOI: </w:t>
      </w:r>
      <w:hyperlink r:id="rId455">
        <w:r>
          <w:rPr>
            <w:color w:val="1155CC"/>
            <w:u w:val="single"/>
          </w:rPr>
          <w:t>10.1002/adma.202522467</w:t>
        </w:r>
      </w:hyperlink>
    </w:p>
    <w:p>
      <w:pPr>
        <w:spacing w:before="0" w:after="120"/>
      </w:pPr>
      <w:r>
        <w:rPr>
          <w:b/>
        </w:rPr>
        <w:t xml:space="preserve">Notes: </w:t>
      </w:r>
      <w:r>
        <w:t>abstract_source=crossref</w:t>
      </w:r>
    </w:p>
    <w:p>
      <w:pPr>
        <w:spacing w:before="0" w:after="80" w:lineRule="auto" w:line="276"/>
      </w:pPr>
      <w:r>
        <w:rPr>
          <w:b/>
        </w:rPr>
        <w:t xml:space="preserve">摘要（ZH）: </w:t>
      </w:r>
      <w:r>
        <w:t>抽象生物基封存器在维持电极稳定性和抑制锂硫电池(Li-S)的穿梭效应方面有着显著的优势,然而,其内在绝缘和差散严重阻碍了Li+在电极中的迁移,导致反应动能反应缓慢和能量密度低。 这里,一系列基于离子的离子传导粘合器(DAL-AAA)通过混合物脱甲基合成,氨基酸在碱离子电池(AL)上粘合。 人们发现,酸性氨酸(如磷酸)更容易通过电磁反作用和消毒效应来调整空间相容。</w:t>
      </w:r>
    </w:p>
    <w:p>
      <w:pPr>
        <w:spacing w:before="0" w:after="200" w:lineRule="auto" w:line="276"/>
      </w:pPr>
      <w:r>
        <w:rPr>
          <w:b/>
        </w:rPr>
        <w:t xml:space="preserve">Abstract (EN): </w:t>
      </w:r>
      <w:r>
        <w:t>Bio‐based binders exhibit outstanding advantages in maintaining electrode stability and suppressing the shuttle effect in lithium‐sulfur (Li–S) battery. However, their inherent insulation and poor dispersion severely hinder Li</w:t>
      </w:r>
      <w:r>
        <w:t xml:space="preserve"> </w:t>
      </w:r>
      <w:r>
        <w:t>+</w:t>
      </w:r>
      <w:r>
        <w:t xml:space="preserve"> </w:t>
      </w:r>
      <w:r>
        <w:t>transport within electrode, resulting in slow S reaction kinetics and low energy density. Here, a series of lignin‐based ionic conductive binders (DAL‐AA) were synthesized by mussel‐mimicking demethylation and amino acids grafting modifications on alkali lignin (AL). It is found that acidic amino acids, e.g. phosphoserine, more easily restructure the spatial conformation via electrostatic repulsion and steric effect. It significantly eases the aggregation of lignin binder as well as bond active/conductive materials. Li</w:t>
      </w:r>
      <w:r>
        <w:t xml:space="preserve"> </w:t>
      </w:r>
      <w:r>
        <w:t>+</w:t>
      </w:r>
      <w:r>
        <w:t xml:space="preserve"> </w:t>
      </w:r>
      <w:r>
        <w:t>diffusion coefficient in corresponding electrode improves 40% and lithium polysulfide conversion effectively accelerates. The Li–S battery delivers an initial discharge capacity of 971 mAh·g</w:t>
      </w:r>
      <w:r>
        <w:t xml:space="preserve"> </w:t>
      </w:r>
      <w:r>
        <w:t>−</w:t>
      </w:r>
      <w:r>
        <w:rPr>
          <w:vertAlign w:val="subscript"/>
        </w:rPr>
        <w:t>1</w:t>
      </w:r>
      <w:r>
        <w:t>at a current density of 0.5 C and can stably run 500 cycles. Moreover, the high‐loading pouch cell with a capacity of 1.125 Ah achieves gravimetric and volumetric energy densities of 328 Wh·kg</w:t>
      </w:r>
      <w:r>
        <w:t xml:space="preserve"> </w:t>
      </w:r>
      <w:r>
        <w:t>−</w:t>
      </w:r>
      <w:r>
        <w:rPr>
          <w:vertAlign w:val="subscript"/>
        </w:rPr>
        <w:t>1</w:t>
      </w:r>
      <w:r>
        <w:t>and 517 Wh·L</w:t>
      </w:r>
      <w:r>
        <w:t xml:space="preserve"> </w:t>
      </w:r>
      <w:r>
        <w:t>−</w:t>
      </w:r>
      <w:r>
        <w:rPr>
          <w:vertAlign w:val="subscript"/>
        </w:rPr>
        <w:t>1</w:t>
      </w:r>
      <w:r>
        <w:t>respectively. This work provides guidance on designing high‐loading cathodes for advanced Li–S batteries.</w:t>
      </w:r>
    </w:p>
    <w:p>
      <w:pPr>
        <w:spacing w:before="120" w:after="120"/>
      </w:pPr>
      <w:r>
        <w:rPr>
          <w:sz w:val="18"/>
        </w:rPr>
        <w:t>——————————————————————————————————————————————————————————————————————</w:t>
      </w:r>
    </w:p>
    <w:p>
      <w:pPr>
        <w:spacing w:before="160" w:after="40" w:line="240" w:lineRule="auto"/>
      </w:pPr>
      <w:r>
        <w:rPr>
          <w:b/>
        </w:rPr>
        <w:t xml:space="preserve">[305] </w:t>
      </w:r>
      <w:hyperlink r:id="rId456">
        <w:r>
          <w:rPr>
            <w:color w:val="1155CC"/>
            <w:u w:val="single"/>
          </w:rPr>
          <w:t>生物电子系统自作出决定的材料和系统设计</w:t>
        </w:r>
      </w:hyperlink>
    </w:p>
    <w:p>
      <w:pPr>
        <w:spacing w:before="0" w:after="80"/>
      </w:pPr>
      <w:r>
        <w:rPr>
          <w:i/>
          <w:sz w:val="20"/>
        </w:rPr>
        <w:t>EN: Materials and System Design for Self‐Decision Bioelectronic Systems</w:t>
      </w:r>
    </w:p>
    <w:p>
      <w:pPr>
        <w:spacing w:before="0" w:after="120"/>
      </w:pPr>
      <w:r>
        <w:rPr>
          <w:b/>
        </w:rPr>
        <w:t xml:space="preserve">Source: </w:t>
      </w:r>
      <w:r>
        <w:t>Wiley: Advanced Materials: Table of Contents</w:t>
      </w:r>
      <w:r>
        <w:t xml:space="preserve">    </w:t>
      </w:r>
      <w:r>
        <w:rPr>
          <w:b/>
        </w:rPr>
        <w:t xml:space="preserve">Pub date: </w:t>
      </w:r>
      <w:r>
        <w:t>2026-01-07 10:21:50+00:00</w:t>
      </w:r>
      <w:r>
        <w:t xml:space="preserve">    </w:t>
      </w:r>
      <w:r>
        <w:rPr>
          <w:b/>
        </w:rPr>
        <w:t xml:space="preserve">DOI: </w:t>
      </w:r>
      <w:hyperlink r:id="rId457">
        <w:r>
          <w:rPr>
            <w:color w:val="1155CC"/>
            <w:u w:val="single"/>
          </w:rPr>
          <w:t>10.1002/adma.202521164</w:t>
        </w:r>
      </w:hyperlink>
    </w:p>
    <w:p>
      <w:pPr>
        <w:spacing w:before="0" w:after="120"/>
      </w:pPr>
      <w:r>
        <w:rPr>
          <w:b/>
        </w:rPr>
        <w:t xml:space="preserve">Notes: </w:t>
      </w:r>
      <w:r>
        <w:t>abstract_source=crossref</w:t>
      </w:r>
    </w:p>
    <w:p>
      <w:pPr>
        <w:spacing w:before="0" w:after="80" w:lineRule="auto" w:line="276"/>
      </w:pPr>
      <w:r>
        <w:rPr>
          <w:b/>
        </w:rPr>
        <w:t xml:space="preserve">摘要（ZH）: </w:t>
      </w:r>
      <w:r>
        <w:t>自我决定型生物电子系统标志着从常规的`感官'范式向自主的、封闭式的治疗方法的转变性飞跃,物质创新是关键的促进因素。 本审查认为,物质创新是这一转型的关键推动因素,无缝地结合高性能感测、智能计算和适应性干预。 我们阐述了从软导体、反应灵敏的聚合物和纳米合成物中制造的电化学、电物理、光学和机械传感器的最新进展如何产生可靠生理监测的关键数据流。 我们进一步探索了决策结构如何从临界逻辑到神经形态计算、转换等范围的决策结构如何产生关键数据流。</w:t>
      </w:r>
    </w:p>
    <w:p>
      <w:pPr>
        <w:spacing w:before="0" w:after="200" w:lineRule="auto" w:line="276"/>
      </w:pPr>
      <w:r>
        <w:rPr>
          <w:b/>
        </w:rPr>
        <w:t xml:space="preserve">Abstract (EN): </w:t>
      </w:r>
      <w:r>
        <w:t>Self‐decision bioelectronic systems mark a transformative leap from conventional ‘sense‐then‐treat’ paradigms toward autonomous, closed‐loop therapeutics, with material innovation serving as the pivotal enabler. This review posits that material innovation is the pivotal enabler of this transition, seamlessly integrating high‐performance sensing, intelligent computation, and adaptive intervention. We elucidate how recent advances in electrochemical, electrophysiological, optical, and mechanical sensors fabricated from soft conductors, responsive polymers, and nanocomposites yield critical data streams for reliable physiological monitoring. We further explore how decision‐making architectures, ranging from threshold‐based logic to neuromorphic computation, transform these data into real‐time therapeutic commands. Diverse material platforms are positioned as the central drivers of functional outputs, enabling precise electrical stimulation, on‐demand drug delivery, mechanical actuation, and optical modulation, as demonstrated in artificial pancreas systems, neurointerventions, and smart wound dressings. Finally, we discuss system‐level integration strategies and confront the enduring challenges, including biointegration, sustainable power, and regulatory translation, that must be overcome for clinical adoption. By threading the narrative through the lens of material innovation, this review not only surveys the current landscape but also provides a unique materials‐ and engineering‐oriented perspective, aiming to chart a roadmap for next‐generation autonomous and personalized medicine.</w:t>
      </w:r>
    </w:p>
    <w:p>
      <w:pPr>
        <w:spacing w:before="120" w:after="120"/>
      </w:pPr>
      <w:r>
        <w:rPr>
          <w:sz w:val="18"/>
        </w:rPr>
        <w:t>——————————————————————————————————————————————————————————————————————</w:t>
      </w:r>
    </w:p>
    <w:p>
      <w:pPr>
        <w:spacing w:before="160" w:after="40" w:line="240" w:lineRule="auto"/>
      </w:pPr>
      <w:r>
        <w:rPr>
          <w:b/>
        </w:rPr>
        <w:t xml:space="preserve">[306] </w:t>
      </w:r>
      <w:hyperlink r:id="rId458">
        <w:r>
          <w:rPr>
            <w:color w:val="1155CC"/>
            <w:u w:val="single"/>
          </w:rPr>
          <w:t>ZrO2支持的Pd2Ga1纳米粒子通过C1途径强化乙醇电氧化</w:t>
        </w:r>
      </w:hyperlink>
    </w:p>
    <w:p>
      <w:pPr>
        <w:spacing w:before="0" w:after="80"/>
      </w:pPr>
      <w:r>
        <w:rPr>
          <w:i/>
          <w:sz w:val="20"/>
        </w:rPr>
        <w:t>EN: Ga‐Induced Reversal of Pd Electronic States in ZrO2‐Supported Pd2Ga1 Nanoparticles for Enhanced Ethanol Electrooxidation via the C1 Pathway</w:t>
      </w:r>
    </w:p>
    <w:p>
      <w:pPr>
        <w:spacing w:before="0" w:after="120"/>
      </w:pPr>
      <w:r>
        <w:rPr>
          <w:b/>
        </w:rPr>
        <w:t xml:space="preserve">Source: </w:t>
      </w:r>
      <w:r>
        <w:t>Wiley: Angewandte Chemie International Edition: Table of Contents</w:t>
      </w:r>
      <w:r>
        <w:t xml:space="preserve">    </w:t>
      </w:r>
      <w:r>
        <w:rPr>
          <w:b/>
        </w:rPr>
        <w:t xml:space="preserve">Pub date: </w:t>
      </w:r>
      <w:r>
        <w:t>2026-01-07 10:27:25+00:00</w:t>
      </w:r>
      <w:r>
        <w:t xml:space="preserve">    </w:t>
      </w:r>
      <w:r>
        <w:rPr>
          <w:b/>
        </w:rPr>
        <w:t xml:space="preserve">DOI: </w:t>
      </w:r>
      <w:hyperlink r:id="rId459">
        <w:r>
          <w:rPr>
            <w:color w:val="1155CC"/>
            <w:u w:val="single"/>
          </w:rPr>
          <w:t>10.1002/anie.202523391</w:t>
        </w:r>
      </w:hyperlink>
    </w:p>
    <w:p>
      <w:pPr>
        <w:spacing w:before="0" w:after="120"/>
      </w:pPr>
      <w:r>
        <w:rPr>
          <w:b/>
        </w:rPr>
        <w:t xml:space="preserve">Notes: </w:t>
      </w:r>
      <w:r>
        <w:t>abstract_source=crossref</w:t>
      </w:r>
    </w:p>
    <w:p>
      <w:pPr>
        <w:spacing w:before="0" w:after="80" w:lineRule="auto" w:line="276"/>
      </w:pPr>
      <w:r>
        <w:rPr>
          <w:b/>
        </w:rPr>
        <w:t xml:space="preserve">摘要（ZH）: </w:t>
      </w:r>
      <w:r>
        <w:t>直接乙醇燃料电池(EFCs)由于高能源密度和乙醇的可再生、生态友好性,被视为有希望的能源转换技术,但由于缺乏能同时提供高活度、稳定性和选择乙醇氧化反应C1路径的阳极催化剂,这些电池的商业化受到阻碍。 我们在此报告一个合理设计的Pd 2 Ga 1 rO 2@NC 电催化剂,其中Pd 2 Ga 1合金纳米粒子以氮氧化碳化合物为基础。</w:t>
      </w:r>
    </w:p>
    <w:p>
      <w:pPr>
        <w:spacing w:before="0" w:after="200" w:lineRule="auto" w:line="276"/>
      </w:pPr>
      <w:r>
        <w:rPr>
          <w:b/>
        </w:rPr>
        <w:t xml:space="preserve">Abstract (EN): </w:t>
      </w:r>
      <w:r>
        <w:t>Direct ethanol fuel cells (DEFCs) are recognized as a promising energy conversion technology due to their high energy density and the renewable, eco‐friendly nature of ethanol. However, their commercialization is hindered by the lack of anode catalysts that simultaneously offer high activity, stability, and selectivity toward the C1 pathway in the ethanol oxidation reaction (EOR). Herein, we report a rationally designed Pd</w:t>
      </w:r>
      <w:r>
        <w:rPr>
          <w:vertAlign w:val="subscript"/>
        </w:rPr>
        <w:t>2</w:t>
      </w:r>
      <w:r>
        <w:t>Ga</w:t>
      </w:r>
      <w:r>
        <w:rPr>
          <w:vertAlign w:val="subscript"/>
        </w:rPr>
        <w:t>1</w:t>
      </w:r>
      <w:r>
        <w:t>‐ZrO</w:t>
      </w:r>
      <w:r>
        <w:rPr>
          <w:vertAlign w:val="subscript"/>
        </w:rPr>
        <w:t>2</w:t>
      </w:r>
      <w:r>
        <w:t>@NC electrocatalyst, in which Pd</w:t>
      </w:r>
      <w:r>
        <w:rPr>
          <w:vertAlign w:val="subscript"/>
        </w:rPr>
        <w:t>2</w:t>
      </w:r>
      <w:r>
        <w:t>Ga</w:t>
      </w:r>
      <w:r>
        <w:rPr>
          <w:vertAlign w:val="subscript"/>
        </w:rPr>
        <w:t>1</w:t>
      </w:r>
      <w:r>
        <w:t>alloy nanoparticles are anchored on a nitrogen‐doped carbon‐encapsulated ZrO</w:t>
      </w:r>
      <w:r>
        <w:rPr>
          <w:vertAlign w:val="subscript"/>
        </w:rPr>
        <w:t>2</w:t>
      </w:r>
      <w:r>
        <w:t>nanoframework. In alkaline media, this catalyst exhibits exceptional EOR performance, achieving a remarkable mass activity of 27.3 A mg</w:t>
      </w:r>
      <w:r>
        <w:t xml:space="preserve"> </w:t>
      </w:r>
      <w:r>
        <w:t>Pd</w:t>
      </w:r>
      <w:r>
        <w:t xml:space="preserve"> </w:t>
      </w:r>
      <w:r>
        <w:t>−1</w:t>
      </w:r>
      <w:r>
        <w:t xml:space="preserve"> </w:t>
      </w:r>
      <w:r>
        <w:t>, 3.6 and 21.8 times higher than those of Pd‐ZrO</w:t>
      </w:r>
      <w:r>
        <w:rPr>
          <w:vertAlign w:val="subscript"/>
        </w:rPr>
        <w:t>2</w:t>
      </w:r>
      <w:r>
        <w:t>@NC and commercial Pd/C, respectively. Furthermore, it demonstrates a high C1 pathway selectivity of 58.7% at 0.8</w:t>
      </w:r>
      <w:r>
        <w:t xml:space="preserve"> </w:t>
      </w:r>
      <w:r>
        <w:t>V</w:t>
      </w:r>
      <w:r>
        <w:t xml:space="preserve"> </w:t>
      </w:r>
      <w:r>
        <w:t>RHE</w:t>
      </w:r>
      <w:r>
        <w:t xml:space="preserve"> </w:t>
      </w:r>
      <w:r>
        <w:t>and retains 48.9% of its initial activity after 2000 accelerated durability test cycles, significantly outperforming state‐of‐the‐art benchmarks. Combined experimental and DFT studies reveal the crucial function of Ga as an electron donor, which reverses the electron transfer around Pd from outward (in Pd‐ZrO</w:t>
      </w:r>
      <w:r>
        <w:rPr>
          <w:vertAlign w:val="subscript"/>
        </w:rPr>
        <w:t>2</w:t>
      </w:r>
      <w:r>
        <w:t>@NC) to inward (in Pd</w:t>
      </w:r>
      <w:r>
        <w:rPr>
          <w:vertAlign w:val="subscript"/>
        </w:rPr>
        <w:t>2</w:t>
      </w:r>
      <w:r>
        <w:t>Ga</w:t>
      </w:r>
      <w:r>
        <w:rPr>
          <w:vertAlign w:val="subscript"/>
        </w:rPr>
        <w:t>1</w:t>
      </w:r>
      <w:r>
        <w:t>‐ZrO</w:t>
      </w:r>
      <w:r>
        <w:rPr>
          <w:vertAlign w:val="subscript"/>
        </w:rPr>
        <w:t>2</w:t>
      </w:r>
      <w:r>
        <w:t>@NC), creating an electron‐rich Pd state. This electronic restructuring thereby lowers the *CO oxidation barrier, strengthens *OH adsorption, and enhances metal‐support interaction, collectively boosting both the C1 pathway selectivity and the overall EOR performance. This work provides valuable insights for the design of high‐performance alloy‐oxide composite electrocatalysts.</w:t>
      </w:r>
    </w:p>
    <w:p>
      <w:pPr>
        <w:spacing w:before="120" w:after="120"/>
      </w:pPr>
      <w:r>
        <w:rPr>
          <w:sz w:val="18"/>
        </w:rPr>
        <w:t>——————————————————————————————————————————————————————————————————————</w:t>
      </w:r>
    </w:p>
    <w:p>
      <w:pPr>
        <w:spacing w:before="160" w:after="40" w:line="240" w:lineRule="auto"/>
      </w:pPr>
      <w:r>
        <w:rPr>
          <w:b/>
        </w:rPr>
        <w:t xml:space="preserve">[307] </w:t>
      </w:r>
      <w:hyperlink r:id="rId460">
        <w:r>
          <w:rPr>
            <w:color w:val="1155CC"/>
            <w:u w:val="single"/>
          </w:rPr>
          <w:t>纳米封闭沉积使能高能源密度Mg金属电池</w:t>
        </w:r>
      </w:hyperlink>
    </w:p>
    <w:p>
      <w:pPr>
        <w:spacing w:before="0" w:after="80"/>
      </w:pPr>
      <w:r>
        <w:rPr>
          <w:i/>
          <w:sz w:val="20"/>
        </w:rPr>
        <w:t>EN: Nanoconfined Deposition Enables High‐Energy‐Density Mg Metal Batteries</w:t>
      </w:r>
    </w:p>
    <w:p>
      <w:pPr>
        <w:spacing w:before="0" w:after="120"/>
      </w:pPr>
      <w:r>
        <w:rPr>
          <w:b/>
        </w:rPr>
        <w:t xml:space="preserve">Source: </w:t>
      </w:r>
      <w:r>
        <w:t>Wiley: Advanced Materials: Table of Contents</w:t>
      </w:r>
      <w:r>
        <w:t xml:space="preserve">    </w:t>
      </w:r>
      <w:r>
        <w:rPr>
          <w:b/>
        </w:rPr>
        <w:t xml:space="preserve">Pub date: </w:t>
      </w:r>
      <w:r>
        <w:t>2026-01-07 10:27:59+00:00</w:t>
      </w:r>
      <w:r>
        <w:t xml:space="preserve">    </w:t>
      </w:r>
      <w:r>
        <w:rPr>
          <w:b/>
        </w:rPr>
        <w:t xml:space="preserve">DOI: </w:t>
      </w:r>
      <w:hyperlink r:id="rId461">
        <w:r>
          <w:rPr>
            <w:color w:val="1155CC"/>
            <w:u w:val="single"/>
          </w:rPr>
          <w:t>10.1002/adma.202520754</w:t>
        </w:r>
      </w:hyperlink>
    </w:p>
    <w:p>
      <w:pPr>
        <w:spacing w:before="0" w:after="120"/>
      </w:pPr>
      <w:r>
        <w:rPr>
          <w:b/>
        </w:rPr>
        <w:t xml:space="preserve">Notes: </w:t>
      </w:r>
      <w:r>
        <w:t>abstract_source=crossref</w:t>
      </w:r>
    </w:p>
    <w:p>
      <w:pPr>
        <w:spacing w:before="0" w:after="80" w:lineRule="auto" w:line="276"/>
      </w:pPr>
      <w:r>
        <w:rPr>
          <w:b/>
        </w:rPr>
        <w:t xml:space="preserve">摘要（ZH）: </w:t>
      </w:r>
      <w:r>
        <w:t>ABSTACT ABSTACT 由无异性镁电镀和脱氧折合阳极完整性导致的登地增长,严重限制了金属镁电池可实现的能量密度。要应对这一挑战,就必须控制核聚点分布的空间统一性、镁离离子通量和界面。在这里,在镁硫化物上设计了一个可伸缩的表层结构,形成一个兼容的纳米表网络,最大限度地减少空间不一致性,以确保统一核聚和镁金属沉积。在定量描述该网络的稳定性以调节镁离子沉积时,引入了封闭指数。</w:t>
      </w:r>
    </w:p>
    <w:p>
      <w:pPr>
        <w:spacing w:before="0" w:after="200" w:lineRule="auto" w:line="276"/>
      </w:pPr>
      <w:r>
        <w:rPr>
          <w:b/>
        </w:rPr>
        <w:t xml:space="preserve">Abstract (EN): </w:t>
      </w:r>
      <w:r>
        <w:t>Dendritic growth resulting from inhomogeneous magnesium plating and stripping compromises anode integrity, critically limiting the achievable energy density of magnesium metal batteries. Addressing this challenge requires controlling the spatial uniformity of nucleation site distribution, magnesium ion flux, and interfaces. Herein, a scalable surface architecture is engineered on magnesium foil, forming a conformal nanosheet network that minimizes spatial inconsistencies to ensure uniform nucleation and deposition of magnesium metal. The confinement index is introduced to quantitatively describe the network's stability to regulate magnesium ion deposition. The optimized magnesium anode exhibited exceptional stability, achieving over 500 h of reversible plating/stripping under harsh conditions. After 5 days of air exposure, the optimized magnesium anode maintains cycling performance with no degradation, highlighting its outstanding resistance to atmospheric oxidation. Paired with a high mass loading of 17.4 mg cm</w:t>
      </w:r>
      <w:r>
        <w:t xml:space="preserve"> </w:t>
      </w:r>
      <w:r>
        <w:t>−2</w:t>
      </w:r>
      <w:r>
        <w:t xml:space="preserve"> </w:t>
      </w:r>
      <w:r>
        <w:t>Mo</w:t>
      </w:r>
      <w:r>
        <w:rPr>
          <w:vertAlign w:val="subscript"/>
        </w:rPr>
        <w:t>6</w:t>
      </w:r>
      <w:r>
        <w:t>S</w:t>
      </w:r>
      <w:r>
        <w:rPr>
          <w:vertAlign w:val="subscript"/>
        </w:rPr>
        <w:t>8</w:t>
      </w:r>
      <w:r>
        <w:t>, full cells demonstrate remarkable cycling stability throughout 3000 cycles. Moreover, large‐sized pouch cells incorporating optimized magnesium anodes demonstrate stable cycling performance over 600 cycles when paired with a high mass loading Mo</w:t>
      </w:r>
      <w:r>
        <w:rPr>
          <w:vertAlign w:val="subscript"/>
        </w:rPr>
        <w:t>6</w:t>
      </w:r>
      <w:r>
        <w:t>S</w:t>
      </w:r>
      <w:r>
        <w:rPr>
          <w:vertAlign w:val="subscript"/>
        </w:rPr>
        <w:t>8</w:t>
      </w:r>
      <w:r>
        <w:t>cathode, while achieving a high energy density of 143.74 Wh kg</w:t>
      </w:r>
      <w:r>
        <w:t xml:space="preserve"> </w:t>
      </w:r>
      <w:r>
        <w:t>−1</w:t>
      </w:r>
      <w:r>
        <w:t xml:space="preserve"> </w:t>
      </w:r>
      <w:r>
        <w:t>in combination with a Cu</w:t>
      </w:r>
      <w:r>
        <w:t xml:space="preserve"> </w:t>
      </w:r>
      <w:r>
        <w:t>2−x</w:t>
      </w:r>
      <w:r>
        <w:t xml:space="preserve"> </w:t>
      </w:r>
      <w:r>
        <w:t>Se cathode. These results substantiate the practical applicability and technological promise of an optimized magnesium anode in advanced battery systems.</w:t>
      </w:r>
    </w:p>
    <w:p>
      <w:pPr>
        <w:spacing w:before="120" w:after="120"/>
      </w:pPr>
      <w:r>
        <w:rPr>
          <w:sz w:val="18"/>
        </w:rPr>
        <w:t>——————————————————————————————————————————————————————————————————————</w:t>
      </w:r>
    </w:p>
    <w:p>
      <w:pPr>
        <w:spacing w:before="160" w:after="40" w:line="240" w:lineRule="auto"/>
      </w:pPr>
      <w:r>
        <w:rPr>
          <w:b/>
        </w:rPr>
        <w:t xml:space="preserve">[308] </w:t>
      </w:r>
      <w:hyperlink r:id="rId462">
        <w:r>
          <w:rPr>
            <w:color w:val="1155CC"/>
            <w:u w:val="single"/>
          </w:rPr>
          <w:t>将多效酸性可塑性塑料循环循环到阿兰宁</w:t>
        </w:r>
      </w:hyperlink>
    </w:p>
    <w:p>
      <w:pPr>
        <w:spacing w:before="0" w:after="80"/>
      </w:pPr>
      <w:r>
        <w:rPr>
          <w:i/>
          <w:sz w:val="20"/>
        </w:rPr>
        <w:t>EN: Solar‐Biohybrid Upcycling of Polylactic Acid Plastics to Alanine</w:t>
      </w:r>
    </w:p>
    <w:p>
      <w:pPr>
        <w:spacing w:before="0" w:after="120"/>
      </w:pPr>
      <w:r>
        <w:rPr>
          <w:b/>
        </w:rPr>
        <w:t xml:space="preserve">Source: </w:t>
      </w:r>
      <w:r>
        <w:t>Wiley: Angewandte Chemie International Edition: Table of Contents</w:t>
      </w:r>
      <w:r>
        <w:t xml:space="preserve">    </w:t>
      </w:r>
      <w:r>
        <w:rPr>
          <w:b/>
        </w:rPr>
        <w:t xml:space="preserve">Pub date: </w:t>
      </w:r>
      <w:r>
        <w:t>2026-01-07 10:28:18+00:00</w:t>
      </w:r>
      <w:r>
        <w:t xml:space="preserve">    </w:t>
      </w:r>
      <w:r>
        <w:rPr>
          <w:b/>
        </w:rPr>
        <w:t xml:space="preserve">DOI: </w:t>
      </w:r>
      <w:hyperlink r:id="rId463">
        <w:r>
          <w:rPr>
            <w:color w:val="1155CC"/>
            <w:u w:val="single"/>
          </w:rPr>
          <w:t>10.1002/anie.202523771</w:t>
        </w:r>
      </w:hyperlink>
    </w:p>
    <w:p>
      <w:pPr>
        <w:spacing w:before="0" w:after="120"/>
      </w:pPr>
      <w:r>
        <w:rPr>
          <w:b/>
        </w:rPr>
        <w:t xml:space="preserve">Notes: </w:t>
      </w:r>
      <w:r>
        <w:t>abstract_source=crossref</w:t>
      </w:r>
    </w:p>
    <w:p>
      <w:pPr>
        <w:spacing w:before="0" w:after="80" w:lineRule="auto" w:line="276"/>
      </w:pPr>
      <w:r>
        <w:rPr>
          <w:b/>
        </w:rPr>
        <w:t xml:space="preserve">摘要（ZH）: </w:t>
      </w:r>
      <w:r>
        <w:t>将废塑料抽象地循环利用成氨氨酸等商品化学品,是走向负碳排放并实现循环碳经济的一个大有希望的途径,然而,现有的热催化方法通常需要苛刻的条件。虽然光催催催性中上层循环在温和条件下运作,但光催催化性中循环循环在温和条件下运作,但依赖高温水解步骤进行塑料预处理会损害其总体实用性。我们在此报告,一个将多元酸(PLA)塑料在环境条件下转化成阿lanine的生物-硫催化混合系统。综合系统始于PLA的酶脱聚合化,在55°C和pH 10时,92%的转化,由从中衍生出的一个工程幼虫催化的催化。</w:t>
      </w:r>
    </w:p>
    <w:p>
      <w:pPr>
        <w:spacing w:before="0" w:after="200" w:lineRule="auto" w:line="276"/>
      </w:pPr>
      <w:r>
        <w:rPr>
          <w:b/>
        </w:rPr>
        <w:t xml:space="preserve">Abstract (EN): </w:t>
      </w:r>
      <w:r>
        <w:t>Upcycling of waste plastics into commodity chemicals such as amino acids represents a promising route toward achieving negative carbon emissions and enabling a circular carbon economy. However, existing thermocatalytic methods typically require harsh conditions. While photocatalytic upcycling operates under mild conditions, its dependence on a high‐temperature hydrolysis step for plastic pretreatment undermines its overall practicality. Here we report a bio‐photocatalytic hybrid system that converts polylactic acid (PLA) plastics into alanine under ambient conditions. The integrated system begins with enzymatic depolymerization of PLA to lactic acid (LA) with 92% conversion at 55°C and pH 10, catalyzed by an engineered peptidase derived from the</w:t>
      </w:r>
      <w:r>
        <w:t xml:space="preserve"> </w:t>
      </w:r>
      <w:r>
        <w:t>Micromonospora</w:t>
      </w:r>
      <w:r>
        <w:t xml:space="preserve"> </w:t>
      </w:r>
      <w:r>
        <w:t>sp. strain. Without any purification, the resulting hydrolysate is fed directly to the photosynthesis system, where the LA monomers are converted to alanine over a Ni/ZnIn</w:t>
      </w:r>
      <w:r>
        <w:rPr>
          <w:vertAlign w:val="subscript"/>
        </w:rPr>
        <w:t>2</w:t>
      </w:r>
      <w:r>
        <w:t>S</w:t>
      </w:r>
      <w:r>
        <w:rPr>
          <w:vertAlign w:val="subscript"/>
        </w:rPr>
        <w:t>4</w:t>
      </w:r>
      <w:r>
        <w:t>catalyst using ammonia as a nitrogen source. This photocatalytic process, which proceeds via an oxygen‐centered radical intermediate pathway, achieves an alanine production rate of 61.91 mmol g</w:t>
      </w:r>
      <w:r>
        <w:t xml:space="preserve"> </w:t>
      </w:r>
      <w:r>
        <w:t>−1</w:t>
      </w:r>
      <w:r>
        <w:t xml:space="preserve"> </w:t>
      </w:r>
      <w:r>
        <w:t>h</w:t>
      </w:r>
      <w:r>
        <w:t xml:space="preserve"> </w:t>
      </w:r>
      <w:r>
        <w:t>−1</w:t>
      </w:r>
      <w:r>
        <w:t xml:space="preserve"> </w:t>
      </w:r>
      <w:r>
        <w:t>and an overall yield of 60%. Life cycle assessment demonstrates that our tandem bio‐photoconversion system substantially reduces the carbon footprint compared to single‐step thermocatalytic and photocatalytic systems. This work thus establishes a sustainable route for valued chemicals production from low‐cost feedstocks.</w:t>
      </w:r>
    </w:p>
    <w:p>
      <w:pPr>
        <w:spacing w:before="120" w:after="120"/>
      </w:pPr>
      <w:r>
        <w:rPr>
          <w:sz w:val="18"/>
        </w:rPr>
        <w:t>——————————————————————————————————————————————————————————————————————</w:t>
      </w:r>
    </w:p>
    <w:p>
      <w:pPr>
        <w:spacing w:before="160" w:after="40" w:line="240" w:lineRule="auto"/>
      </w:pPr>
      <w:r>
        <w:rPr>
          <w:b/>
        </w:rPr>
        <w:t xml:space="preserve">[309] </w:t>
      </w:r>
      <w:hyperlink r:id="rId464">
        <w:r>
          <w:rPr>
            <w:color w:val="1155CC"/>
            <w:u w:val="single"/>
          </w:rPr>
          <w:t>Perovskite Opto电子设备中集成金属卤化物</w:t>
        </w:r>
      </w:hyperlink>
    </w:p>
    <w:p>
      <w:pPr>
        <w:spacing w:before="0" w:after="80"/>
      </w:pPr>
      <w:r>
        <w:rPr>
          <w:i/>
          <w:sz w:val="20"/>
        </w:rPr>
        <w:t>EN: van der Waals Lamination for Integrating Metal Halide in Perovskite Optoelectronic Devices</w:t>
      </w:r>
    </w:p>
    <w:p>
      <w:pPr>
        <w:spacing w:before="0" w:after="120"/>
      </w:pPr>
      <w:r>
        <w:rPr>
          <w:b/>
        </w:rPr>
        <w:t xml:space="preserve">Source: </w:t>
      </w:r>
      <w:r>
        <w:t>Wiley: Advanced Materials: Table of Contents</w:t>
      </w:r>
      <w:r>
        <w:t xml:space="preserve">    </w:t>
      </w:r>
      <w:r>
        <w:rPr>
          <w:b/>
        </w:rPr>
        <w:t xml:space="preserve">Pub date: </w:t>
      </w:r>
      <w:r>
        <w:t>2026-01-07 10:35:59+00:00</w:t>
      </w:r>
      <w:r>
        <w:t xml:space="preserve">    </w:t>
      </w:r>
      <w:r>
        <w:rPr>
          <w:b/>
        </w:rPr>
        <w:t xml:space="preserve">DOI: </w:t>
      </w:r>
      <w:hyperlink r:id="rId465">
        <w:r>
          <w:rPr>
            <w:color w:val="1155CC"/>
            <w:u w:val="single"/>
          </w:rPr>
          <w:t>10.1002/adma.202517111</w:t>
        </w:r>
      </w:hyperlink>
    </w:p>
    <w:p>
      <w:pPr>
        <w:spacing w:before="0" w:after="120"/>
      </w:pPr>
      <w:r>
        <w:rPr>
          <w:b/>
        </w:rPr>
        <w:t xml:space="preserve">Notes: </w:t>
      </w:r>
      <w:r>
        <w:t>abstract_source=crossref</w:t>
      </w:r>
    </w:p>
    <w:p>
      <w:pPr>
        <w:spacing w:before="0" w:after="80" w:lineRule="auto" w:line="276"/>
      </w:pPr>
      <w:r>
        <w:rPr>
          <w:b/>
        </w:rPr>
        <w:t xml:space="preserve">摘要（ZH）: </w:t>
      </w:r>
      <w:r>
        <w:t>ABSTACT金属卤化全氟辛基磺酰胺(MHPs)由于其特殊的光电子特性,如高吸收系数、金枪鱼可乐带宽和低成本溶液处理能力等,已成为有希望用于光电子应用的材料,但是,由于热稳定性和溶剂敏感度有限,因此与常规加工技术不兼容,将MHP与用于光电子设备制造的其他功能组成部分结合起来仍然具有挑战性。为了应对这些挑战,van der Waals(VdW)的脱层作为替代的“无损害”整合方法出现。</w:t>
      </w:r>
    </w:p>
    <w:p>
      <w:pPr>
        <w:spacing w:before="0" w:after="200" w:lineRule="auto" w:line="276"/>
      </w:pPr>
      <w:r>
        <w:rPr>
          <w:b/>
        </w:rPr>
        <w:t xml:space="preserve">Abstract (EN): </w:t>
      </w:r>
      <w:r>
        <w:t>Metal halide perovskites (MHPs) have emerged as promising materials for optoelectronic applications owing to their exceptional optoelectronic properties such as high absorption coefficients, tunable bandgaps, and low‐cost solution processability. However, integrating MHPs with other functional components for optoelectronic device fabrication remains challenging because of limited thermal stability and solvent sensitivity, resulting in their incompatibility with conventional processing techniques. To address these challenges, van der Waals (vdW) lamination has emerged as an alternative “damage‐free” integration approach. This review compares vdW lamination with conventional integration methods, highlighting the fundamental principles and distinct advantages of the vdW lamination approach. In MHP‐based optoelectronics, vdW lamination strategies are categorized according to component dimensionality: one‐dimensional/three‐dimensional (1D/3D) lamination using nanowires or carbon nanotubes; two‐dimensional/three‐dimensional (2D/3D) lamination using 2D semiconductors such as graphene and transition metal dichalcogenides (TMDCs); and three‐dimensional/three‐dimensional (3D/3D) lamination involving metals, semiconductors, and insulators. High‐performance and stable perovskite‐based devices can be achieved by carefully selecting the materials and optimizing the van der Waals lamination conditions. Finally, we summarize the recent advances in vdW lamination‐based integration for perovskite optoelectronics. Critical issues that hinder further development and practical implementation of vdW lamination in MHPs are identified, and potential strategies are discussed to stimulate future research within the field.</w:t>
      </w:r>
    </w:p>
    <w:p>
      <w:pPr>
        <w:spacing w:before="120" w:after="120"/>
      </w:pPr>
      <w:r>
        <w:rPr>
          <w:sz w:val="18"/>
        </w:rPr>
        <w:t>——————————————————————————————————————————————————————————————————————</w:t>
      </w:r>
    </w:p>
    <w:p>
      <w:pPr>
        <w:spacing w:before="160" w:after="40" w:line="240" w:lineRule="auto"/>
      </w:pPr>
      <w:r>
        <w:rPr>
          <w:b/>
        </w:rPr>
        <w:t xml:space="preserve">[310] </w:t>
      </w:r>
      <w:hyperlink r:id="rId466">
        <w:r>
          <w:rPr>
            <w:color w:val="1155CC"/>
            <w:u w:val="single"/>
          </w:rPr>
          <w:t>[ASAP] 氧氧进化反应和小有机分子氧化电的电催化器中的电动反应和小有机分子氧化</w:t>
        </w:r>
      </w:hyperlink>
    </w:p>
    <w:p>
      <w:pPr>
        <w:spacing w:before="0" w:after="80"/>
      </w:pPr>
      <w:r>
        <w:rPr>
          <w:i/>
          <w:sz w:val="20"/>
        </w:rPr>
        <w:t>EN: [ASAP] Anion Effect in Electrocatalysts for Oxygen Evolution Reaction and Small Organic Molecule Oxidation</w:t>
      </w:r>
    </w:p>
    <w:p>
      <w:pPr>
        <w:spacing w:before="0" w:after="120"/>
      </w:pPr>
      <w:r>
        <w:rPr>
          <w:b/>
        </w:rPr>
        <w:t xml:space="preserve">Source: </w:t>
      </w:r>
      <w:r>
        <w:t>ACS Energy Letters: Latest Articles (ACS Publications)</w:t>
      </w:r>
      <w:r>
        <w:t xml:space="preserve">    </w:t>
      </w:r>
      <w:r>
        <w:rPr>
          <w:b/>
        </w:rPr>
        <w:t xml:space="preserve">Pub date: </w:t>
      </w:r>
      <w:r>
        <w:t>2026-01-07 10:40:21+00:00</w:t>
      </w:r>
      <w:r>
        <w:t xml:space="preserve">    </w:t>
      </w:r>
      <w:r>
        <w:rPr>
          <w:b/>
        </w:rPr>
        <w:t xml:space="preserve">DOI: </w:t>
      </w:r>
      <w:hyperlink r:id="rId467">
        <w:r>
          <w:rPr>
            <w:color w:val="1155CC"/>
            <w:u w:val="single"/>
          </w:rPr>
          <w:t>10.1021/acsenergylett.5c04078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[311] </w:t>
      </w:r>
      <w:hyperlink r:id="rId468">
        <w:r>
          <w:rPr>
            <w:color w:val="1155CC"/>
            <w:u w:val="single"/>
          </w:rPr>
          <w:t>MOF: 与智能PC屏幕时间管理自创超级电容器集成的DC TRibolvoltac 纳米生化器(Adv. Energy Matter. 1/2026)</w:t>
        </w:r>
      </w:hyperlink>
    </w:p>
    <w:p>
      <w:pPr>
        <w:spacing w:before="0" w:after="80"/>
      </w:pPr>
      <w:r>
        <w:rPr>
          <w:i/>
          <w:sz w:val="20"/>
        </w:rPr>
        <w:t>EN: MOF‐Decorated DC‐Tribovoltaic Nanogenerator Integrated with Self‐Charging Supercapacitor for Smart PC Screen Time Management (Adv. Energy Mater. 1/2026)</w:t>
      </w:r>
    </w:p>
    <w:p>
      <w:pPr>
        <w:spacing w:before="0" w:after="120"/>
      </w:pPr>
      <w:r>
        <w:rPr>
          <w:b/>
        </w:rPr>
        <w:t xml:space="preserve">Source: </w:t>
      </w:r>
      <w:r>
        <w:t>Wiley: Advanced Energy Materials: Table of Contents</w:t>
      </w:r>
      <w:r>
        <w:t xml:space="preserve">    </w:t>
      </w:r>
      <w:r>
        <w:rPr>
          <w:b/>
        </w:rPr>
        <w:t xml:space="preserve">Pub date: </w:t>
      </w:r>
      <w:r>
        <w:t>2026-01-07 10:43:40+00:00</w:t>
      </w:r>
      <w:r>
        <w:t xml:space="preserve">    </w:t>
      </w:r>
      <w:r>
        <w:rPr>
          <w:b/>
        </w:rPr>
        <w:t xml:space="preserve">DOI: </w:t>
      </w:r>
      <w:hyperlink r:id="rId469">
        <w:r>
          <w:rPr>
            <w:color w:val="1155CC"/>
            <w:u w:val="single"/>
          </w:rPr>
          <w:t>10.1002/aenm.70449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[312] </w:t>
      </w:r>
      <w:hyperlink r:id="rId470">
        <w:r>
          <w:rPr>
            <w:color w:val="1155CC"/>
            <w:u w:val="single"/>
          </w:rPr>
          <w:t>与不饱和的NiO(OH)协调的混合氢生产(Adv. Energy Matter. 1/2026)</w:t>
        </w:r>
      </w:hyperlink>
    </w:p>
    <w:p>
      <w:pPr>
        <w:spacing w:before="0" w:after="80"/>
      </w:pPr>
      <w:r>
        <w:rPr>
          <w:i/>
          <w:sz w:val="20"/>
        </w:rPr>
        <w:t>EN: Highly Active Electrocatalytic Alcohol Oxidation Coupled Hydrogen Production with Unsaturated Ni‐O(OH) Coordination (Adv. Energy Mater. 1/2026)</w:t>
      </w:r>
    </w:p>
    <w:p>
      <w:pPr>
        <w:spacing w:before="0" w:after="120"/>
      </w:pPr>
      <w:r>
        <w:rPr>
          <w:b/>
        </w:rPr>
        <w:t xml:space="preserve">Source: </w:t>
      </w:r>
      <w:r>
        <w:t>Wiley: Advanced Energy Materials: Table of Contents</w:t>
      </w:r>
      <w:r>
        <w:t xml:space="preserve">    </w:t>
      </w:r>
      <w:r>
        <w:rPr>
          <w:b/>
        </w:rPr>
        <w:t xml:space="preserve">Pub date: </w:t>
      </w:r>
      <w:r>
        <w:t>2026-01-07 10:43:40+00:00</w:t>
      </w:r>
      <w:r>
        <w:t xml:space="preserve">    </w:t>
      </w:r>
      <w:r>
        <w:rPr>
          <w:b/>
        </w:rPr>
        <w:t xml:space="preserve">DOI: </w:t>
      </w:r>
      <w:hyperlink r:id="rId471">
        <w:r>
          <w:rPr>
            <w:color w:val="1155CC"/>
            <w:u w:val="single"/>
          </w:rPr>
          <w:t>10.1002/aenm.70448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[313] </w:t>
      </w:r>
      <w:hyperlink r:id="rId472">
        <w:r>
          <w:rPr>
            <w:color w:val="1155CC"/>
            <w:u w:val="single"/>
          </w:rPr>
          <w:t>[ASAP] 微粒水晶适应性感动感动感动感动感动感动感动感动感动感动感动感动感动感动感动感动感动感动</w:t>
        </w:r>
      </w:hyperlink>
    </w:p>
    <w:p>
      <w:pPr>
        <w:spacing w:before="0" w:after="80"/>
      </w:pPr>
      <w:r>
        <w:rPr>
          <w:i/>
          <w:sz w:val="20"/>
        </w:rPr>
        <w:t>EN: [ASAP] Click-Enabled Grafting for Adaptive Chiral Recognition in Porous Crystals</w:t>
      </w:r>
    </w:p>
    <w:p>
      <w:pPr>
        <w:spacing w:before="0" w:after="120"/>
      </w:pPr>
      <w:r>
        <w:rPr>
          <w:b/>
        </w:rPr>
        <w:t xml:space="preserve">Source: </w:t>
      </w:r>
      <w:r>
        <w:t>Journal of the American Chemical Society: Latest Articles (ACS Publications)</w:t>
      </w:r>
      <w:r>
        <w:t xml:space="preserve">    </w:t>
      </w:r>
      <w:r>
        <w:rPr>
          <w:b/>
        </w:rPr>
        <w:t xml:space="preserve">Pub date: </w:t>
      </w:r>
      <w:r>
        <w:t>2026-01-07 11:11:18+00:00</w:t>
      </w:r>
      <w:r>
        <w:t xml:space="preserve">    </w:t>
      </w:r>
      <w:r>
        <w:rPr>
          <w:b/>
        </w:rPr>
        <w:t xml:space="preserve">DOI: </w:t>
      </w:r>
      <w:hyperlink r:id="rId473">
        <w:r>
          <w:rPr>
            <w:color w:val="1155CC"/>
            <w:u w:val="single"/>
          </w:rPr>
          <w:t>10.1021/jacs.5c17377</w:t>
        </w:r>
      </w:hyperlink>
    </w:p>
    <w:p>
      <w:pPr>
        <w:spacing w:before="0" w:after="120"/>
      </w:pPr>
      <w:r>
        <w:rPr>
          <w:b/>
        </w:rPr>
        <w:t xml:space="preserve">Notes: </w:t>
      </w:r>
      <w:r>
        <w:t>abstract_source=pubmed</w:t>
      </w:r>
    </w:p>
    <w:p>
      <w:pPr>
        <w:spacing w:before="0" w:after="80" w:lineRule="auto" w:line="276"/>
      </w:pPr>
      <w:r>
        <w:rPr>
          <w:b/>
        </w:rPr>
        <w:t xml:space="preserve">摘要（ZH）: </w:t>
      </w:r>
      <w:r>
        <w:t>纵向框架是手性环境的有希望的候选环境,但大多数依赖静态立体单位,在对应选择性承认中忽略了适应性的宿主-访客互动。我们报告了一个模块式后合成点击战略,在UiO-68框架内安装氨酸衍生物微粒,而不会损害晶体特性。只有硬体-功能化材料显示对丙基苯的对应选择性程度很高。模拟显示适应性互动口袋,强调在手感分子识别方面当地孔状重组的重要性。</w:t>
      </w:r>
    </w:p>
    <w:p>
      <w:pPr>
        <w:spacing w:before="0" w:after="200" w:lineRule="auto" w:line="276"/>
      </w:pPr>
      <w:r>
        <w:rPr>
          <w:b/>
        </w:rPr>
        <w:t xml:space="preserve">Abstract (EN): </w:t>
      </w:r>
      <w:r>
        <w:t>Reticular frameworks are promising candidates for chiral environments, yet most rely on static stereogenic units, overlooking adaptive host-guest interactions in enantioselective recognition. We report a modular postsynthetic click strategy to install amino acid-derived peptidic moieties into UiO-68 frameworks without compromising crystallinity. Only the histidine-functionalized material exhibits high enantioselectivity for cetirizine. Simulations reveal adaptive interaction pockets, emphasizing the importance of local pore reorganization in chiral molecular recognition.</w:t>
      </w:r>
    </w:p>
    <w:p>
      <w:pPr>
        <w:spacing w:before="120" w:after="120"/>
      </w:pPr>
      <w:r>
        <w:rPr>
          <w:sz w:val="18"/>
        </w:rPr>
        <w:t>——————————————————————————————————————————————————————————————————————</w:t>
      </w:r>
    </w:p>
    <w:p>
      <w:pPr>
        <w:spacing w:before="160" w:after="40" w:line="240" w:lineRule="auto"/>
      </w:pPr>
      <w:r>
        <w:rPr>
          <w:b/>
        </w:rPr>
        <w:t xml:space="preserve">[314] </w:t>
      </w:r>
      <w:hyperlink r:id="rId474">
        <w:r>
          <w:rPr>
            <w:color w:val="1155CC"/>
            <w:u w:val="single"/>
          </w:rPr>
          <w:t>[ASAP] 超不稳定铜超环</w:t>
        </w:r>
      </w:hyperlink>
    </w:p>
    <w:p>
      <w:pPr>
        <w:spacing w:before="0" w:after="80"/>
      </w:pPr>
      <w:r>
        <w:rPr>
          <w:i/>
          <w:sz w:val="20"/>
        </w:rPr>
        <w:t>EN: [ASAP] Ultrastable Copper Superatom</w:t>
      </w:r>
    </w:p>
    <w:p>
      <w:pPr>
        <w:spacing w:before="0" w:after="120"/>
      </w:pPr>
      <w:r>
        <w:rPr>
          <w:b/>
        </w:rPr>
        <w:t xml:space="preserve">Source: </w:t>
      </w:r>
      <w:r>
        <w:t>Journal of the American Chemical Society: Latest Articles (ACS Publications)</w:t>
      </w:r>
      <w:r>
        <w:t xml:space="preserve">    </w:t>
      </w:r>
      <w:r>
        <w:rPr>
          <w:b/>
        </w:rPr>
        <w:t xml:space="preserve">Pub date: </w:t>
      </w:r>
      <w:r>
        <w:t>2026-01-07 11:12:02+00:00</w:t>
      </w:r>
      <w:r>
        <w:t xml:space="preserve">    </w:t>
      </w:r>
      <w:r>
        <w:rPr>
          <w:b/>
        </w:rPr>
        <w:t xml:space="preserve">DOI: </w:t>
      </w:r>
      <w:hyperlink r:id="rId475">
        <w:r>
          <w:rPr>
            <w:color w:val="1155CC"/>
            <w:u w:val="single"/>
          </w:rPr>
          <w:t>10.1021/jacs.5c17976</w:t>
        </w:r>
      </w:hyperlink>
    </w:p>
    <w:p>
      <w:pPr>
        <w:spacing w:before="0" w:after="120"/>
      </w:pPr>
      <w:r>
        <w:rPr>
          <w:b/>
        </w:rPr>
        <w:t xml:space="preserve">Notes: </w:t>
      </w:r>
      <w:r>
        <w:t>abstract_source=pubmed</w:t>
      </w:r>
    </w:p>
    <w:p>
      <w:pPr>
        <w:spacing w:before="0" w:after="80" w:lineRule="auto" w:line="276"/>
      </w:pPr>
      <w:r>
        <w:rPr>
          <w:b/>
        </w:rPr>
        <w:t xml:space="preserve">摘要（ZH）: </w:t>
      </w:r>
      <w:r>
        <w:t>在催解、光化学和能源转换等各种应用中,硬质金属硬质金属纳米集束非常吸引各种应用,包括催解、光化学和能源转换。虽然Cu纳米集束成本低,但其发展落后于Au和Ag对等企业的发展落后于Cu(I)/Cu(0)减少潜力低造成的内在不稳定,因此,含有稳定的Cu(0)纳米集集集成合成含有稳定的Cu(0)含纳米集成物的Cu(DFT)仍是一项艰巨的挑战。在此,我们报告第一批6-电子超电子超离子铜纳集,[Cu45H6(CCR)18(OAc)15](Cu45),该组群具有显著的稳定性,耐热、氧化、再处理、酸和基本处理的抗药性。单晶X射线反射分析以及基于时间的DFT计算表明CU45的突出稳定性可归因于Cu45。</w:t>
      </w:r>
    </w:p>
    <w:p>
      <w:pPr>
        <w:spacing w:before="0" w:after="200" w:lineRule="auto" w:line="276"/>
      </w:pPr>
      <w:r>
        <w:rPr>
          <w:b/>
        </w:rPr>
        <w:t xml:space="preserve">Abstract (EN): </w:t>
      </w:r>
      <w:r>
        <w:t>Atomically coinage metal nanoclusters are highly attractive for various applications including catalysis, photochemistry, and energy conversion. While Cu nanoclusters are low cost, their development has lagged behind that of Au and Ag counterparts due to their inherent instability primarily caused by the low Cu(I)/Cu(0) reduction potential. Therefore, the synthesis of stable Cu(0)-containing nanoclusters remains a formidable challenge. Herein, we report the first 6-electron superatomic copper nanocluster, [Cu45H6(C≡CR)18(OAc)15] (Cu45). This cluster has remarkable stability, being resistant to thermal, oxidative, reductive, acidic, and basic treatments. Single-crystal X-ray diffraction analysis and time-dependent DFT calculations reveal that the outstanding stability of Cu45 is attributed to its superatomic electronic configuration (1S21P4) and strong copper-ligand interactions. Furthermore, Cu45 is the first well-defined Cu superatom electrocatalyst used for CO2-to-C2H4 electrocatalysis, which exhibits outstanding performance with a maximum Faradaic efficiency for C2+ products of 81.8% (58% for ethene), surpassing all known copper cluster catalysts. In situ ATR-SEIRAS and theoretical calculations reveal that Cu45 effectively activates CO2 and promotes C-C coupling, thereby facilitating the formation of C2+ products. This work provides new insights into the design of robust Cu nanoclusters for electrocatalytic applications, enabling their broader application in future research and technology development.</w:t>
      </w:r>
    </w:p>
    <w:p>
      <w:pPr>
        <w:spacing w:before="120" w:after="120"/>
      </w:pPr>
      <w:r>
        <w:rPr>
          <w:sz w:val="18"/>
        </w:rPr>
        <w:t>——————————————————————————————————————————————————————————————————————</w:t>
      </w:r>
    </w:p>
    <w:p>
      <w:pPr>
        <w:spacing w:before="160" w:after="40" w:line="240" w:lineRule="auto"/>
      </w:pPr>
      <w:r>
        <w:rPr>
          <w:b/>
        </w:rPr>
        <w:t xml:space="preserve">[315] </w:t>
      </w:r>
      <w:hyperlink r:id="rId476">
        <w:r>
          <w:rPr>
            <w:color w:val="1155CC"/>
            <w:u w:val="single"/>
          </w:rPr>
          <w:t>SS13 使用孤立的CO2+ 站点作为高效和耐久的无氧化性乙烷脱氢催化系统</w:t>
        </w:r>
      </w:hyperlink>
    </w:p>
    <w:p>
      <w:pPr>
        <w:spacing w:before="0" w:after="80"/>
      </w:pPr>
      <w:r>
        <w:rPr>
          <w:i/>
          <w:sz w:val="20"/>
        </w:rPr>
        <w:t>EN: SSZ‐13 Zeolite with Isolated Co2+ Sites as an Efficient and Durable Catalyst System for Non‐Oxidative Ethane Dehydrogenation</w:t>
      </w:r>
    </w:p>
    <w:p>
      <w:pPr>
        <w:spacing w:before="0" w:after="120"/>
      </w:pPr>
      <w:r>
        <w:rPr>
          <w:b/>
        </w:rPr>
        <w:t xml:space="preserve">Source: </w:t>
      </w:r>
      <w:r>
        <w:t>Wiley: Angewandte Chemie International Edition: Table of Contents</w:t>
      </w:r>
      <w:r>
        <w:t xml:space="preserve">    </w:t>
      </w:r>
      <w:r>
        <w:rPr>
          <w:b/>
        </w:rPr>
        <w:t xml:space="preserve">Pub date: </w:t>
      </w:r>
      <w:r>
        <w:t>2026-01-07 11:45:33+00:00</w:t>
      </w:r>
      <w:r>
        <w:t xml:space="preserve">    </w:t>
      </w:r>
      <w:r>
        <w:rPr>
          <w:b/>
        </w:rPr>
        <w:t xml:space="preserve">DOI: </w:t>
      </w:r>
      <w:hyperlink r:id="rId477">
        <w:r>
          <w:rPr>
            <w:color w:val="1155CC"/>
            <w:u w:val="single"/>
          </w:rPr>
          <w:t>10.1002/anie.202519600</w:t>
        </w:r>
      </w:hyperlink>
    </w:p>
    <w:p>
      <w:pPr>
        <w:spacing w:before="0" w:after="120"/>
      </w:pPr>
      <w:r>
        <w:rPr>
          <w:b/>
        </w:rPr>
        <w:t xml:space="preserve">Notes: </w:t>
      </w:r>
      <w:r>
        <w:t>abstract_source=crossref</w:t>
      </w:r>
    </w:p>
    <w:p>
      <w:pPr>
        <w:spacing w:before="0" w:after="80" w:lineRule="auto" w:line="276"/>
      </w:pPr>
      <w:r>
        <w:rPr>
          <w:b/>
        </w:rPr>
        <w:t xml:space="preserve">摘要（ZH）: </w:t>
      </w:r>
      <w:r>
        <w:t>乙烷的非氧化性脱氢(EDH)摘要是用于生产六氯乙烯的一种有吸引力的方法,但实现高活度,特别是使用以土金属为基础的催化剂的耐久性仍具有挑战性。在此,我们引入了Co/SS13系统,其纯二价钴(Co 2+)离子(Co 2+)符合上述要求。使用补充性定性技术,使我们能够揭示两个Co 2+ 物种:Co 2+ +  2位于六环窗口中,[Co(OH)] +  位于八环窗口中,wi。</w:t>
      </w:r>
    </w:p>
    <w:p>
      <w:pPr>
        <w:spacing w:before="0" w:after="200" w:lineRule="auto" w:line="276"/>
      </w:pPr>
      <w:r>
        <w:rPr>
          <w:b/>
        </w:rPr>
        <w:t xml:space="preserve">Abstract (EN): </w:t>
      </w:r>
      <w:r>
        <w:t>Non‐oxidative dehydrogenation of ethane (EDH) is an attractive method for on‐purpose ethene production, but achieving high activity and, especially, durability with catalysts based on earth‐abundant metals remains challenging. Herein, we introduce the Co/SSZ‐13 system with exclusively divalent cobalt (Co</w:t>
      </w:r>
      <w:r>
        <w:t xml:space="preserve"> </w:t>
      </w:r>
      <w:r>
        <w:t>2+</w:t>
      </w:r>
      <w:r>
        <w:t xml:space="preserve"> </w:t>
      </w:r>
      <w:r>
        <w:t>) ions that meets the above requirements. The use of complementary characterization techniques enabled us to reveal two Co</w:t>
      </w:r>
      <w:r>
        <w:t xml:space="preserve"> </w:t>
      </w:r>
      <w:r>
        <w:t>2+</w:t>
      </w:r>
      <w:r>
        <w:t xml:space="preserve"> </w:t>
      </w:r>
      <w:r>
        <w:t>species: Co</w:t>
      </w:r>
      <w:r>
        <w:t xml:space="preserve"> </w:t>
      </w:r>
      <w:r>
        <w:t>2+</w:t>
      </w:r>
      <w:r>
        <w:t xml:space="preserve"> </w:t>
      </w:r>
      <w:r>
        <w:t>─Z</w:t>
      </w:r>
      <w:r>
        <w:rPr>
          <w:vertAlign w:val="subscript"/>
        </w:rPr>
        <w:t>2</w:t>
      </w:r>
      <w:r>
        <w:t>located in the six‐membered‐ring windows and [Co(OH)]</w:t>
      </w:r>
      <w:r>
        <w:t xml:space="preserve"> </w:t>
      </w:r>
      <w:r>
        <w:t>+</w:t>
      </w:r>
      <w:r>
        <w:t xml:space="preserve"> </w:t>
      </w:r>
      <w:r>
        <w:t>─Z in the eight‐membered‐ring windows, with Z representing a charged zeolite framework site. A quantitative correlation between the rate of ethene formation and the site population establishes Co</w:t>
      </w:r>
      <w:r>
        <w:t xml:space="preserve"> </w:t>
      </w:r>
      <w:r>
        <w:t>2+</w:t>
      </w:r>
      <w:r>
        <w:t xml:space="preserve"> </w:t>
      </w:r>
      <w:r>
        <w:t>─Z</w:t>
      </w:r>
      <w:r>
        <w:rPr>
          <w:vertAlign w:val="subscript"/>
        </w:rPr>
        <w:t>2</w:t>
      </w:r>
      <w:r>
        <w:t>as the active species. In situ X‐ray absorption spectroscopy confirms their structural and electronic stability under high‐temperature reaction conditions. The optimized 0.9Co/SSZ‐13 (0.9Co) catalyst showed highly durable operation over 200 dehydrogenation/oxidative regeneration cycles at 600–650°C lasting for 150 h with industrially relevant productivity. In this regard, it outperforms almost all previously developed catalysts even those with platinum as an active component. The obtained results uncover the atomic‐level origins of EDH activity/durability of the Co/SSZ‐13 system and highlight the critical role of metal site location in designing highly active, selective, and durable catalysts for on‐purpose ethene production.</w:t>
      </w:r>
    </w:p>
    <w:p>
      <w:pPr>
        <w:spacing w:before="120" w:after="120"/>
      </w:pPr>
      <w:r>
        <w:rPr>
          <w:sz w:val="18"/>
        </w:rPr>
        <w:t>——————————————————————————————————————————————————————————————————————</w:t>
      </w:r>
    </w:p>
    <w:p>
      <w:pPr>
        <w:spacing w:before="160" w:after="40" w:line="240" w:lineRule="auto"/>
      </w:pPr>
      <w:r>
        <w:rPr>
          <w:b/>
        </w:rPr>
        <w:t xml:space="preserve">[316] </w:t>
      </w:r>
      <w:hyperlink r:id="rId478">
        <w:r>
          <w:rPr>
            <w:color w:val="1155CC"/>
            <w:u w:val="single"/>
          </w:rPr>
          <w:t>二氢苯并苯乙烯基共价有机框架的能源水平工程,通过扩大核心面积实现坦迪姆光催化聚合化</w:t>
        </w:r>
      </w:hyperlink>
    </w:p>
    <w:p>
      <w:pPr>
        <w:spacing w:before="0" w:after="80"/>
      </w:pPr>
      <w:r>
        <w:rPr>
          <w:i/>
          <w:sz w:val="20"/>
        </w:rPr>
        <w:t>EN: Energy Level Engineering of Dihydrophenazine‐Based Covalent Organic Frameworks Through π‐Expansion of Cores Toward Tandem Photocatalytic Polymerization</w:t>
      </w:r>
    </w:p>
    <w:p>
      <w:pPr>
        <w:spacing w:before="0" w:after="120"/>
      </w:pPr>
      <w:r>
        <w:rPr>
          <w:b/>
        </w:rPr>
        <w:t xml:space="preserve">Source: </w:t>
      </w:r>
      <w:r>
        <w:t>Wiley: Angewandte Chemie International Edition: Table of Contents</w:t>
      </w:r>
      <w:r>
        <w:t xml:space="preserve">    </w:t>
      </w:r>
      <w:r>
        <w:rPr>
          <w:b/>
        </w:rPr>
        <w:t xml:space="preserve">Pub date: </w:t>
      </w:r>
      <w:r>
        <w:t>2026-01-07 11:45:40+00:00</w:t>
      </w:r>
      <w:r>
        <w:t xml:space="preserve">    </w:t>
      </w:r>
      <w:r>
        <w:rPr>
          <w:b/>
        </w:rPr>
        <w:t xml:space="preserve">DOI: </w:t>
      </w:r>
      <w:hyperlink r:id="rId479">
        <w:r>
          <w:rPr>
            <w:color w:val="1155CC"/>
            <w:u w:val="single"/>
          </w:rPr>
          <w:t>10.1002/anie.202523520</w:t>
        </w:r>
      </w:hyperlink>
    </w:p>
    <w:p>
      <w:pPr>
        <w:spacing w:before="0" w:after="120"/>
      </w:pPr>
      <w:r>
        <w:rPr>
          <w:b/>
        </w:rPr>
        <w:t xml:space="preserve">Notes: </w:t>
      </w:r>
      <w:r>
        <w:t>abstract_source=crossref</w:t>
      </w:r>
    </w:p>
    <w:p>
      <w:pPr>
        <w:spacing w:before="0" w:after="80" w:lineRule="auto" w:line="276"/>
      </w:pPr>
      <w:r>
        <w:rPr>
          <w:b/>
        </w:rPr>
        <w:t xml:space="preserve">摘要（ZH）: </w:t>
      </w:r>
      <w:r>
        <w:t>在这项工作中,我们设计和合成一系列三维(3D)碳氟化碳,并配以不同的扩展二氢苯乙烯核心,以取得较高的光化性能。这些三维碳化碳显示出极好的晶度、高表面积和显著的化学稳定性。更重要的是,它们可以发挥高效和可回收的催化剂的作用,利用聚苯乙烯和氟烷烃碘化氢化物作为亚酸盐,产生含氟丙烯酸聚苯乙烯的聚苯乙烯聚合物,产生分解性极窄的氟烷基聚苯乙烯聚合物。</w:t>
      </w:r>
    </w:p>
    <w:p>
      <w:pPr>
        <w:spacing w:before="0" w:after="200" w:lineRule="auto" w:line="276"/>
      </w:pPr>
      <w:r>
        <w:rPr>
          <w:b/>
        </w:rPr>
        <w:t xml:space="preserve">Abstract (EN): </w:t>
      </w:r>
      <w:r>
        <w:t>Covalent organic frameworks (COFs) incorporating photoredox‐active motifs show great promise as heterogeneous catalysts, yet their applications have been largely confined to one‐step transformations. In this work, we design and synthesize a series of three‐dimensional (3D) COFs with different π‐extended dihydrophenazine cores to achieve superior photocatalytic performance. These 3D COFs exhibit excellent crystallinity, high surface areas, and remarkable chemical stability. More importantly, they can work as highly efficient and recyclable catalysts for photocatalytic tandem polymerization reactions using styrene and fluoroalkyl anhydrides as substrates, yielding fluoroalkylated polystyrene polymers with narrow dispersity. These COFs constitute the first examples as tandem photocatalysts toward polymerization reactions. Moreover, optimal energy level alignment and enhanced photophysical properties are identified as key factors contributing to their high efficacy. This work not only provides a viable design strategy for multifunctional COF catalysts, but also expands their utility in complex synthetic sequences involving tandem catalytic processes.</w:t>
      </w:r>
    </w:p>
    <w:p>
      <w:pPr>
        <w:spacing w:before="120" w:after="120"/>
      </w:pPr>
      <w:r>
        <w:rPr>
          <w:sz w:val="18"/>
        </w:rPr>
        <w:t>——————————————————————————————————————————————————————————————————————</w:t>
      </w:r>
    </w:p>
    <w:p>
      <w:pPr>
        <w:spacing w:before="160" w:after="40" w:line="240" w:lineRule="auto"/>
      </w:pPr>
      <w:r>
        <w:rPr>
          <w:b/>
        </w:rPr>
        <w:t xml:space="preserve">[317] </w:t>
      </w:r>
      <w:hyperlink r:id="rId480">
        <w:r>
          <w:rPr>
            <w:color w:val="1155CC"/>
            <w:u w:val="single"/>
          </w:rPr>
          <w:t>[ASAP] 利用含有三氧化沙林共聚光氨氨基甲氨基甲氨基甲胺的新光光反应聚聚性微地核核分裂物质,探测具有5-五倍重要光学重要性的五-形式细胞改变[ASAP]</w:t>
        </w:r>
      </w:hyperlink>
    </w:p>
    <w:p>
      <w:pPr>
        <w:spacing w:before="0" w:after="80"/>
      </w:pPr>
      <w:r>
        <w:rPr>
          <w:i/>
          <w:sz w:val="20"/>
        </w:rPr>
        <w:t>EN: [ASAP] Detection of Epigenetically Important 5-Formylcytosine Modifications Using Novel Photoreactive Oligonucleotides Containing a Trioxsalen-Conjugated Guanosine</w:t>
      </w:r>
    </w:p>
    <w:p>
      <w:pPr>
        <w:spacing w:before="0" w:after="120"/>
      </w:pPr>
      <w:r>
        <w:rPr>
          <w:b/>
        </w:rPr>
        <w:t xml:space="preserve">Source: </w:t>
      </w:r>
      <w:r>
        <w:t>Journal of the American Chemical Society: Latest Articles (ACS Publications)</w:t>
      </w:r>
      <w:r>
        <w:t xml:space="preserve">    </w:t>
      </w:r>
      <w:r>
        <w:rPr>
          <w:b/>
        </w:rPr>
        <w:t xml:space="preserve">Pub date: </w:t>
      </w:r>
      <w:r>
        <w:t>2026-01-07 11:48:40+00:00</w:t>
      </w:r>
      <w:r>
        <w:t xml:space="preserve">    </w:t>
      </w:r>
      <w:r>
        <w:rPr>
          <w:b/>
        </w:rPr>
        <w:t xml:space="preserve">DOI: </w:t>
      </w:r>
      <w:hyperlink r:id="rId481">
        <w:r>
          <w:rPr>
            <w:color w:val="1155CC"/>
            <w:u w:val="single"/>
          </w:rPr>
          <w:t>10.1021/jacs.5c11463</w:t>
        </w:r>
      </w:hyperlink>
    </w:p>
    <w:p>
      <w:pPr>
        <w:spacing w:before="0" w:after="120"/>
      </w:pPr>
      <w:r>
        <w:rPr>
          <w:b/>
        </w:rPr>
        <w:t xml:space="preserve">Notes: </w:t>
      </w:r>
      <w:r>
        <w:t>abstract_source=pubmed</w:t>
      </w:r>
    </w:p>
    <w:p>
      <w:pPr>
        <w:spacing w:before="0" w:after="80" w:lineRule="auto" w:line="276"/>
      </w:pPr>
      <w:r>
        <w:rPr>
          <w:b/>
        </w:rPr>
        <w:t xml:space="preserve">摘要（ZH）: </w:t>
      </w:r>
      <w:r>
        <w:t>控制特定基因表达方式的外生基因变异控制严格地调节了转基因,其中一种变异是5-甲基细胞素(5mC),这种变异是通过DNA甲基转移酶和基因促销者转录消音器的功能而形成,由细胞甲基甲基甲基化成的5-甲基细胞素(5mC),并发挥基因促销者转录消化器的作用。由10-Even转移酶(TET)对随后的变异进行动态调节,催化5mC的连续氧化,以产生5-羟基甲基细胞素、5-乙基苯基苯乙烯(5fC)和5-corboxycycytosine。最近,这些氧化的细胞素衍生物在脱甲基化过程中被指为不仅仅是中间体;然而,每一种衍生物在生物方面起着独特的相关作用。一种用于检测这些细胞素改变的可相互连接的显像性寡核素探针可以支持SPASPA。</w:t>
      </w:r>
    </w:p>
    <w:p>
      <w:pPr>
        <w:spacing w:before="0" w:after="200" w:lineRule="auto" w:line="276"/>
      </w:pPr>
      <w:r>
        <w:rPr>
          <w:b/>
        </w:rPr>
        <w:t xml:space="preserve">Abstract (EN): </w:t>
      </w:r>
      <w:r>
        <w:t>Transcription is tightly regulated by epigenetic modifications that control the expression of specific genes. One such modification is 5-methylcytosine (5mC) that is formed by cytosine methylation via DNA methyltransferases and functions as a transcriptional silencer of gene promoters. Dynamically regulated subsequent modifications by ten-eleven translocation (TET) enzymes catalyze the sequential oxidation of 5mC for generating 5-hydroxymethylcytosine, 5-formylcytosine (5fC), and 5-carboxylcytosine. Recently, these oxidized cytosine derivatives were indicated as not merely intermediates in the demethylation process; however, each derivative plays a unique biologically relevant role. A photo-crosslinkable oligonucleotide probe for detecting these cytosine modifications could support the spatiotemporal functional analysis of cytosine derivatives via a light stimulus. Herein, we designed novel photoreactive nucleosides by conjugating a psoralen (Ps) derivative, trioxsalen, to the C2' position of guanosine (GPs and GPs2) and developed photo-crosslinkable oligonucleotides (GPs-Oligo and GPs2-Oligo). In particular, GPs-Oligo demonstrated an intriguing and unique ability of photo-crosslinking with 5fC. GPs-Oligo was employed to detect 5fC using a DNA chip glass plate, which demonstrated the potential of GPs-Oligo for future investigation of the function of 5fC inside cells.</w:t>
      </w:r>
    </w:p>
    <w:p>
      <w:pPr>
        <w:spacing w:before="120" w:after="120"/>
      </w:pPr>
      <w:r>
        <w:rPr>
          <w:sz w:val="18"/>
        </w:rPr>
        <w:t>——————————————————————————————————————————————————————————————————————</w:t>
      </w:r>
    </w:p>
    <w:p>
      <w:pPr>
        <w:spacing w:before="160" w:after="40" w:line="240" w:lineRule="auto"/>
      </w:pPr>
      <w:r>
        <w:rPr>
          <w:b/>
        </w:rPr>
        <w:t xml:space="preserve">[318] </w:t>
      </w:r>
      <w:hyperlink r:id="rId482">
        <w:r>
          <w:rPr>
            <w:color w:val="1155CC"/>
            <w:u w:val="single"/>
          </w:rPr>
          <w:t>[ASAP]利用动态核极化15N、35Cl、77Se和113Cd固态NMR光谱仪检测利用动态核极化15NN、35Cl、77Se和113Cd NMR光谱仪的探探探探探探探探地雷/CLOID-Passed CdSe Nancrystal的表面结构</w:t>
        </w:r>
      </w:hyperlink>
    </w:p>
    <w:p>
      <w:pPr>
        <w:spacing w:before="0" w:after="80"/>
      </w:pPr>
      <w:r>
        <w:rPr>
          <w:i/>
          <w:sz w:val="20"/>
        </w:rPr>
        <w:t>EN: [ASAP] Probing the Surface Structure of Amine/Chloride-Passivated CdSe Nanocrystals Using Dynamic Nuclear Polarization-Enhanced 15N, 35Cl, 77Se, and 113Cd Solid-State NMR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2026-01-07 13:20:56+00:00</w:t>
      </w:r>
      <w:r>
        <w:t xml:space="preserve">    </w:t>
      </w:r>
      <w:r>
        <w:rPr>
          <w:b/>
        </w:rPr>
        <w:t xml:space="preserve">DOI: </w:t>
      </w:r>
      <w:hyperlink r:id="rId483">
        <w:r>
          <w:rPr>
            <w:color w:val="1155CC"/>
            <w:u w:val="single"/>
          </w:rPr>
          <w:t>10.1021/jacs.5c18223</w:t>
        </w:r>
      </w:hyperlink>
    </w:p>
    <w:p>
      <w:pPr>
        <w:spacing w:before="0" w:after="120"/>
      </w:pPr>
      <w:r>
        <w:rPr>
          <w:b/>
        </w:rPr>
        <w:t xml:space="preserve">Notes: </w:t>
      </w:r>
      <w:r>
        <w:t>abstract_source=pubmed</w:t>
      </w:r>
    </w:p>
    <w:p>
      <w:pPr>
        <w:spacing w:before="0" w:after="80" w:lineRule="auto" w:line="276"/>
      </w:pPr>
      <w:r>
        <w:rPr>
          <w:b/>
        </w:rPr>
        <w:t xml:space="preserve">摘要（ZH）: </w:t>
      </w:r>
      <w:r>
        <w:t>在这项研究中,我们合成了以幼类覆盖的CdSe NCNS(CdSe) NCNS(MAT),将其与聚氨酯/CdCl2交换,并使用了动态核极化(DNP)增强固态NMR光谱仪,以确定与离子(Ncs)结合的表面Cd原子的结构。 113Cd和77Se NMR实验区分了CdSe NCNS(CdSe NCS)中不同类型的113Cd和77Se NMR环境。DNP-增强113Cd 的113Cd魔角转动(MAT)实验使得能够确定CdSe NCs的1个散装和2个表面CD环境,而DNP-增强15N{1H}和15N{113Cd}热核相关实验揭示了CdSe表面协调的氮原子。</w:t>
      </w:r>
    </w:p>
    <w:p>
      <w:pPr>
        <w:spacing w:before="0" w:after="200" w:lineRule="auto" w:line="276"/>
      </w:pPr>
      <w:r>
        <w:rPr>
          <w:b/>
        </w:rPr>
        <w:t xml:space="preserve">Abstract (EN): </w:t>
      </w:r>
      <w:r>
        <w:t>Ligands have been extensively used to modulate and improve the photophysical properties of nanocrystals (NCs). However, the surface structure of many NCs remains unknown. In this study, we synthesized oleate-capped CdSe NCs, exchanged them with oleylamine/CdCl2, and used dynamic nuclear polarization (DNP)-enhanced solid-state NMR spectroscopy to determine the structure of surface Cd atoms bound to ligands. 113Cd and 77Se NMR experiments distinguish different types of 113Cd and 77Se environments in the CdSe NCs. DNP-enhanced 113Cd magic angle turning (MAT) experiments enable the identification of one bulk and two surface Cd environments in CdSe NCs, while DNP-enhanced 15N{1H} and 15N{113Cd} heteronuclear correlation experiments reveal nitrogen coordinated Cd atoms on the surface of the CdSe NCs. Indirect detection of chloride ligands was achieved using DNP-enhanced 113Cd{35Cl} J-resolved experiments, revealing that the chlorides bridge between surface Cd atoms. Comparing the experimental NMR spectra to relativistic density functional theory calculation models establishes two distinct surface Cd environments that differ by their ligand environments: one site is coordinated by one amine and a bridging chloride, while the other is coordinated by two amines.</w:t>
      </w:r>
    </w:p>
    <w:p>
      <w:pPr>
        <w:spacing w:before="120" w:after="120"/>
      </w:pPr>
      <w:r>
        <w:rPr>
          <w:sz w:val="18"/>
        </w:rPr>
        <w:t>——————————————————————————————————————————————————————————————————————</w:t>
      </w:r>
    </w:p>
    <w:p>
      <w:pPr>
        <w:spacing w:before="160" w:after="40" w:line="240" w:lineRule="auto"/>
      </w:pPr>
      <w:r>
        <w:rPr>
          <w:b/>
        </w:rPr>
        <w:t xml:space="preserve">[319] </w:t>
      </w:r>
      <w:hyperlink r:id="rId484">
        <w:r>
          <w:rPr>
            <w:color w:val="1155CC"/>
            <w:u w:val="single"/>
          </w:rPr>
          <w:t>[ASAP] 含有主导铜和氧化氧化物化学的电池电池阴极</w:t>
        </w:r>
      </w:hyperlink>
    </w:p>
    <w:p>
      <w:pPr>
        <w:spacing w:before="0" w:after="80"/>
      </w:pPr>
      <w:r>
        <w:rPr>
          <w:i/>
          <w:sz w:val="20"/>
        </w:rPr>
        <w:t>EN: [ASAP] Sodium-Ion Battery Cathode with Dominating Copper and Oxygen Redox Chemistry</w:t>
      </w:r>
    </w:p>
    <w:p>
      <w:pPr>
        <w:spacing w:before="0" w:after="120"/>
      </w:pPr>
      <w:r>
        <w:rPr>
          <w:b/>
        </w:rPr>
        <w:t xml:space="preserve">Source: </w:t>
      </w:r>
      <w:r>
        <w:t>ACS Energy Letters: Latest Articles (ACS Publications)</w:t>
      </w:r>
      <w:r>
        <w:t xml:space="preserve">    </w:t>
      </w:r>
      <w:r>
        <w:rPr>
          <w:b/>
        </w:rPr>
        <w:t xml:space="preserve">Pub date: </w:t>
      </w:r>
      <w:r>
        <w:t>2026-01-07 14:11:25+00:00</w:t>
      </w:r>
      <w:r>
        <w:t xml:space="preserve">    </w:t>
      </w:r>
      <w:r>
        <w:rPr>
          <w:b/>
        </w:rPr>
        <w:t xml:space="preserve">DOI: </w:t>
      </w:r>
      <w:hyperlink r:id="rId485">
        <w:r>
          <w:rPr>
            <w:color w:val="1155CC"/>
            <w:u w:val="single"/>
          </w:rPr>
          <w:t>10.1021/acsenergylett.5c03483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[320] </w:t>
      </w:r>
      <w:hyperlink r:id="rId486">
        <w:r>
          <w:rPr>
            <w:color w:val="1155CC"/>
            <w:u w:val="single"/>
          </w:rPr>
          <w:t>[ASAP] 用于酸氧进化的稳定的金属多盘 RuO2催化器双描述器-指导筛选</w:t>
        </w:r>
      </w:hyperlink>
    </w:p>
    <w:p>
      <w:pPr>
        <w:spacing w:before="0" w:after="80"/>
      </w:pPr>
      <w:r>
        <w:rPr>
          <w:i/>
          <w:sz w:val="20"/>
        </w:rPr>
        <w:t>EN: [ASAP] Dual-Descriptor-Guided Screening of Stable Metal-Doped RuO2 Catalysts for Acidic Oxygen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2026-01-07 14:20:52+00:00</w:t>
      </w:r>
      <w:r>
        <w:t xml:space="preserve">    </w:t>
      </w:r>
      <w:r>
        <w:rPr>
          <w:b/>
        </w:rPr>
        <w:t xml:space="preserve">DOI: </w:t>
      </w:r>
      <w:hyperlink r:id="rId487">
        <w:r>
          <w:rPr>
            <w:color w:val="1155CC"/>
            <w:u w:val="single"/>
          </w:rPr>
          <w:t>10.1021/jacs.5c17145</w:t>
        </w:r>
      </w:hyperlink>
    </w:p>
    <w:p>
      <w:pPr>
        <w:spacing w:before="0" w:after="120"/>
      </w:pPr>
      <w:r>
        <w:rPr>
          <w:b/>
        </w:rPr>
        <w:t xml:space="preserve">Notes: </w:t>
      </w:r>
      <w:r>
        <w:t>abstract_source=pubmed</w:t>
      </w:r>
    </w:p>
    <w:p>
      <w:pPr>
        <w:spacing w:before="0" w:after="80" w:lineRule="auto" w:line="276"/>
      </w:pPr>
      <w:r>
        <w:rPr>
          <w:b/>
        </w:rPr>
        <w:t xml:space="preserve">摘要（ZH）: </w:t>
      </w:r>
      <w:r>
        <w:t>将金属元素添加到 RuO2 中, 提高质子交换膜水电解器( PEMWES)的效率, 然而,由于结构、电子和热力因素的复杂相互作用, 确定最佳的多管动物仍然具有挑战性。 在这里, 计算以 E- PH 为基础的 Pourbaix 图表, 加上 Ru- O 债券长度分析, 成为评估 RuO2 的阴道诱导稳定的双重描述符。 首先, 通过比较M- Ru2 表面的三个氧协调国家的形成能量, 暴露出各种多关的热动力偏好: O- 覆盖 ( Oc)、 纯净化 和 O- 消耗 ( Od) 。 第二, 用于 M- RuO2 的由 Rub2 构成的pH 函数 的第一条原则衍生 Pourbaix 图表, 反映了氧化过程中的质子/ 和电子转移 。</w:t>
      </w:r>
    </w:p>
    <w:p>
      <w:pPr>
        <w:spacing w:before="0" w:after="200" w:lineRule="auto" w:line="276"/>
      </w:pPr>
      <w:r>
        <w:rPr>
          <w:b/>
        </w:rPr>
        <w:t xml:space="preserve">Abstract (EN): </w:t>
      </w:r>
      <w:r>
        <w:t>Doping metallic elements into RuO2 enhances the efficiency of proton-exchange membrane water electrolyzers (PEMWEs), yet identifying optimal dopants remains challenging due to a complex interplay of structural, electronic, and thermodynamic factors. Herein, computed E-pH-based Pourbaix diagrams combined with Ru-O bond-length analysis served as dual descriptors to evaluate the dopant-induced stability of RuO2. First, thermodynamic preferences of various dopants were revealed by comparing the formation energies of three oxygen-coordination states on M-RuO2 surfaces: O-covered (Oc), pristine, and O-depleted (Od). Second, first-principles-derived Pourbaix diagrams for M-RuO2, constructed as a function of pH from the formation energy, reflected the proton/electron transfer during oxidation and revealed metal-dependent thermodynamic stability. These diagrams defined distinct stability regions (SRs), governed by triple-point pH and phase-transition potentials (RuO2 to Ru3+/RuO4), serving as effective descriptors for dopant screening. Third, the Ru-O bond length (BL) acted as a structural descriptor, revealing that longer Ru*O-O (Ru*O: Ru with O adsorption) bonds suppress RuO4 formation, while shorter RuOv-O (RuOv: Ru with O vacancies) bonds reduce Ru3+ formation. This led to a volcano-type relationship between the SR and BLs, establishing two thresholds for dopant selection. Finally, eight dopants (Rh, Zn, Ga, Bi, Mn, Nb, Sn, and Os) were identified at the volcano peak, consistent with the experiments. Together, these thermodynamic structural descriptors offer a robust, universal framework for screening stable Ru-based electrocatalysts.</w:t>
      </w:r>
    </w:p>
    <w:p>
      <w:pPr>
        <w:spacing w:before="120" w:after="120"/>
      </w:pPr>
      <w:r>
        <w:rPr>
          <w:sz w:val="18"/>
        </w:rPr>
        <w:t>——————————————————————————————————————————————————————————————————————</w:t>
      </w:r>
    </w:p>
    <w:p>
      <w:pPr>
        <w:spacing w:before="160" w:after="40" w:line="240" w:lineRule="auto"/>
      </w:pPr>
      <w:r>
        <w:rPr>
          <w:b/>
        </w:rPr>
        <w:t xml:space="preserve">[321] </w:t>
      </w:r>
      <w:hyperlink r:id="rId488">
        <w:r>
          <w:rPr>
            <w:color w:val="1155CC"/>
            <w:u w:val="single"/>
          </w:rPr>
          <w:t>[ASAP] 高集中电解解器中的锂键</w:t>
        </w:r>
      </w:hyperlink>
    </w:p>
    <w:p>
      <w:pPr>
        <w:spacing w:before="0" w:after="80"/>
      </w:pPr>
      <w:r>
        <w:rPr>
          <w:i/>
          <w:sz w:val="20"/>
        </w:rPr>
        <w:t>EN: [ASAP] Lithium Bond in High-Concentration Electrolytes</w:t>
      </w:r>
    </w:p>
    <w:p>
      <w:pPr>
        <w:spacing w:before="0" w:after="120"/>
      </w:pPr>
      <w:r>
        <w:rPr>
          <w:b/>
        </w:rPr>
        <w:t xml:space="preserve">Source: </w:t>
      </w:r>
      <w:r>
        <w:t>ACS Energy Letters: Latest Articles (ACS Publications)</w:t>
      </w:r>
      <w:r>
        <w:t xml:space="preserve">    </w:t>
      </w:r>
      <w:r>
        <w:rPr>
          <w:b/>
        </w:rPr>
        <w:t xml:space="preserve">Pub date: </w:t>
      </w:r>
      <w:r>
        <w:t>2026-01-07 14:48:08+00:00</w:t>
      </w:r>
      <w:r>
        <w:t xml:space="preserve">    </w:t>
      </w:r>
      <w:r>
        <w:rPr>
          <w:b/>
        </w:rPr>
        <w:t xml:space="preserve">DOI: </w:t>
      </w:r>
      <w:hyperlink r:id="rId489">
        <w:r>
          <w:rPr>
            <w:color w:val="1155CC"/>
            <w:u w:val="single"/>
          </w:rPr>
          <w:t>10.1021/acsenergylett.5c03804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[322] </w:t>
      </w:r>
      <w:hyperlink r:id="rId490">
        <w:r>
          <w:rPr>
            <w:color w:val="1155CC"/>
            <w:u w:val="single"/>
          </w:rPr>
          <w:t>Ribozyme催解的遗传编码RNA小滴的生长、分解和分离</w:t>
        </w:r>
      </w:hyperlink>
    </w:p>
    <w:p>
      <w:pPr>
        <w:spacing w:before="0" w:after="80"/>
      </w:pPr>
      <w:r>
        <w:rPr>
          <w:i/>
          <w:sz w:val="20"/>
        </w:rPr>
        <w:t>EN: Growth, Dissolution and Segregation of Genetically Encoded RNA Droplets by Ribozyme Catalysis</w:t>
      </w:r>
    </w:p>
    <w:p>
      <w:pPr>
        <w:spacing w:before="0" w:after="120"/>
      </w:pPr>
      <w:r>
        <w:rPr>
          <w:b/>
        </w:rPr>
        <w:t xml:space="preserve">Source: </w:t>
      </w:r>
      <w:r>
        <w:t>Wiley: Angewandte Chemie International Edition: Table of Contents</w:t>
      </w:r>
      <w:r>
        <w:t xml:space="preserve">    </w:t>
      </w:r>
      <w:r>
        <w:rPr>
          <w:b/>
        </w:rPr>
        <w:t xml:space="preserve">Pub date: </w:t>
      </w:r>
      <w:r>
        <w:t>2026-01-07 15:15:19+00:00</w:t>
      </w:r>
      <w:r>
        <w:t xml:space="preserve">    </w:t>
      </w:r>
      <w:r>
        <w:rPr>
          <w:b/>
        </w:rPr>
        <w:t xml:space="preserve">DOI: </w:t>
      </w:r>
      <w:hyperlink r:id="rId491">
        <w:r>
          <w:rPr>
            <w:color w:val="1155CC"/>
            <w:u w:val="single"/>
          </w:rPr>
          <w:t>10.1002/anie.202519002</w:t>
        </w:r>
      </w:hyperlink>
    </w:p>
    <w:p>
      <w:pPr>
        <w:spacing w:before="0" w:after="120"/>
      </w:pPr>
      <w:r>
        <w:rPr>
          <w:b/>
        </w:rPr>
        <w:t xml:space="preserve">Notes: </w:t>
      </w:r>
      <w:r>
        <w:t>abstract_source=crossref</w:t>
      </w:r>
    </w:p>
    <w:p>
      <w:pPr>
        <w:spacing w:before="0" w:after="80" w:lineRule="auto" w:line="276"/>
      </w:pPr>
      <w:r>
        <w:rPr>
          <w:b/>
        </w:rPr>
        <w:t xml:space="preserve">摘要（ZH）: </w:t>
      </w:r>
      <w:r>
        <w:t>由内部化学反应驱动的抽象活性滴子、无膜隔板,是蛋白细胞和合成生命的令人信服的模型。一个中心挑战是如何利用遗传遗传信息规划其动态行为,这将赋予它们进化能力。在这里,我们通过将树枝状液滴子的催解点直接整合到自组序列中来创建短暂活性RNA液滴子,4纳瓦-RNA纳米恒星。为了能够渗透并观察随时间推移产生的动态,我们开发了一种方法,通过定点的现场光聚合来捕捉凝胶笼中的单个滴子。这使我们能够量化序列-可编程滴子解体,并通过在快(大头)之间选择来控制退化的动能。</w:t>
      </w:r>
    </w:p>
    <w:p>
      <w:pPr>
        <w:spacing w:before="0" w:after="200" w:lineRule="auto" w:line="276"/>
      </w:pPr>
      <w:r>
        <w:rPr>
          <w:b/>
        </w:rPr>
        <w:t xml:space="preserve">Abstract (EN): </w:t>
      </w:r>
      <w:r>
        <w:t>Active droplets, membraneless compartments driven by internal chemical reactions, are compelling models for protocells and synthetic life. A central challenge is to program their dynamic behaviors using heritable genetic information, which would grant them the capacity to evolve. Here, we create transiently active RNA droplets by integrating sites for ribozyme catalysis directly into the sequence of self‐assembling, four‐arm RNA nanostars. To enable perfusion and observe the resulting dynamics over time, we develop a method for trapping individual droplets in hydrogel cages by targeted in situ photopolymerization. This enables us to quantify the sequence‐programmable droplet dissolution and to control the degradation kinetics by choosing between fast (hammerhead) and slow (hairpin) ribozymes. Furthermore, we trigger the segregation of mixed droplet populations via the sequence‐specific cleavage of a chimeric linker RNA. The droplet‐encapsulated DNA templates code for the regrowth of new droplets, establishing the proof‐of‐principle for a minimal, genetically encoded cycle of dissolution and regrowth. By directly linking RNA sequence to droplet stability, composition, and life‐cycle dynamics, our work provides a robust platform for engineering evolvable materials and advancing the bottom‐up construction of synthetic cells.</w:t>
      </w:r>
    </w:p>
    <w:p>
      <w:pPr>
        <w:spacing w:before="120" w:after="120"/>
      </w:pPr>
      <w:r>
        <w:rPr>
          <w:sz w:val="18"/>
        </w:rPr>
        <w:t>——————————————————————————————————————————————————————————————————————</w:t>
      </w:r>
    </w:p>
    <w:p>
      <w:pPr>
        <w:spacing w:before="160" w:after="40" w:line="240" w:lineRule="auto"/>
      </w:pPr>
      <w:r>
        <w:rPr>
          <w:b/>
        </w:rPr>
        <w:t xml:space="preserve">[323] </w:t>
      </w:r>
      <w:hyperlink r:id="rId492">
        <w:r>
          <w:rPr>
            <w:color w:val="1155CC"/>
            <w:u w:val="single"/>
          </w:rPr>
          <w:t>将基于铜的催化剂中的二氧化碳减为甲醇:机械透视和工业前景</w:t>
        </w:r>
      </w:hyperlink>
    </w:p>
    <w:p>
      <w:pPr>
        <w:spacing w:before="0" w:after="80"/>
      </w:pPr>
      <w:r>
        <w:rPr>
          <w:i/>
          <w:sz w:val="20"/>
        </w:rPr>
        <w:t>EN: Electrochemical Carbon Dioxide Reduction to Methanol on Copper‐Based Catalysts: Mechanistic Insights and Industrial Prospects</w:t>
      </w:r>
    </w:p>
    <w:p>
      <w:pPr>
        <w:spacing w:before="0" w:after="120"/>
      </w:pPr>
      <w:r>
        <w:rPr>
          <w:b/>
        </w:rPr>
        <w:t xml:space="preserve">Source: </w:t>
      </w:r>
      <w:r>
        <w:t>Wiley: Advanced Materials: Table of Contents</w:t>
      </w:r>
      <w:r>
        <w:t xml:space="preserve">    </w:t>
      </w:r>
      <w:r>
        <w:rPr>
          <w:b/>
        </w:rPr>
        <w:t xml:space="preserve">Pub date: </w:t>
      </w:r>
      <w:r>
        <w:t>2026-01-07 15:16:09+00:00</w:t>
      </w:r>
      <w:r>
        <w:t xml:space="preserve">    </w:t>
      </w:r>
      <w:r>
        <w:rPr>
          <w:b/>
        </w:rPr>
        <w:t xml:space="preserve">DOI: </w:t>
      </w:r>
      <w:hyperlink r:id="rId493">
        <w:r>
          <w:rPr>
            <w:color w:val="1155CC"/>
            <w:u w:val="single"/>
          </w:rPr>
          <w:t>10.1002/adma.202514994</w:t>
        </w:r>
      </w:hyperlink>
    </w:p>
    <w:p>
      <w:pPr>
        <w:spacing w:before="0" w:after="120"/>
      </w:pPr>
      <w:r>
        <w:rPr>
          <w:b/>
        </w:rPr>
        <w:t xml:space="preserve">Notes: </w:t>
      </w:r>
      <w:r>
        <w:t>abstract_source=crossref</w:t>
      </w:r>
    </w:p>
    <w:p>
      <w:pPr>
        <w:spacing w:before="0" w:after="80" w:lineRule="auto" w:line="276"/>
      </w:pPr>
      <w:r>
        <w:rPr>
          <w:b/>
        </w:rPr>
        <w:t xml:space="preserve">摘要（ZH）: </w:t>
      </w:r>
      <w:r>
        <w:t>电化学CO 2 削减(ECO 2 R)为利用可再生能源将CO 2 转化为高增值化学品提供了一条有希望的道路,在不同的ECO 2 R产品中,将CO 2 选择性转换为甲醇(CH 3 OH)作为燃料和化学原料具有重要的工业重要性,这一审查全面概述了铜(Cu)基催化剂在选择EC 2 R 到CH 3 OH方面的最新进展。</w:t>
      </w:r>
    </w:p>
    <w:p>
      <w:pPr>
        <w:spacing w:before="0" w:after="200" w:lineRule="auto" w:line="276"/>
      </w:pPr>
      <w:r>
        <w:rPr>
          <w:b/>
        </w:rPr>
        <w:t xml:space="preserve">Abstract (EN): </w:t>
      </w:r>
      <w:r>
        <w:t>Electrochemical CO</w:t>
      </w:r>
      <w:r>
        <w:rPr>
          <w:vertAlign w:val="subscript"/>
        </w:rPr>
        <w:t>2</w:t>
      </w:r>
      <w:r>
        <w:t>reduction (ECO</w:t>
      </w:r>
      <w:r>
        <w:rPr>
          <w:vertAlign w:val="subscript"/>
        </w:rPr>
        <w:t>2</w:t>
      </w:r>
      <w:r>
        <w:t>R) offers a promising route to convert CO</w:t>
      </w:r>
      <w:r>
        <w:rPr>
          <w:vertAlign w:val="subscript"/>
        </w:rPr>
        <w:t>2</w:t>
      </w:r>
      <w:r>
        <w:t>into high‐value‐added chemicals using renewable energy. Among the diverse ECO</w:t>
      </w:r>
      <w:r>
        <w:rPr>
          <w:vertAlign w:val="subscript"/>
        </w:rPr>
        <w:t>2</w:t>
      </w:r>
      <w:r>
        <w:t>R products, the selective conversion of CO</w:t>
      </w:r>
      <w:r>
        <w:rPr>
          <w:vertAlign w:val="subscript"/>
        </w:rPr>
        <w:t>2</w:t>
      </w:r>
      <w:r>
        <w:t>to methanol (CH</w:t>
      </w:r>
      <w:r>
        <w:rPr>
          <w:vertAlign w:val="subscript"/>
        </w:rPr>
        <w:t>3</w:t>
      </w:r>
      <w:r>
        <w:t>OH) holds significant industrial importance as a fuel and chemical feedstock. This review provides a comprehensive overview of recent progress in Copper (Cu)‐based catalysts for selective ECO</w:t>
      </w:r>
      <w:r>
        <w:rPr>
          <w:vertAlign w:val="subscript"/>
        </w:rPr>
        <w:t>2</w:t>
      </w:r>
      <w:r>
        <w:t>R to CH</w:t>
      </w:r>
      <w:r>
        <w:rPr>
          <w:vertAlign w:val="subscript"/>
        </w:rPr>
        <w:t>3</w:t>
      </w:r>
      <w:r>
        <w:t>OH. Key advancements in catalyst design and synthesis are discussed, followed by mechanistic insights obtained through computational modeling and advanced characterization techniques. Special focus is given to the structure‐activity relationship that controls CH</w:t>
      </w:r>
      <w:r>
        <w:rPr>
          <w:vertAlign w:val="subscript"/>
        </w:rPr>
        <w:t>3</w:t>
      </w:r>
      <w:r>
        <w:t>OH selectivity, disclosing the importance of intermediate stabilization and electronic structure tuning. Further, state‐of‐the‐art Cu‐based materials and benchmarking their performances under various operating conditions, including the role of electrolyzer configurations, electrolytes, and ion‐exchange membranes, is summarized. Moreover, we analyze challenges in upscaling, such as stability, selectivity under high current densities, and integration with renewable energy sources. Besides, the potential of tandem and hybrid systems to improve reaction pathways is also emphasized. Finally, techno‐economic considerations are explored to evaluate the feasibility of large‐scale CH</w:t>
      </w:r>
      <w:r>
        <w:rPr>
          <w:vertAlign w:val="subscript"/>
        </w:rPr>
        <w:t>3</w:t>
      </w:r>
      <w:r>
        <w:t>OH production. By combining fundamental understanding with practical implementation, this review provides strategic direction toward the rational design of Cu‐based electrocatalysts and the development of commercially viable ECO</w:t>
      </w:r>
      <w:r>
        <w:rPr>
          <w:vertAlign w:val="subscript"/>
        </w:rPr>
        <w:t>2</w:t>
      </w:r>
      <w:r>
        <w:t>R systems for sustainable CH</w:t>
      </w:r>
      <w:r>
        <w:rPr>
          <w:vertAlign w:val="subscript"/>
        </w:rPr>
        <w:t>3</w:t>
      </w:r>
      <w:r>
        <w:t>OH synthesis.</w:t>
      </w:r>
    </w:p>
    <w:p>
      <w:pPr>
        <w:spacing w:before="120" w:after="120"/>
      </w:pPr>
      <w:r>
        <w:rPr>
          <w:sz w:val="18"/>
        </w:rPr>
        <w:t>——————————————————————————————————————————————————————————————————————</w:t>
      </w:r>
    </w:p>
    <w:p>
      <w:pPr>
        <w:spacing w:before="160" w:after="40" w:line="240" w:lineRule="auto"/>
      </w:pPr>
      <w:r>
        <w:rPr>
          <w:b/>
        </w:rPr>
        <w:t xml:space="preserve">[324] </w:t>
      </w:r>
      <w:hyperlink r:id="rId494">
        <w:r>
          <w:rPr>
            <w:color w:val="1155CC"/>
            <w:u w:val="single"/>
          </w:rPr>
          <w:t>利用纳诺波尔生物VO4 以原子层为基地的光电层进行无生物太阳能和低氧化氢生产</w:t>
        </w:r>
      </w:hyperlink>
    </w:p>
    <w:p>
      <w:pPr>
        <w:spacing w:before="0" w:after="80"/>
      </w:pPr>
      <w:r>
        <w:rPr>
          <w:i/>
          <w:sz w:val="20"/>
        </w:rPr>
        <w:t>EN: Bias‐Free Solar‐To‐Hydrogen Peroxide Production Using Nanoporous BiVO4‐Based Photoanode With Atomic Layer Deposited SnO2</w:t>
      </w:r>
    </w:p>
    <w:p>
      <w:pPr>
        <w:spacing w:before="0" w:after="120"/>
      </w:pPr>
      <w:r>
        <w:rPr>
          <w:b/>
        </w:rPr>
        <w:t xml:space="preserve">Source: </w:t>
      </w:r>
      <w:r>
        <w:t>Wiley: Advanced Energy Materials: Table of Contents</w:t>
      </w:r>
      <w:r>
        <w:t xml:space="preserve">    </w:t>
      </w:r>
      <w:r>
        <w:rPr>
          <w:b/>
        </w:rPr>
        <w:t xml:space="preserve">Pub date: </w:t>
      </w:r>
      <w:r>
        <w:t>2026-01-07 15:18:30+00:00</w:t>
      </w:r>
      <w:r>
        <w:t xml:space="preserve">    </w:t>
      </w:r>
      <w:r>
        <w:rPr>
          <w:b/>
        </w:rPr>
        <w:t xml:space="preserve">DOI: </w:t>
      </w:r>
      <w:hyperlink r:id="rId495">
        <w:r>
          <w:rPr>
            <w:color w:val="1155CC"/>
            <w:u w:val="single"/>
          </w:rPr>
          <w:t>10.1002/aenm.202505447</w:t>
        </w:r>
      </w:hyperlink>
    </w:p>
    <w:p>
      <w:pPr>
        <w:spacing w:before="0" w:after="120"/>
      </w:pPr>
      <w:r>
        <w:rPr>
          <w:b/>
        </w:rPr>
        <w:t xml:space="preserve">Notes: </w:t>
      </w:r>
      <w:r>
        <w:t>abstract_source=crossref</w:t>
      </w:r>
    </w:p>
    <w:p>
      <w:pPr>
        <w:spacing w:before="0" w:after="80" w:lineRule="auto" w:line="276"/>
      </w:pPr>
      <w:r>
        <w:rPr>
          <w:b/>
        </w:rPr>
        <w:t xml:space="preserve">摘要（ZH）: </w:t>
      </w:r>
      <w:r>
        <w:t>ABSTACT 氢过氧化氢(H 2 O 2 ) 是一种绿色氧化剂,其能量密度与压缩氢相似,因此成为化学能源储存的可行选择。 通过光电化学水氧化反应将可再生能源转换为H 2 O 2 提供了可持续的途径,然而相互竞争的氧气进化反应限制了太阳化转换效率。在这里,我们开发了一种基于BiVo 4的光氮与符合的SnO 2 钝化层相结合的BiVo 4光氮。</w:t>
      </w:r>
    </w:p>
    <w:p>
      <w:pPr>
        <w:spacing w:before="0" w:after="200" w:lineRule="auto" w:line="276"/>
      </w:pPr>
      <w:r>
        <w:rPr>
          <w:b/>
        </w:rPr>
        <w:t xml:space="preserve">Abstract (EN): </w:t>
      </w:r>
      <w:r>
        <w:t>Hydrogen peroxide (H</w:t>
      </w:r>
      <w:r>
        <w:rPr>
          <w:vertAlign w:val="subscript"/>
        </w:rPr>
        <w:t>2</w:t>
      </w:r>
      <w:r>
        <w:t>O</w:t>
      </w:r>
      <w:r>
        <w:rPr>
          <w:vertAlign w:val="subscript"/>
        </w:rPr>
        <w:t>2</w:t>
      </w:r>
      <w:r>
        <w:t>) is a green oxidant with an energy density comparable to that of compressed hydrogen, making it a promising candidate for chemical energy storage. Converting renewable energy into H</w:t>
      </w:r>
      <w:r>
        <w:rPr>
          <w:vertAlign w:val="subscript"/>
        </w:rPr>
        <w:t>2</w:t>
      </w:r>
      <w:r>
        <w:t>O</w:t>
      </w:r>
      <w:r>
        <w:rPr>
          <w:vertAlign w:val="subscript"/>
        </w:rPr>
        <w:t>2</w:t>
      </w:r>
      <w:r>
        <w:t>via the photoelectrochemical water oxidation reaction offers a sustainable pathway, yet the competing oxygen evolution reaction limits the solar‐to‐chemical conversion (SCC) efficiency. Here, we develop a BiVO</w:t>
      </w:r>
      <w:r>
        <w:rPr>
          <w:vertAlign w:val="subscript"/>
        </w:rPr>
        <w:t>4</w:t>
      </w:r>
      <w:r>
        <w:t>based photoanode combined with a conformal SnO</w:t>
      </w:r>
      <w:r>
        <w:rPr>
          <w:vertAlign w:val="subscript"/>
        </w:rPr>
        <w:t>2</w:t>
      </w:r>
      <w:r>
        <w:t>passivation layer. A built‐in electric field is established at the SnO</w:t>
      </w:r>
      <w:r>
        <w:rPr>
          <w:vertAlign w:val="subscript"/>
        </w:rPr>
        <w:t>2</w:t>
      </w:r>
      <w:r>
        <w:t>/BiVO</w:t>
      </w:r>
      <w:r>
        <w:rPr>
          <w:vertAlign w:val="subscript"/>
        </w:rPr>
        <w:t>4</w:t>
      </w:r>
      <w:r>
        <w:t>heterojunction, which facilitates charge separation and promoting hole transport toward the SnO</w:t>
      </w:r>
      <w:r>
        <w:rPr>
          <w:vertAlign w:val="subscript"/>
        </w:rPr>
        <w:t>2</w:t>
      </w:r>
      <w:r>
        <w:t>surface. The valence band edge of SnO</w:t>
      </w:r>
      <w:r>
        <w:rPr>
          <w:vertAlign w:val="subscript"/>
        </w:rPr>
        <w:t>2</w:t>
      </w:r>
      <w:r>
        <w:t>is also thermodynamically favorable for H</w:t>
      </w:r>
      <w:r>
        <w:rPr>
          <w:vertAlign w:val="subscript"/>
        </w:rPr>
        <w:t>2</w:t>
      </w:r>
      <w:r>
        <w:t>O</w:t>
      </w:r>
      <w:r>
        <w:rPr>
          <w:vertAlign w:val="subscript"/>
        </w:rPr>
        <w:t>2</w:t>
      </w:r>
      <w:r>
        <w:t>production. To further improve H</w:t>
      </w:r>
      <w:r>
        <w:rPr>
          <w:vertAlign w:val="subscript"/>
        </w:rPr>
        <w:t>2</w:t>
      </w:r>
      <w:r>
        <w:t>O</w:t>
      </w:r>
      <w:r>
        <w:rPr>
          <w:vertAlign w:val="subscript"/>
        </w:rPr>
        <w:t>2</w:t>
      </w:r>
      <w:r>
        <w:t>production, a CaSnO</w:t>
      </w:r>
      <w:r>
        <w:rPr>
          <w:vertAlign w:val="subscript"/>
        </w:rPr>
        <w:t>3</w:t>
      </w:r>
      <w:r>
        <w:t>cocatalyst is integrated on the photoanode, enabling enhanced reaction kinetics and selectivity toward 2e</w:t>
      </w:r>
      <w:r>
        <w:t xml:space="preserve"> </w:t>
      </w:r>
      <w:r>
        <w:t>−</w:t>
      </w:r>
      <w:r>
        <w:t>water oxidation pathway. The resulting CaSnO</w:t>
      </w:r>
      <w:r>
        <w:rPr>
          <w:vertAlign w:val="subscript"/>
        </w:rPr>
        <w:t>3</w:t>
      </w:r>
      <w:r>
        <w:t>/SnO</w:t>
      </w:r>
      <w:r>
        <w:rPr>
          <w:vertAlign w:val="subscript"/>
        </w:rPr>
        <w:t>2</w:t>
      </w:r>
      <w:r>
        <w:t>/BiVO</w:t>
      </w:r>
      <w:r>
        <w:rPr>
          <w:vertAlign w:val="subscript"/>
        </w:rPr>
        <w:t>4</w:t>
      </w:r>
      <w:r>
        <w:t>photoanode achieves an average Faradaic efficiency of 90% over wide potential range of 0.6–2.1 V</w:t>
      </w:r>
      <w:r>
        <w:t xml:space="preserve"> </w:t>
      </w:r>
      <w:r>
        <w:t>RHE</w:t>
      </w:r>
      <w:r>
        <w:t xml:space="preserve"> </w:t>
      </w:r>
      <w:r>
        <w:t>, with a H</w:t>
      </w:r>
      <w:r>
        <w:rPr>
          <w:vertAlign w:val="subscript"/>
        </w:rPr>
        <w:t>2</w:t>
      </w:r>
      <w:r>
        <w:t>O</w:t>
      </w:r>
      <w:r>
        <w:rPr>
          <w:vertAlign w:val="subscript"/>
        </w:rPr>
        <w:t>2</w:t>
      </w:r>
      <w:r>
        <w:t>generation rate of 0.838 µmol cm</w:t>
      </w:r>
      <w:r>
        <w:t xml:space="preserve"> </w:t>
      </w:r>
      <w:r>
        <w:t>−2</w:t>
      </w:r>
      <w:r>
        <w:t xml:space="preserve"> </w:t>
      </w:r>
      <w:r>
        <w:t>min</w:t>
      </w:r>
      <w:r>
        <w:t xml:space="preserve"> </w:t>
      </w:r>
      <w:r>
        <w:t>−1</w:t>
      </w:r>
      <w:r>
        <w:t xml:space="preserve"> </w:t>
      </w:r>
      <w:r>
        <w:t>and a photocurrent density of 5.44 mA·cm</w:t>
      </w:r>
      <w:r>
        <w:t xml:space="preserve"> </w:t>
      </w:r>
      <w:r>
        <w:t>−2</w:t>
      </w:r>
      <w:r>
        <w:t xml:space="preserve"> </w:t>
      </w:r>
      <w:r>
        <w:t>at 1.23 V</w:t>
      </w:r>
      <w:r>
        <w:t xml:space="preserve"> </w:t>
      </w:r>
      <w:r>
        <w:t>RHE</w:t>
      </w:r>
      <w:r>
        <w:t xml:space="preserve"> </w:t>
      </w:r>
      <w:r>
        <w:t>. Photoelectrochemical device composed of CaSnO</w:t>
      </w:r>
      <w:r>
        <w:rPr>
          <w:vertAlign w:val="subscript"/>
        </w:rPr>
        <w:t>3</w:t>
      </w:r>
      <w:r>
        <w:t>/SnO</w:t>
      </w:r>
      <w:r>
        <w:rPr>
          <w:vertAlign w:val="subscript"/>
        </w:rPr>
        <w:t>2</w:t>
      </w:r>
      <w:r>
        <w:t>/BiVO</w:t>
      </w:r>
      <w:r>
        <w:rPr>
          <w:vertAlign w:val="subscript"/>
        </w:rPr>
        <w:t>4</w:t>
      </w:r>
      <w:r>
        <w:t>photoanode and perovskite/Si photovoltaic simultaneously produce H</w:t>
      </w:r>
      <w:r>
        <w:rPr>
          <w:vertAlign w:val="subscript"/>
        </w:rPr>
        <w:t>2</w:t>
      </w:r>
      <w:r>
        <w:t>O</w:t>
      </w:r>
      <w:r>
        <w:rPr>
          <w:vertAlign w:val="subscript"/>
        </w:rPr>
        <w:t>2</w:t>
      </w:r>
      <w:r>
        <w:t>and H</w:t>
      </w:r>
      <w:r>
        <w:rPr>
          <w:vertAlign w:val="subscript"/>
        </w:rPr>
        <w:t>2</w:t>
      </w:r>
      <w:r>
        <w:t>without applied bias, which achieving SCC efficiency of 1.12%, the highest record to date for bias‐free H</w:t>
      </w:r>
      <w:r>
        <w:rPr>
          <w:vertAlign w:val="subscript"/>
        </w:rPr>
        <w:t>2</w:t>
      </w:r>
      <w:r>
        <w:t>O</w:t>
      </w:r>
      <w:r>
        <w:rPr>
          <w:vertAlign w:val="subscript"/>
        </w:rPr>
        <w:t>2</w:t>
      </w:r>
      <w:r>
        <w:t>production at a single photoanode.</w:t>
      </w:r>
    </w:p>
    <w:p>
      <w:pPr>
        <w:spacing w:before="120" w:after="120"/>
      </w:pPr>
      <w:r>
        <w:rPr>
          <w:sz w:val="18"/>
        </w:rPr>
        <w:t>——————————————————————————————————————————————————————————————————————</w:t>
      </w:r>
    </w:p>
    <w:p>
      <w:pPr>
        <w:spacing w:before="160" w:after="40" w:line="240" w:lineRule="auto"/>
      </w:pPr>
      <w:r>
        <w:rPr>
          <w:b/>
        </w:rPr>
        <w:t xml:space="preserve">[325] </w:t>
      </w:r>
      <w:hyperlink r:id="rId496">
        <w:r>
          <w:rPr>
            <w:color w:val="1155CC"/>
            <w:u w:val="single"/>
          </w:rPr>
          <w:t>在DA有机半导体中向电泵激光</w:t>
        </w:r>
      </w:hyperlink>
    </w:p>
    <w:p>
      <w:pPr>
        <w:spacing w:before="0" w:after="80"/>
      </w:pPr>
      <w:r>
        <w:rPr>
          <w:i/>
          <w:sz w:val="20"/>
        </w:rPr>
        <w:t>EN: Suppressing Exciton‐Polaron Annihilation in a D‐π‐A Organic Semiconductor Toward Electrically Pumped Lasing</w:t>
      </w:r>
    </w:p>
    <w:p>
      <w:pPr>
        <w:spacing w:before="0" w:after="120"/>
      </w:pPr>
      <w:r>
        <w:rPr>
          <w:b/>
        </w:rPr>
        <w:t xml:space="preserve">Source: </w:t>
      </w:r>
      <w:r>
        <w:t>Wiley: Advanced Materials: Table of Contents</w:t>
      </w:r>
      <w:r>
        <w:t xml:space="preserve">    </w:t>
      </w:r>
      <w:r>
        <w:rPr>
          <w:b/>
        </w:rPr>
        <w:t xml:space="preserve">Pub date: </w:t>
      </w:r>
      <w:r>
        <w:t>2026-01-07 15:18:38+00:00</w:t>
      </w:r>
      <w:r>
        <w:t xml:space="preserve">    </w:t>
      </w:r>
      <w:r>
        <w:rPr>
          <w:b/>
        </w:rPr>
        <w:t xml:space="preserve">DOI: </w:t>
      </w:r>
      <w:hyperlink r:id="rId497">
        <w:r>
          <w:rPr>
            <w:color w:val="1155CC"/>
            <w:u w:val="single"/>
          </w:rPr>
          <w:t>10.1002/adma.202519708</w:t>
        </w:r>
      </w:hyperlink>
    </w:p>
    <w:p>
      <w:pPr>
        <w:spacing w:before="0" w:after="120"/>
      </w:pPr>
      <w:r>
        <w:rPr>
          <w:b/>
        </w:rPr>
        <w:t xml:space="preserve">Notes: </w:t>
      </w:r>
      <w:r>
        <w:t>abstract_source=crossref</w:t>
      </w:r>
    </w:p>
    <w:p>
      <w:pPr>
        <w:spacing w:before="0" w:after="80" w:lineRule="auto" w:line="276"/>
      </w:pPr>
      <w:r>
        <w:rPr>
          <w:b/>
        </w:rPr>
        <w:t xml:space="preserve">摘要（ZH）: </w:t>
      </w:r>
      <w:r>
        <w:t>ABSTACT 电气泵的有机激光器为下一代光电子应用提供了巨大的潜力,然而,由于有害的异丙烯-极原灭绝,这些激光器的实现仍是一项巨大的挑战,这是在电力振荡下有机半导体中最公认但最尚未解决的异质损失之一,被确认为与极地有关的毁灭过程的主要起因是电荷不均匀的载体动员。在这项工作中,我们通过开发一个具有突出光益增益和平衡载体聚变特点的螺旋球-DA复合体来解决这一问题。如果将其纳入有机光排放二极管(OLED)结构,新开发的材料展品提高了装置的性能并减少了ef,则通过开发一个具有突出光益和平衡性能特点的螺旋状体-DA复合体来解决这一问题。</w:t>
      </w:r>
    </w:p>
    <w:p>
      <w:pPr>
        <w:spacing w:before="0" w:after="200" w:lineRule="auto" w:line="276"/>
      </w:pPr>
      <w:r>
        <w:rPr>
          <w:b/>
        </w:rPr>
        <w:t xml:space="preserve">Abstract (EN): </w:t>
      </w:r>
      <w:r>
        <w:t>Electrically pumped organic lasers hold tremendous potential for next‐generation optoelectronic applications. However, their realization remains a grand challenge due to detrimental exciton‐polaron annihilation, which is one of the most recognized yet unresolved exciton losses in organic semiconductors under electrical excitation. Unbalanced charge carrier mobilities have been identified as the primary cause of polaron‐related annihilation processes. In this work, we address this issue by developing a spirofluorene‐cored D‐π‐A compound that features both outstanding optical gain and balanced carrier mobilities. When integrated into an organic light‐emitting diode (OLED) architecture, the newly developed material exhibits enhanced device performance and reduced efficiency roll‐off, which can be ascribed to the inhibition of polaron accumulation, as evidenced by the time‐resolved electroluminescent measurements. More importantly, electrically pumped transient absorption spectroscopy further confirms the suppression of polaron‐induced nonradiative losses, which is crucial for maintaining population inversion and achieving optically pumped lasing in the operating OLED. These findings shed light on how chemical modifications can mitigate exciton‐polaron annihilation in operating devices, opening a promising avenue toward the realization of electrically pumped organic lasers.</w:t>
      </w:r>
    </w:p>
    <w:p>
      <w:pPr>
        <w:spacing w:before="120" w:after="120"/>
      </w:pPr>
      <w:r>
        <w:rPr>
          <w:sz w:val="18"/>
        </w:rPr>
        <w:t>——————————————————————————————————————————————————————————————————————</w:t>
      </w:r>
    </w:p>
    <w:p>
      <w:pPr>
        <w:spacing w:before="160" w:after="40" w:line="240" w:lineRule="auto"/>
      </w:pPr>
      <w:r>
        <w:rPr>
          <w:b/>
        </w:rPr>
        <w:t xml:space="preserve">[326] </w:t>
      </w:r>
      <w:hyperlink r:id="rId498">
        <w:r>
          <w:rPr>
            <w:color w:val="1155CC"/>
            <w:u w:val="single"/>
          </w:rPr>
          <w:t>从水-Oil-Eectrode界面“电”三氧化二氮(2,2--------------------------------------------------------------------------------------------------------</w:t>
        </w:r>
      </w:hyperlink>
    </w:p>
    <w:p>
      <w:pPr>
        <w:spacing w:before="0" w:after="80"/>
      </w:pPr>
      <w:r>
        <w:rPr>
          <w:i/>
          <w:sz w:val="20"/>
        </w:rPr>
        <w:t>EN: Radical Electroprecipitation from a Water|Oil|Electrode Interface Prolongs “Electro”Chemiluminescence of the Tris(2,2′‐bipyridyl)Ruthenium(II) and Benzoyl Peroxide System by 103</w:t>
      </w:r>
    </w:p>
    <w:p>
      <w:pPr>
        <w:spacing w:before="0" w:after="120"/>
      </w:pPr>
      <w:r>
        <w:rPr>
          <w:b/>
        </w:rPr>
        <w:t xml:space="preserve">Source: </w:t>
      </w:r>
      <w:r>
        <w:t>Wiley: Angewandte Chemie International Edition: Table of Contents</w:t>
      </w:r>
      <w:r>
        <w:t xml:space="preserve">    </w:t>
      </w:r>
      <w:r>
        <w:rPr>
          <w:b/>
        </w:rPr>
        <w:t xml:space="preserve">Pub date: </w:t>
      </w:r>
      <w:r>
        <w:t>2026-01-07 15:19:35+00:00</w:t>
      </w:r>
      <w:r>
        <w:t xml:space="preserve">    </w:t>
      </w:r>
      <w:r>
        <w:rPr>
          <w:b/>
        </w:rPr>
        <w:t xml:space="preserve">DOI: </w:t>
      </w:r>
      <w:hyperlink r:id="rId499">
        <w:r>
          <w:rPr>
            <w:color w:val="1155CC"/>
            <w:u w:val="single"/>
          </w:rPr>
          <w:t>10.1002/anie.202521454</w:t>
        </w:r>
      </w:hyperlink>
    </w:p>
    <w:p>
      <w:pPr>
        <w:spacing w:before="0" w:after="120"/>
      </w:pPr>
      <w:r>
        <w:rPr>
          <w:b/>
        </w:rPr>
        <w:t xml:space="preserve">Notes: </w:t>
      </w:r>
      <w:r>
        <w:t>abstract_source=crossref</w:t>
      </w:r>
    </w:p>
    <w:p>
      <w:pPr>
        <w:spacing w:before="0" w:after="80" w:lineRule="auto" w:line="276"/>
      </w:pPr>
      <w:r>
        <w:rPr>
          <w:b/>
        </w:rPr>
        <w:t xml:space="preserve">摘要（ZH）: </w:t>
      </w:r>
      <w:r>
        <w:t>抽象活性中间体,包括基体和其他短寿命分子,在纯化学过程中无处不在,而且往往极难分离。最近,我们发现有活力、反应性激进物种可以通过电沉降被困住,这里的沉淀物含有反应性中间体。 原则是直向的:如果溶性平衡能够在反应的中间寿命期之前被超越,中间体可以被加速。 典型的,电子化学照明(ECL)是一个将电力转移到化学能源的过程,然后化学能源以光排放的形式释放(通常是在电活性发光体存在的情况下)。</w:t>
      </w:r>
    </w:p>
    <w:p>
      <w:pPr>
        <w:spacing w:before="0" w:after="200" w:lineRule="auto" w:line="276"/>
      </w:pPr>
      <w:r>
        <w:rPr>
          <w:b/>
        </w:rPr>
        <w:t xml:space="preserve">Abstract (EN): </w:t>
      </w:r>
      <w:r>
        <w:t>Reactive intermediates, including radicals and other short‐lived molecules, are ubiquitous in pure chemical processes and often highly difficult to isolate. Recently, we found that energetic, reactive radical species can be trapped through electroprecipitation, where the precipitate contains a reactive intermediate. The principle is straight‐forward: If a solubility equilibrium can be exceeded before the reactive intermediate lifetime, the intermediate can be precipitated. Classically, electrochemiluminescence (ECL) is a process where electrical energy is transferred to chemical energy, and then the chemical energy is released in the form of light emission (often in the presence of an electroactive luminophore). The apparent luminescence lifetime, limited by radical lifetimes, of ECL reactions in solution is short (sub‐microsecond), and thus can hinder the performance of the technique as light emission is confined to the electrode surface and occurs only when the electrical potential to the system is applied. Here, we show that with a high concentration (10–250 mM) of benzoyl peroxide (BPO) being co‐reduced with a tris(2,2′‐bipyridyl)ruthenium(II) complex, we can achieve an ECL emission that lasts for hundreds of seconds after potential arrest, corresponding to a thousand‐fold (10</w:t>
      </w:r>
      <w:r>
        <w:rPr>
          <w:vertAlign w:val="subscript"/>
        </w:rPr>
        <w:t>3</w:t>
      </w:r>
      <w:r>
        <w:t>) increase in apparent afterglow chemiluminescence lifetimes. This electroprecipitation process occurs at an aqueous|organic multiphase boundary, which are present all through nature and are arguably more representative of natural chemical processes. Furthermore, experimental parameters, including BPO concentration, applied potential, and electrode material, were investigated. Competitive and parasitic processes, such as the hydrogen evolution reaction and decarboxylation, diminish the electroprecipitation of reactive intermediates, and we detail mitigation and optimization efforts. Overall, this work reveals that multiphase interfaces can be used to electroprecipitate reactive radicals, separating their use in space and time.</w:t>
      </w:r>
    </w:p>
    <w:p>
      <w:pPr>
        <w:spacing w:before="120" w:after="120"/>
      </w:pPr>
      <w:r>
        <w:rPr>
          <w:sz w:val="18"/>
        </w:rPr>
        <w:t>——————————————————————————————————————————————————————————————————————</w:t>
      </w:r>
    </w:p>
    <w:p>
      <w:pPr>
        <w:spacing w:before="160" w:after="40" w:line="240" w:lineRule="auto"/>
      </w:pPr>
      <w:r>
        <w:rPr>
          <w:b/>
        </w:rPr>
        <w:t xml:space="preserve">[327] </w:t>
      </w:r>
      <w:hyperlink r:id="rId500">
        <w:r>
          <w:rPr>
            <w:color w:val="1155CC"/>
            <w:u w:val="single"/>
          </w:rPr>
          <w:t>[ASAP]对蛋白质中相互竞争的信号传输模式的效率进行量化的框架</w:t>
        </w:r>
      </w:hyperlink>
    </w:p>
    <w:p>
      <w:pPr>
        <w:spacing w:before="0" w:after="80"/>
      </w:pPr>
      <w:r>
        <w:rPr>
          <w:i/>
          <w:sz w:val="20"/>
        </w:rPr>
        <w:t>EN: [ASAP] Framework for Quantifying the Efficiency of Competing Signal Transmission Modes in Proteins</w:t>
      </w:r>
    </w:p>
    <w:p>
      <w:pPr>
        <w:spacing w:before="0" w:after="120"/>
      </w:pPr>
      <w:r>
        <w:rPr>
          <w:b/>
        </w:rPr>
        <w:t xml:space="preserve">Source: </w:t>
      </w:r>
      <w:r>
        <w:t>Journal of the American Chemical Society: Latest Articles (ACS Publications)</w:t>
      </w:r>
      <w:r>
        <w:t xml:space="preserve">    </w:t>
      </w:r>
      <w:r>
        <w:rPr>
          <w:b/>
        </w:rPr>
        <w:t xml:space="preserve">Pub date: </w:t>
      </w:r>
      <w:r>
        <w:t>2026-01-07 15:22:06+00:00</w:t>
      </w:r>
      <w:r>
        <w:t xml:space="preserve">    </w:t>
      </w:r>
      <w:r>
        <w:rPr>
          <w:b/>
        </w:rPr>
        <w:t xml:space="preserve">DOI: </w:t>
      </w:r>
      <w:hyperlink r:id="rId501">
        <w:r>
          <w:rPr>
            <w:color w:val="1155CC"/>
            <w:u w:val="single"/>
          </w:rPr>
          <w:t>10.1021/jacs.5c14419</w:t>
        </w:r>
      </w:hyperlink>
    </w:p>
    <w:p>
      <w:pPr>
        <w:spacing w:before="0" w:after="120"/>
      </w:pPr>
      <w:r>
        <w:rPr>
          <w:b/>
        </w:rPr>
        <w:t xml:space="preserve">Notes: </w:t>
      </w:r>
      <w:r>
        <w:t>abstract_source=pubmed</w:t>
      </w:r>
    </w:p>
    <w:p>
      <w:pPr>
        <w:spacing w:before="0" w:after="80" w:lineRule="auto" w:line="276"/>
      </w:pPr>
      <w:r>
        <w:rPr>
          <w:b/>
        </w:rPr>
        <w:t xml:space="preserve">摘要（ZH）: </w:t>
      </w:r>
      <w:r>
        <w:t>在微粒层一级,生物信号传输依赖于涉及传感器和效应模块的 Alostestic 蛋白质中信号传输的时间尺度和微粒细节往往不明确,尽管关于信号蛋白的结构性信息过多。根据线性反应理论,我们开发理论框架,以界定依赖频率的力量和迁移的功能,通过蛋白质以及更一般的粘结介质来界定依赖频率的力量和迁移的功能。传输功能量化一个地点局部时间依附的扰动的一小部分,无论它是一种畸形、一种力量或多种力量,在遥远的地点生存。它们的定义是模拟或实验的均衡波动。</w:t>
      </w:r>
    </w:p>
    <w:p>
      <w:pPr>
        <w:spacing w:before="0" w:after="200" w:lineRule="auto" w:line="276"/>
      </w:pPr>
      <w:r>
        <w:rPr>
          <w:b/>
        </w:rPr>
        <w:t xml:space="preserve">Abstract (EN): </w:t>
      </w:r>
      <w:r>
        <w:t>On the microscopic level, biological signal transmission relies on coordinated transient structural changes in allosteric proteins that involve sensor and effector modules. The time scales and microscopic details of signal transmission in proteins are often unclear, despite a plethora of structural information on signaling proteins. Based on linear-response theory, we develop the theoretical framework to define frequency-dependent force and displacement transmit functions through proteins and, more generally, viscoelastic media. Transmit functions quantify the fraction of a local time-dependent perturbation at one site, be it a deformation, a force or a combination thereof, that survives at a distant site. They are defined in terms of equilibrium fluctuations from simulations or experimental observations. We apply the framework to our all-atom molecular dynamics simulations of a bacterial histidine kinase protein extensively studied in experiments. For the isolated coiled-coil (CC) motif that connects sensor and effector modules, our analysis reveals that signal propagation through the CC is possible via shift, splay, and twist deformation modes, which is confirmed by simulations of the entire protein. Based on mutation experiments, we infer that the most relevant mode for the biological function of the histidine kinase is the splay deformation. For the β2-adrenergic receptor, a transmembrane protein involved in the G-protein signaling pathway, we compare signal transmission across its different structural domains involved in receptor activation.</w:t>
      </w:r>
    </w:p>
    <w:p>
      <w:pPr>
        <w:spacing w:before="120" w:after="120"/>
      </w:pPr>
      <w:r>
        <w:rPr>
          <w:sz w:val="18"/>
        </w:rPr>
        <w:t>——————————————————————————————————————————————————————————————————————</w:t>
      </w:r>
    </w:p>
    <w:p>
      <w:pPr>
        <w:spacing w:before="160" w:after="40" w:line="240" w:lineRule="auto"/>
      </w:pPr>
      <w:r>
        <w:rPr>
          <w:b/>
        </w:rPr>
        <w:t xml:space="preserve">[328] </w:t>
      </w:r>
      <w:hyperlink r:id="rId502">
        <w:r>
          <w:rPr>
            <w:color w:val="1155CC"/>
            <w:u w:val="single"/>
          </w:rPr>
          <w:t>[ASAP] 金枪鱼本多点质子混合电子传输调解员:减少基底活体相互竞争氢气进化的独特途径</w:t>
        </w:r>
      </w:hyperlink>
    </w:p>
    <w:p>
      <w:pPr>
        <w:spacing w:before="0" w:after="80"/>
      </w:pPr>
      <w:r>
        <w:rPr>
          <w:i/>
          <w:sz w:val="20"/>
        </w:rPr>
        <w:t>EN: [ASAP] Tunable Multisite Proton-Coupled Electron Transfer Mediators: Distinct Pathways for Substrate Reduction Versus Competing Hydrogen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2026-01-07 15:52:57+00:00</w:t>
      </w:r>
      <w:r>
        <w:t xml:space="preserve">    </w:t>
      </w:r>
      <w:r>
        <w:rPr>
          <w:b/>
        </w:rPr>
        <w:t xml:space="preserve">DOI: </w:t>
      </w:r>
      <w:hyperlink r:id="rId503">
        <w:r>
          <w:rPr>
            <w:color w:val="1155CC"/>
            <w:u w:val="single"/>
          </w:rPr>
          <w:t>10.1021/jacs.5c18522</w:t>
        </w:r>
      </w:hyperlink>
    </w:p>
    <w:p>
      <w:pPr>
        <w:spacing w:before="0" w:after="120"/>
      </w:pPr>
      <w:r>
        <w:rPr>
          <w:b/>
        </w:rPr>
        <w:t xml:space="preserve">Notes: </w:t>
      </w:r>
      <w:r>
        <w:t>abstract_source=pubmed</w:t>
      </w:r>
    </w:p>
    <w:p>
      <w:pPr>
        <w:spacing w:before="0" w:after="80" w:lineRule="auto" w:line="276"/>
      </w:pPr>
      <w:r>
        <w:rPr>
          <w:b/>
        </w:rPr>
        <w:t xml:space="preserve">摘要（ZH）: </w:t>
      </w:r>
      <w:r>
        <w:t>质子混合电子转移试剂已成为从相对薄弱的X-H债券中将净H原子从净H原子转移到有机子基质的强大工具,使用该物质试剂的一个好处是,通过独立地改变其红氧化潜力和/或pKa来选择性地减少基质,X-H债券强度的金枪鱼性;然而,基于这些特征的模块催化性PCET试剂的合理开发仍然不发达。在这里,我们处理与实验室以前引入的二甲基碘补充钴基苯基的PCET调解人有关的重要机械问题。具体地说,我们研究的是,在Brønsted基础修改后的钴调解器的反应器(II,NH)+中间体中,哪里发生了质化,是否出现了子质变和氢化。</w:t>
      </w:r>
    </w:p>
    <w:p>
      <w:pPr>
        <w:spacing w:before="0" w:after="200" w:lineRule="auto" w:line="276"/>
      </w:pPr>
      <w:r>
        <w:rPr>
          <w:b/>
        </w:rPr>
        <w:t xml:space="preserve">Abstract (EN): </w:t>
      </w:r>
      <w:r>
        <w:t>Proton-coupled electron transfer (PCET) reagents have emerged as powerful tools for transferring net H atoms to organic substrates from relatively weak X-H bonds. One advantage of employing PCET reagents is the tunability of the X-H bond strength by independently varying their redox potential and/or pKa for selective substrate reductions; however, the rational development of modular catalytic PCET reagents based on these features remains underdeveloped. Here, we address important mechanistic questions relevant to a dimethylaniline-appended cobaltocene PCET mediator that our lab has previously introduced. Specifically, we examine where protonation occurs within the reactive Co(II, NH)+ intermediate of a Brønsted-base modified cobaltocene mediator, whether substrate reduction and hydrogen evolution reaction (HER) proceed by a common or bifurcated mechanistic pathway, and how the redox, acid-base, and structural properties of PCET mediators can dictate their reactivity and selectivity. We show that substrate compatibility can be tuned and, via a model study with N-aryl imine substrates, provide data pointing to a multisite PCET (MS-PCET) pathway. Moreover, we rigorously characterize the site of protonation in the reactive reduced, protonated form of the mediator, and through kinetic analysis establish that the pathway for undesired competing HER is fundamentally different and involves Cp-ring protonation. Our findings point to a high degree of flexibility in the design of reductive PCET mediators.</w:t>
      </w:r>
    </w:p>
    <w:p>
      <w:pPr>
        <w:spacing w:before="120" w:after="120"/>
      </w:pPr>
      <w:r>
        <w:rPr>
          <w:sz w:val="18"/>
        </w:rPr>
        <w:t>——————————————————————————————————————————————————————————————————————</w:t>
      </w:r>
    </w:p>
    <w:p>
      <w:pPr>
        <w:spacing w:before="160" w:after="40" w:line="240" w:lineRule="auto"/>
      </w:pPr>
      <w:r>
        <w:rPr>
          <w:b/>
        </w:rPr>
        <w:t xml:space="preserve">[329] </w:t>
      </w:r>
      <w:hyperlink r:id="rId504">
        <w:r>
          <w:rPr>
            <w:color w:val="1155CC"/>
            <w:u w:val="single"/>
          </w:rPr>
          <w:t>[ASAP]通过定时模块动态控制DNAOrigami自大</w:t>
        </w:r>
      </w:hyperlink>
    </w:p>
    <w:p>
      <w:pPr>
        <w:spacing w:before="0" w:after="80"/>
      </w:pPr>
      <w:r>
        <w:rPr>
          <w:i/>
          <w:sz w:val="20"/>
        </w:rPr>
        <w:t>EN: [ASAP] Dynamic Control of DNA Origami Self-Assembly by Transcriptional Modules</w:t>
      </w:r>
    </w:p>
    <w:p>
      <w:pPr>
        <w:spacing w:before="0" w:after="120"/>
      </w:pPr>
      <w:r>
        <w:rPr>
          <w:b/>
        </w:rPr>
        <w:t xml:space="preserve">Source: </w:t>
      </w:r>
      <w:r>
        <w:t>Journal of the American Chemical Society: Latest Articles (ACS Publications)</w:t>
      </w:r>
      <w:r>
        <w:t xml:space="preserve">    </w:t>
      </w:r>
      <w:r>
        <w:rPr>
          <w:b/>
        </w:rPr>
        <w:t xml:space="preserve">Pub date: </w:t>
      </w:r>
      <w:r>
        <w:t>2026-01-07 15:57:56+00:00</w:t>
      </w:r>
      <w:r>
        <w:t xml:space="preserve">    </w:t>
      </w:r>
      <w:r>
        <w:rPr>
          <w:b/>
        </w:rPr>
        <w:t xml:space="preserve">DOI: </w:t>
      </w:r>
      <w:hyperlink r:id="rId505">
        <w:r>
          <w:rPr>
            <w:color w:val="1155CC"/>
            <w:u w:val="single"/>
          </w:rPr>
          <w:t>10.1021/jacs.5c18964</w:t>
        </w:r>
      </w:hyperlink>
    </w:p>
    <w:p>
      <w:pPr>
        <w:spacing w:before="0" w:after="120"/>
      </w:pPr>
      <w:r>
        <w:rPr>
          <w:b/>
        </w:rPr>
        <w:t xml:space="preserve">Notes: </w:t>
      </w:r>
      <w:r>
        <w:t>abstract_source=pubmed</w:t>
      </w:r>
    </w:p>
    <w:p>
      <w:pPr>
        <w:spacing w:before="0" w:after="80" w:lineRule="auto" w:line="276"/>
      </w:pPr>
      <w:r>
        <w:rPr>
          <w:b/>
        </w:rPr>
        <w:t xml:space="preserve">摘要（ZH）: </w:t>
      </w:r>
      <w:r>
        <w:t>生物细胞通过通过感测、处理和传输环境信息来动态调节自我组装,从而实现适应性和反应性行为。 模拟这一点是工程具有生命功能的动态合成材料的关键。 在大多数现有的动态自我组装系统中,反应是通过外部投入(如分子、光或pH)引起的自由能源景观变化实现的,外部投入(如分子、光或pH)将系统推向新的稳定的热力平衡。 相比之下,实现生命系统的持续和复杂过程特征需要一种包含连续能量消散的无平衡方法。 在这里,我们提出一种通过直接组合来动态控制DNA或铁质自组装的新战略。</w:t>
      </w:r>
    </w:p>
    <w:p>
      <w:pPr>
        <w:spacing w:before="0" w:after="200" w:lineRule="auto" w:line="276"/>
      </w:pPr>
      <w:r>
        <w:rPr>
          <w:b/>
        </w:rPr>
        <w:t xml:space="preserve">Abstract (EN): </w:t>
      </w:r>
      <w:r>
        <w:t>Biological cells achieve adaptive and responsive behaviors by dynamically regulating self-assembly through sensing, processing, and transmitting environmental information. Emulating this is key to engineering dynamic synthetic materials with life-like functions. In most existing dynamic self-assembly systems, the responses are achieved by changes in the free energy landscape induced by external inputs (such as molecules, light, or pH) that push the system toward a new stable thermodynamic equilibrium. In contrast, achieving the sustained and complex processes characteristic of living systems requires a nonequilibrium approach involving continuous energy dissipation. Here, we present a new strategy for dynamic control of DNA origami tile self-assembly by directly coupling a transcriptional module's activity to the tiles' assembly state. Transcription is triggered only upon tile dimerization, which brings the module components into close proximity. The resulting RNA blocker strands then disassemble into dimers via strand displacement, establishing a dissipative, autonomous feedback loop. We demonstrated that integrating two mutually inhibitory tile pairs constructs a bistable system whose state can be switched by using RNA inducers or upstream transcriptional circuits. Simulations of larger networks further predict complex, nonequilibrium temporal behaviors (including sustained oscillations and pulses) that are maintained only through continuous energy consumption. This work presents a generalizable strategy for dynamic control of DNA origami tile self-assembly via transcriptional modules, paving the way for applications in nanorobotics, biosensing, biomedicine, and artificial life systems.</w:t>
      </w:r>
    </w:p>
    <w:p>
      <w:pPr>
        <w:spacing w:before="120" w:after="120"/>
      </w:pPr>
      <w:r>
        <w:rPr>
          <w:sz w:val="18"/>
        </w:rPr>
        <w:t>——————————————————————————————————————————————————————————————————————</w:t>
      </w:r>
    </w:p>
    <w:p>
      <w:pPr>
        <w:spacing w:before="160" w:after="40" w:line="240" w:lineRule="auto"/>
      </w:pPr>
      <w:r>
        <w:rPr>
          <w:b/>
        </w:rPr>
        <w:t xml:space="preserve">[330] </w:t>
      </w:r>
      <w:hyperlink r:id="rId506">
        <w:r>
          <w:rPr>
            <w:color w:val="1155CC"/>
            <w:u w:val="single"/>
          </w:rPr>
          <w:t>[ASAP] 用于宽度电温电池的以甲基推进剂为基础的电解解工艺</w:t>
        </w:r>
      </w:hyperlink>
    </w:p>
    <w:p>
      <w:pPr>
        <w:spacing w:before="0" w:after="80"/>
      </w:pPr>
      <w:r>
        <w:rPr>
          <w:i/>
          <w:sz w:val="20"/>
        </w:rPr>
        <w:t>EN: [ASAP] A Methyl Propionate-Based Electrolyte for Wide-Temperature Sodium-Ion Batteries</w:t>
      </w:r>
    </w:p>
    <w:p>
      <w:pPr>
        <w:spacing w:before="0" w:after="120"/>
      </w:pPr>
      <w:r>
        <w:rPr>
          <w:b/>
        </w:rPr>
        <w:t xml:space="preserve">Source: </w:t>
      </w:r>
      <w:r>
        <w:t>ACS Energy Letters: Latest Articles (ACS Publications)</w:t>
      </w:r>
      <w:r>
        <w:t xml:space="preserve">    </w:t>
      </w:r>
      <w:r>
        <w:rPr>
          <w:b/>
        </w:rPr>
        <w:t xml:space="preserve">Pub date: </w:t>
      </w:r>
      <w:r>
        <w:t>2026-01-07 16:26:29+00:00</w:t>
      </w:r>
      <w:r>
        <w:t xml:space="preserve">    </w:t>
      </w:r>
      <w:r>
        <w:rPr>
          <w:b/>
        </w:rPr>
        <w:t xml:space="preserve">DOI: </w:t>
      </w:r>
      <w:hyperlink r:id="rId507">
        <w:r>
          <w:rPr>
            <w:color w:val="1155CC"/>
            <w:u w:val="single"/>
          </w:rPr>
          <w:t>10.1021/acsenergylett.5c02835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[331] </w:t>
      </w:r>
      <w:hyperlink r:id="rId508">
        <w:r>
          <w:rPr>
            <w:color w:val="1155CC"/>
            <w:u w:val="single"/>
          </w:rPr>
          <w:t>[ASAP] 利用质子隧道效应,从催化金属基质基底迅速喷发单层硫烯</w:t>
        </w:r>
      </w:hyperlink>
    </w:p>
    <w:p>
      <w:pPr>
        <w:spacing w:before="0" w:after="80"/>
      </w:pPr>
      <w:r>
        <w:rPr>
          <w:i/>
          <w:sz w:val="20"/>
        </w:rPr>
        <w:t>EN: [ASAP] Rapid Exfoliation of Monolayer Graphene from Catalytic Metal Substrate Using Proton Tunneling Effect</w:t>
      </w:r>
    </w:p>
    <w:p>
      <w:pPr>
        <w:spacing w:before="0" w:after="120"/>
      </w:pPr>
      <w:r>
        <w:rPr>
          <w:b/>
        </w:rPr>
        <w:t xml:space="preserve">Source: </w:t>
      </w:r>
      <w:r>
        <w:t>Journal of the American Chemical Society: Latest Articles (ACS Publications)</w:t>
      </w:r>
      <w:r>
        <w:t xml:space="preserve">    </w:t>
      </w:r>
      <w:r>
        <w:rPr>
          <w:b/>
        </w:rPr>
        <w:t xml:space="preserve">Pub date: </w:t>
      </w:r>
      <w:r>
        <w:t>2026-01-07 17:09:36+00:00</w:t>
      </w:r>
      <w:r>
        <w:t xml:space="preserve">    </w:t>
      </w:r>
      <w:r>
        <w:rPr>
          <w:b/>
        </w:rPr>
        <w:t xml:space="preserve">DOI: </w:t>
      </w:r>
      <w:hyperlink r:id="rId509">
        <w:r>
          <w:rPr>
            <w:color w:val="1155CC"/>
            <w:u w:val="single"/>
          </w:rPr>
          <w:t>10.1021/jacs.5c19015</w:t>
        </w:r>
      </w:hyperlink>
    </w:p>
    <w:p>
      <w:pPr>
        <w:spacing w:before="0" w:after="120"/>
      </w:pPr>
      <w:r>
        <w:rPr>
          <w:b/>
        </w:rPr>
        <w:t xml:space="preserve">Notes: </w:t>
      </w:r>
      <w:r>
        <w:t>abstract_source=pubmed</w:t>
      </w:r>
    </w:p>
    <w:p>
      <w:pPr>
        <w:spacing w:before="0" w:after="80" w:lineRule="auto" w:line="276"/>
      </w:pPr>
      <w:r>
        <w:rPr>
          <w:b/>
        </w:rPr>
        <w:t xml:space="preserve">摘要（ZH）: </w:t>
      </w:r>
      <w:r>
        <w:t>据知,单层石墨可渗透到质子(H+),而它能渗透到所有其他离子、原子和分子。石墨渗透性质子的根基机制在量子隧道和古典热迁移之间仍然有争议。在这里,我们直接提供证据表明,石墨的质子渗入主要是在应用电子化学潜力的情况下由量子隧道效应造成的。利用这种洞见,我们展示了石墨从金属催化剂表面迅速从石墨通过化学蒸气沉积合成的金属催化剂表面挥发出来。石墨从催化剂表面转移到不同子体的处理时间可以从常规基底伸展剂的数小时缩短。</w:t>
      </w:r>
    </w:p>
    <w:p>
      <w:pPr>
        <w:spacing w:before="0" w:after="200" w:lineRule="auto" w:line="276"/>
      </w:pPr>
      <w:r>
        <w:rPr>
          <w:b/>
        </w:rPr>
        <w:t xml:space="preserve">Abstract (EN): </w:t>
      </w:r>
      <w:r>
        <w:t>Monolayer graphene is known to be permeable to protons (H+), while it is impermeable to all other ions, atoms, and molecules. The mechanism that underlies the proton permeability of graphene is still in contention between quantum tunneling and classical thermal transport. Here, we provide direct evidence that the proton permeation of graphene is dominantly caused by the quantum tunneling effect under application of electrochemical potentials. Leveraging this insight, we demonstrate a rapid electrochemical exfoliation of graphene from a metal catalyst surface where the graphene is synthesized by chemical vapor deposition. The processing time for the transfer of graphene from the catalyst surface onto different substrates can be reduced from several hours in the conventional substrate-etching method to only 10 s in this technique.</w:t>
      </w:r>
    </w:p>
    <w:p>
      <w:pPr>
        <w:spacing w:before="120" w:after="120"/>
      </w:pPr>
      <w:r>
        <w:rPr>
          <w:sz w:val="18"/>
        </w:rPr>
        <w:t>——————————————————————————————————————————————————————————————————————</w:t>
      </w:r>
    </w:p>
    <w:p>
      <w:pPr>
        <w:spacing w:before="160" w:after="40" w:line="240" w:lineRule="auto"/>
      </w:pPr>
      <w:r>
        <w:rPr>
          <w:b/>
        </w:rPr>
        <w:t xml:space="preserve">[332] </w:t>
      </w:r>
      <w:hyperlink r:id="rId510">
        <w:r>
          <w:rPr>
            <w:color w:val="1155CC"/>
            <w:u w:val="single"/>
          </w:rPr>
          <w:t>[ASAP]1,1-二代异索色人催化性对等选择性合成合成</w:t>
        </w:r>
      </w:hyperlink>
    </w:p>
    <w:p>
      <w:pPr>
        <w:spacing w:before="0" w:after="80"/>
      </w:pPr>
      <w:r>
        <w:rPr>
          <w:i/>
          <w:sz w:val="20"/>
        </w:rPr>
        <w:t>EN: [ASAP] Catalytic Enantioselective Synthesis of 1,1-Disubstituted Isochromans</w:t>
      </w:r>
    </w:p>
    <w:p>
      <w:pPr>
        <w:spacing w:before="0" w:after="120"/>
      </w:pPr>
      <w:r>
        <w:rPr>
          <w:b/>
        </w:rPr>
        <w:t xml:space="preserve">Source: </w:t>
      </w:r>
      <w:r>
        <w:t>Journal of the American Chemical Society: Latest Articles (ACS Publications)</w:t>
      </w:r>
      <w:r>
        <w:t xml:space="preserve">    </w:t>
      </w:r>
      <w:r>
        <w:rPr>
          <w:b/>
        </w:rPr>
        <w:t xml:space="preserve">Pub date: </w:t>
      </w:r>
      <w:r>
        <w:t>2026-01-07 18:31:30+00:00</w:t>
      </w:r>
      <w:r>
        <w:t xml:space="preserve">    </w:t>
      </w:r>
      <w:r>
        <w:rPr>
          <w:b/>
        </w:rPr>
        <w:t xml:space="preserve">DOI: </w:t>
      </w:r>
      <w:hyperlink r:id="rId511">
        <w:r>
          <w:rPr>
            <w:color w:val="1155CC"/>
            <w:u w:val="single"/>
          </w:rPr>
          <w:t>10.1021/jacs.5c19331</w:t>
        </w:r>
      </w:hyperlink>
    </w:p>
    <w:p>
      <w:pPr>
        <w:spacing w:before="0" w:after="120"/>
      </w:pPr>
      <w:r>
        <w:rPr>
          <w:b/>
        </w:rPr>
        <w:t xml:space="preserve">Notes: </w:t>
      </w:r>
      <w:r>
        <w:t>abstract_source=pubmed</w:t>
      </w:r>
    </w:p>
    <w:p>
      <w:pPr>
        <w:spacing w:before="0" w:after="80" w:lineRule="auto" w:line="276"/>
      </w:pPr>
      <w:r>
        <w:rPr>
          <w:b/>
        </w:rPr>
        <w:t xml:space="preserve">摘要（ZH）: </w:t>
      </w:r>
      <w:r>
        <w:t>在新开发的稳定碱基碳酸催化剂(CBSCA)存在的情况下,含有氢质保证金捐献点的β-aryl乙醇与金塔发生对应的选择性选择性反应,以提供1-aryl、1-alkyl-isochmans,使其产量优于优于优于优于优于产量和对等功率。在总体反应中,尽量减少催化剂聚合被确定为一个关键因素,催化剂含量较低,导致对等选择性显著改善。详细的动力学、非线性效应和DFT研究显示,催化剂聚合在调节再活性和对应选择性方面发挥着关键作用,而C-C通过一种内分子加上一种带有催化剂的氧化碳离子形成C-C债券构成抗毒处理步骤。</w:t>
      </w:r>
    </w:p>
    <w:p>
      <w:pPr>
        <w:spacing w:before="0" w:after="200" w:lineRule="auto" w:line="276"/>
      </w:pPr>
      <w:r>
        <w:rPr>
          <w:b/>
        </w:rPr>
        <w:t xml:space="preserve">Abstract (EN): </w:t>
      </w:r>
      <w:r>
        <w:t>In the presence of a newly developed conjugate-base-stabilized carboxylic acid (CBSCA) catalyst, β-aryl ethanols containing a hydrogen bond donor site undergo enantioselective oxa-Pictet-Spengler reactions with ketals to provide 1-aryl,1-alkyl-isochromans in good to excellent yields and enantioselectivities. The minimization of catalyst aggregation was identified as a critical factor in the overall reaction, with lower catalyst loadings resulting in significant improvements in enantioselectivity. Detailed kinetic, nonlinear effect, and DFT studies reveal that catalyst aggregation plays a key role in modulating reactivity and enantioselectivity, and that C-C bond formation via an intramolecular addition to a catalyst-bound oxocarbenium ion constitutes the enantiodetermining step. Energy decomposition and noncovalent interaction analyses further delineate the steric and electronic factors governing asymmetric induction. These findings establish a general platform for the catalytic asymmetric synthesis of tertiary ether-containing heterocycles and offer fundamental insight into the mechanism of chiral Bro̷nsted acid catalysis.</w:t>
      </w:r>
    </w:p>
    <w:p>
      <w:pPr>
        <w:spacing w:before="120" w:after="120"/>
      </w:pPr>
      <w:r>
        <w:rPr>
          <w:sz w:val="18"/>
        </w:rPr>
        <w:t>——————————————————————————————————————————————————————————————————————</w:t>
      </w:r>
    </w:p>
    <w:p>
      <w:pPr>
        <w:spacing w:before="160" w:after="40" w:line="240" w:lineRule="auto"/>
      </w:pPr>
      <w:r>
        <w:rPr>
          <w:b/>
        </w:rPr>
        <w:t xml:space="preserve">[333] </w:t>
      </w:r>
      <w:hyperlink r:id="rId512">
        <w:r>
          <w:rPr>
            <w:color w:val="1155CC"/>
            <w:u w:val="single"/>
          </w:rPr>
          <w:t>[ASAP]通过Peptidyl-Cu(I)-与远程立体控制进行解析,对二硝基乙烷进行非对称不相称的硫化反应</w:t>
        </w:r>
      </w:hyperlink>
    </w:p>
    <w:p>
      <w:pPr>
        <w:spacing w:before="0" w:after="80"/>
      </w:pPr>
      <w:r>
        <w:rPr>
          <w:i/>
          <w:sz w:val="20"/>
        </w:rPr>
        <w:t>EN: [ASAP] Asymmetric Desymmetrizing Sulfonylation of Diarylmethanes via Peptidyl-Cu(I)-Catalysis with Remote Stereocontrol</w:t>
      </w:r>
    </w:p>
    <w:p>
      <w:pPr>
        <w:spacing w:before="0" w:after="120"/>
      </w:pPr>
      <w:r>
        <w:rPr>
          <w:b/>
        </w:rPr>
        <w:t xml:space="preserve">Source: </w:t>
      </w:r>
      <w:r>
        <w:t>Journal of the American Chemical Society: Latest Articles (ACS Publications)</w:t>
      </w:r>
      <w:r>
        <w:t xml:space="preserve">    </w:t>
      </w:r>
      <w:r>
        <w:rPr>
          <w:b/>
        </w:rPr>
        <w:t xml:space="preserve">Pub date: </w:t>
      </w:r>
      <w:r>
        <w:t>2026-01-07 18:50:01+00:00</w:t>
      </w:r>
      <w:r>
        <w:t xml:space="preserve">    </w:t>
      </w:r>
      <w:r>
        <w:rPr>
          <w:b/>
        </w:rPr>
        <w:t xml:space="preserve">DOI: </w:t>
      </w:r>
      <w:hyperlink r:id="rId513">
        <w:r>
          <w:rPr>
            <w:color w:val="1155CC"/>
            <w:u w:val="single"/>
          </w:rPr>
          <w:t>10.1021/jacs.5c20554</w:t>
        </w:r>
      </w:hyperlink>
    </w:p>
    <w:p>
      <w:pPr>
        <w:spacing w:before="0" w:after="120"/>
      </w:pPr>
      <w:r>
        <w:rPr>
          <w:b/>
        </w:rPr>
        <w:t xml:space="preserve">Notes: </w:t>
      </w:r>
      <w:r>
        <w:t>abstract_source=pubmed</w:t>
      </w:r>
    </w:p>
    <w:p>
      <w:pPr>
        <w:spacing w:before="0" w:after="80" w:lineRule="auto" w:line="276"/>
      </w:pPr>
      <w:r>
        <w:rPr>
          <w:b/>
        </w:rPr>
        <w:t xml:space="preserve">摘要（ZH）: </w:t>
      </w:r>
      <w:r>
        <w:t>日日志甲烷与有机硫化物的不对称催化分解交叉结合,已经开发出一种非对称催化分解,日日志甲烷与有机硫化物的交叉结合,蛋白性和非氨基氨基酸的变异使得有可能在铜催化催化法下调制不开立立的气压调节器的固化聚氨基螺旋藻,在组织以反反应效应调节的亚甲二氯二苯并呋喃化合物的几何测量方面可能具有重要意义,以有效对应选择性氧化添加为调制;通过二级动能分辨率,并在机械学研究的证实下,对全氟辛烷磺酸产品进一步进行抗富化。</w:t>
      </w:r>
    </w:p>
    <w:p>
      <w:pPr>
        <w:spacing w:before="0" w:after="200" w:lineRule="auto" w:line="276"/>
      </w:pPr>
      <w:r>
        <w:rPr>
          <w:b/>
        </w:rPr>
        <w:t xml:space="preserve">Abstract (EN): </w:t>
      </w:r>
      <w:r>
        <w:t>An asymmetric catalytic desymmetrizing cross-coupling of diarylmethanes with organosulfinates has been developed. Permutations of proteinogenic and noncanonical amino acids allow access to guanidinylated peptide-based ligands that may be tuned for distal stereocontrol under copper catalysis. Noncovalent attractive interactions are likely significant in organizing the geometry of substrate-copper-peptide ternary complexes, modulated by countercation effects, for effective enantioselective oxidative addition; further enantioenrichment of the sulfone products occurs via secondary kinetic resolution, corroborated by mechanistic studies. The mild protocols disclosed herein expand asymmetric and site-selective catalysis mediated by peptides first to enable C-S bond-forming cross-coupling reactions with remote stereocontrol.</w:t>
      </w:r>
    </w:p>
    <w:p>
      <w:pPr>
        <w:spacing w:before="120" w:after="120"/>
      </w:pPr>
      <w:r>
        <w:rPr>
          <w:sz w:val="18"/>
        </w:rPr>
        <w:t>——————————————————————————————————————————————————————————————————————</w:t>
      </w:r>
    </w:p>
    <w:p>
      <w:pPr>
        <w:spacing w:before="160" w:after="40" w:line="240" w:lineRule="auto"/>
      </w:pPr>
      <w:r>
        <w:rPr>
          <w:b/>
        </w:rPr>
        <w:t xml:space="preserve">[334] </w:t>
      </w:r>
      <w:hyperlink r:id="rId514">
        <w:r>
          <w:rPr>
            <w:color w:val="1155CC"/>
            <w:u w:val="single"/>
          </w:rPr>
          <w:t>[ASAP] 用于神经信号物理再编码的细胞膜界面的地形学</w:t>
        </w:r>
      </w:hyperlink>
    </w:p>
    <w:p>
      <w:pPr>
        <w:spacing w:before="0" w:after="80"/>
      </w:pPr>
      <w:r>
        <w:rPr>
          <w:i/>
          <w:sz w:val="20"/>
        </w:rPr>
        <w:t>EN: [ASAP] Topology of the Cell Membrane Interface for the Physical Re-Encoding of Neural Signals</w:t>
      </w:r>
    </w:p>
    <w:p>
      <w:pPr>
        <w:spacing w:before="0" w:after="120"/>
      </w:pPr>
      <w:r>
        <w:rPr>
          <w:b/>
        </w:rPr>
        <w:t xml:space="preserve">Source: </w:t>
      </w:r>
      <w:r>
        <w:t>Journal of the American Chemical Society: Latest Articles (ACS Publications)</w:t>
      </w:r>
      <w:r>
        <w:t xml:space="preserve">    </w:t>
      </w:r>
      <w:r>
        <w:rPr>
          <w:b/>
        </w:rPr>
        <w:t xml:space="preserve">Pub date: </w:t>
      </w:r>
      <w:r>
        <w:t>2026-01-07 18:52:19+00:00</w:t>
      </w:r>
      <w:r>
        <w:t xml:space="preserve">    </w:t>
      </w:r>
      <w:r>
        <w:rPr>
          <w:b/>
        </w:rPr>
        <w:t xml:space="preserve">DOI: </w:t>
      </w:r>
      <w:hyperlink r:id="rId515">
        <w:r>
          <w:rPr>
            <w:color w:val="1155CC"/>
            <w:u w:val="single"/>
          </w:rPr>
          <w:t>10.1021/jacs.5c17879</w:t>
        </w:r>
      </w:hyperlink>
    </w:p>
    <w:p>
      <w:pPr>
        <w:spacing w:before="0" w:after="120"/>
      </w:pPr>
      <w:r>
        <w:rPr>
          <w:b/>
        </w:rPr>
        <w:t xml:space="preserve">Notes: </w:t>
      </w:r>
      <w:r>
        <w:t>abstract_source=pubmed</w:t>
      </w:r>
    </w:p>
    <w:p>
      <w:pPr>
        <w:spacing w:before="0" w:after="80" w:lineRule="auto" w:line="276"/>
      </w:pPr>
      <w:r>
        <w:rPr>
          <w:b/>
        </w:rPr>
        <w:t xml:space="preserve">摘要（ZH）: </w:t>
      </w:r>
      <w:r>
        <w:t>有效的神经信号编码能够影响感官和认知信息,这对调控情绪和行为至关重要。当前的编码战略主要侧重于信号输入的积极离子渠道,往往忽略了膜结构特性在信号转换中的作用。在这里,我们提出了一个膜界面表层学战略,以重塑膜结构,促成神经信号重新编码和改变信息输出。我们设计了涂有生物过敏聚聚多多多功能胺(Au@PDA)的金纳米药,它们紧紧粘着膜,形成一个表层界面。我们的结果显示,在这个界面内,物理电路相互作用重新编码了潜在行动模式,导致神经发烧敏感度下降,并导致Plas的调整。</w:t>
      </w:r>
    </w:p>
    <w:p>
      <w:pPr>
        <w:spacing w:before="0" w:after="200" w:lineRule="auto" w:line="276"/>
      </w:pPr>
      <w:r>
        <w:rPr>
          <w:b/>
        </w:rPr>
        <w:t xml:space="preserve">Abstract (EN): </w:t>
      </w:r>
      <w:r>
        <w:t>Efficient encoding of neural signals can influence sensory and cognitive information, which is crucial for regulating emotions and behaviors. Current encoding strategies primarily focus on active ion channels for signal inputs, often overlooking the role of membrane structural properties in signal transduction. Here, we present a membrane interface topology strategy to reshape membrane structure, enabling neural signal re-encoding and altering information output. We design gold nanorods coated with bioadhesive polydopamine (Au@PDA), which tightly adhere to membranes, forming a topological interface. Our results demonstrate that physical electrical interactions within this interface re-encode action potential patterns, leading to decreased neuronal firing sensitivity and adjustments in plasticity. Typically, the membrane time constant (τm), influenced by membrane structural properties, increases by 68%, resulting from a 34% increase in membrane capacitance (Cm) and a 112% increase in membrane resistance (Rm). We attribute the increased Cm to the electric polarization of Au@PDA within the membrane's electrical field and the increased Rm to the binding of Au@PDA with Na+ and K+ ions under electric polarization. In vitro, Au@PDA significantly reduces calcium influx caused by high potassium stimulation in the long term, and in vivo, it contributes to pain relief in mice with spared nerve injury and aids in restoring nerve function following spinal cord injury. This study introduces a method for re-encoding neural information via membrane interface topology, offering significant potential for enhancing neuroplasticity and treating chronic neurological diseases.</w:t>
      </w:r>
    </w:p>
    <w:p>
      <w:pPr>
        <w:spacing w:before="120" w:after="120"/>
      </w:pPr>
      <w:r>
        <w:rPr>
          <w:sz w:val="18"/>
        </w:rPr>
        <w:t>——————————————————————————————————————————————————————————————————————</w:t>
      </w:r>
    </w:p>
    <w:p>
      <w:pPr>
        <w:spacing w:before="160" w:after="40" w:line="240" w:lineRule="auto"/>
      </w:pPr>
      <w:r>
        <w:rPr>
          <w:b/>
        </w:rPr>
        <w:t xml:space="preserve">[335] </w:t>
      </w:r>
      <w:hyperlink r:id="rId516">
        <w:r>
          <w:rPr>
            <w:color w:val="1155CC"/>
            <w:u w:val="single"/>
          </w:rPr>
          <w:t>[ASAP]在用N-多纸碳丁层修改的Znte电极上将二氧化碳减为甲醇的光电化学剂</w:t>
        </w:r>
      </w:hyperlink>
    </w:p>
    <w:p>
      <w:pPr>
        <w:spacing w:before="0" w:after="80"/>
      </w:pPr>
      <w:r>
        <w:rPr>
          <w:i/>
          <w:sz w:val="20"/>
        </w:rPr>
        <w:t>EN: [ASAP] Photoelectrochemical Reduction of Carbon Dioxide to Methanol on a ZnTe Electrode Modified with a N-Doped Carbon Thin Layer</w:t>
      </w:r>
    </w:p>
    <w:p>
      <w:pPr>
        <w:spacing w:before="0" w:after="120"/>
      </w:pPr>
      <w:r>
        <w:rPr>
          <w:b/>
        </w:rPr>
        <w:t xml:space="preserve">Source: </w:t>
      </w:r>
      <w:r>
        <w:t>ACS Energy Letters: Latest Articles (ACS Publications)</w:t>
      </w:r>
      <w:r>
        <w:t xml:space="preserve">    </w:t>
      </w:r>
      <w:r>
        <w:rPr>
          <w:b/>
        </w:rPr>
        <w:t xml:space="preserve">Pub date: </w:t>
      </w:r>
      <w:r>
        <w:t>2026-01-07 19:50:47+00:00</w:t>
      </w:r>
      <w:r>
        <w:t xml:space="preserve">    </w:t>
      </w:r>
      <w:r>
        <w:rPr>
          <w:b/>
        </w:rPr>
        <w:t xml:space="preserve">DOI: </w:t>
      </w:r>
      <w:hyperlink r:id="rId517">
        <w:r>
          <w:rPr>
            <w:color w:val="1155CC"/>
            <w:u w:val="single"/>
          </w:rPr>
          <w:t>10.1021/acsenergylett.5c03612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[336] </w:t>
      </w:r>
      <w:hyperlink r:id="rId518">
        <w:r>
          <w:rPr>
            <w:color w:val="1155CC"/>
            <w:u w:val="single"/>
          </w:rPr>
          <w:t>[ASAP] Vilmotenitine A 和Hemsleyaconitine F 结构订正的对称合成总量</w:t>
        </w:r>
      </w:hyperlink>
    </w:p>
    <w:p>
      <w:pPr>
        <w:spacing w:before="0" w:after="80"/>
      </w:pPr>
      <w:r>
        <w:rPr>
          <w:i/>
          <w:sz w:val="20"/>
        </w:rPr>
        <w:t>EN: [ASAP] Asymmetric Total Synthesis of Vilmotenitine A and Structural Revision of Hemsleyaconitine F</w:t>
      </w:r>
    </w:p>
    <w:p>
      <w:pPr>
        <w:spacing w:before="0" w:after="120"/>
      </w:pPr>
      <w:r>
        <w:rPr>
          <w:b/>
        </w:rPr>
        <w:t xml:space="preserve">Source: </w:t>
      </w:r>
      <w:r>
        <w:t>Journal of the American Chemical Society: Latest Articles (ACS Publications)</w:t>
      </w:r>
      <w:r>
        <w:t xml:space="preserve">    </w:t>
      </w:r>
      <w:r>
        <w:rPr>
          <w:b/>
        </w:rPr>
        <w:t xml:space="preserve">Pub date: </w:t>
      </w:r>
      <w:r>
        <w:t>2026-01-07 19:51:17+00:00</w:t>
      </w:r>
      <w:r>
        <w:t xml:space="preserve">    </w:t>
      </w:r>
      <w:r>
        <w:rPr>
          <w:b/>
        </w:rPr>
        <w:t xml:space="preserve">DOI: </w:t>
      </w:r>
      <w:hyperlink r:id="rId519">
        <w:r>
          <w:rPr>
            <w:color w:val="1155CC"/>
            <w:u w:val="single"/>
          </w:rPr>
          <w:t>10.1021/jacs.5c19459</w:t>
        </w:r>
      </w:hyperlink>
    </w:p>
    <w:p>
      <w:pPr>
        <w:spacing w:before="0" w:after="120"/>
      </w:pPr>
      <w:r>
        <w:rPr>
          <w:b/>
        </w:rPr>
        <w:t xml:space="preserve">Notes: </w:t>
      </w:r>
      <w:r>
        <w:t>abstract_source=pubmed</w:t>
      </w:r>
    </w:p>
    <w:p>
      <w:pPr>
        <w:spacing w:before="0" w:after="80" w:lineRule="auto" w:line="276"/>
      </w:pPr>
      <w:r>
        <w:rPr>
          <w:b/>
        </w:rPr>
        <w:t xml:space="preserve">摘要（ZH）: </w:t>
      </w:r>
      <w:r>
        <w:t>从战略上讲,我们使用了一种对应选择性的迈克尔(Michael)加法,以建造C4全碳四氟乙基立体中子和氧化性重铁内分离性/diel-Alder循环加环以组装A/B环系统的C4全碳四甲甲立体和氧化性低离聚性/Diels-Alder循环加环。</w:t>
      </w:r>
    </w:p>
    <w:p>
      <w:pPr>
        <w:spacing w:before="0" w:after="200" w:lineRule="auto" w:line="276"/>
      </w:pPr>
      <w:r>
        <w:rPr>
          <w:b/>
        </w:rPr>
        <w:t xml:space="preserve">Abstract (EN): </w:t>
      </w:r>
      <w:r>
        <w:t>The first asymmetric total synthesis of the diterpenoid alkaloid (+)-vilmotenitine A has been accomplished. Strategically, we employed an enantioselective Michael addition to construct the C4 all-carbon quaternary stereocenter and an oxidative dearomatization/Diels-Alder cycloaddition for assembly of the A/B-ring system. Initial attempts to install the E-ring via hydrodealkenylative fragmentation/reductive amination in the presence of the D-ring, or conversely, to construct the D-ring via a Robinson-type annulation with the E-ring in place, were fruitless. The successful route ultimately relied on a hydrodealkenylative fragmentation/Mannich cyclization sequence to forge the E-ring as well as a biogenetically inspired Grob fragmentation to access the complete framework through cleavage of the C7-C17 bond and formation of the requisite C7-C8 double bond. The successful Grob fragmentation provides support for the proposed biosynthetic pathway. This work also leads to definitive revision of the structure originally assigned to hemsleyaconitine F.</w:t>
      </w:r>
    </w:p>
    <w:p>
      <w:pPr>
        <w:spacing w:before="120" w:after="120"/>
      </w:pPr>
      <w:r>
        <w:rPr>
          <w:sz w:val="18"/>
        </w:rPr>
        <w:t>——————————————————————————————————————————————————————————————————————</w:t>
      </w:r>
    </w:p>
    <w:p>
      <w:pPr>
        <w:spacing w:before="160" w:after="40" w:line="240" w:lineRule="auto"/>
      </w:pPr>
      <w:r>
        <w:rPr>
          <w:b/>
        </w:rPr>
        <w:t xml:space="preserve">[337] </w:t>
      </w:r>
      <w:hyperlink r:id="rId520">
        <w:r>
          <w:rPr>
            <w:color w:val="1155CC"/>
            <w:u w:val="single"/>
          </w:rPr>
          <w:t>[ASAP] 光成像成像和治疗生物分子转弯</w:t>
        </w:r>
      </w:hyperlink>
    </w:p>
    <w:p>
      <w:pPr>
        <w:spacing w:before="0" w:after="80"/>
      </w:pPr>
      <w:r>
        <w:rPr>
          <w:i/>
          <w:sz w:val="20"/>
        </w:rPr>
        <w:t>EN: [ASAP] Bioorthogonal Molecular Turn-On Optical Imaging and Therapy</w:t>
      </w:r>
    </w:p>
    <w:p>
      <w:pPr>
        <w:spacing w:before="0" w:after="120"/>
      </w:pPr>
      <w:r>
        <w:rPr>
          <w:b/>
        </w:rPr>
        <w:t xml:space="preserve">Source: </w:t>
      </w:r>
      <w:r>
        <w:t>Chemical Reviews: Latest Articles (ACS Publications)</w:t>
      </w:r>
      <w:r>
        <w:t xml:space="preserve">    </w:t>
      </w:r>
      <w:r>
        <w:rPr>
          <w:b/>
        </w:rPr>
        <w:t xml:space="preserve">Pub date: </w:t>
      </w:r>
      <w:r>
        <w:t>2026-01-07 20:31:27+00:00</w:t>
      </w:r>
      <w:r>
        <w:t xml:space="preserve">    </w:t>
      </w:r>
      <w:r>
        <w:rPr>
          <w:b/>
        </w:rPr>
        <w:t xml:space="preserve">DOI: </w:t>
      </w:r>
      <w:hyperlink r:id="rId521">
        <w:r>
          <w:rPr>
            <w:color w:val="1155CC"/>
            <w:u w:val="single"/>
          </w:rPr>
          <w:t>10.1021/acs.chemrev.5c00825</w:t>
        </w:r>
      </w:hyperlink>
    </w:p>
    <w:p>
      <w:pPr>
        <w:spacing w:before="0" w:after="120"/>
      </w:pPr>
      <w:r>
        <w:rPr>
          <w:b/>
        </w:rPr>
        <w:t xml:space="preserve">Notes: </w:t>
      </w:r>
      <w:r>
        <w:t>abstract_source=pubmed</w:t>
      </w:r>
    </w:p>
    <w:p>
      <w:pPr>
        <w:spacing w:before="0" w:after="80" w:lineRule="auto" w:line="276"/>
      </w:pPr>
      <w:r>
        <w:rPr>
          <w:b/>
        </w:rPr>
        <w:t xml:space="preserve">摘要（ZH）: </w:t>
      </w:r>
      <w:r>
        <w:t>20年来,在分子开关光学成像和治疗方面引入了生物激素化学,这一领域的一个关键创新是开发生物多向开光学探针(BioTOPs),该探针将生物多向手与成象剂相结合,以利用选择性的生物博向反应激活光学信号,使生物分子在生物系统中的高调和实时直观化。对信号激活的精确的波向时控也能够使离目标治疗达到最低限度。本审查总结了生物TOP的设计和应用方面的最新进展。我们首先讨论了生物多向开关光学成像的两步前目标战略。然后,我们将用于Si的生物激素反应分类。我们首先讨论了生物多向开关开关光学成像的两步前目标战略。</w:t>
      </w:r>
    </w:p>
    <w:p>
      <w:pPr>
        <w:spacing w:before="0" w:after="200" w:lineRule="auto" w:line="276"/>
      </w:pPr>
      <w:r>
        <w:rPr>
          <w:b/>
        </w:rPr>
        <w:t xml:space="preserve">Abstract (EN): </w:t>
      </w:r>
      <w:r>
        <w:t>Bioorthogonal chemistry was introduced in the context of the molecular turn-on optical imaging and therapy over 20 years. A pivotal innovation in this field is the development of bioorthogonal turn-on optical probes (BioTOPs), which integrate bioorthogonal handles with imaging agents to leverage selective bioorthogonal reactions for activating optical signals, enabling high-contrast and real-time visualization of biomolecules in living systems. The precise spatiotemporal control over signal activation also enables minimal off-target therapy. This review summarizes recent advances in the design and application of BioTOPs. We first discuss the two-step pretargeted strategy of bioorthogonal turn-on optical imaging. Then, we categorize the bioorthogonal reactions that have been employed for signal activation, including Staudinger ligations, strain-promoted cycloadditions, metal-catalyzed reactions, ketone/aldehyde condensations, boron compound-enabled reactions, and thiol-selective bioconjugations, alongside the activation mechanisms, such as click-to-release, energy/electron dequenching, steric hindrance dequenching, bioorthogonal handle decaging, fluorogenic handle conjugation, and fluorogenic self-assembly, which collectively offer tunable kinetics and high signal turn-on folds. We conclude with applications in diagnostic and therapeutic contexts, from biomolecule profiling and mapping to cancer diagnosis and disease-specific interventions while offering a perspective on the future transformative potential of this technology for molecular diagnostics.</w:t>
      </w:r>
    </w:p>
    <w:p>
      <w:pPr>
        <w:spacing w:before="120" w:after="120"/>
      </w:pPr>
      <w:r>
        <w:rPr>
          <w:sz w:val="18"/>
        </w:rPr>
        <w:t>——————————————————————————————————————————————————————————————————————</w:t>
      </w:r>
    </w:p>
    <w:p>
      <w:pPr>
        <w:spacing w:before="160" w:after="40" w:line="240" w:lineRule="auto"/>
      </w:pPr>
      <w:r>
        <w:rPr>
          <w:b/>
        </w:rPr>
        <w:t xml:space="preserve">[338] </w:t>
      </w:r>
      <w:hyperlink r:id="rId522">
        <w:r>
          <w:rPr>
            <w:color w:val="1155CC"/>
            <w:u w:val="single"/>
          </w:rPr>
          <w:t>利用设计光学材料纳米印刷元表面</w:t>
        </w:r>
      </w:hyperlink>
    </w:p>
    <w:p>
      <w:pPr>
        <w:spacing w:before="0" w:after="80"/>
      </w:pPr>
      <w:r>
        <w:rPr>
          <w:i/>
          <w:sz w:val="20"/>
        </w:rPr>
        <w:t>EN: Nanoprinting metasurfaces with engineered optical materials</w:t>
      </w:r>
    </w:p>
    <w:p>
      <w:pPr>
        <w:spacing w:before="0" w:after="120"/>
      </w:pPr>
      <w:r>
        <w:rPr>
          <w:b/>
        </w:rPr>
        <w:t xml:space="preserve">Source: </w:t>
      </w:r>
      <w:r>
        <w:t>Nature Reviews Materials</w:t>
      </w:r>
      <w:r>
        <w:t xml:space="preserve">    </w:t>
      </w:r>
      <w:r>
        <w:rPr>
          <w:b/>
        </w:rPr>
        <w:t xml:space="preserve">Pub date: </w:t>
      </w:r>
      <w:r>
        <w:t>2026-01-08 00:00:00+00:00</w:t>
      </w:r>
    </w:p>
    <w:p>
      <w:pPr>
        <w:spacing w:before="0" w:after="120"/>
      </w:pPr>
      <w:r>
        <w:rPr>
          <w:b/>
        </w:rPr>
        <w:t xml:space="preserve">Notes: </w:t>
      </w:r>
      <w:r>
        <w:t>abstract_source=nature_html</w:t>
      </w:r>
    </w:p>
    <w:p>
      <w:pPr>
        <w:spacing w:before="0" w:after="80" w:lineRule="auto" w:line="276"/>
      </w:pPr>
      <w:r>
        <w:rPr>
          <w:b/>
        </w:rPr>
        <w:t xml:space="preserve">摘要（ZH）: </w:t>
      </w:r>
      <w:r>
        <w:t>在过去30年中,纳米印刷作为一种强大的制造战略,用于从各种材料中制成的可缩放的高分辨率光学元表层。在本审查中,我们概述了光学元表层纳米印刷技术,审查了如何在模式忠诚、吞吐和与各种光学材料兼容性方面应对挑战。最近的进展将聚合物以外的材料范围扩大到包括纳米粒子嵌入树脂、单凝氧化物、活性材料和量子点,从而能够产生新的光学功能和可重新配置性。我们还强调了纳米印刷如何推动光学元表层在纵向整合和大面积平行制造方面的发展。最后,我们概述了很有希望的研究。</w:t>
      </w:r>
    </w:p>
    <w:p>
      <w:pPr>
        <w:spacing w:before="0" w:after="200" w:lineRule="auto" w:line="276"/>
      </w:pPr>
      <w:r>
        <w:rPr>
          <w:b/>
        </w:rPr>
        <w:t xml:space="preserve">Abstract (EN): </w:t>
      </w:r>
      <w:r>
        <w:t>Nanoprinting has emerged over the past 30 years as a powerful fabrication strategy for scalable, high-resolution optical metasurfaces made from a diverse range of materials. In this Review, we provide an overview of nanoprinting technologies for optical metasurfaces, examining how challenges are addressed in pattern fidelity, throughput and compatibility with diverse optical materials. Recent advances have extended the range of materials beyond polymers to include nanoparticle-embedded resins, sol–gel oxides, active materials and quantum dots, enabling new optical functions and reconfigurability. We also highlight how nanoprinting is driving the development of optical metasurfaces in both vertical integration and large-area parallel fabrication. Finally, we outline promising research directions, including applications in waveguides, artificial-intelligence-driven inverse design and sustainable material systems. By bridging innovation in materials science with scalable nanofabrication techniques, nanoprinting holds potential as a key enabler for next-generation flat optics.</w:t>
      </w:r>
    </w:p>
    <w:p>
      <w:pPr>
        <w:spacing w:before="120" w:after="120"/>
      </w:pPr>
      <w:r>
        <w:rPr>
          <w:sz w:val="18"/>
        </w:rPr>
        <w:t>——————————————————————————————————————————————————————————————————————</w:t>
      </w:r>
    </w:p>
    <w:p>
      <w:pPr>
        <w:spacing w:before="160" w:after="40" w:line="240" w:lineRule="auto"/>
      </w:pPr>
      <w:r>
        <w:rPr>
          <w:b/>
        </w:rPr>
        <w:t xml:space="preserve">[339] </w:t>
      </w:r>
      <w:hyperlink r:id="rId523">
        <w:r>
          <w:rPr>
            <w:color w:val="1155CC"/>
            <w:u w:val="single"/>
          </w:rPr>
          <w:t>将食物系统与食物摄取联系起来:估计人类饮食农业生物多样性的方法</w:t>
        </w:r>
      </w:hyperlink>
    </w:p>
    <w:p>
      <w:pPr>
        <w:spacing w:before="0" w:after="80"/>
      </w:pPr>
      <w:r>
        <w:rPr>
          <w:i/>
          <w:sz w:val="20"/>
        </w:rPr>
        <w:t>EN: Linking food systems to food intake: A methodology to estimate the agrobiodiversity of human diets</w:t>
      </w:r>
    </w:p>
    <w:p>
      <w:pPr>
        <w:spacing w:before="0" w:after="120"/>
      </w:pPr>
      <w:r>
        <w:rPr>
          <w:b/>
        </w:rPr>
        <w:t xml:space="preserve">Source: </w:t>
      </w:r>
      <w:r>
        <w:t>One Earth</w:t>
      </w:r>
      <w:r>
        <w:t xml:space="preserve">    </w:t>
      </w:r>
      <w:r>
        <w:rPr>
          <w:b/>
        </w:rPr>
        <w:t xml:space="preserve">Pub date: </w:t>
      </w:r>
      <w:r>
        <w:t>2026-01-08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[340] </w:t>
      </w:r>
      <w:hyperlink r:id="rId524">
        <w:r>
          <w:rPr>
            <w:color w:val="1155CC"/>
            <w:u w:val="single"/>
          </w:rPr>
          <w:t>再循环的混混水泥设计、应用和挑战</w:t>
        </w:r>
      </w:hyperlink>
    </w:p>
    <w:p>
      <w:pPr>
        <w:spacing w:before="0" w:after="80"/>
      </w:pPr>
      <w:r>
        <w:rPr>
          <w:i/>
          <w:sz w:val="20"/>
        </w:rPr>
        <w:t>EN: Recycled aggregate concrete design, application and challenges</w:t>
      </w:r>
    </w:p>
    <w:p>
      <w:pPr>
        <w:spacing w:before="0" w:after="120"/>
      </w:pPr>
      <w:r>
        <w:rPr>
          <w:b/>
        </w:rPr>
        <w:t xml:space="preserve">Source: </w:t>
      </w:r>
      <w:r>
        <w:t>Nature Reviews Clean Technology</w:t>
      </w:r>
      <w:r>
        <w:t xml:space="preserve">    </w:t>
      </w:r>
      <w:r>
        <w:rPr>
          <w:b/>
        </w:rPr>
        <w:t xml:space="preserve">Pub date: </w:t>
      </w:r>
      <w:r>
        <w:t>2026-01-08 00:00:00+00:00</w:t>
      </w:r>
    </w:p>
    <w:p>
      <w:pPr>
        <w:spacing w:before="0" w:after="120"/>
      </w:pPr>
      <w:r>
        <w:rPr>
          <w:b/>
        </w:rPr>
        <w:t xml:space="preserve">Notes: </w:t>
      </w:r>
      <w:r>
        <w:t>abstract_source=nature_html</w:t>
      </w:r>
    </w:p>
    <w:p>
      <w:pPr>
        <w:spacing w:before="0" w:after="80" w:lineRule="auto" w:line="276"/>
      </w:pPr>
      <w:r>
        <w:rPr>
          <w:b/>
        </w:rPr>
        <w:t xml:space="preserve">摘要（ZH）: </w:t>
      </w:r>
      <w:r>
        <w:t>从历史上看,对RAC的质量、耐久性和安全性的关切阻碍了其更广泛的应用,但技术进步使RAC得以在建筑和其他基础设施中使用。在本审查中,我们讨论了RAC的生产、特性和应用、吸收RAC的障碍和增加应用的途径。回收总量是从CDW产生的,在RAC使用之前可以加工去除或加强旧的迫击炮。与天然总混凝土的相同混合比例相比,RAC通常在建筑方面和与结构有关的性能较差,但可以具有高级功能。</w:t>
      </w:r>
    </w:p>
    <w:p>
      <w:pPr>
        <w:spacing w:before="0" w:after="200" w:lineRule="auto" w:line="276"/>
      </w:pPr>
      <w:r>
        <w:rPr>
          <w:b/>
        </w:rPr>
        <w:t xml:space="preserve">Abstract (EN): </w:t>
      </w:r>
      <w:r>
        <w:t>Recycled aggregate concrete (RAC) reuses aggregates from construction and demolition waste (CDW), reducing mining for natural sand and gravel and landfilling with CDW. Historically, concerns about the quality, durability and safety of RAC prevented its broader application, but technical advances have enabled its use in buildings and other infrastructure. In this Review, we discuss the production, properties and application of RAC, the barriers to its uptake and pathways to increase application. Recycled aggregate is produced from CDW and can be processed to remove or strengthen old mortar before use in RAC. Compared with an identical mix ratio of natural aggregate concrete (NAC), RAC often has inferior construction-related and structure-related performance, but can have superior function-related performance. There are structural considerations when using RAC, such as safety and durability, which can be addressed through confinement techniques, optimized reinforcement design and the use of composite structures. Although many technical challenges have been overcome, key barriers to application still remain, including fragmented standards, inadequate policy support, under-developed market mechanisms and delayed social acceptance. Policymakers, engineers, materials scientists and architects will need to work together to enable a shift from a linear model of NAC-based construction (NAConstruction) to a more circular one with RAC-based construction (RAConstruction).</w:t>
      </w:r>
    </w:p>
    <w:p>
      <w:pPr>
        <w:spacing w:before="120" w:after="120"/>
      </w:pPr>
      <w:r>
        <w:rPr>
          <w:sz w:val="18"/>
        </w:rPr>
        <w:t>——————————————————————————————————————————————————————————————————————</w:t>
      </w:r>
    </w:p>
    <w:p>
      <w:pPr>
        <w:spacing w:before="160" w:after="40" w:line="240" w:lineRule="auto"/>
      </w:pPr>
      <w:r>
        <w:rPr>
          <w:b/>
        </w:rPr>
        <w:t xml:space="preserve">[341] </w:t>
      </w:r>
      <w:hyperlink r:id="rId525">
        <w:r>
          <w:rPr>
            <w:color w:val="1155CC"/>
            <w:u w:val="single"/>
          </w:rPr>
          <w:t>作者校正: 在同义重组中 BCDX2 复杂函数的结构洞见</w:t>
        </w:r>
      </w:hyperlink>
    </w:p>
    <w:p>
      <w:pPr>
        <w:spacing w:before="0" w:after="80"/>
      </w:pPr>
      <w:r>
        <w:rPr>
          <w:i/>
          <w:sz w:val="20"/>
        </w:rPr>
        <w:t>EN: Author Correction: Structural insights into BCDX2 complex function in homologous recombination</w:t>
      </w:r>
    </w:p>
    <w:p>
      <w:pPr>
        <w:spacing w:before="0" w:after="120"/>
      </w:pPr>
      <w:r>
        <w:rPr>
          <w:b/>
        </w:rPr>
        <w:t xml:space="preserve">Source: </w:t>
      </w:r>
      <w:r>
        <w:t>Nature</w:t>
      </w:r>
      <w:r>
        <w:t xml:space="preserve">    </w:t>
      </w:r>
      <w:r>
        <w:rPr>
          <w:b/>
        </w:rPr>
        <w:t xml:space="preserve">Pub date: </w:t>
      </w:r>
      <w:r>
        <w:t>2026-01-08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[342] </w:t>
      </w:r>
      <w:hyperlink r:id="rId526">
        <w:r>
          <w:rPr>
            <w:color w:val="1155CC"/>
            <w:u w:val="single"/>
          </w:rPr>
          <w:t>用于可控多方向液体扩散的散装压力微型结构</w:t>
        </w:r>
      </w:hyperlink>
    </w:p>
    <w:p>
      <w:pPr>
        <w:spacing w:before="0" w:after="80"/>
      </w:pPr>
      <w:r>
        <w:rPr>
          <w:i/>
          <w:sz w:val="20"/>
        </w:rPr>
        <w:t>EN: Bulk-cusp microstructure for controllable multi-directional liquid spreading</w:t>
      </w:r>
    </w:p>
    <w:p>
      <w:pPr>
        <w:spacing w:before="0" w:after="120"/>
      </w:pPr>
      <w:r>
        <w:rPr>
          <w:b/>
        </w:rPr>
        <w:t xml:space="preserve">Source: </w:t>
      </w:r>
      <w:r>
        <w:t>Nature Communications</w:t>
      </w:r>
      <w:r>
        <w:t xml:space="preserve">    </w:t>
      </w:r>
      <w:r>
        <w:rPr>
          <w:b/>
        </w:rPr>
        <w:t xml:space="preserve">Pub date: </w:t>
      </w:r>
      <w:r>
        <w:t>2026-01-08 00:00:00+00:00</w:t>
      </w:r>
    </w:p>
    <w:p>
      <w:pPr>
        <w:spacing w:before="0" w:after="120"/>
      </w:pPr>
      <w:r>
        <w:rPr>
          <w:b/>
        </w:rPr>
        <w:t xml:space="preserve">Notes: </w:t>
      </w:r>
      <w:r>
        <w:t>abstract_source=nature_html</w:t>
      </w:r>
    </w:p>
    <w:p>
      <w:pPr>
        <w:spacing w:before="0" w:after="80" w:lineRule="auto" w:line="276"/>
      </w:pPr>
      <w:r>
        <w:rPr>
          <w:b/>
        </w:rPr>
        <w:t xml:space="preserve">摘要（ZH）: </w:t>
      </w:r>
      <w:r>
        <w:t>固态表面液体的可控湿化对于先进的科学和工程来说是有意义的。目前关于可控液体扩散的研究一般限于单向模式,同时在微结构表面实现多向扩散仍然具有挑战性。我们在此提议一种新型的散装控制微型结构,在无外部能量投入的情况下,将滴子向0到4方向扩散。这种行为不仅发生在单滴沉降中,而且发生在连续液体注入中。大宗结构假定具有交叉或正方形,意味着前体胶片的覆盖率相对较高和低。由于前体胶片的拖动效应,交叉控制微型结构有利于可控扩散。</w:t>
      </w:r>
    </w:p>
    <w:p>
      <w:pPr>
        <w:spacing w:before="0" w:after="200" w:lineRule="auto" w:line="276"/>
      </w:pPr>
      <w:r>
        <w:rPr>
          <w:b/>
        </w:rPr>
        <w:t xml:space="preserve">Abstract (EN): </w:t>
      </w:r>
      <w:r>
        <w:t>Controllable wetting of liquid on solid surface is meaningful for advanced science and engineering. Current researches about controllable liquid spreading are generally limited to unidirectional modes, while achieving multi-directional spreading on microstructured surfaces remains challenging. Herein, we propose a novel type of bulk-cusp microstructure, exhibiting 0 to 4-directional spreading of droplet without external energy input. This behavior occurs not only under single-drop deposition but also under continuous liquid injection. The bulk structure is assumed to have cross or square shape, implying relatively high and low coverage ratio of the precursor film, respectively. Owing to the drag effect of the precursor film, the cross-cusp microstructure facilitates controllable spreading of the main droplet, whereas the square-cusp microstructure just has guidance action on precursor film due to its low coverage ratio. Mechanism analysis reveals the capillary forces generated from the narrow gaps between adjacent cusps effectively separate the precursor film. The area coverage ratio of precursor film determined by the shape of the bulk influences the coupling or decoupling of the droplet body and precursor film. Such controllable multi-directional liquid spreading enables applications in lubrication enhancement and smart evaporation cooling.</w:t>
      </w:r>
    </w:p>
    <w:p>
      <w:pPr>
        <w:spacing w:before="120" w:after="120"/>
      </w:pPr>
      <w:r>
        <w:rPr>
          <w:sz w:val="18"/>
        </w:rPr>
        <w:t>——————————————————————————————————————————————————————————————————————</w:t>
      </w:r>
    </w:p>
    <w:p>
      <w:pPr>
        <w:spacing w:before="160" w:after="40" w:line="240" w:lineRule="auto"/>
      </w:pPr>
      <w:r>
        <w:rPr>
          <w:b/>
        </w:rPr>
        <w:t xml:space="preserve">[343] </w:t>
      </w:r>
      <w:hyperlink r:id="rId527">
        <w:r>
          <w:rPr>
            <w:color w:val="1155CC"/>
            <w:u w:val="single"/>
          </w:rPr>
          <w:t>更正:光伏电池板中大气水分驱动蒸发冷却和并行水伏能收集</w:t>
        </w:r>
      </w:hyperlink>
    </w:p>
    <w:p>
      <w:pPr>
        <w:spacing w:before="0" w:after="80"/>
      </w:pPr>
      <w:r>
        <w:rPr>
          <w:i/>
          <w:sz w:val="20"/>
        </w:rPr>
        <w:t>EN: Correction: Atmospheric-moisture-driven evaporative cooling and concurrent hydrovoltaic energy harvesting in photovoltaic panels</w:t>
      </w:r>
    </w:p>
    <w:p>
      <w:pPr>
        <w:spacing w:before="0" w:after="120"/>
      </w:pPr>
      <w:r>
        <w:rPr>
          <w:b/>
        </w:rPr>
        <w:t xml:space="preserve">Source: </w:t>
      </w:r>
      <w:r>
        <w:t>RSC - Energy Environ. Sci. latest articles</w:t>
      </w:r>
      <w:r>
        <w:t xml:space="preserve">    </w:t>
      </w:r>
      <w:r>
        <w:rPr>
          <w:b/>
        </w:rPr>
        <w:t xml:space="preserve">Pub date: </w:t>
      </w:r>
      <w:r>
        <w:t>2026-01-08 00:00:00+00:00</w:t>
      </w:r>
    </w:p>
    <w:p>
      <w:pPr>
        <w:spacing w:before="0" w:after="120"/>
      </w:pPr>
      <w:r>
        <w:rPr>
          <w:b/>
        </w:rPr>
        <w:t xml:space="preserve">Notes: </w:t>
      </w:r>
      <w:r>
        <w:t>abstract_source=rsc_html</w:t>
      </w:r>
    </w:p>
    <w:p>
      <w:pPr>
        <w:spacing w:before="0" w:after="80" w:lineRule="auto" w:line="276"/>
      </w:pPr>
      <w:r>
        <w:rPr>
          <w:b/>
        </w:rPr>
        <w:t xml:space="preserve">摘要（ZH）: </w:t>
      </w:r>
      <w:r>
        <w:t>Sunmiao Fang等人,Energy Environ.Sci.,2026年,https://doi.org/10.1039/d5ee05530j。</w:t>
      </w:r>
    </w:p>
    <w:p>
      <w:pPr>
        <w:spacing w:before="0" w:after="200" w:lineRule="auto" w:line="276"/>
      </w:pPr>
      <w:r>
        <w:rPr>
          <w:b/>
        </w:rPr>
        <w:t xml:space="preserve">Abstract (EN): </w:t>
      </w:r>
      <w:r>
        <w:t>Correction for ‘Atmospheric-moisture-driven evaporative cooling and concurrent hydrovoltaic energy harvesting in photovoltaic panels’ by Sunmiao Fang et al., Energy Environ. Sci., 2026, https://doi.org/10.1039/d5ee05530j.</w:t>
      </w:r>
    </w:p>
    <w:p>
      <w:pPr>
        <w:spacing w:before="120" w:after="120"/>
      </w:pPr>
      <w:r>
        <w:rPr>
          <w:sz w:val="18"/>
        </w:rPr>
        <w:t>——————————————————————————————————————————————————————————————————————</w:t>
      </w:r>
    </w:p>
    <w:p>
      <w:pPr>
        <w:spacing w:before="160" w:after="40" w:line="240" w:lineRule="auto"/>
      </w:pPr>
      <w:r>
        <w:rPr>
          <w:b/>
        </w:rPr>
        <w:t xml:space="preserve">[344] </w:t>
      </w:r>
      <w:hyperlink r:id="rId528">
        <w:r>
          <w:rPr>
            <w:color w:val="1155CC"/>
            <w:u w:val="single"/>
          </w:rPr>
          <w:t>在与气候变化相关的风险感知方面自相差异的元分析分析证据</w:t>
        </w:r>
      </w:hyperlink>
    </w:p>
    <w:p>
      <w:pPr>
        <w:spacing w:before="0" w:after="80"/>
      </w:pPr>
      <w:r>
        <w:rPr>
          <w:i/>
          <w:sz w:val="20"/>
        </w:rPr>
        <w:t>EN: Meta-analytical evidence of a self–other discrepancy in climate change-related risk perceptions</w:t>
      </w:r>
    </w:p>
    <w:p>
      <w:pPr>
        <w:spacing w:before="0" w:after="120"/>
      </w:pPr>
      <w:r>
        <w:rPr>
          <w:b/>
        </w:rPr>
        <w:t xml:space="preserve">Source: </w:t>
      </w:r>
      <w:r>
        <w:t>Nature Sustainability</w:t>
      </w:r>
      <w:r>
        <w:t xml:space="preserve">    </w:t>
      </w:r>
      <w:r>
        <w:rPr>
          <w:b/>
        </w:rPr>
        <w:t xml:space="preserve">Pub date: </w:t>
      </w:r>
      <w:r>
        <w:t>2026-01-08 00:00:00+00:00</w:t>
      </w:r>
    </w:p>
    <w:p>
      <w:pPr>
        <w:spacing w:before="0" w:after="120"/>
      </w:pPr>
      <w:r>
        <w:rPr>
          <w:b/>
        </w:rPr>
        <w:t xml:space="preserve">Notes: </w:t>
      </w:r>
      <w:r>
        <w:t>abstract_source=nature_html</w:t>
      </w:r>
    </w:p>
    <w:p>
      <w:pPr>
        <w:spacing w:before="0" w:after="80" w:lineRule="auto" w:line="276"/>
      </w:pPr>
      <w:r>
        <w:rPr>
          <w:b/>
        </w:rPr>
        <w:t xml:space="preserve">摘要（ZH）: </w:t>
      </w:r>
      <w:r>
        <w:t>在减轻和适应气候变化相关风险方面,公正的风险评估至关重要。 然而,个人系统化地将个人风险评为低于他人风险(即自我差异 ) 。 在预先注册的多层次元分析中,我们估计了气候变化相关风险认知中自身差异的总体影响和边界条件。 综合包含60个数据集,包括来自17个国家70,337名参与者的83个影响大小。 结果显示,83个数据集中有81个参与者认为自己个人气候变化相关风险低于他人(d=-054,95% CI [-0.68,-0.39] 。 这种偏差在与极端天气相关的特定区域中是强大的。</w:t>
      </w:r>
    </w:p>
    <w:p>
      <w:pPr>
        <w:spacing w:before="0" w:after="200" w:lineRule="auto" w:line="276"/>
      </w:pPr>
      <w:r>
        <w:rPr>
          <w:b/>
        </w:rPr>
        <w:t xml:space="preserve">Abstract (EN): </w:t>
      </w:r>
      <w:r>
        <w:t>In mitigating and adapting to climate change-related risks, unbiased risk assessments are essential. Yet individuals systematically rate their personal risks as lower than those of others, believing themselves to be less at risk than others (that is, a self–other discrepancy). In a preregistered multi-level meta-analysis, we estimate the overall effect and boundary conditions for a self–other discrepancy in climate change-related risk perceptions. The synthesis incorporated 60 datasets, comprising 83 effect sizes from 70,337 participants across 17 countries. Results revealed that in 81 of 83 datasets, participants perceived their personal climate change-related risks as lower than others (d = −0.54, 95% CI [−0.68, −0.39]). This skewness was robust across specific extreme weather-related hazards and general climate change-related risks. Notably, the self–other discrepancy was less pronounced when comparisons involved specific others (for example, neighbours) or high-risk regions (for example, Asia), and more pronounced when the referents were compatriots or humanity as a whole or when the context was low-risk regions (for example, Europe). These results highlight a critical implication for the general public and a challenge for risk communicators: a widespread misperception, where people perceive personal climate change-related risks as lower than others, may hinder public engagement in mitigation and adaptation efforts.</w:t>
      </w:r>
    </w:p>
    <w:p>
      <w:pPr>
        <w:spacing w:before="120" w:after="120"/>
      </w:pPr>
      <w:r>
        <w:rPr>
          <w:sz w:val="18"/>
        </w:rPr>
        <w:t>——————————————————————————————————————————————————————————————————————</w:t>
      </w:r>
    </w:p>
    <w:p>
      <w:pPr>
        <w:spacing w:before="160" w:after="40" w:line="240" w:lineRule="auto"/>
      </w:pPr>
      <w:r>
        <w:rPr>
          <w:b/>
        </w:rPr>
        <w:t xml:space="preserve">[345] </w:t>
      </w:r>
      <w:hyperlink r:id="rId529">
        <w:r>
          <w:rPr>
            <w:color w:val="1155CC"/>
            <w:u w:val="single"/>
          </w:rPr>
          <w:t>测量静水压下电子-磷相联常量</w:t>
        </w:r>
      </w:hyperlink>
    </w:p>
    <w:p>
      <w:pPr>
        <w:spacing w:before="0" w:after="80"/>
      </w:pPr>
      <w:r>
        <w:rPr>
          <w:i/>
          <w:sz w:val="20"/>
        </w:rPr>
        <w:t>EN: Measurement of electron–phonon coupling constant under hydrostatic pressure</w:t>
      </w:r>
    </w:p>
    <w:p>
      <w:pPr>
        <w:spacing w:before="0" w:after="120"/>
      </w:pPr>
      <w:r>
        <w:rPr>
          <w:b/>
        </w:rPr>
        <w:t xml:space="preserve">Source: </w:t>
      </w:r>
      <w:r>
        <w:t>ScienceDirect Publication: Materials Today</w:t>
      </w:r>
      <w:r>
        <w:t xml:space="preserve">    </w:t>
      </w:r>
      <w:r>
        <w:rPr>
          <w:b/>
        </w:rPr>
        <w:t xml:space="preserve">Pub date: </w:t>
      </w:r>
      <w:r>
        <w:t>2026-01-08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[346] </w:t>
      </w:r>
      <w:hyperlink r:id="rId530">
        <w:r>
          <w:rPr>
            <w:color w:val="1155CC"/>
            <w:u w:val="single"/>
          </w:rPr>
          <w:t>利用海水硝酸盐合成氨水,促进可持续氮循环</w:t>
        </w:r>
      </w:hyperlink>
    </w:p>
    <w:p>
      <w:pPr>
        <w:spacing w:before="0" w:after="80"/>
      </w:pPr>
      <w:r>
        <w:rPr>
          <w:i/>
          <w:sz w:val="20"/>
        </w:rPr>
        <w:t>EN: Piezocatalytic ammonia synthesis from seawater nitrate for sustainable nitrogen cycle</w:t>
      </w:r>
    </w:p>
    <w:p>
      <w:pPr>
        <w:spacing w:before="0" w:after="120"/>
      </w:pPr>
      <w:r>
        <w:rPr>
          <w:b/>
        </w:rPr>
        <w:t xml:space="preserve">Source: </w:t>
      </w:r>
      <w:r>
        <w:t>National Science Review Advance Access</w:t>
      </w:r>
      <w:r>
        <w:t xml:space="preserve">    </w:t>
      </w:r>
      <w:r>
        <w:rPr>
          <w:b/>
        </w:rPr>
        <w:t xml:space="preserve">Pub date: </w:t>
      </w:r>
      <w:r>
        <w:t>2026-01-08 00:00:00+00:00</w:t>
      </w:r>
      <w:r>
        <w:t xml:space="preserve">    </w:t>
      </w:r>
      <w:r>
        <w:rPr>
          <w:b/>
        </w:rPr>
        <w:t xml:space="preserve">DOI: </w:t>
      </w:r>
      <w:hyperlink r:id="rId531">
        <w:r>
          <w:rPr>
            <w:color w:val="1155CC"/>
            <w:u w:val="single"/>
          </w:rPr>
          <w:t>10.1093/nsr/nwag008/8417170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[347] </w:t>
      </w:r>
      <w:hyperlink r:id="rId532">
        <w:r>
          <w:rPr>
            <w:color w:val="1155CC"/>
            <w:u w:val="single"/>
          </w:rPr>
          <w:t>体积压缩调节AXIN 的阶段分离,并充当有机体中双向调制 Wnt 信号的操作放大器</w:t>
        </w:r>
      </w:hyperlink>
    </w:p>
    <w:p>
      <w:pPr>
        <w:spacing w:before="0" w:after="80"/>
      </w:pPr>
      <w:r>
        <w:rPr>
          <w:i/>
          <w:sz w:val="20"/>
        </w:rPr>
        <w:t>EN: Volumetric compression regulates the phase separation of AXIN and acts as an operational amplifier to bidirectionally modulate Wnt signaling in organoids</w:t>
      </w:r>
    </w:p>
    <w:p>
      <w:pPr>
        <w:spacing w:before="0" w:after="120"/>
      </w:pPr>
      <w:r>
        <w:rPr>
          <w:b/>
        </w:rPr>
        <w:t xml:space="preserve">Source: </w:t>
      </w:r>
      <w:r>
        <w:t>Nature Communications</w:t>
      </w:r>
      <w:r>
        <w:t xml:space="preserve">    </w:t>
      </w:r>
      <w:r>
        <w:rPr>
          <w:b/>
        </w:rPr>
        <w:t xml:space="preserve">Pub date: </w:t>
      </w:r>
      <w:r>
        <w:t>2026-01-08 00:00:00+00:00</w:t>
      </w:r>
    </w:p>
    <w:p>
      <w:pPr>
        <w:spacing w:before="0" w:after="120"/>
      </w:pPr>
      <w:r>
        <w:rPr>
          <w:b/>
        </w:rPr>
        <w:t xml:space="preserve">Notes: </w:t>
      </w:r>
      <w:r>
        <w:t>abstract_source=nature_html</w:t>
      </w:r>
    </w:p>
    <w:p>
      <w:pPr>
        <w:spacing w:before="0" w:after="80" w:lineRule="auto" w:line="276"/>
      </w:pPr>
      <w:r>
        <w:rPr>
          <w:b/>
        </w:rPr>
        <w:t xml:space="preserve">摘要（ZH）: </w:t>
      </w:r>
      <w:r>
        <w:t>蛋白质阶段分离已成为对细胞内过程进行时空调节的关键机制,然而,它整合和计算各种细胞外信号的潜力还没有得到完全理解。在这里,我们展示了一种机械生化电路,它利用阶段分离处理机械和生化投入,调节细胞命运决定。我们证明,量子压缩双向调节阴道/β-卡通信号,其中Wnt ligands确定AXIN阶段分离的地点,以形成细胞膜上的LRP6信号,或形成细胞质素中的β-卡通宁破坏综合体,而机械刺激则促进阶段分离的程度,以扩大正或负信号。</w:t>
      </w:r>
    </w:p>
    <w:p>
      <w:pPr>
        <w:spacing w:before="0" w:after="200" w:lineRule="auto" w:line="276"/>
      </w:pPr>
      <w:r>
        <w:rPr>
          <w:b/>
        </w:rPr>
        <w:t xml:space="preserve">Abstract (EN): </w:t>
      </w:r>
      <w:r>
        <w:t>Protein phase separation has emerged as a crucial mechanism for spatiotemporal regulation of intracellular processes, yet its potential to integrate and compute diverse extracellular signals is not fully understood. Here, we show a mechano-biochemical circuit that harnesses phase separation to process mechanical and biochemical inputs, modulating cell fate decisions. We demonstrate that volumetric compression bidirectionally regulates canonical Wnt/β-catenin signaling, where the presence of Wnt ligands determines the locations of AXIN phase separation to form either LRP6 signalosomes on the cell membrane or β-catenin destruction complexes in the cytosol, while the mechanical stimulus promotes degree of phase separation to amplify either the positive or negative signal. This circuit enhances healthy intestinal organoid proliferation while suppressing patient-derived colorectal cancer organoid growth, revealing its potential for precise mechanotherapy. Our findings establish phase separation as a critical component in mechanical signal transduction and provide a framework for integrating mechanical and biochemical cues in cellular decision-making. This approach opens avenues for targeted therapies and deepens our understanding of how cells process complex environmental information.</w:t>
      </w:r>
    </w:p>
    <w:p>
      <w:pPr>
        <w:spacing w:before="120" w:after="120"/>
      </w:pPr>
      <w:r>
        <w:rPr>
          <w:sz w:val="18"/>
        </w:rPr>
        <w:t>——————————————————————————————————————————————————————————————————————</w:t>
      </w:r>
    </w:p>
    <w:p>
      <w:pPr>
        <w:spacing w:before="160" w:after="40" w:line="240" w:lineRule="auto"/>
      </w:pPr>
      <w:r>
        <w:rPr>
          <w:b/>
        </w:rPr>
        <w:t xml:space="preserve">[348] </w:t>
      </w:r>
      <w:hyperlink r:id="rId533">
        <w:r>
          <w:rPr>
            <w:color w:val="1155CC"/>
            <w:u w:val="single"/>
          </w:rPr>
          <w:t>每日简报:由八十式启发的合成 " 皮肤 " 变化在需求下出现</w:t>
        </w:r>
      </w:hyperlink>
    </w:p>
    <w:p>
      <w:pPr>
        <w:spacing w:before="0" w:after="80"/>
      </w:pPr>
      <w:r>
        <w:rPr>
          <w:i/>
          <w:sz w:val="20"/>
        </w:rPr>
        <w:t>EN: Daily briefing: Octopus-inspired synthetic ‘skin’ changes appearance on demand</w:t>
      </w:r>
    </w:p>
    <w:p>
      <w:pPr>
        <w:spacing w:before="0" w:after="120"/>
      </w:pPr>
      <w:r>
        <w:rPr>
          <w:b/>
        </w:rPr>
        <w:t xml:space="preserve">Source: </w:t>
      </w:r>
      <w:r>
        <w:t>Nature</w:t>
      </w:r>
      <w:r>
        <w:t xml:space="preserve">    </w:t>
      </w:r>
      <w:r>
        <w:rPr>
          <w:b/>
        </w:rPr>
        <w:t xml:space="preserve">Pub date: </w:t>
      </w:r>
      <w:r>
        <w:t>2026-01-08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[349] </w:t>
      </w:r>
      <w:hyperlink r:id="rId534">
        <w:r>
          <w:rPr>
            <w:color w:val="1155CC"/>
            <w:u w:val="single"/>
          </w:rPr>
          <w:t>研究显示天花正在以好奇的方式演变</w:t>
        </w:r>
      </w:hyperlink>
    </w:p>
    <w:p>
      <w:pPr>
        <w:spacing w:before="0" w:after="80"/>
      </w:pPr>
      <w:r>
        <w:rPr>
          <w:i/>
          <w:sz w:val="20"/>
        </w:rPr>
        <w:t>EN: Will mpox go global again? Research shows it's evolving in curious ways</w:t>
      </w:r>
    </w:p>
    <w:p>
      <w:pPr>
        <w:spacing w:before="0" w:after="120"/>
      </w:pPr>
      <w:r>
        <w:rPr>
          <w:b/>
        </w:rPr>
        <w:t xml:space="preserve">Source: </w:t>
      </w:r>
      <w:r>
        <w:t>Nature</w:t>
      </w:r>
      <w:r>
        <w:t xml:space="preserve">    </w:t>
      </w:r>
      <w:r>
        <w:rPr>
          <w:b/>
        </w:rPr>
        <w:t xml:space="preserve">Pub date: </w:t>
      </w:r>
      <w:r>
        <w:t>2026-01-08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[350] </w:t>
      </w:r>
      <w:hyperlink r:id="rId535">
        <w:r>
          <w:rPr>
            <w:color w:val="1155CC"/>
            <w:u w:val="single"/>
          </w:rPr>
          <w:t>软电电动免疫</w:t>
        </w:r>
      </w:hyperlink>
    </w:p>
    <w:p>
      <w:pPr>
        <w:spacing w:before="0" w:after="80"/>
      </w:pPr>
      <w:r>
        <w:rPr>
          <w:i/>
          <w:sz w:val="20"/>
        </w:rPr>
        <w:t>EN: Soft electroceutical immunomodulation</w:t>
      </w:r>
    </w:p>
    <w:p>
      <w:pPr>
        <w:spacing w:before="0" w:after="120"/>
      </w:pPr>
      <w:r>
        <w:rPr>
          <w:b/>
        </w:rPr>
        <w:t xml:space="preserve">Source: </w:t>
      </w:r>
      <w:r>
        <w:t>National Science Review Advance Access</w:t>
      </w:r>
      <w:r>
        <w:t xml:space="preserve">    </w:t>
      </w:r>
      <w:r>
        <w:rPr>
          <w:b/>
        </w:rPr>
        <w:t xml:space="preserve">Pub date: </w:t>
      </w:r>
      <w:r>
        <w:t>2026-01-08 00:00:00+00:00</w:t>
      </w:r>
      <w:r>
        <w:t xml:space="preserve">    </w:t>
      </w:r>
      <w:r>
        <w:rPr>
          <w:b/>
        </w:rPr>
        <w:t xml:space="preserve">DOI: </w:t>
      </w:r>
      <w:hyperlink r:id="rId536">
        <w:r>
          <w:rPr>
            <w:color w:val="1155CC"/>
            <w:u w:val="single"/>
          </w:rPr>
          <w:t>10.1093/nsr/nwag009/8417167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[351] </w:t>
      </w:r>
      <w:hyperlink r:id="rId537">
        <w:r>
          <w:rPr>
            <w:color w:val="1155CC"/>
            <w:u w:val="single"/>
          </w:rPr>
          <w:t>波龙中子捕捉疗法保留了免疫细胞,并在临床前的老鼠模型中诱发强力抗脉冲豁免。</w:t>
        </w:r>
      </w:hyperlink>
    </w:p>
    <w:p>
      <w:pPr>
        <w:spacing w:before="0" w:after="80"/>
      </w:pPr>
      <w:r>
        <w:rPr>
          <w:i/>
          <w:sz w:val="20"/>
        </w:rPr>
        <w:t>EN: Boron neutron capture therapy preserves immune cells and induces robust anti-tumour immunity in preclinical mouse model</w:t>
      </w:r>
    </w:p>
    <w:p>
      <w:pPr>
        <w:spacing w:before="0" w:after="120"/>
      </w:pPr>
      <w:r>
        <w:rPr>
          <w:b/>
        </w:rPr>
        <w:t xml:space="preserve">Source: </w:t>
      </w:r>
      <w:r>
        <w:t>Nature Communications</w:t>
      </w:r>
      <w:r>
        <w:t xml:space="preserve">    </w:t>
      </w:r>
      <w:r>
        <w:rPr>
          <w:b/>
        </w:rPr>
        <w:t xml:space="preserve">Pub date: </w:t>
      </w:r>
      <w:r>
        <w:t>2026-01-08 00:00:00+00:00</w:t>
      </w:r>
    </w:p>
    <w:p>
      <w:pPr>
        <w:spacing w:before="0" w:after="120"/>
      </w:pPr>
      <w:r>
        <w:rPr>
          <w:b/>
        </w:rPr>
        <w:t xml:space="preserve">Notes: </w:t>
      </w:r>
      <w:r>
        <w:t>abstract_source=nature_html</w:t>
      </w:r>
    </w:p>
    <w:p>
      <w:pPr>
        <w:spacing w:before="0" w:after="80" w:lineRule="auto" w:line="276"/>
      </w:pPr>
      <w:r>
        <w:rPr>
          <w:b/>
        </w:rPr>
        <w:t xml:space="preserve">摘要（ZH）: </w:t>
      </w:r>
      <w:r>
        <w:t>放射疗法既可以激活,也可以抑制免疫,因此难以预测或调节这些对立效应,以更好地治疗癌症。 细胞级放射疗法 -- -- 肺中子捕获疗法(BNCT)在临床实践中表现出显著的治疗效果,但机械性研究仍然不够充分。 在这里,我们将BNCT的影响与对免疫细胞的等量辐射剂量的X射线辐照进行比较,并界定在老鼠肿瘤模型中BNCT更好的治疗好处背后的免疫机制。 我们发现BNCT对免疫细胞的存活能力影响极小,同时引发免疫性肿瘤细胞死亡,最终导致更强的抗肿瘤免疫。 此外,单细胞RNA测序显示,BNCT重塑了免疫细胞细胞。</w:t>
      </w:r>
    </w:p>
    <w:p>
      <w:pPr>
        <w:spacing w:before="0" w:after="200" w:lineRule="auto" w:line="276"/>
      </w:pPr>
      <w:r>
        <w:rPr>
          <w:b/>
        </w:rPr>
        <w:t xml:space="preserve">Abstract (EN): </w:t>
      </w:r>
      <w:r>
        <w:t>Radiotherapy can both activate and suppress immunity, making it difficult to predict or modulate these opposing effects for better cancer treatment. Boron neutron capture therapy (BNCT), a cellular-level radiotherapy, has demonstrated remarkable therapeutic efficacy in clinical practice, but mechanistically remains inadequately explored. Here, we compare the effects of BNCT with X-ray irradiation at equivalent radiation doses on immune cells and define the immunological mechanisms behind the improved therapeutic benefit of BNCT in mouse tumour models. We find that BNCT has a minimal effect on immune cell viability, while it triggers an immunogenic tumour cell death, ultimately inducing stronger anti-tumour immunity. Additionally, single-cell RNA sequencing indicates that BNCT reshapes the tumour microenvironment by enhancing dendritic cells, T cells, and NK cells activity. Thus, these findings provide important insights into radiobiological mechanisms following BNCT and inform strategies to preserve immune cells during radiotherapy and to increase cancer treatment efficacy.</w:t>
      </w:r>
    </w:p>
    <w:p>
      <w:pPr>
        <w:spacing w:before="120" w:after="120"/>
      </w:pPr>
      <w:r>
        <w:rPr>
          <w:sz w:val="18"/>
        </w:rPr>
        <w:t>——————————————————————————————————————————————————————————————————————</w:t>
      </w:r>
    </w:p>
    <w:p>
      <w:pPr>
        <w:spacing w:before="160" w:after="40" w:line="240" w:lineRule="auto"/>
      </w:pPr>
      <w:r>
        <w:rPr>
          <w:b/>
        </w:rPr>
        <w:t xml:space="preserve">[352] </w:t>
      </w:r>
      <w:hyperlink r:id="rId538">
        <w:r>
          <w:rPr>
            <w:color w:val="1155CC"/>
            <w:u w:val="single"/>
          </w:rPr>
          <w:t>用于高通量检测受转移性细菌感染的循环循环肿瘤细胞的高通量的机械式基因组芯片</w:t>
        </w:r>
      </w:hyperlink>
    </w:p>
    <w:p>
      <w:pPr>
        <w:spacing w:before="0" w:after="80"/>
      </w:pPr>
      <w:r>
        <w:rPr>
          <w:i/>
          <w:sz w:val="20"/>
        </w:rPr>
        <w:t>EN: A Mechanophenotyping chip for high-throughput detection of metastatic bacteria-infected circulating tumor cells</w:t>
      </w:r>
    </w:p>
    <w:p>
      <w:pPr>
        <w:spacing w:before="0" w:after="120"/>
      </w:pPr>
      <w:r>
        <w:rPr>
          <w:b/>
        </w:rPr>
        <w:t xml:space="preserve">Source: </w:t>
      </w:r>
      <w:r>
        <w:t>Nature Communications</w:t>
      </w:r>
      <w:r>
        <w:t xml:space="preserve">    </w:t>
      </w:r>
      <w:r>
        <w:rPr>
          <w:b/>
        </w:rPr>
        <w:t xml:space="preserve">Pub date: </w:t>
      </w:r>
      <w:r>
        <w:t>2026-01-08 00:00:00+00:00</w:t>
      </w:r>
    </w:p>
    <w:p>
      <w:pPr>
        <w:spacing w:before="0" w:after="120"/>
      </w:pPr>
      <w:r>
        <w:rPr>
          <w:b/>
        </w:rPr>
        <w:t xml:space="preserve">Notes: </w:t>
      </w:r>
      <w:r>
        <w:t>abstract_source=nature_html</w:t>
      </w:r>
    </w:p>
    <w:p>
      <w:pPr>
        <w:spacing w:before="0" w:after="80" w:lineRule="auto" w:line="276"/>
      </w:pPr>
      <w:r>
        <w:rPr>
          <w:b/>
        </w:rPr>
        <w:t xml:space="preserve">摘要（ZH）: </w:t>
      </w:r>
      <w:r>
        <w:t>新出现的证据强调了癌症细胞的生物物理特征,这些癌症细胞是癌症进化和转移的主要调节器。在这里,我们报告了一个细胞-机械基因学筛选微型氟化物芯片,用于高效高效地捕捉循环肿瘤细胞(CTCs)和评估单细胞变形,以揭示细菌感染乳腺癌的异基因转移潜力。LesM使用L型陷阱捕捉单细胞,利用细菌感染的CTC细胞骨骼重组缩小通道,保留僵硬的本地细胞。平台显示平均单细胞捕捉效率为95.42%,在歧视受感染与非受感染乳腺癌细胞方面有85.34%的特殊性,通过平行生存来验证。</w:t>
      </w:r>
    </w:p>
    <w:p>
      <w:pPr>
        <w:spacing w:before="0" w:after="200" w:lineRule="auto" w:line="276"/>
      </w:pPr>
      <w:r>
        <w:rPr>
          <w:b/>
        </w:rPr>
        <w:t xml:space="preserve">Abstract (EN): </w:t>
      </w:r>
      <w:r>
        <w:t>Emerging evidence underscores biophysical characteristics of cancer cells as key modulators of cancer progression and metastasis. Herein, we reported a cell-mechanophenotyping screening microfluidic chip (termed LesM) for the high-efficient capture of circulating tumor cells (CTCs) and evaluation of single-cell deformation to reveal the hematogenous metastatic potential of bacteria-infected breast cancer. LesM employs L-shaped traps to capture single cells, leveraging bacteria-infected CTCs with cytoskeletal reorganization traverse narrowed channels while rigid native cells are retained. The platform demonstrates an average single-cell capture efficiency of 95.42% and specificity of 85.34% in discriminating infected versus non-infected breast cancer cells, validated through parallel in vivo metastatic assays. LesM enables high-throughput sensing up to 10,240 cells of mechanical signatures and microbial cargo, correlating with metastatic risk and antibiotic response. By bridging biomechanics and intratumoral microbiota detection, LesM offers a transformative liquid biopsy tool for predicting distant metastasis and guiding antimicrobial therapies in bacteria-infected breast cancers.</w:t>
      </w:r>
    </w:p>
    <w:p>
      <w:pPr>
        <w:spacing w:before="120" w:after="120"/>
      </w:pPr>
      <w:r>
        <w:rPr>
          <w:sz w:val="18"/>
        </w:rPr>
        <w:t>——————————————————————————————————————————————————————————————————————</w:t>
      </w:r>
    </w:p>
    <w:p>
      <w:pPr>
        <w:spacing w:before="160" w:after="40" w:line="240" w:lineRule="auto"/>
      </w:pPr>
      <w:r>
        <w:rPr>
          <w:b/>
        </w:rPr>
        <w:t xml:space="preserve">[353] </w:t>
      </w:r>
      <w:hyperlink r:id="rId539">
        <w:r>
          <w:rPr>
            <w:color w:val="1155CC"/>
            <w:u w:val="single"/>
          </w:rPr>
          <w:t>花生氯衍生的外细胞细胞囊外卵基纳米凝胶抑制用于治疗辐射引起的肺损伤的凝胶</w:t>
        </w:r>
      </w:hyperlink>
    </w:p>
    <w:p>
      <w:pPr>
        <w:spacing w:before="0" w:after="80"/>
      </w:pPr>
      <w:r>
        <w:rPr>
          <w:i/>
          <w:sz w:val="20"/>
        </w:rPr>
        <w:t>EN: Chlorella-derived extracellular vesicle-based nanogels suppress cGAS-STING for treatment of radiation-induced lung injury</w:t>
      </w:r>
    </w:p>
    <w:p>
      <w:pPr>
        <w:spacing w:before="0" w:after="120"/>
      </w:pPr>
      <w:r>
        <w:rPr>
          <w:b/>
        </w:rPr>
        <w:t xml:space="preserve">Source: </w:t>
      </w:r>
      <w:r>
        <w:t>Nature Communications</w:t>
      </w:r>
      <w:r>
        <w:t xml:space="preserve">    </w:t>
      </w:r>
      <w:r>
        <w:rPr>
          <w:b/>
        </w:rPr>
        <w:t xml:space="preserve">Pub date: </w:t>
      </w:r>
      <w:r>
        <w:t>2026-01-08 00:00:00+00:00</w:t>
      </w:r>
    </w:p>
    <w:p>
      <w:pPr>
        <w:spacing w:before="0" w:after="120"/>
      </w:pPr>
      <w:r>
        <w:rPr>
          <w:b/>
        </w:rPr>
        <w:t xml:space="preserve">Notes: </w:t>
      </w:r>
      <w:r>
        <w:t>abstract_source=nature_html</w:t>
      </w:r>
    </w:p>
    <w:p>
      <w:pPr>
        <w:spacing w:before="0" w:after="80" w:lineRule="auto" w:line="276"/>
      </w:pPr>
      <w:r>
        <w:rPr>
          <w:b/>
        </w:rPr>
        <w:t xml:space="preserve">摘要（ZH）: </w:t>
      </w:r>
      <w:r>
        <w:t>辐射诱发肺损伤(RILI)是与辐射照射有关的严重并发症,需要在临床实践中采取有针对性的治疗战略。在这里,我们率先从氯气中提取外细胞卵(EVs),创新地开发了多功能纳米凝胶平台(RU521-EVs NPs),将其与CGAS抑制剂(RU521)相结合。从氯衍生的EVs自然拥有大量抗氧化酶(如SOD2,CAT)和抗炎脂(如,林丹)。RU521-EVs NPs可以协同抑制CGAS定位路径的过度激活,并大大减少亲食性因素的分泌。在RILI鼠模型中,纳米凝胶显示出大量的抗炎和抗纤维活性。</w:t>
      </w:r>
    </w:p>
    <w:p>
      <w:pPr>
        <w:spacing w:before="0" w:after="200" w:lineRule="auto" w:line="276"/>
      </w:pPr>
      <w:r>
        <w:rPr>
          <w:b/>
        </w:rPr>
        <w:t xml:space="preserve">Abstract (EN): </w:t>
      </w:r>
      <w:r>
        <w:t>Radiation-induced lung injury (RILI) represents a critical complication associated with radiation exposure, requiring targeted treatment strategies in clinical practice. Here, we pioneered the extraction of extracellular vesicles (EVs) from Chlorella and innovatively developed a multifunctional nanogel platform (RU.521-EVs NPs) by combining them with the cGAS inhibitor RU.521. The Chlorella-derived EVs possess a naturally high abundance of antioxidant enzymes (e.g., SOD2, CAT) and anti-inflammatory lipids (e.g., linolenic acid). RU.521-EVs NPs could synergistically inhibit excessive activation of the cGAS-STING pathway, and significantly reduce the secretion of pro-inflammatory factors. In the RILI mouse model, the nanogel demonstrated significant anti-inflammatory and anti-fibrosis activity, with no observed systemic toxicity. Their biological safety, cost-effectiveness, and multifaceted anti-radiation mechanisms of nanogels make them particularly beneficial in contexts such as medical radiation exposure, providing a strategy for the clinical translation of RILI that emphasizes both safety and long-term efficacy.</w:t>
      </w:r>
    </w:p>
    <w:p>
      <w:pPr>
        <w:spacing w:before="120" w:after="120"/>
      </w:pPr>
      <w:r>
        <w:rPr>
          <w:sz w:val="18"/>
        </w:rPr>
        <w:t>——————————————————————————————————————————————————————————————————————</w:t>
      </w:r>
    </w:p>
    <w:p>
      <w:pPr>
        <w:spacing w:before="160" w:after="40" w:line="240" w:lineRule="auto"/>
      </w:pPr>
      <w:r>
        <w:rPr>
          <w:b/>
        </w:rPr>
        <w:t xml:space="preserve">[354] </w:t>
      </w:r>
      <w:hyperlink r:id="rId540">
        <w:r>
          <w:rPr>
            <w:color w:val="1155CC"/>
            <w:u w:val="single"/>
          </w:rPr>
          <w:t>以闪烁闪烁的神经元为基础的三维神经网络</w:t>
        </w:r>
      </w:hyperlink>
    </w:p>
    <w:p>
      <w:pPr>
        <w:spacing w:before="0" w:after="80"/>
      </w:pPr>
      <w:r>
        <w:rPr>
          <w:i/>
          <w:sz w:val="20"/>
        </w:rPr>
        <w:t>EN: Photonically linked three-dimensional neural networks based on memristive blinking neurons</w:t>
      </w:r>
    </w:p>
    <w:p>
      <w:pPr>
        <w:spacing w:before="0" w:after="120"/>
      </w:pPr>
      <w:r>
        <w:rPr>
          <w:b/>
        </w:rPr>
        <w:t xml:space="preserve">Source: </w:t>
      </w:r>
      <w:r>
        <w:t>Nature Electronics</w:t>
      </w:r>
      <w:r>
        <w:t xml:space="preserve">    </w:t>
      </w:r>
      <w:r>
        <w:rPr>
          <w:b/>
        </w:rPr>
        <w:t xml:space="preserve">Pub date: </w:t>
      </w:r>
      <w:r>
        <w:t>2026-01-08 00:00:00+00:00</w:t>
      </w:r>
    </w:p>
    <w:p>
      <w:pPr>
        <w:spacing w:before="0" w:after="120"/>
      </w:pPr>
      <w:r>
        <w:rPr>
          <w:b/>
        </w:rPr>
        <w:t xml:space="preserve">Notes: </w:t>
      </w:r>
      <w:r>
        <w:t>abstract_source=nature_html</w:t>
      </w:r>
    </w:p>
    <w:p>
      <w:pPr>
        <w:spacing w:before="0" w:after="80" w:lineRule="auto" w:line="276"/>
      </w:pPr>
      <w:r>
        <w:rPr>
          <w:b/>
        </w:rPr>
        <w:t xml:space="preserve">摘要（ZH）: </w:t>
      </w:r>
      <w:r>
        <w:t>人造智能的持续发展需要更强大的计算结构。 然而,补充性金属 — — 氧化 — 半导体基的神经以及电路限制的庞大足迹阻碍了常规人造神经神经及其合成神经连接的扩大。 在这里,我们表明,中闪闪现神经元可以用来建立可伸缩的光相连接三维神经网络。 我们的人工神经元基于银/聚(甲基甲基甲基甲基丙烯酸盐)/硅金属 — 内爆转换。 它的阻力转换依赖于原子规模的丝状动力和光脉冲装置,用于整合大量即将进入的电动脉冲,从而消除了对散状外围螺旋的需求。</w:t>
      </w:r>
    </w:p>
    <w:p>
      <w:pPr>
        <w:spacing w:before="0" w:after="200" w:lineRule="auto" w:line="276"/>
      </w:pPr>
      <w:r>
        <w:rPr>
          <w:b/>
        </w:rPr>
        <w:t xml:space="preserve">Abstract (EN): </w:t>
      </w:r>
      <w:r>
        <w:t>The continuing development of artificial intelligence requires more powerful computing architectures. However, the large footprint of complementary-metal–oxide–semiconductor-based neurons and constraints on electric routing hinder the scaling of conventional artificial neurons and their synaptic connectivity. Here we show that memristive blinking neurons can be used to build scalable photonically linked three-dimensional neural networks. Our artificial neuron is based on a silver/poly(methyl methacrylate)/silver metal–insulator–metal memristive switching in-plane junction. Its resistive switching relies on atomic-scale filamentary dynamics and the device emits photon pulses on integrating a critical number of incoming electrical spikes, which eliminates the need for bulky peripheral circuit read-out and electrical wiring for transmitting signals. We use the memristive blinking neuron, which has a footprint of 170 nm × 240 nm, to build a photonically linked three-dimensional spiking neural network. We show that the network can perform a four-class classification task within the Google Speech dataset with an accuracy of 91.51%. We also create a high-density artificial neuron array with a pitch of 1 μm and show that it can perform an MNIST classification task with an accuracy of 92.27%.</w:t>
      </w:r>
    </w:p>
    <w:p>
      <w:pPr>
        <w:spacing w:before="120" w:after="120"/>
      </w:pPr>
      <w:r>
        <w:rPr>
          <w:sz w:val="18"/>
        </w:rPr>
        <w:t>——————————————————————————————————————————————————————————————————————</w:t>
      </w:r>
    </w:p>
    <w:p>
      <w:pPr>
        <w:spacing w:before="160" w:after="40" w:line="240" w:lineRule="auto"/>
      </w:pPr>
      <w:r>
        <w:rPr>
          <w:b/>
        </w:rPr>
        <w:t xml:space="preserve">[355] </w:t>
      </w:r>
      <w:hyperlink r:id="rId541">
        <w:r>
          <w:rPr>
            <w:color w:val="1155CC"/>
            <w:u w:val="single"/>
          </w:rPr>
          <w:t>电离玻璃前端显示脆弱与非消耗性甲型放松之间逆向关系</w:t>
        </w:r>
      </w:hyperlink>
    </w:p>
    <w:p>
      <w:pPr>
        <w:spacing w:before="0" w:after="80"/>
      </w:pPr>
      <w:r>
        <w:rPr>
          <w:i/>
          <w:sz w:val="20"/>
        </w:rPr>
        <w:t>EN: Ionic glass formers show an inverted relation between fragility and non-exponential alpha-relaxation</w:t>
      </w:r>
    </w:p>
    <w:p>
      <w:pPr>
        <w:spacing w:before="0" w:after="120"/>
      </w:pPr>
      <w:r>
        <w:rPr>
          <w:b/>
        </w:rPr>
        <w:t xml:space="preserve">Source: </w:t>
      </w:r>
      <w:r>
        <w:t>Nature Communications</w:t>
      </w:r>
      <w:r>
        <w:t xml:space="preserve">    </w:t>
      </w:r>
      <w:r>
        <w:rPr>
          <w:b/>
        </w:rPr>
        <w:t xml:space="preserve">Pub date: </w:t>
      </w:r>
      <w:r>
        <w:t>2026-01-08 00:00:00+00:00</w:t>
      </w:r>
    </w:p>
    <w:p>
      <w:pPr>
        <w:spacing w:before="0" w:after="120"/>
      </w:pPr>
      <w:r>
        <w:rPr>
          <w:b/>
        </w:rPr>
        <w:t xml:space="preserve">Notes: </w:t>
      </w:r>
      <w:r>
        <w:t>abstract_source=nature_html</w:t>
      </w:r>
    </w:p>
    <w:p>
      <w:pPr>
        <w:spacing w:before="0" w:after="80" w:lineRule="auto" w:line="276"/>
      </w:pPr>
      <w:r>
        <w:rPr>
          <w:b/>
        </w:rPr>
        <w:t xml:space="preserve">摘要（ZH）: </w:t>
      </w:r>
      <w:r>
        <w:t>超级冷却液体的动态变化迅速,因为它们被冷却到玻璃转换温度,从流动的液体变成不固定的固体。取决于玻璃转换周围温度的粘度变化如何剧烈,玻璃前置物被归类为强或脆弱。液体的脆弱性与α放松程度不高之间存在一种经验关系。然而,这种相关性的微粒来源仍然不清楚,而且对它的一般性进行了辩论。在这里,我们证明这种关系在有机材料中与离子相互作用中是倒转的。我们引入了一组材料,由高强度的防水聚合物组成,通过调节的离子相互作用相互连接,并表明这些聚合物结合了强力的聚合物。</w:t>
      </w:r>
    </w:p>
    <w:p>
      <w:pPr>
        <w:spacing w:before="0" w:after="200" w:lineRule="auto" w:line="276"/>
      </w:pPr>
      <w:r>
        <w:rPr>
          <w:b/>
        </w:rPr>
        <w:t xml:space="preserve">Abstract (EN): </w:t>
      </w:r>
      <w:r>
        <w:t>Supercooled liquids undergo a rapid change in dynamics as they are cooled to their glass transition temperature and turn from a flowing liquid into an amorphous solid. Depending on how steeply the viscosity changes with temperature around the glass transition, glass formers are classified as strong or fragile. An empirical relation exists between the fragility of the liquid and the non-exponentiality of its α-relaxation. However, the microscopic origins of this correlation remain unclear and its generality has been debated. Here, we demonstrate that this relationship is inverted in organic materials with ionic interactions. We introduce a class of materials consisting of highly charged hydrophobic polymers cross-linked via moderated ionic interactions, and show that these combine a strong glass transition with an unusually stretched mechanical relaxation spectrum. By surveying a large variety of ionic liquids, polymerized ionic liquids, and ionomers, we show that all these charged materials follow a trend between fragility and non-exponential relaxation that is opposite to that of non-charged materials. This finding suggests a special role of long-ranged ionic interactions in vitrification and opens up a route toward developing new materials that combine the processability of strong glass formers with the mechanical dissipation of polymers.</w:t>
      </w:r>
    </w:p>
    <w:p>
      <w:pPr>
        <w:spacing w:before="120" w:after="120"/>
      </w:pPr>
      <w:r>
        <w:rPr>
          <w:sz w:val="18"/>
        </w:rPr>
        <w:t>——————————————————————————————————————————————————————————————————————</w:t>
      </w:r>
    </w:p>
    <w:p>
      <w:pPr>
        <w:spacing w:before="160" w:after="40" w:line="240" w:lineRule="auto"/>
      </w:pPr>
      <w:r>
        <w:rPr>
          <w:b/>
        </w:rPr>
        <w:t xml:space="preserve">[356] </w:t>
      </w:r>
      <w:hyperlink r:id="rId542">
        <w:r>
          <w:rPr>
            <w:color w:val="1155CC"/>
            <w:u w:val="single"/>
          </w:rPr>
          <w:t>巨大的中国细胞图集显示,不同民族之间有惊人的免疫差异。</w:t>
        </w:r>
      </w:hyperlink>
    </w:p>
    <w:p>
      <w:pPr>
        <w:spacing w:before="0" w:after="80"/>
      </w:pPr>
      <w:r>
        <w:rPr>
          <w:i/>
          <w:sz w:val="20"/>
        </w:rPr>
        <w:t>EN: Huge Chinese cell atlas reveals surprising immune variation among peoples</w:t>
      </w:r>
    </w:p>
    <w:p>
      <w:pPr>
        <w:spacing w:before="0" w:after="120"/>
      </w:pPr>
      <w:r>
        <w:rPr>
          <w:b/>
        </w:rPr>
        <w:t xml:space="preserve">Source: </w:t>
      </w:r>
      <w:r>
        <w:t>Nature</w:t>
      </w:r>
      <w:r>
        <w:t xml:space="preserve">    </w:t>
      </w:r>
      <w:r>
        <w:rPr>
          <w:b/>
        </w:rPr>
        <w:t xml:space="preserve">Pub date: </w:t>
      </w:r>
      <w:r>
        <w:t>2026-01-08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[357] </w:t>
      </w:r>
      <w:hyperlink r:id="rId543">
        <w:r>
          <w:rPr>
            <w:color w:val="1155CC"/>
            <w:u w:val="single"/>
          </w:rPr>
          <w:t>多功能双连续双连续多尺度结构的数据驱动反向设计</w:t>
        </w:r>
      </w:hyperlink>
    </w:p>
    <w:p>
      <w:pPr>
        <w:spacing w:before="0" w:after="80"/>
      </w:pPr>
      <w:r>
        <w:rPr>
          <w:i/>
          <w:sz w:val="20"/>
        </w:rPr>
        <w:t>EN: Data-driven inverse design of multifunctional bicontinuous multiscale structures</w:t>
      </w:r>
    </w:p>
    <w:p>
      <w:pPr>
        <w:spacing w:before="0" w:after="120"/>
      </w:pPr>
      <w:r>
        <w:rPr>
          <w:b/>
        </w:rPr>
        <w:t xml:space="preserve">Source: </w:t>
      </w:r>
      <w:r>
        <w:t>Nature Communications</w:t>
      </w:r>
      <w:r>
        <w:t xml:space="preserve">    </w:t>
      </w:r>
      <w:r>
        <w:rPr>
          <w:b/>
        </w:rPr>
        <w:t xml:space="preserve">Pub date: </w:t>
      </w:r>
      <w:r>
        <w:t>2026-01-08 00:00:00+00:00</w:t>
      </w:r>
    </w:p>
    <w:p>
      <w:pPr>
        <w:spacing w:before="0" w:after="120"/>
      </w:pPr>
      <w:r>
        <w:rPr>
          <w:b/>
        </w:rPr>
        <w:t xml:space="preserve">Notes: </w:t>
      </w:r>
      <w:r>
        <w:t>abstract_source=nature_html</w:t>
      </w:r>
    </w:p>
    <w:p>
      <w:pPr>
        <w:spacing w:before="0" w:after="80" w:lineRule="auto" w:line="276"/>
      </w:pPr>
      <w:r>
        <w:rPr>
          <w:b/>
        </w:rPr>
        <w:t xml:space="preserve">摘要（ZH）: </w:t>
      </w:r>
      <w:r>
        <w:t>通常观察到的两维多尺度结构由两个相互渗透的网络组成,这些网络是牢固和空洞的阶段,形成一个连续和相互联系的系统,这些独特的结构表现出优异的多物理性能和多功能性;然而,由于缺乏分析表达和多尺度优化的计算挑战,这些结构的设计受到限制。本研究为多功能双连续多尺度结构的快速数据驱动反向设计提供了3D大波段、边界相同、两相毗连和开放细胞微结构(L-BOM)数据集。每个数据集都具有相同的边界、双相连的开体结构,以及用于进行绩效勘探的广度地产覆盖。这些特性是满足的。</w:t>
      </w:r>
    </w:p>
    <w:p>
      <w:pPr>
        <w:spacing w:before="0" w:after="200" w:lineRule="auto" w:line="276"/>
      </w:pPr>
      <w:r>
        <w:rPr>
          <w:b/>
        </w:rPr>
        <w:t xml:space="preserve">Abstract (EN): </w:t>
      </w:r>
      <w:r>
        <w:t>Bicontinuous multiscale structures, commonly observed in nature, comprise two interpenetrating networks that are solid and void phases forming a continuous and interconnected system. These unique architectures exhibit superior multi-physical performances and multifunctionalities; however, their design has been limited by the lack of analytical expressions and the computational challenges in multiscale optimization. This study presents a 3D Large-range, Boundary-identical, Bicontinuous, and Open-cell Microstructure (L-BOM) datasets for the fast data-driven inverse design of multifunctional bicontinuous multiscale structures. Each dataset features identical boundaries, bicontinuous open-cell structures, and broad property coverage for performance exploration. These properties are satisfied by active learning techniques developed with a generative artificial intelligence model. The datasets hold significant promise for advancing the design of bicontinuous multiscale structures with a large-range property space, without additional post-processing to ensure the connectivity. This work further demonstrates the potential of the datasets in devising bone implants, chair components, and multifunctional materials with tunable elasticity and permeability.</w:t>
      </w:r>
    </w:p>
    <w:p>
      <w:pPr>
        <w:spacing w:before="120" w:after="120"/>
      </w:pPr>
      <w:r>
        <w:rPr>
          <w:sz w:val="18"/>
        </w:rPr>
        <w:t>——————————————————————————————————————————————————————————————————————</w:t>
      </w:r>
    </w:p>
    <w:p>
      <w:pPr>
        <w:spacing w:before="160" w:after="40" w:line="240" w:lineRule="auto"/>
      </w:pPr>
      <w:r>
        <w:rPr>
          <w:b/>
        </w:rPr>
        <w:t xml:space="preserve">[358] </w:t>
      </w:r>
      <w:hyperlink r:id="rId544">
        <w:r>
          <w:rPr>
            <w:color w:val="1155CC"/>
            <w:u w:val="single"/>
          </w:rPr>
          <w:t>光频宽带宽频带宽频带,加强全百草条连带界面连接</w:t>
        </w:r>
      </w:hyperlink>
    </w:p>
    <w:p>
      <w:pPr>
        <w:spacing w:before="0" w:after="80"/>
      </w:pPr>
      <w:r>
        <w:rPr>
          <w:i/>
          <w:sz w:val="20"/>
        </w:rPr>
        <w:t>EN: Photostable wide-bandgap perovskites with enhanced interface coupling for all-perovskite tandems</w:t>
      </w:r>
    </w:p>
    <w:p>
      <w:pPr>
        <w:spacing w:before="0" w:after="120"/>
      </w:pPr>
      <w:r>
        <w:rPr>
          <w:b/>
        </w:rPr>
        <w:t xml:space="preserve">Source: </w:t>
      </w:r>
      <w:r>
        <w:t>RSC - Energy Environ. Sci. latest articles</w:t>
      </w:r>
      <w:r>
        <w:t xml:space="preserve">    </w:t>
      </w:r>
      <w:r>
        <w:rPr>
          <w:b/>
        </w:rPr>
        <w:t xml:space="preserve">Pub date: </w:t>
      </w:r>
      <w:r>
        <w:t>2026-01-08 00:00:00+00:00</w:t>
      </w:r>
    </w:p>
    <w:p>
      <w:pPr>
        <w:spacing w:before="0" w:after="120"/>
      </w:pPr>
      <w:r>
        <w:rPr>
          <w:b/>
        </w:rPr>
        <w:t xml:space="preserve">Notes: </w:t>
      </w:r>
      <w:r>
        <w:t>abstract_source=rsc_html</w:t>
      </w:r>
    </w:p>
    <w:p>
      <w:pPr>
        <w:spacing w:before="0" w:after="80" w:lineRule="auto" w:line="276"/>
      </w:pPr>
      <w:r>
        <w:rPr>
          <w:b/>
        </w:rPr>
        <w:t xml:space="preserve">摘要（ZH）: </w:t>
      </w:r>
      <w:r>
        <w:t>全氟辛基磺酰胺混合的宽宽带宽带宽差和多叶草酸碘-溴化二酰胺混合混合物很容易造成卤化物隔离,特别是在太阳能电池装置的掩埋界面附近,那里的照明、热和电场压力在操作期间最为强烈,然而,常用分子基质亚甲酸酯、以碳氨基为基的自组装单层(SAMs)仅提供有限的化学与百草枯顶的化学互动,造成结构不稳定和低效的电荷抽取。这里,我们引入了一种分子桥接剂,同时与SAM基底体和坐标连接到普罗夫斯基表面,从而强化了在收集洞的外层的化学和电子联结。通过这种方法,可点相像的1.76 eV perovskite吸收器与增强的操作器相连接。</w:t>
      </w:r>
    </w:p>
    <w:p>
      <w:pPr>
        <w:spacing w:before="0" w:after="200" w:lineRule="auto" w:line="276"/>
      </w:pPr>
      <w:r>
        <w:rPr>
          <w:b/>
        </w:rPr>
        <w:t xml:space="preserve">Abstract (EN): </w:t>
      </w:r>
      <w:r>
        <w:t>Iodide-bromide mixed wide-bandgap perovskite is prone to halide segregation, particularly near the buried interface in solar cell devices, where the illumination, thermal, and electric field stresses are most intense during operation. However, the commonly used molecular substrates, carbazole-based self-assembled monolayers (SAMs), provide only limited chemical interaction with the perovskite lattice, resulting in structural instability and inefficient charge extraction. Here, we introduce a molecular bridging agent that simultaneously conjugates with the SAM substrate and coordinates to the perovskite surface, thereby reinforcing the chemical and electronic coupling across the hole-collecting heterointerface. Through this approach, photostable 1.76 eV perovskite absorbers with enhanced optoelectronic properties and lattice stability were obtained, enabling single-junction perovskite solar cells to achieve a PCE of 20.79% (certified 20.35%). When integrated with a 1.25 eV Sn-Pb perovskite bottom cell, the resulting two-terminal monolithic all-perovskite tandem solar cells delivered an efficiency of 29.58%, and the encapsulated device retained 90% of its peak efficiency after 613 hours of continuous maximum power point operation.</w:t>
      </w:r>
    </w:p>
    <w:p>
      <w:pPr>
        <w:spacing w:before="120" w:after="120"/>
      </w:pPr>
      <w:r>
        <w:rPr>
          <w:sz w:val="18"/>
        </w:rPr>
        <w:t>——————————————————————————————————————————————————————————————————————</w:t>
      </w:r>
    </w:p>
    <w:p>
      <w:pPr>
        <w:spacing w:before="160" w:after="40" w:line="240" w:lineRule="auto"/>
      </w:pPr>
      <w:r>
        <w:rPr>
          <w:b/>
        </w:rPr>
        <w:t xml:space="preserve">[359] </w:t>
      </w:r>
      <w:hyperlink r:id="rId545">
        <w:r>
          <w:rPr>
            <w:color w:val="1155CC"/>
            <w:u w:val="single"/>
          </w:rPr>
          <w:t>将免疫细胞放入“夜间模式”可减少心脏攻击损伤</w:t>
        </w:r>
      </w:hyperlink>
    </w:p>
    <w:p>
      <w:pPr>
        <w:spacing w:before="0" w:after="80"/>
      </w:pPr>
      <w:r>
        <w:rPr>
          <w:i/>
          <w:sz w:val="20"/>
        </w:rPr>
        <w:t>EN: Putting immune cells into ‘night mode’ reduces heart-attack damage</w:t>
      </w:r>
    </w:p>
    <w:p>
      <w:pPr>
        <w:spacing w:before="0" w:after="120"/>
      </w:pPr>
      <w:r>
        <w:rPr>
          <w:b/>
        </w:rPr>
        <w:t xml:space="preserve">Source: </w:t>
      </w:r>
      <w:r>
        <w:t>Nature</w:t>
      </w:r>
      <w:r>
        <w:t xml:space="preserve">    </w:t>
      </w:r>
      <w:r>
        <w:rPr>
          <w:b/>
        </w:rPr>
        <w:t xml:space="preserve">Pub date: </w:t>
      </w:r>
      <w:r>
        <w:t>2026-01-08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[360] </w:t>
      </w:r>
      <w:hyperlink r:id="rId546">
        <w:r>
          <w:rPr>
            <w:color w:val="1155CC"/>
            <w:u w:val="single"/>
          </w:rPr>
          <w:t>氟化溶剂的分子工程,使实用锂金属电池能够使用</w:t>
        </w:r>
      </w:hyperlink>
    </w:p>
    <w:p>
      <w:pPr>
        <w:spacing w:before="0" w:after="80"/>
      </w:pPr>
      <w:r>
        <w:rPr>
          <w:i/>
          <w:sz w:val="20"/>
        </w:rPr>
        <w:t>EN: Molecular Engineering of Fluorinated Solvents Enables Practical Lithium Metal Batteries</w:t>
      </w:r>
    </w:p>
    <w:p>
      <w:pPr>
        <w:spacing w:before="0" w:after="120"/>
      </w:pPr>
      <w:r>
        <w:rPr>
          <w:b/>
        </w:rPr>
        <w:t xml:space="preserve">Source: </w:t>
      </w:r>
      <w:r>
        <w:t>Wiley: Advanced Energy Materials: Table of Contents</w:t>
      </w:r>
      <w:r>
        <w:t xml:space="preserve">    </w:t>
      </w:r>
      <w:r>
        <w:rPr>
          <w:b/>
        </w:rPr>
        <w:t xml:space="preserve">Pub date: </w:t>
      </w:r>
      <w:r>
        <w:t>2026-01-08 06:00:26+00:00</w:t>
      </w:r>
      <w:r>
        <w:t xml:space="preserve">    </w:t>
      </w:r>
      <w:r>
        <w:rPr>
          <w:b/>
        </w:rPr>
        <w:t xml:space="preserve">DOI: </w:t>
      </w:r>
      <w:hyperlink r:id="rId547">
        <w:r>
          <w:rPr>
            <w:color w:val="1155CC"/>
            <w:u w:val="single"/>
          </w:rPr>
          <w:t>10.1002/aenm.202506771</w:t>
        </w:r>
      </w:hyperlink>
    </w:p>
    <w:p>
      <w:pPr>
        <w:spacing w:before="0" w:after="120"/>
      </w:pPr>
      <w:r>
        <w:rPr>
          <w:b/>
        </w:rPr>
        <w:t xml:space="preserve">Notes: </w:t>
      </w:r>
      <w:r>
        <w:t>abstract_source=crossref</w:t>
      </w:r>
    </w:p>
    <w:p>
      <w:pPr>
        <w:spacing w:before="0" w:after="80" w:lineRule="auto" w:line="276"/>
      </w:pPr>
      <w:r>
        <w:rPr>
          <w:b/>
        </w:rPr>
        <w:t xml:space="preserve">摘要（ZH）: </w:t>
      </w:r>
      <w:r>
        <w:t>开发具有可金枪鱼氟化物成本效益高的电子解析剂对于实用锂金属电池(LMBs)至关重要,但结构与财产关系仍不清楚。在这里,我们系统地工程乙乙酸乙酸(EA)的氟化衍生物,阐明氟化点和度如何调节溶剂稳定性、电解特性、相互化学和电池性能,从而确立关键的设计原则。实验和理论计算表明,即使使用α氢,乙氧氟化溶剂在热动力学和动能学方面对锂金属表现出极好的化学稳定性,成功地解决了乙基氟化物面临的两难困境。其中,有2个。</w:t>
      </w:r>
    </w:p>
    <w:p>
      <w:pPr>
        <w:spacing w:before="0" w:after="200" w:lineRule="auto" w:line="276"/>
      </w:pPr>
      <w:r>
        <w:rPr>
          <w:b/>
        </w:rPr>
        <w:t xml:space="preserve">Abstract (EN): </w:t>
      </w:r>
      <w:r>
        <w:t>Developing cost‐effective electrolytes with tunable fluorination is critical for practical lithium metal batteries (LMBs), yet structure‐property relationships remain unclear. Here, we systematically engineer fluorinated derivatives of ethyl acetate (EA), elucidating how fluorination sites and degrees govern solvent stability, electrolyte properties, interfacial chemistry, and battery performance, thereby establishing key design principles. Experiments and theoretical calculations have demonstrated that even with alpha hydrogen, ethoxy‐fluorinated solvents exhibit excellent chemical stability toward lithium metal in terms of thermodynamics and kinetics, successfully resolving the dilemma encountered with acetyl‐fluorination. Among them, the 2,2‐difluoroethyl acetate (DFEA)‐based electrolyte achieves a freezing point below −100°C, high ionic conductivity, high Li Coulombic efficiency (98.59%), flame retardancy, and oxidative stability up to 5 V. A 45 µm Li||LiNi</w:t>
      </w:r>
      <w:r>
        <w:t xml:space="preserve"> </w:t>
      </w:r>
      <w:r>
        <w:t>0.9</w:t>
      </w:r>
      <w:r>
        <w:t xml:space="preserve"> </w:t>
      </w:r>
      <w:r>
        <w:t>Co</w:t>
      </w:r>
      <w:r>
        <w:t xml:space="preserve"> </w:t>
      </w:r>
      <w:r>
        <w:t>0.05</w:t>
      </w:r>
      <w:r>
        <w:t xml:space="preserve"> </w:t>
      </w:r>
      <w:r>
        <w:t>Mn</w:t>
      </w:r>
      <w:r>
        <w:t xml:space="preserve"> </w:t>
      </w:r>
      <w:r>
        <w:t>0.05</w:t>
      </w:r>
      <w:r>
        <w:t xml:space="preserve"> </w:t>
      </w:r>
      <w:r>
        <w:t>O</w:t>
      </w:r>
      <w:r>
        <w:rPr>
          <w:vertAlign w:val="subscript"/>
        </w:rPr>
        <w:t>2</w:t>
      </w:r>
      <w:r>
        <w:t>(∼5.5 mAh cm</w:t>
      </w:r>
      <w:r>
        <w:t xml:space="preserve"> </w:t>
      </w:r>
      <w:r>
        <w:t>−2</w:t>
      </w:r>
      <w:r>
        <w:t xml:space="preserve"> </w:t>
      </w:r>
      <w:r>
        <w:t>) full cell retains 84.6% capacity after 130 cycles, while a 1000 mAh 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pouch cell delivers a high specific energy of 414.8 Wh kg</w:t>
      </w:r>
      <w:r>
        <w:t xml:space="preserve"> </w:t>
      </w:r>
      <w:r>
        <w:t>−1</w:t>
      </w:r>
      <w:r>
        <w:t xml:space="preserve"> </w:t>
      </w:r>
      <w:r>
        <w:t>. The electrolyte also excels in low‐temperature performance (−30°C), thermal safety, and electric vertical take‐off and landing (eVTOL) applications. Our findings provide a complete molecular‐to‐system solution for next‐generation batteries.</w:t>
      </w:r>
    </w:p>
    <w:p>
      <w:pPr>
        <w:spacing w:before="120" w:after="120"/>
      </w:pPr>
      <w:r>
        <w:rPr>
          <w:sz w:val="18"/>
        </w:rPr>
        <w:t>——————————————————————————————————————————————————————————————————————</w:t>
      </w:r>
    </w:p>
    <w:p>
      <w:pPr>
        <w:spacing w:before="160" w:after="40" w:line="240" w:lineRule="auto"/>
      </w:pPr>
      <w:r>
        <w:rPr>
          <w:b/>
        </w:rPr>
        <w:t xml:space="preserve">[361] </w:t>
      </w:r>
      <w:hyperlink r:id="rId548">
        <w:r>
          <w:rPr>
            <w:color w:val="1155CC"/>
            <w:u w:val="single"/>
          </w:rPr>
          <w:t>极地-非极地协同效应Ter聚合物能为高能源密度和低成本Al-Solid国家电池提供超硫硫基聚氨膜。</w:t>
        </w:r>
      </w:hyperlink>
    </w:p>
    <w:p>
      <w:pPr>
        <w:spacing w:before="0" w:after="80"/>
      </w:pPr>
      <w:r>
        <w:rPr>
          <w:i/>
          <w:sz w:val="20"/>
        </w:rPr>
        <w:t>EN: Polar–Nonpolar Synergistic Terpolymer Enables Ultra‐Thin Sulfide‐Based Membrane for High‐Energy‐Density and Low‐Cost All‐Solid‐State Batteries</w:t>
      </w:r>
    </w:p>
    <w:p>
      <w:pPr>
        <w:spacing w:before="0" w:after="120"/>
      </w:pPr>
      <w:r>
        <w:rPr>
          <w:b/>
        </w:rPr>
        <w:t xml:space="preserve">Source: </w:t>
      </w:r>
      <w:r>
        <w:t>Wiley: Advanced Energy Materials: Table of Contents</w:t>
      </w:r>
      <w:r>
        <w:t xml:space="preserve">    </w:t>
      </w:r>
      <w:r>
        <w:rPr>
          <w:b/>
        </w:rPr>
        <w:t xml:space="preserve">Pub date: </w:t>
      </w:r>
      <w:r>
        <w:t>2026-01-08 06:35:24+00:00</w:t>
      </w:r>
      <w:r>
        <w:t xml:space="preserve">    </w:t>
      </w:r>
      <w:r>
        <w:rPr>
          <w:b/>
        </w:rPr>
        <w:t xml:space="preserve">DOI: </w:t>
      </w:r>
      <w:hyperlink r:id="rId549">
        <w:r>
          <w:rPr>
            <w:color w:val="1155CC"/>
            <w:u w:val="single"/>
          </w:rPr>
          <w:t>10.1002/aenm.202506171</w:t>
        </w:r>
      </w:hyperlink>
    </w:p>
    <w:p>
      <w:pPr>
        <w:spacing w:before="0" w:after="120"/>
      </w:pPr>
      <w:r>
        <w:rPr>
          <w:b/>
        </w:rPr>
        <w:t xml:space="preserve">Notes: </w:t>
      </w:r>
      <w:r>
        <w:t>abstract_source=crossref</w:t>
      </w:r>
    </w:p>
    <w:p>
      <w:pPr>
        <w:spacing w:before="0" w:after="80" w:lineRule="auto" w:line="276"/>
      </w:pPr>
      <w:r>
        <w:rPr>
          <w:b/>
        </w:rPr>
        <w:t xml:space="preserve">摘要（ZH）: </w:t>
      </w:r>
      <w:r>
        <w:t>开发高能密度所有固体硫化物电池(ASSBs),通过湿工艺生产大型硫化物电解薄膜具有巨大的潜力,然而,它仍然是硫化物膜湿过程的主要障碍,以寻找具有极佳(电子)化学兼容性和粘合特性的适当的聚合物粘合剂。在这里,我们不仅使用具有极非极非极极化协同效应的立体聚醚粘合剂(Polly(乙烯甲基丙烯酸酯)),以促进硫化物基薄膜的湿处理生产,而且还采用不贵利2S制成的硫化物电解剂,以减少原材料成本。基于硫化物的电解薄膜(terPSDSF)的胎儿。</w:t>
      </w:r>
    </w:p>
    <w:p>
      <w:pPr>
        <w:spacing w:before="0" w:after="200" w:lineRule="auto" w:line="276"/>
      </w:pPr>
      <w:r>
        <w:rPr>
          <w:b/>
        </w:rPr>
        <w:t xml:space="preserve">Abstract (EN): </w:t>
      </w:r>
      <w:r>
        <w:t>For developing high‐energy‐density all‐solid‐state sulfide batteries (ASSBs), large‐area sulfide electrolyte films produced via wet processes hold great potential. However, it is still a major obstacle in the wet process of sulfide membranes to find suitable polymer binders with excellent (electro)chemical compatibility and bonding properties. Here, we not only employ a terpolymer adhesive (Poly(ethylene‐co‐methyl acrylate‐co‐glycidyl methacrylate)) with polar–nonpolar synergistic effects to facilitate the wet‐process manufacture of sulfide‐based films, but also adopt a sulfide electrolyte prepared without expensive Li</w:t>
      </w:r>
      <w:r>
        <w:rPr>
          <w:vertAlign w:val="subscript"/>
        </w:rPr>
        <w:t>2</w:t>
      </w:r>
      <w:r>
        <w:t>S to reduce raw material costs. The sulfide‐based electrolyte film (terP‐SF) features an ultra‐thin thickness (32 µm), favorable mechanical properties, and high ionic conductivity (1.32 mS/cm). For electrochemical performance, the terP‐SF has fast ion transport kinetics and electrical insulation, which enables the NCM83//terP‐SF//In‐Li battery to deliver high‐rate performance and long‐term cycling stability (with a capacity retention rate of approximately 76.6% after 600 cycles). Furthermore, given the cost‐effectiveness of scaled‐up production of ASSB, a pouch cell configured as NCM83//terP‐SF//Si with an energy density of 320.4 Wh/kg and volumetric energy of 710.7 Wh/L is successfully assembled. This work inspires the selection of binders in wet‐process film formation and further guides the resolution of engineering and scientific challenges in the commercialization of high‐energy‐density and low‐cost ASSBs.</w:t>
      </w:r>
    </w:p>
    <w:p>
      <w:pPr>
        <w:spacing w:before="120" w:after="120"/>
      </w:pPr>
      <w:r>
        <w:rPr>
          <w:sz w:val="18"/>
        </w:rPr>
        <w:t>——————————————————————————————————————————————————————————————————————</w:t>
      </w:r>
    </w:p>
    <w:p>
      <w:pPr>
        <w:spacing w:before="160" w:after="40" w:line="240" w:lineRule="auto"/>
      </w:pPr>
      <w:r>
        <w:rPr>
          <w:b/>
        </w:rPr>
        <w:t xml:space="preserve">[362] </w:t>
      </w:r>
      <w:hyperlink r:id="rId550">
        <w:r>
          <w:rPr>
            <w:color w:val="1155CC"/>
            <w:u w:val="single"/>
          </w:rPr>
          <w:t>13-15Alkenes/Alkynes的分化反应</w:t>
        </w:r>
      </w:hyperlink>
    </w:p>
    <w:p>
      <w:pPr>
        <w:spacing w:before="0" w:after="80"/>
      </w:pPr>
      <w:r>
        <w:rPr>
          <w:i/>
          <w:sz w:val="20"/>
        </w:rPr>
        <w:t>EN: Long‐Wavelength Light‐Induced Group 13–15 Elementalization Reactions of Alkenes/Alkynes</w:t>
      </w:r>
    </w:p>
    <w:p>
      <w:pPr>
        <w:spacing w:before="0" w:after="120"/>
      </w:pPr>
      <w:r>
        <w:rPr>
          <w:b/>
        </w:rPr>
        <w:t xml:space="preserve">Source: </w:t>
      </w:r>
      <w:r>
        <w:t>Wiley: Angewandte Chemie International Edition: Table of Contents</w:t>
      </w:r>
      <w:r>
        <w:t xml:space="preserve">    </w:t>
      </w:r>
      <w:r>
        <w:rPr>
          <w:b/>
        </w:rPr>
        <w:t xml:space="preserve">Pub date: </w:t>
      </w:r>
      <w:r>
        <w:t>2026-01-08 06:37:31+00:00</w:t>
      </w:r>
      <w:r>
        <w:t xml:space="preserve">    </w:t>
      </w:r>
      <w:r>
        <w:rPr>
          <w:b/>
        </w:rPr>
        <w:t xml:space="preserve">DOI: </w:t>
      </w:r>
      <w:hyperlink r:id="rId551">
        <w:r>
          <w:rPr>
            <w:color w:val="1155CC"/>
            <w:u w:val="single"/>
          </w:rPr>
          <w:t>10.1002/anie.202521882</w:t>
        </w:r>
      </w:hyperlink>
    </w:p>
    <w:p>
      <w:pPr>
        <w:spacing w:before="0" w:after="120"/>
      </w:pPr>
      <w:r>
        <w:rPr>
          <w:b/>
        </w:rPr>
        <w:t xml:space="preserve">Notes: </w:t>
      </w:r>
      <w:r>
        <w:t>abstract_source=crossref</w:t>
      </w:r>
    </w:p>
    <w:p>
      <w:pPr>
        <w:spacing w:before="0" w:after="80" w:lineRule="auto" w:line="276"/>
      </w:pPr>
      <w:r>
        <w:rPr>
          <w:b/>
        </w:rPr>
        <w:t xml:space="preserve">摘要（ZH）: </w:t>
      </w:r>
      <w:r>
        <w:t>我们通过原地生产叔丁基立基,然后是氢原子转移过程,产生硅、硅、丁基、烷基、布尔基和磷基。这种使用蓝色(450纳米)/绿色(530纳米)/橙色(600纳米)LED的温和和光敏度无光和光敏度无光法方法,与常规使用短波光相比,具有高化学选择性和广泛的功能群体容忍度。合成、光谱和计算数据与DTBP的振动模拟光解机制一致。</w:t>
      </w:r>
    </w:p>
    <w:p>
      <w:pPr>
        <w:spacing w:before="0" w:after="200" w:lineRule="auto" w:line="276"/>
      </w:pPr>
      <w:r>
        <w:rPr>
          <w:b/>
        </w:rPr>
        <w:t xml:space="preserve">Abstract (EN): </w:t>
      </w:r>
      <w:r>
        <w:t>We present di‐</w:t>
      </w:r>
      <w:r>
        <w:t xml:space="preserve"> </w:t>
      </w:r>
      <w:r>
        <w:t>tert</w:t>
      </w:r>
      <w:r>
        <w:t xml:space="preserve"> </w:t>
      </w:r>
      <w:r>
        <w:t>‐butyl peroxide (DTBP)‐catalyzed long‐wavelength light‐induced Group 13, 14, and 15 elementalizations of alkenes and alkynes, through in situ production of</w:t>
      </w:r>
      <w:r>
        <w:t xml:space="preserve"> </w:t>
      </w:r>
      <w:r>
        <w:t>tert</w:t>
      </w:r>
      <w:r>
        <w:t xml:space="preserve"> </w:t>
      </w:r>
      <w:r>
        <w:t>‐butyl radicals, followed by a hydrogen‐atom‐transfer process generating silyl, germyl, stannyl, alkyl, boryl, and phosphoryl radicals. This mild and photosensitizer‐free methodology employing blue (450 nm)/green (530 nm)/orange (600 nm) LEDs affords high chemoselectivity and broad functional group tolerance compared to conventional use of shorter‐wavelength light. Synthetic, spectroscopic, and computational data are consistent with a vibration‐mediated photolysis mechanism of DTBP involving electronic excitation from vibrationally excited ground states (S</w:t>
      </w:r>
      <w:r>
        <w:rPr>
          <w:vertAlign w:val="subscript"/>
        </w:rPr>
        <w:t>0</w:t>
      </w:r>
      <w:r>
        <w:t>μ</w:t>
      </w:r>
      <w:r>
        <w:t xml:space="preserve"> </w:t>
      </w:r>
      <w:r>
        <w:t>n</w:t>
      </w:r>
      <w:r>
        <w:t xml:space="preserve"> </w:t>
      </w:r>
      <w:r>
        <w:t>) to the excited state (S</w:t>
      </w:r>
      <w:r>
        <w:rPr>
          <w:vertAlign w:val="subscript"/>
        </w:rPr>
        <w:t>0</w:t>
      </w:r>
      <w:r>
        <w:t>μ</w:t>
      </w:r>
      <w:r>
        <w:t xml:space="preserve"> </w:t>
      </w:r>
      <w:r>
        <w:t>n</w:t>
      </w:r>
      <w:r>
        <w:t xml:space="preserve"> </w:t>
      </w:r>
      <w:r>
        <w:t>→S</w:t>
      </w:r>
      <w:r>
        <w:t xml:space="preserve"> </w:t>
      </w:r>
      <w:r>
        <w:t>n</w:t>
      </w:r>
      <w:r>
        <w:t xml:space="preserve"> </w:t>
      </w:r>
      <w:r>
        <w:t>transitions), driven by ultraweak absorption of long‐wavelength visible light.</w:t>
      </w:r>
    </w:p>
    <w:p>
      <w:pPr>
        <w:spacing w:before="120" w:after="120"/>
      </w:pPr>
      <w:r>
        <w:rPr>
          <w:sz w:val="18"/>
        </w:rPr>
        <w:t>——————————————————————————————————————————————————————————————————————</w:t>
      </w:r>
    </w:p>
    <w:p>
      <w:pPr>
        <w:spacing w:before="160" w:after="40" w:line="240" w:lineRule="auto"/>
      </w:pPr>
      <w:r>
        <w:rPr>
          <w:b/>
        </w:rPr>
        <w:t xml:space="preserve">[363] </w:t>
      </w:r>
      <w:hyperlink r:id="rId552">
        <w:r>
          <w:rPr>
            <w:color w:val="1155CC"/>
            <w:u w:val="single"/>
          </w:rPr>
          <w:t>P(NDI2OD&amp;T2)聚苯乙烯P(NDI2OD&amp;T2)的分子工程,能够增强能力,提高锂电池陶瓷的温度稳定性</w:t>
        </w:r>
      </w:hyperlink>
    </w:p>
    <w:p>
      <w:pPr>
        <w:spacing w:before="0" w:after="80"/>
      </w:pPr>
      <w:r>
        <w:rPr>
          <w:i/>
          <w:sz w:val="20"/>
        </w:rPr>
        <w:t>EN: Molecular Engineering of the Prototypical n‐Type Polymer P(NDI2OD‐T2) Enables Capacity Enhancement and High‐Temperature Stability in Lithium‐Ion Battery Cathodes</w:t>
      </w:r>
    </w:p>
    <w:p>
      <w:pPr>
        <w:spacing w:before="0" w:after="120"/>
      </w:pPr>
      <w:r>
        <w:rPr>
          <w:b/>
        </w:rPr>
        <w:t xml:space="preserve">Source: </w:t>
      </w:r>
      <w:r>
        <w:t>Wiley: Angewandte Chemie International Edition: Table of Contents</w:t>
      </w:r>
      <w:r>
        <w:t xml:space="preserve">    </w:t>
      </w:r>
      <w:r>
        <w:rPr>
          <w:b/>
        </w:rPr>
        <w:t xml:space="preserve">Pub date: </w:t>
      </w:r>
      <w:r>
        <w:t>2026-01-08 06:38:14+00:00</w:t>
      </w:r>
      <w:r>
        <w:t xml:space="preserve">    </w:t>
      </w:r>
      <w:r>
        <w:rPr>
          <w:b/>
        </w:rPr>
        <w:t xml:space="preserve">DOI: </w:t>
      </w:r>
      <w:hyperlink r:id="rId553">
        <w:r>
          <w:rPr>
            <w:color w:val="1155CC"/>
            <w:u w:val="single"/>
          </w:rPr>
          <w:t>10.1002/anie.202521805</w:t>
        </w:r>
      </w:hyperlink>
    </w:p>
    <w:p>
      <w:pPr>
        <w:spacing w:before="0" w:after="120"/>
      </w:pPr>
      <w:r>
        <w:rPr>
          <w:b/>
        </w:rPr>
        <w:t xml:space="preserve">Notes: </w:t>
      </w:r>
      <w:r>
        <w:t>abstract_source=crossref</w:t>
      </w:r>
    </w:p>
    <w:p>
      <w:pPr>
        <w:spacing w:before="0" w:after="80" w:lineRule="auto" w:line="276"/>
      </w:pPr>
      <w:r>
        <w:rPr>
          <w:b/>
        </w:rPr>
        <w:t xml:space="preserve">摘要（ZH）: </w:t>
      </w:r>
      <w:r>
        <w:t>长期以来,人们一直将抽象混凝土聚合物作为锂电池(LIBs)的有机阴极加以研究,但广泛研究的P(NDI2OD&amp;T2)由于容量小(55 mAh g-1),作为实用阴极受到的注意有限。在这里,我们报告了通过边链缩短和捐助者简化来改造这种原型聚合物的第一次系统性努力。用2-丁基(2BO)取代2-辛基丁基(2O)散装(OD)链,并将Bithiophene(T2)捐赠者简化为生产的P(NDI2BOQV),这提供了1.51倍的容量(56.986.0 mAhg-1),同时保持了极好的循环稳定性。</w:t>
      </w:r>
    </w:p>
    <w:p>
      <w:pPr>
        <w:spacing w:before="0" w:after="200" w:lineRule="auto" w:line="276"/>
      </w:pPr>
      <w:r>
        <w:rPr>
          <w:b/>
        </w:rPr>
        <w:t xml:space="preserve">Abstract (EN): </w:t>
      </w:r>
      <w:r>
        <w:t>Conjugated n‐type polymers have long been explored as organic cathodes for lithium‐ion batteries (LIBs), yet the widely studied P(NDI2OD‐T2) has received limited attention as a practical cathode because of its modest capacity (∼55 mAh g</w:t>
      </w:r>
      <w:r>
        <w:t xml:space="preserve"> </w:t>
      </w:r>
      <w:r>
        <w:t>−1</w:t>
      </w:r>
      <w:r>
        <w:t xml:space="preserve"> </w:t>
      </w:r>
      <w:r>
        <w:t>). Here, we report the first systematic effort to re‐engineer this prototypical polymer through side‐chain shortening and donor simplification. Replacing bulky 2‐octyldodecyl (2OD) chains with 2‐butyloctyl (2BO) and simplifying the bithiophene (T2) donor to a vinylene (V) produced P(NDI2BO‐V), which delivers a 1.51‐fold higher capacity (56.9→86.0 mAh g</w:t>
      </w:r>
      <w:r>
        <w:t xml:space="preserve"> </w:t>
      </w:r>
      <w:r>
        <w:t>−1</w:t>
      </w:r>
      <w:r>
        <w:t xml:space="preserve"> </w:t>
      </w:r>
      <w:r>
        <w:t>) while retaining excellent cycling stability. Crucially, we show that n‐type polymers can achieve remarkable cycling stability at elevated temperatures: both polymers remained stable at 60 °C, where small molecules fail, with P(NDI2OD‐T2) keeping 97% after 1000 cycles and P(NDI2BO‐V) 80% after 600 cycles. Mechanistic studies combining electrochemical analysis with density functional theory and molecular dynamics simulations reveal how donor linker units dictate structure and transport. Crystalline P(NDI2OD‐T2) exhibits higher electronic conductivity and undergoes a one‐step two‐electron redox process, whereas amorphous P(NDI2BO‐V) offers enhanced Li</w:t>
      </w:r>
      <w:r>
        <w:t xml:space="preserve"> </w:t>
      </w:r>
      <w:r>
        <w:t>+</w:t>
      </w:r>
      <w:r>
        <w:t xml:space="preserve"> </w:t>
      </w:r>
      <w:r>
        <w:t>diffusivity but follows a stepwise pathway. This work establishes a molecular design framework for conjugated polymer cathodes that combine high capacity, efficient charge transport, and long‐term thermal stability, advancing their potential for practical LIB applications.</w:t>
      </w:r>
    </w:p>
    <w:p>
      <w:pPr>
        <w:spacing w:before="120" w:after="120"/>
      </w:pPr>
      <w:r>
        <w:rPr>
          <w:sz w:val="18"/>
        </w:rPr>
        <w:t>——————————————————————————————————————————————————————————————————————</w:t>
      </w:r>
    </w:p>
    <w:p>
      <w:pPr>
        <w:spacing w:before="160" w:after="40" w:line="240" w:lineRule="auto"/>
      </w:pPr>
      <w:r>
        <w:rPr>
          <w:b/>
        </w:rPr>
        <w:t xml:space="preserve">[364] </w:t>
      </w:r>
      <w:hyperlink r:id="rId554">
        <w:r>
          <w:rPr>
            <w:color w:val="1155CC"/>
            <w:u w:val="single"/>
          </w:rPr>
          <w:t>自组金属 聚苯酚</w:t>
        </w:r>
      </w:hyperlink>
    </w:p>
    <w:p>
      <w:pPr>
        <w:spacing w:before="0" w:after="80"/>
      </w:pPr>
      <w:r>
        <w:rPr>
          <w:i/>
          <w:sz w:val="20"/>
        </w:rPr>
        <w:t>EN: Self‐Assembled Metal‐Polyphenol Colchicine Nanoparticles Targeting Oxidative Stress and Inflammation for Treatment of Atherosclerosis</w:t>
      </w:r>
    </w:p>
    <w:p>
      <w:pPr>
        <w:spacing w:before="0" w:after="120"/>
      </w:pPr>
      <w:r>
        <w:rPr>
          <w:b/>
        </w:rPr>
        <w:t xml:space="preserve">Source: </w:t>
      </w:r>
      <w:r>
        <w:t>Wiley: Angewandte Chemie International Edition: Table of Contents</w:t>
      </w:r>
      <w:r>
        <w:t xml:space="preserve">    </w:t>
      </w:r>
      <w:r>
        <w:rPr>
          <w:b/>
        </w:rPr>
        <w:t xml:space="preserve">Pub date: </w:t>
      </w:r>
      <w:r>
        <w:t>2026-01-08 06:38:41+00:00</w:t>
      </w:r>
      <w:r>
        <w:t xml:space="preserve">    </w:t>
      </w:r>
      <w:r>
        <w:rPr>
          <w:b/>
        </w:rPr>
        <w:t xml:space="preserve">DOI: </w:t>
      </w:r>
      <w:hyperlink r:id="rId555">
        <w:r>
          <w:rPr>
            <w:color w:val="1155CC"/>
            <w:u w:val="single"/>
          </w:rPr>
          <w:t>10.1002/anie.202514547</w:t>
        </w:r>
      </w:hyperlink>
    </w:p>
    <w:p>
      <w:pPr>
        <w:spacing w:before="0" w:after="120"/>
      </w:pPr>
      <w:r>
        <w:rPr>
          <w:b/>
        </w:rPr>
        <w:t xml:space="preserve">Notes: </w:t>
      </w:r>
      <w:r>
        <w:t>abstract_source=crossref</w:t>
      </w:r>
    </w:p>
    <w:p>
      <w:pPr>
        <w:spacing w:before="0" w:after="80" w:lineRule="auto" w:line="276"/>
      </w:pPr>
      <w:r>
        <w:rPr>
          <w:b/>
        </w:rPr>
        <w:t xml:space="preserve">摘要（ZH）: </w:t>
      </w:r>
      <w:r>
        <w:t>抽象的抗炎性碳氢化合物疗法已成为新纪元,成为无神论性心血管疾病的新纪元,然而,没有明确界定碳氢化合物的治疗利益。在这里,我们提出了一种双协调驱动方法,通过将碳氢化合物(COL)的铁球环、苯丙酸(TA)和Zn 2+离子合为一体,构建一个稳定的碳氢化合物(COLTAn)的金属有机纳米组(COLTAn),通过强大的Zn 2+协调,形成碳酸(TA)和Zn 2+离子体。这一设计利用氯氟烃(COL)和TA的抗氧化剂和抗肺炎特性来创建一个纳米级平台,能够凝固基质和调节发炎路径。通过Zn 2+协调,由此形成碳酸(CLTnn namcom)的碳酸组。</w:t>
      </w:r>
    </w:p>
    <w:p>
      <w:pPr>
        <w:spacing w:before="0" w:after="200" w:lineRule="auto" w:line="276"/>
      </w:pPr>
      <w:r>
        <w:rPr>
          <w:b/>
        </w:rPr>
        <w:t xml:space="preserve">Abstract (EN): </w:t>
      </w:r>
      <w:r>
        <w:t>Anti‐inflammatory colchicine therapy has emerged as a new era for atherosclerotic cardiovascular diseases. However, the therapeutic benefit of colchicine has not been clearly defined. Herein, we present a double coordination‐driven approach to fabricate a stable metal‐organic nano‐assembly of colchicine (COL‐TA‐Zn) by uniting the tropolone ring of colchicine (COL), phenolic groups of tannic acid (TA), and Zn</w:t>
      </w:r>
      <w:r>
        <w:t xml:space="preserve"> </w:t>
      </w:r>
      <w:r>
        <w:t>2+</w:t>
      </w:r>
      <w:r>
        <w:t xml:space="preserve"> </w:t>
      </w:r>
      <w:r>
        <w:t>ions. This design leverages the antioxidant and anti‐inflammatory properties of COL and TA to create a nanoscale platform capable of scavenging radicals and modulating inflammatory pathways. Through robust Zn</w:t>
      </w:r>
      <w:r>
        <w:t xml:space="preserve"> </w:t>
      </w:r>
      <w:r>
        <w:t>2+</w:t>
      </w:r>
      <w:r>
        <w:t xml:space="preserve"> </w:t>
      </w:r>
      <w:r>
        <w:t>coordination, the resulting COL‐TA‐Zn nanocomplexes exhibit enhanced stability under physiological conditions, ensuring efficient delivery and sustained bioactivity. In vitro assays confirm suppression of foam cell formation and multiple inflammatory mediators, suggesting significant potential for managing atherosclerosis by targeting both oxidative stress and inflammation. Intravenous administration of COL‐TA‐Zn in</w:t>
      </w:r>
      <w:r>
        <w:t xml:space="preserve"> </w:t>
      </w:r>
      <w:r>
        <w:t>Apoe</w:t>
      </w:r>
      <w:r>
        <w:t xml:space="preserve"> </w:t>
      </w:r>
      <w:r>
        <w:t>−</w:t>
      </w:r>
      <w:r>
        <w:t>/</w:t>
      </w:r>
      <w:r>
        <w:t>−</w:t>
      </w:r>
      <w:r>
        <w:t>mice significantly reduces atherosclerotic plaque area, MMP‐9, TNF‐α, and reactive oxygen species (ROS) levels, thereby illustrating its superior anti‐atherosclerotic efficacy compared to COL alone. These findings highlight the promise of the dual coordination‐driven nanoplatform in cardiovascular disease treatment.</w:t>
      </w:r>
    </w:p>
    <w:p>
      <w:pPr>
        <w:spacing w:before="120" w:after="120"/>
      </w:pPr>
      <w:r>
        <w:rPr>
          <w:sz w:val="18"/>
        </w:rPr>
        <w:t>——————————————————————————————————————————————————————————————————————</w:t>
      </w:r>
    </w:p>
    <w:p>
      <w:pPr>
        <w:spacing w:before="160" w:after="40" w:line="240" w:lineRule="auto"/>
      </w:pPr>
      <w:r>
        <w:rPr>
          <w:b/>
        </w:rPr>
        <w:t xml:space="preserve">[365] </w:t>
      </w:r>
      <w:hyperlink r:id="rId556">
        <w:r>
          <w:rPr>
            <w:color w:val="1155CC"/>
            <w:u w:val="single"/>
          </w:rPr>
          <w:t>持久性 Perovskite光电蒸汽液双重修改战略</w:t>
        </w:r>
      </w:hyperlink>
    </w:p>
    <w:p>
      <w:pPr>
        <w:spacing w:before="0" w:after="80"/>
      </w:pPr>
      <w:r>
        <w:rPr>
          <w:i/>
          <w:sz w:val="20"/>
        </w:rPr>
        <w:t>EN: Dual Modification Strategy of Ionic Liquid for Durable Perovskite Photovoltaics</w:t>
      </w:r>
    </w:p>
    <w:p>
      <w:pPr>
        <w:spacing w:before="0" w:after="120"/>
      </w:pPr>
      <w:r>
        <w:rPr>
          <w:b/>
        </w:rPr>
        <w:t xml:space="preserve">Source: </w:t>
      </w:r>
      <w:r>
        <w:t>Wiley: Angewandte Chemie International Edition: Table of Contents</w:t>
      </w:r>
      <w:r>
        <w:t xml:space="preserve">    </w:t>
      </w:r>
      <w:r>
        <w:rPr>
          <w:b/>
        </w:rPr>
        <w:t xml:space="preserve">Pub date: </w:t>
      </w:r>
      <w:r>
        <w:t>2026-01-08 06:43:15+00:00</w:t>
      </w:r>
      <w:r>
        <w:t xml:space="preserve">    </w:t>
      </w:r>
      <w:r>
        <w:rPr>
          <w:b/>
        </w:rPr>
        <w:t xml:space="preserve">DOI: </w:t>
      </w:r>
      <w:hyperlink r:id="rId557">
        <w:r>
          <w:rPr>
            <w:color w:val="1155CC"/>
            <w:u w:val="single"/>
          </w:rPr>
          <w:t>10.1002/anie.202520252</w:t>
        </w:r>
      </w:hyperlink>
    </w:p>
    <w:p>
      <w:pPr>
        <w:spacing w:before="0" w:after="120"/>
      </w:pPr>
      <w:r>
        <w:rPr>
          <w:b/>
        </w:rPr>
        <w:t xml:space="preserve">Notes: </w:t>
      </w:r>
      <w:r>
        <w:t>abstract_source=crossref</w:t>
      </w:r>
    </w:p>
    <w:p>
      <w:pPr>
        <w:spacing w:before="0" w:after="80" w:lineRule="auto" w:line="276"/>
      </w:pPr>
      <w:r>
        <w:rPr>
          <w:b/>
        </w:rPr>
        <w:t xml:space="preserve">摘要（ZH）: </w:t>
      </w:r>
      <w:r>
        <w:t>以自组装单层(SAMs)为洞中运输层的自组单层(SAMs)为特征的倒转太阳电池(PSC),实现了超过27%的功率转换效率(PCE),然而,SAMs的不统一性以及普罗夫斯基胶片内固有的缺陷继续制约着设备性能的进一步提高。我们为此制定了同步修改SAMs和普罗夫斯基的战略,将1-丁基3-甲基甲基氮基丁基-六氟磷酸(BM)的离子液体纳入其中,以提高SAMs的统一性和过敏性缺陷。具体地说,BM被纳入了普罗夫斯基前体解决方案,以有效占据卤化物空缺并消化未协调的Pb 2+。</w:t>
      </w:r>
    </w:p>
    <w:p>
      <w:pPr>
        <w:spacing w:before="0" w:after="200" w:lineRule="auto" w:line="276"/>
      </w:pPr>
      <w:r>
        <w:rPr>
          <w:b/>
        </w:rPr>
        <w:t xml:space="preserve">Abstract (EN): </w:t>
      </w:r>
      <w:r>
        <w:t>The inverted perovskite solar cell (PSC), featuring self‐assembled monolayers (SAMs) as the hole transport layer, has achieved a power conversion efficiency (PCE) exceeding 27%. However, the non‐uniformity of SAMs and intrinsic defects within the perovskite film continue to constrain further enhancements in device performance. Herein, we developed a strategy for the synchronous modification of SAMs and perovskite by incorporating an ionic liquid of 1‐butyl‐3‐methylimidazole‐hexafluorophosphate (BM) to enhance the uniformity of SAMs and passivate defects in perovskite. Specifically, BM was incorporated into the perovskite precursor solution to effectively occupy halide vacancies and passivate the uncoordinated Pb</w:t>
      </w:r>
      <w:r>
        <w:t xml:space="preserve"> </w:t>
      </w:r>
      <w:r>
        <w:t>2+</w:t>
      </w:r>
      <w:r>
        <w:t xml:space="preserve"> </w:t>
      </w:r>
      <w:r>
        <w:t>. Meanwhile, owing to its ionic properties and the interaction between its functional groups and SAM, BM can effectively regulate the colloidal properties and reduce surface roughness, achieving a more uniform SAM layer. By employing this dual modification strategy, BM significantly modulates the crystallization kinetics, thereby facilitating the formation of highly crystalline perovskite films characterized by substantially enlarged grain sizes and a markedly reduced defect density. Consequently, the device incorporating dual modification of BM achieved a champion PCE of 26.59%, demonstrating exceptional operational stability with no observable PCE degradation after continuous power output at maximum power point (MPP) for 1000 h.</w:t>
      </w:r>
    </w:p>
    <w:p>
      <w:pPr>
        <w:spacing w:before="120" w:after="120"/>
      </w:pPr>
      <w:r>
        <w:rPr>
          <w:sz w:val="18"/>
        </w:rPr>
        <w:t>——————————————————————————————————————————————————————————————————————</w:t>
      </w:r>
    </w:p>
    <w:p>
      <w:pPr>
        <w:spacing w:before="160" w:after="40" w:line="240" w:lineRule="auto"/>
      </w:pPr>
      <w:r>
        <w:rPr>
          <w:b/>
        </w:rPr>
        <w:t xml:space="preserve">[366] </w:t>
      </w:r>
      <w:hyperlink r:id="rId558">
        <w:r>
          <w:rPr>
            <w:color w:val="1155CC"/>
            <w:u w:val="single"/>
          </w:rPr>
          <w:t>Cu Nanowire 工业当前密度的阵列上方2丁苯1,4二醇至3丁11醇</w:t>
        </w:r>
      </w:hyperlink>
    </w:p>
    <w:p>
      <w:pPr>
        <w:spacing w:before="0" w:after="80"/>
      </w:pPr>
      <w:r>
        <w:rPr>
          <w:i/>
          <w:sz w:val="20"/>
        </w:rPr>
        <w:t>EN: Selectively Electrocatalytic Reductive Dehydroxylation of 2‐butene‐1,4‐diol to 3‐buten‐1‐ol over Cu Nanowire Arrays at Industrial Current Densities</w:t>
      </w:r>
    </w:p>
    <w:p>
      <w:pPr>
        <w:spacing w:before="0" w:after="120"/>
      </w:pPr>
      <w:r>
        <w:rPr>
          <w:b/>
        </w:rPr>
        <w:t xml:space="preserve">Source: </w:t>
      </w:r>
      <w:r>
        <w:t>Wiley: Angewandte Chemie International Edition: Table of Contents</w:t>
      </w:r>
      <w:r>
        <w:t xml:space="preserve">    </w:t>
      </w:r>
      <w:r>
        <w:rPr>
          <w:b/>
        </w:rPr>
        <w:t xml:space="preserve">Pub date: </w:t>
      </w:r>
      <w:r>
        <w:t>2026-01-08 06:46:09+00:00</w:t>
      </w:r>
      <w:r>
        <w:t xml:space="preserve">    </w:t>
      </w:r>
      <w:r>
        <w:rPr>
          <w:b/>
        </w:rPr>
        <w:t xml:space="preserve">DOI: </w:t>
      </w:r>
      <w:hyperlink r:id="rId559">
        <w:r>
          <w:rPr>
            <w:color w:val="1155CC"/>
            <w:u w:val="single"/>
          </w:rPr>
          <w:t>10.1002/anie.202525179</w:t>
        </w:r>
      </w:hyperlink>
    </w:p>
    <w:p>
      <w:pPr>
        <w:spacing w:before="0" w:after="120"/>
      </w:pPr>
      <w:r>
        <w:rPr>
          <w:b/>
        </w:rPr>
        <w:t xml:space="preserve">Notes: </w:t>
      </w:r>
      <w:r>
        <w:t>abstract_source=crossref</w:t>
      </w:r>
    </w:p>
    <w:p>
      <w:pPr>
        <w:spacing w:before="0" w:after="80" w:lineRule="auto" w:line="276"/>
      </w:pPr>
      <w:r>
        <w:rPr>
          <w:b/>
        </w:rPr>
        <w:t xml:space="preserve">摘要（ZH）: </w:t>
      </w:r>
      <w:r>
        <w:t>白电催化还原脱水是可持续合成商品和高增值化学品的一项很有希望的战略,但是由于C-OH债券的高度分解能量,这仍然是一项艰巨的挑战。 在这里,我们报告有选择性的电催化还原脱水作用为1,4丁二醇(BED)的1,4丁丁二醇(BED),在环境条件下生产3丁1醇(BTO),在库纳米线阵列(Cu NWAs)上生产3丁1醇。90.5%的高BED转换率和80.2%的BTO选择性值在-0.9 V对REHE实现。 即使在一个大型的2°electrode Hty Elecrolyser(1L)中,Cu NWAs刺利地展示了92.3%的BED转换率,82.7%的BTO选择性值,以及190.8毫醇的BTO生产率。 g</w:t>
      </w:r>
    </w:p>
    <w:p>
      <w:pPr>
        <w:spacing w:before="0" w:after="200" w:lineRule="auto" w:line="276"/>
      </w:pPr>
      <w:r>
        <w:rPr>
          <w:b/>
        </w:rPr>
        <w:t xml:space="preserve">Abstract (EN): </w:t>
      </w:r>
      <w:r>
        <w:t>Electrocatalytic reductive dehydroxylation is a promising strategy for sustainable synthesis of commodity and high‐value‐added chemicals but remains a formidable challenge due to the high dissociation energy of C─OH bond. Here, we report a selectively electrocatalytic reductive dehydroxylation of 1,4‐butenediol (BED) to produce 3‐buten‐1‐ol (BTO) over Cu nanowire arrays (Cu NWAs) under ambient conditions. A high BED conversion of ∼90.5% and a BTO selectivity of ∼80.2% are achieved at –0.9 V versus RHE. Even in a large‐scale two‐electrode H‐type elecrolyser (1 L), the Cu NWAs stably exhibit a BED conversion of ≥ 92.3%, a BTO selectivity of ≥ 82.7%, and a BTO production rate of 190.8 mmol</w:t>
      </w:r>
      <w:r>
        <w:t xml:space="preserve"> </w:t>
      </w:r>
      <w:r>
        <w:t>·</w:t>
      </w:r>
      <w:r>
        <w:t xml:space="preserve"> </w:t>
      </w:r>
      <w:r>
        <w:t>g</w:t>
      </w:r>
      <w:r>
        <w:t xml:space="preserve"> </w:t>
      </w:r>
      <w:r>
        <w:t>cat</w:t>
      </w:r>
      <w:r>
        <w:t xml:space="preserve"> </w:t>
      </w:r>
      <w:r>
        <w:t>−1</w:t>
      </w:r>
      <w:r>
        <w:t xml:space="preserve"> </w:t>
      </w:r>
      <w:r>
        <w:t>·</w:t>
      </w:r>
      <w:r>
        <w:t xml:space="preserve"> </w:t>
      </w:r>
      <w:r>
        <w:t>h</w:t>
      </w:r>
      <w:r>
        <w:t xml:space="preserve"> </w:t>
      </w:r>
      <w:r>
        <w:t>−1</w:t>
      </w:r>
      <w:r>
        <w:t xml:space="preserve"> </w:t>
      </w:r>
      <w:r>
        <w:t>at an industrial current density of 200 mA cm</w:t>
      </w:r>
      <w:r>
        <w:t xml:space="preserve"> </w:t>
      </w:r>
      <w:r>
        <w:t>−2</w:t>
      </w:r>
      <w:r>
        <w:t xml:space="preserve"> </w:t>
      </w:r>
      <w:r>
        <w:t>. Experimental and theoretical investigations reveal that the Cu surface facilitates the dissociation of C─OH bond in BED and the desorption of BTO, which thus promotes the selective dehydroxylation of BED to BTO. This work highlights a sustainable and efficient strategy for producing high‐value‐added chemicals.</w:t>
      </w:r>
    </w:p>
    <w:p>
      <w:pPr>
        <w:spacing w:before="120" w:after="120"/>
      </w:pPr>
      <w:r>
        <w:rPr>
          <w:sz w:val="18"/>
        </w:rPr>
        <w:t>——————————————————————————————————————————————————————————————————————</w:t>
      </w:r>
    </w:p>
    <w:p>
      <w:pPr>
        <w:spacing w:before="160" w:after="40" w:line="240" w:lineRule="auto"/>
      </w:pPr>
      <w:r>
        <w:rPr>
          <w:b/>
        </w:rPr>
        <w:t xml:space="preserve">[367] </w:t>
      </w:r>
      <w:hyperlink r:id="rId560">
        <w:r>
          <w:rPr>
            <w:color w:val="1155CC"/>
            <w:u w:val="single"/>
          </w:rPr>
          <w:t>含表层脱落的盐类组 显示异常酸 - 基础化学</w:t>
        </w:r>
      </w:hyperlink>
    </w:p>
    <w:p>
      <w:pPr>
        <w:spacing w:before="0" w:after="80"/>
      </w:pPr>
      <w:r>
        <w:rPr>
          <w:i/>
          <w:sz w:val="20"/>
        </w:rPr>
        <w:t>EN: Salt Cluster With Surface Defect Shows Anomalous Acid–Base Chemistry</w:t>
      </w:r>
    </w:p>
    <w:p>
      <w:pPr>
        <w:spacing w:before="0" w:after="120"/>
      </w:pPr>
      <w:r>
        <w:rPr>
          <w:b/>
        </w:rPr>
        <w:t xml:space="preserve">Source: </w:t>
      </w:r>
      <w:r>
        <w:t>Wiley: Angewandte Chemie International Edition: Table of Contents</w:t>
      </w:r>
      <w:r>
        <w:t xml:space="preserve">    </w:t>
      </w:r>
      <w:r>
        <w:rPr>
          <w:b/>
        </w:rPr>
        <w:t xml:space="preserve">Pub date: </w:t>
      </w:r>
      <w:r>
        <w:t>2026-01-08 06:57:27+00:00</w:t>
      </w:r>
      <w:r>
        <w:t xml:space="preserve">    </w:t>
      </w:r>
      <w:r>
        <w:rPr>
          <w:b/>
        </w:rPr>
        <w:t xml:space="preserve">DOI: </w:t>
      </w:r>
      <w:hyperlink r:id="rId561">
        <w:r>
          <w:rPr>
            <w:color w:val="1155CC"/>
            <w:u w:val="single"/>
          </w:rPr>
          <w:t>10.1002/anie.202520403</w:t>
        </w:r>
      </w:hyperlink>
    </w:p>
    <w:p>
      <w:pPr>
        <w:spacing w:before="0" w:after="120"/>
      </w:pPr>
      <w:r>
        <w:rPr>
          <w:b/>
        </w:rPr>
        <w:t xml:space="preserve">Notes: </w:t>
      </w:r>
      <w:r>
        <w:t>abstract_source=crossref</w:t>
      </w:r>
    </w:p>
    <w:p>
      <w:pPr>
        <w:spacing w:before="0" w:after="80" w:lineRule="auto" w:line="276"/>
      </w:pPr>
      <w:r>
        <w:rPr>
          <w:b/>
        </w:rPr>
        <w:t xml:space="preserve">摘要（ZH）: </w:t>
      </w:r>
      <w:r>
        <w:t>在大气化学中,甲状腺酸喷雾剂释放氯化氢的酸转移反应是一个谜:一个微弱的酸性将质子转移到强酸的同质基,逆转溶液-正态酸基化学。 为了澄清这个问题,我们将甲状腺酸的抗反应作用与N13 Cl 12 +和Na 14 Cl 13 +在超高真空条件下在质谱仪下进行的抗反应作了比较。</w:t>
      </w:r>
    </w:p>
    <w:p>
      <w:pPr>
        <w:spacing w:before="0" w:after="200" w:lineRule="auto" w:line="276"/>
      </w:pPr>
      <w:r>
        <w:rPr>
          <w:b/>
        </w:rPr>
        <w:t xml:space="preserve">Abstract (EN): </w:t>
      </w:r>
      <w:r>
        <w:t>The acid displacement reaction of formic acid in sea‐salt aerosols to release hydrogen chloride is an enigma in atmospheric chemistry: a weak acid transfers a proton to the conjugate base of a strong acid, reversing solution‐phase acid–base chemistry. To shed light on this question, we compared the reactivity of formic acid with Na</w:t>
      </w:r>
      <w:r>
        <w:rPr>
          <w:vertAlign w:val="subscript"/>
        </w:rPr>
        <w:t>13</w:t>
      </w:r>
      <w:r>
        <w:t>Cl</w:t>
      </w:r>
      <w:r>
        <w:rPr>
          <w:vertAlign w:val="subscript"/>
        </w:rPr>
        <w:t>12</w:t>
      </w:r>
      <w:r>
        <w:t>+</w:t>
      </w:r>
      <w:r>
        <w:t xml:space="preserve"> </w:t>
      </w:r>
      <w:r>
        <w:t>and Na</w:t>
      </w:r>
      <w:r>
        <w:rPr>
          <w:vertAlign w:val="subscript"/>
        </w:rPr>
        <w:t>14</w:t>
      </w:r>
      <w:r>
        <w:t>Cl</w:t>
      </w:r>
      <w:r>
        <w:rPr>
          <w:vertAlign w:val="subscript"/>
        </w:rPr>
        <w:t>13</w:t>
      </w:r>
      <w:r>
        <w:t>+</w:t>
      </w:r>
      <w:r>
        <w:t xml:space="preserve"> </w:t>
      </w:r>
      <w:r>
        <w:t>under ultra‐high vacuum conditions in a mass spectrometer. No reaction was observed with Na</w:t>
      </w:r>
      <w:r>
        <w:rPr>
          <w:vertAlign w:val="subscript"/>
        </w:rPr>
        <w:t>14</w:t>
      </w:r>
      <w:r>
        <w:t>Cl</w:t>
      </w:r>
      <w:r>
        <w:rPr>
          <w:vertAlign w:val="subscript"/>
        </w:rPr>
        <w:t>13</w:t>
      </w:r>
      <w:r>
        <w:t>+</w:t>
      </w:r>
      <w:r>
        <w:t xml:space="preserve"> </w:t>
      </w:r>
      <w:r>
        <w:t>, a known magic cluster that corresponds to a cubic section of the crystal lattice. Na</w:t>
      </w:r>
      <w:r>
        <w:rPr>
          <w:vertAlign w:val="subscript"/>
        </w:rPr>
        <w:t>13</w:t>
      </w:r>
      <w:r>
        <w:t>Cl</w:t>
      </w:r>
      <w:r>
        <w:rPr>
          <w:vertAlign w:val="subscript"/>
        </w:rPr>
        <w:t>12</w:t>
      </w:r>
      <w:r>
        <w:t>+</w:t>
      </w:r>
      <w:r>
        <w:t xml:space="preserve"> </w:t>
      </w:r>
      <w:r>
        <w:t>, which corresponds to the cubic section with a surface defect, reacts readily with release of hydrogen chloride and incorporation of formate into the salt structure. Quantum chemical calculations show that the reaction is substantially endothermic for the magic cluster. The surface defect, however, makes it exothermic. The reason lies in the induced fit of the formate ion in the Na</w:t>
      </w:r>
      <w:r>
        <w:rPr>
          <w:vertAlign w:val="subscript"/>
        </w:rPr>
        <w:t>13</w:t>
      </w:r>
      <w:r>
        <w:t>Cl</w:t>
      </w:r>
      <w:r>
        <w:rPr>
          <w:vertAlign w:val="subscript"/>
        </w:rPr>
        <w:t>11</w:t>
      </w:r>
      <w:r>
        <w:t>(HCOO)</w:t>
      </w:r>
      <w:r>
        <w:t xml:space="preserve"> </w:t>
      </w:r>
      <w:r>
        <w:t>+</w:t>
      </w:r>
      <w:r>
        <w:t xml:space="preserve"> </w:t>
      </w:r>
      <w:r>
        <w:t>cluster. Its oxygen atoms interact with five sodium ions. In sum, these electrostatic interactions more than offset the 49 ± 13 kJ mol</w:t>
      </w:r>
      <w:r>
        <w:t xml:space="preserve"> </w:t>
      </w:r>
      <w:r>
        <w:t>−1</w:t>
      </w:r>
      <w:r>
        <w:t xml:space="preserve"> </w:t>
      </w:r>
      <w:r>
        <w:t>difference in gas‐phase acidity between hydrogen chloride and formic acid.</w:t>
      </w:r>
    </w:p>
    <w:p>
      <w:pPr>
        <w:spacing w:before="120" w:after="120"/>
      </w:pPr>
      <w:r>
        <w:rPr>
          <w:sz w:val="18"/>
        </w:rPr>
        <w:t>——————————————————————————————————————————————————————————————————————</w:t>
      </w:r>
    </w:p>
    <w:p>
      <w:pPr>
        <w:spacing w:before="160" w:after="40" w:line="240" w:lineRule="auto"/>
      </w:pPr>
      <w:r>
        <w:rPr>
          <w:b/>
        </w:rPr>
        <w:t xml:space="preserve">[368] </w:t>
      </w:r>
      <w:hyperlink r:id="rId562">
        <w:r>
          <w:rPr>
            <w:color w:val="1155CC"/>
            <w:u w:val="single"/>
          </w:rPr>
          <w:t>中度、温度和低相对湿度操作下的质子交换中膜燃料电池催化剂层中全氟硫酸盐溶性聚氨酯燃料电池的性能退化机制和改进措施方面的进展</w:t>
        </w:r>
      </w:hyperlink>
    </w:p>
    <w:p>
      <w:pPr>
        <w:spacing w:before="0" w:after="80"/>
      </w:pPr>
      <w:r>
        <w:rPr>
          <w:i/>
          <w:sz w:val="20"/>
        </w:rPr>
        <w:t>EN: Advances in Performance Degradation Mechanisms and Improvement Measures of Perfluorosulfonic Acid Ionomers in Catalyst Layers of Proton Exchange Membrane Fuel Cells Under Moderate‐Temperature and Low Relative Humidity Operation: A Review</w:t>
      </w:r>
    </w:p>
    <w:p>
      <w:pPr>
        <w:spacing w:before="0" w:after="120"/>
      </w:pPr>
      <w:r>
        <w:rPr>
          <w:b/>
        </w:rPr>
        <w:t xml:space="preserve">Source: </w:t>
      </w:r>
      <w:r>
        <w:t>Wiley: Advanced Energy Materials: Table of Contents</w:t>
      </w:r>
      <w:r>
        <w:t xml:space="preserve">    </w:t>
      </w:r>
      <w:r>
        <w:rPr>
          <w:b/>
        </w:rPr>
        <w:t xml:space="preserve">Pub date: </w:t>
      </w:r>
      <w:r>
        <w:t>2026-01-08 06:58:04+00:00</w:t>
      </w:r>
      <w:r>
        <w:t xml:space="preserve">    </w:t>
      </w:r>
      <w:r>
        <w:rPr>
          <w:b/>
        </w:rPr>
        <w:t xml:space="preserve">DOI: </w:t>
      </w:r>
      <w:hyperlink r:id="rId563">
        <w:r>
          <w:rPr>
            <w:color w:val="1155CC"/>
            <w:u w:val="single"/>
          </w:rPr>
          <w:t>10.1002/aenm.202504621</w:t>
        </w:r>
      </w:hyperlink>
    </w:p>
    <w:p>
      <w:pPr>
        <w:spacing w:before="0" w:after="120"/>
      </w:pPr>
      <w:r>
        <w:rPr>
          <w:b/>
        </w:rPr>
        <w:t xml:space="preserve">Notes: </w:t>
      </w:r>
      <w:r>
        <w:t>abstract_source=crossref</w:t>
      </w:r>
    </w:p>
    <w:p>
      <w:pPr>
        <w:spacing w:before="0" w:after="80" w:lineRule="auto" w:line="276"/>
      </w:pPr>
      <w:r>
        <w:rPr>
          <w:b/>
        </w:rPr>
        <w:t xml:space="preserve">摘要（ZH）: </w:t>
      </w:r>
      <w:r>
        <w:t>质子交换膜燃料电池(PEMFC)在中温( &amp; gt; 100°C)运行时显示出巨大的优势,包括氧气减少反应的优化动力学、简化水热管理系统和增强抗CO中毒的抗力。鉴于这些优势,PEMFC在重型车辆中表现出极佳的可应用性,并有望大大推动这一技术的商业化。作为催化剂层的电解器、粘合器和散射器的离聚体在全氟化碳中发挥着关键作用。然而,商业上可获得的全氟硫酸离聚体(PFSAs)受到质导力下降、氧传播阻力增强和加速化学等核心问题的影响。</w:t>
      </w:r>
    </w:p>
    <w:p>
      <w:pPr>
        <w:spacing w:before="0" w:after="200" w:lineRule="auto" w:line="276"/>
      </w:pPr>
      <w:r>
        <w:rPr>
          <w:b/>
        </w:rPr>
        <w:t xml:space="preserve">Abstract (EN): </w:t>
      </w:r>
      <w:r>
        <w:t>Proton exchange membrane fuel cells (PEMFCs) demonstrate significant advantages when operating at moderate temperatures (&amp;gt;100°C), including optimized kinetics of the oxygen reduction reaction, simplified water‐heat management system, and enhanced resistance to CO poisoning. Given these advantages, PEMFCs demonstrate excellent applicability in heavy‐duty vehicles and are expected to significantly advance the commercialization of this technology. Ionomers, which serve as electrolytes, binders, and dispersants for the catalyst layer (CL), play a crucial role in PEMFCs. However, commercially available perfluorosulfonic acid ionomers (PFSAs) suffer from core issues such as decreased proton conductivity, increased oxygen transmission resistance, and accelerated chemical degradation at moderate temperature. Currently, significant research efforts have been invested in this field, leading to the development of numerous innovative material systems. However, the preparation of moderate temperature PFSAs remains an extremely challenging task. A comprehensive and in‐depth analysis of the performance failure mechanisms of PFSAs in CL and a summary of relevant mitigation measures are of critical importance for understanding and addressing these issues. Therefore, this review systematically summarizes the challenges faced by PFSAs at moderate temperatures and their underlying mechanisms, introduces relevant optimization strategies, and finally proposes constructive insights into the existing challenges and future development directions for moderate temperature PFSAs.</w:t>
      </w:r>
    </w:p>
    <w:p>
      <w:pPr>
        <w:spacing w:before="120" w:after="120"/>
      </w:pPr>
      <w:r>
        <w:rPr>
          <w:sz w:val="18"/>
        </w:rPr>
        <w:t>——————————————————————————————————————————————————————————————————————</w:t>
      </w:r>
    </w:p>
    <w:p>
      <w:pPr>
        <w:spacing w:before="160" w:after="40" w:line="240" w:lineRule="auto"/>
      </w:pPr>
      <w:r>
        <w:rPr>
          <w:b/>
        </w:rPr>
        <w:t xml:space="preserve">[369] </w:t>
      </w:r>
      <w:hyperlink r:id="rId564">
        <w:r>
          <w:rPr>
            <w:color w:val="1155CC"/>
            <w:u w:val="single"/>
          </w:rPr>
          <w:t>对Gibbs自由能源用于V6O13 Cathode 实现稳定锌储存的热动力抑制溶解实行原子级管制</w:t>
        </w:r>
      </w:hyperlink>
    </w:p>
    <w:p>
      <w:pPr>
        <w:spacing w:before="0" w:after="80"/>
      </w:pPr>
      <w:r>
        <w:rPr>
          <w:i/>
          <w:sz w:val="20"/>
        </w:rPr>
        <w:t>EN: Atomic‐Level Regulation of Gibbs Free Energy for Thermodynamically Suppressing Vanadium Dissolution in V6O13 Cathode Toward Stable Zinc Storage</w:t>
      </w:r>
    </w:p>
    <w:p>
      <w:pPr>
        <w:spacing w:before="0" w:after="120"/>
      </w:pPr>
      <w:r>
        <w:rPr>
          <w:b/>
        </w:rPr>
        <w:t xml:space="preserve">Source: </w:t>
      </w:r>
      <w:r>
        <w:t>Wiley: Advanced Energy Materials: Table of Contents</w:t>
      </w:r>
      <w:r>
        <w:t xml:space="preserve">    </w:t>
      </w:r>
      <w:r>
        <w:rPr>
          <w:b/>
        </w:rPr>
        <w:t xml:space="preserve">Pub date: </w:t>
      </w:r>
      <w:r>
        <w:t>2026-01-08 06:58:38+00:00</w:t>
      </w:r>
      <w:r>
        <w:t xml:space="preserve">    </w:t>
      </w:r>
      <w:r>
        <w:rPr>
          <w:b/>
        </w:rPr>
        <w:t xml:space="preserve">DOI: </w:t>
      </w:r>
      <w:hyperlink r:id="rId565">
        <w:r>
          <w:rPr>
            <w:color w:val="1155CC"/>
            <w:u w:val="single"/>
          </w:rPr>
          <w:t>10.1002/aenm.202505848</w:t>
        </w:r>
      </w:hyperlink>
    </w:p>
    <w:p>
      <w:pPr>
        <w:spacing w:before="0" w:after="120"/>
      </w:pPr>
      <w:r>
        <w:rPr>
          <w:b/>
        </w:rPr>
        <w:t xml:space="preserve">Notes: </w:t>
      </w:r>
      <w:r>
        <w:t>abstract_source=crossref</w:t>
      </w:r>
    </w:p>
    <w:p>
      <w:pPr>
        <w:spacing w:before="0" w:after="80" w:lineRule="auto" w:line="276"/>
      </w:pPr>
      <w:r>
        <w:rPr>
          <w:b/>
        </w:rPr>
        <w:t xml:space="preserve">摘要（ZH）: </w:t>
      </w:r>
      <w:r>
        <w:t>ABSTACT Vanadium氧化物由于其多价特性和开放框架,被视为水锌电池的理想阴极材料,但是,自发的溶解和氧化物固有的低电子传导性导致长期循环过程中的严重能力退化。 我们在此提出一项战略,即原子级再填充氧空(Voo),以热动力增强V 6 O 13 阴极的内在结构强度(V 6 O 13 o)。</w:t>
      </w:r>
    </w:p>
    <w:p>
      <w:pPr>
        <w:spacing w:before="0" w:after="200" w:lineRule="auto" w:line="276"/>
      </w:pPr>
      <w:r>
        <w:rPr>
          <w:b/>
        </w:rPr>
        <w:t xml:space="preserve">Abstract (EN): </w:t>
      </w:r>
      <w:r>
        <w:t>Vanadium oxides have been considered as ideal cathode materials for aqueous zinc‐ion batteries (AZIBs) due to their multivalent characteristics and open framework. Nevertheless, spontaneous vanadium dissolution and inherent low electronic conductivity of vanadium oxides result in severe capacity degradation during prolonged cycling. Herein, we propose a strategy of atomic‐level N refilling oxygen vacancy (V</w:t>
      </w:r>
      <w:r>
        <w:t xml:space="preserve"> </w:t>
      </w:r>
      <w:r>
        <w:t>o</w:t>
      </w:r>
      <w:r>
        <w:t xml:space="preserve"> </w:t>
      </w:r>
      <w:r>
        <w:t>) to thermodynamically enhance the intrinsic structural strength of the V</w:t>
      </w:r>
      <w:r>
        <w:rPr>
          <w:vertAlign w:val="subscript"/>
        </w:rPr>
        <w:t>6</w:t>
      </w:r>
      <w:r>
        <w:t>O</w:t>
      </w:r>
      <w:r>
        <w:rPr>
          <w:vertAlign w:val="subscript"/>
        </w:rPr>
        <w:t>13</w:t>
      </w:r>
      <w:r>
        <w:t>cathode (V</w:t>
      </w:r>
      <w:r>
        <w:rPr>
          <w:vertAlign w:val="subscript"/>
        </w:rPr>
        <w:t>6</w:t>
      </w:r>
      <w:r>
        <w:t>O</w:t>
      </w:r>
      <w:r>
        <w:rPr>
          <w:vertAlign w:val="subscript"/>
        </w:rPr>
        <w:t>13</w:t>
      </w:r>
      <w:r>
        <w:t>‐V</w:t>
      </w:r>
      <w:r>
        <w:t xml:space="preserve"> </w:t>
      </w:r>
      <w:r>
        <w:t>o</w:t>
      </w:r>
      <w:r>
        <w:t xml:space="preserve"> </w:t>
      </w:r>
      <w:r>
        <w:t>‐N) through regulation of Gibbs free energy (ΔG = ΔH − TΔS). Theoretical calculations indicate that refilled N atoms strengthen V─O bonds by improving orbital hybridization between V</w:t>
      </w:r>
      <w:r>
        <w:t xml:space="preserve"> </w:t>
      </w:r>
      <w:r>
        <w:t>3d</w:t>
      </w:r>
      <w:r>
        <w:t xml:space="preserve"> </w:t>
      </w:r>
      <w:r>
        <w:t>and O</w:t>
      </w:r>
      <w:r>
        <w:t xml:space="preserve"> </w:t>
      </w:r>
      <w:r>
        <w:t>2p</w:t>
      </w:r>
      <w:r>
        <w:t xml:space="preserve"> </w:t>
      </w:r>
      <w:r>
        <w:t>and reduce the lattice formation energy, endowing V</w:t>
      </w:r>
      <w:r>
        <w:rPr>
          <w:vertAlign w:val="subscript"/>
        </w:rPr>
        <w:t>6</w:t>
      </w:r>
      <w:r>
        <w:t>O</w:t>
      </w:r>
      <w:r>
        <w:rPr>
          <w:vertAlign w:val="subscript"/>
        </w:rPr>
        <w:t>13</w:t>
      </w:r>
      <w:r>
        <w:t>‐V</w:t>
      </w:r>
      <w:r>
        <w:t xml:space="preserve"> </w:t>
      </w:r>
      <w:r>
        <w:t>o</w:t>
      </w:r>
      <w:r>
        <w:t xml:space="preserve"> </w:t>
      </w:r>
      <w:r>
        <w:t>‐N with enhanced intrinsic structural strength, which contributes to an increased enthalpy change (ΔH). Moreover, N refilling can maintain structural integrity and stabilize oxygen vacancies during dynamic cycling, ultimately leading to a reduced entropy change (ΔS). Consequently, the directional regulation of ΔH and ΔS leads to an elevated ΔG value, establishing a thermodynamic barrier to inhibit spontaneous vanadium dissolution. Additionally, N refilling boosts the intrinsic electronic conductivity of V</w:t>
      </w:r>
      <w:r>
        <w:rPr>
          <w:vertAlign w:val="subscript"/>
        </w:rPr>
        <w:t>6</w:t>
      </w:r>
      <w:r>
        <w:t>O</w:t>
      </w:r>
      <w:r>
        <w:rPr>
          <w:vertAlign w:val="subscript"/>
        </w:rPr>
        <w:t>13</w:t>
      </w:r>
      <w:r>
        <w:t>‐V</w:t>
      </w:r>
      <w:r>
        <w:t xml:space="preserve"> </w:t>
      </w:r>
      <w:r>
        <w:t>o</w:t>
      </w:r>
      <w:r>
        <w:t xml:space="preserve"> </w:t>
      </w:r>
      <w:r>
        <w:t>‐N, thereby significantly accelerating Zn</w:t>
      </w:r>
      <w:r>
        <w:t xml:space="preserve"> </w:t>
      </w:r>
      <w:r>
        <w:t>2+</w:t>
      </w:r>
      <w:r>
        <w:t xml:space="preserve"> </w:t>
      </w:r>
      <w:r>
        <w:t>storage kinetics. As expected, the V</w:t>
      </w:r>
      <w:r>
        <w:rPr>
          <w:vertAlign w:val="subscript"/>
        </w:rPr>
        <w:t>6</w:t>
      </w:r>
      <w:r>
        <w:t>O</w:t>
      </w:r>
      <w:r>
        <w:rPr>
          <w:vertAlign w:val="subscript"/>
        </w:rPr>
        <w:t>13</w:t>
      </w:r>
      <w:r>
        <w:t>‐V</w:t>
      </w:r>
      <w:r>
        <w:t xml:space="preserve"> </w:t>
      </w:r>
      <w:r>
        <w:t>o</w:t>
      </w:r>
      <w:r>
        <w:t xml:space="preserve"> </w:t>
      </w:r>
      <w:r>
        <w:t>‐N cathode delivers high specific capacity and excellent long‐cycling stability (90.3% retention after 10 000 cycles at 10 A g</w:t>
      </w:r>
      <w:r>
        <w:t xml:space="preserve"> </w:t>
      </w:r>
      <w:r>
        <w:t>−1</w:t>
      </w:r>
      <w:r>
        <w:t xml:space="preserve"> </w:t>
      </w:r>
      <w:r>
        <w:t>).</w:t>
      </w:r>
    </w:p>
    <w:p>
      <w:pPr>
        <w:spacing w:before="120" w:after="120"/>
      </w:pPr>
      <w:r>
        <w:rPr>
          <w:sz w:val="18"/>
        </w:rPr>
        <w:t>——————————————————————————————————————————————————————————————————————</w:t>
      </w:r>
    </w:p>
    <w:p>
      <w:pPr>
        <w:spacing w:before="160" w:after="40" w:line="240" w:lineRule="auto"/>
      </w:pPr>
      <w:r>
        <w:rPr>
          <w:b/>
        </w:rPr>
        <w:t xml:space="preserve">[370] </w:t>
      </w:r>
      <w:hyperlink r:id="rId566">
        <w:r>
          <w:rPr>
            <w:color w:val="1155CC"/>
            <w:u w:val="single"/>
          </w:rPr>
          <w:t>多价电离层调节倒转的千伏天太阳能模块的维维工程</w:t>
        </w:r>
      </w:hyperlink>
    </w:p>
    <w:p>
      <w:pPr>
        <w:spacing w:before="0" w:after="80"/>
      </w:pPr>
      <w:r>
        <w:rPr>
          <w:i/>
          <w:sz w:val="20"/>
        </w:rPr>
        <w:t>EN: Multivalent ligands regulate dimensional engineering for inverted perovskite solar modules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67">
        <w:r>
          <w:rPr>
            <w:color w:val="1155CC"/>
            <w:u w:val="single"/>
          </w:rPr>
          <w:t>10.1126/science.aea0656</w:t>
        </w:r>
      </w:hyperlink>
    </w:p>
    <w:p>
      <w:pPr>
        <w:spacing w:before="0" w:after="120"/>
      </w:pPr>
      <w:r>
        <w:rPr>
          <w:b/>
        </w:rPr>
        <w:t xml:space="preserve">Notes: </w:t>
      </w:r>
      <w:r>
        <w:t>abstract_source=crossref</w:t>
      </w:r>
    </w:p>
    <w:p>
      <w:pPr>
        <w:spacing w:before="0" w:after="80" w:lineRule="auto" w:line="276"/>
      </w:pPr>
      <w:r>
        <w:rPr>
          <w:b/>
        </w:rPr>
        <w:t xml:space="preserve">摘要（ZH）: </w:t>
      </w:r>
      <w:r>
        <w:t>多维、共振-稳定了多维、共振-稳定化的氨核离子能够加强化学协调,并减少与低维活性百草枯中常规单价离子离子的脱质作用。这里,我们引入了可控的一至二维(1D-2D)结构过渡战略,系统地调整离子和分解,从而调节氢联结,堆叠,以及阐明分子结构、间隙相互作用和由此产生的维度之间的关系的基本原理。1D-midnium 过敏结构,及其明显的几何厌食性,阻碍了统一的地表覆盖和脱落消能。相比之下,2D-midium 过敏形成一个连续的、同质的跨层,使得更有效地缺陷消化。</w:t>
      </w:r>
    </w:p>
    <w:p>
      <w:pPr>
        <w:spacing w:before="0" w:after="200" w:lineRule="auto" w:line="276"/>
      </w:pPr>
      <w:r>
        <w:rPr>
          <w:b/>
        </w:rPr>
        <w:t xml:space="preserve">Abstract (EN): </w:t>
      </w:r>
      <w:r>
        <w:t>Multivalent, resonance-stabilized amidinium ligands enable stronger chemical coordination and reduced deprotonation compared with conventional monovalent ammonium ligands in low-dimensional perovskites. Here, we introduce a controllable one- to two-dimensional (1D-to-2D) structural transition strategy by systematically tuning ligand conformation, thereby modulating hydrogen bonding, π–π stacking, and basicity to elucidate the relationship between molecular structure, interfacial interactions, and resulting dimensionality. The 1D-amidinium perovskite structure, with its pronounced geometric anisotropy, impedes uniform surface coverage and defect passivation. In contrast, the 2D-amidinium perovskite forms a continuous, homogeneous interfacial layer, enabling more effective defect passivation and favorable energy-level alignment. With dimensionality control, inverted 3D/2D-amidinium perovskite solar cells deliver 25.4% power conversion efficiency (1.1 square centimeters, steady-state certified) and maintain &amp;gt;95% of their initial efficiency after 1100 hours of continuous 1-sun operation at 85°C.</w:t>
      </w:r>
    </w:p>
    <w:p>
      <w:pPr>
        <w:spacing w:before="120" w:after="120"/>
      </w:pPr>
      <w:r>
        <w:rPr>
          <w:sz w:val="18"/>
        </w:rPr>
        <w:t>——————————————————————————————————————————————————————————————————————</w:t>
      </w:r>
    </w:p>
    <w:p>
      <w:pPr>
        <w:spacing w:before="160" w:after="40" w:line="240" w:lineRule="auto"/>
      </w:pPr>
      <w:r>
        <w:rPr>
          <w:b/>
        </w:rPr>
        <w:t xml:space="preserve">[371] </w:t>
      </w:r>
      <w:hyperlink r:id="rId568">
        <w:r>
          <w:rPr>
            <w:color w:val="1155CC"/>
            <w:u w:val="single"/>
          </w:rPr>
          <w:t>天气天气:美国航天局的经验教训</w:t>
        </w:r>
      </w:hyperlink>
    </w:p>
    <w:p>
      <w:pPr>
        <w:spacing w:before="0" w:after="80"/>
      </w:pPr>
      <w:r>
        <w:rPr>
          <w:i/>
          <w:sz w:val="20"/>
        </w:rPr>
        <w:t>EN: Weathering budget cuts: Lessons from NASA</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69">
        <w:r>
          <w:rPr>
            <w:color w:val="1155CC"/>
            <w:u w:val="single"/>
          </w:rPr>
          <w:t>10.1126/science.aed3920</w:t>
        </w:r>
      </w:hyperlink>
    </w:p>
    <w:p>
      <w:pPr>
        <w:spacing w:before="0" w:after="120"/>
      </w:pPr>
      <w:r>
        <w:rPr>
          <w:b/>
        </w:rPr>
        <w:t xml:space="preserve">Notes: </w:t>
      </w:r>
      <w:r>
        <w:t>abstract_source=crossref</w:t>
      </w:r>
    </w:p>
    <w:p>
      <w:pPr>
        <w:spacing w:before="0" w:after="80" w:lineRule="auto" w:line="276"/>
      </w:pPr>
      <w:r>
        <w:rPr>
          <w:b/>
        </w:rPr>
        <w:t xml:space="preserve">摘要（ZH）: </w:t>
      </w:r>
      <w:r>
        <w:t>当前的不确定性和科学资金的削减影响了美国各地的大学、研究设施和实验室,但这种情况并非史无前例。 尼克松总统在为越战提供资金的压力下削减了国家航空和航天局(NASA)的预算,而行星科学的大幅削减改变了探索进程。 过去半个世纪来,研究这个政府资助的繁荣与萧条领域的经验教训可以帮助所有科研机构抵御这场风暴。</w:t>
      </w:r>
    </w:p>
    <w:p>
      <w:pPr>
        <w:spacing w:before="0" w:after="200" w:lineRule="auto" w:line="276"/>
      </w:pPr>
      <w:r>
        <w:rPr>
          <w:b/>
        </w:rPr>
        <w:t xml:space="preserve">Abstract (EN): </w:t>
      </w:r>
      <w:r>
        <w:t>The current uncertainty and cuts to science funding affect universities, research facilities, and laboratories across the United States, but this situation is not unprecedented. Under pressure to fund the Vietnam War, President Nixon slashed the National Aeronautics and Space Administration (NASA) budget, and the deep cuts to planetary science altered the course of exploration. Lessons learned from studying this government-funded boom-and-bust field over the past half century can help all scientific institutions weather this storm.</w:t>
      </w:r>
    </w:p>
    <w:p>
      <w:pPr>
        <w:spacing w:before="120" w:after="120"/>
      </w:pPr>
      <w:r>
        <w:rPr>
          <w:sz w:val="18"/>
        </w:rPr>
        <w:t>——————————————————————————————————————————————————————————————————————</w:t>
      </w:r>
    </w:p>
    <w:p>
      <w:pPr>
        <w:spacing w:before="160" w:after="40" w:line="240" w:lineRule="auto"/>
      </w:pPr>
      <w:r>
        <w:rPr>
          <w:b/>
        </w:rPr>
        <w:t xml:space="preserve">[372] </w:t>
      </w:r>
      <w:hyperlink r:id="rId570">
        <w:r>
          <w:rPr>
            <w:color w:val="1155CC"/>
            <w:u w:val="single"/>
          </w:rPr>
          <w:t>伊朗危机中最大的河流</w:t>
        </w:r>
      </w:hyperlink>
    </w:p>
    <w:p>
      <w:pPr>
        <w:spacing w:before="0" w:after="80"/>
      </w:pPr>
      <w:r>
        <w:rPr>
          <w:i/>
          <w:sz w:val="20"/>
        </w:rPr>
        <w:t>EN: Iran’s largest river in crisis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71">
        <w:r>
          <w:rPr>
            <w:color w:val="1155CC"/>
            <w:u w:val="single"/>
          </w:rPr>
          <w:t>10.1126/science.aed9259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[373] </w:t>
      </w:r>
      <w:hyperlink r:id="rId572">
        <w:r>
          <w:rPr>
            <w:color w:val="1155CC"/>
            <w:u w:val="single"/>
          </w:rPr>
          <w:t>良心医学的悖论</w:t>
        </w:r>
      </w:hyperlink>
    </w:p>
    <w:p>
      <w:pPr>
        <w:spacing w:before="0" w:after="80"/>
      </w:pPr>
      <w:r>
        <w:rPr>
          <w:i/>
          <w:sz w:val="20"/>
        </w:rPr>
        <w:t>EN: The paradox of conscientious medicine</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73">
        <w:r>
          <w:rPr>
            <w:color w:val="1155CC"/>
            <w:u w:val="single"/>
          </w:rPr>
          <w:t>10.1126/science.aec8685</w:t>
        </w:r>
      </w:hyperlink>
    </w:p>
    <w:p>
      <w:pPr>
        <w:spacing w:before="0" w:after="120"/>
      </w:pPr>
      <w:r>
        <w:rPr>
          <w:b/>
        </w:rPr>
        <w:t xml:space="preserve">Notes: </w:t>
      </w:r>
      <w:r>
        <w:t>abstract_source=crossref</w:t>
      </w:r>
    </w:p>
    <w:p>
      <w:pPr>
        <w:spacing w:before="0" w:after="80" w:lineRule="auto" w:line="276"/>
      </w:pPr>
      <w:r>
        <w:rPr>
          <w:b/>
        </w:rPr>
        <w:t xml:space="preserve">摘要（ZH）: </w:t>
      </w:r>
      <w:r>
        <w:t>在美国,出于良心拒服兵役者很少承担医疗费用;出于良心的提供者面临许多</w:t>
      </w:r>
    </w:p>
    <w:p>
      <w:pPr>
        <w:spacing w:before="0" w:after="200" w:lineRule="auto" w:line="276"/>
      </w:pPr>
      <w:r>
        <w:rPr>
          <w:b/>
        </w:rPr>
        <w:t xml:space="preserve">Abstract (EN): </w:t>
      </w:r>
      <w:r>
        <w:t>Conscientious refusers of medical care face few costs in the US; conscientious providers face many</w:t>
      </w:r>
    </w:p>
    <w:p>
      <w:pPr>
        <w:spacing w:before="120" w:after="120"/>
      </w:pPr>
      <w:r>
        <w:rPr>
          <w:sz w:val="18"/>
        </w:rPr>
        <w:t>——————————————————————————————————————————————————————————————————————</w:t>
      </w:r>
    </w:p>
    <w:p>
      <w:pPr>
        <w:spacing w:before="160" w:after="40" w:line="240" w:lineRule="auto"/>
      </w:pPr>
      <w:r>
        <w:rPr>
          <w:b/>
        </w:rPr>
        <w:t xml:space="preserve">[374] </w:t>
      </w:r>
      <w:hyperlink r:id="rId574">
        <w:r>
          <w:rPr>
            <w:color w:val="1155CC"/>
            <w:u w:val="single"/>
          </w:rPr>
          <w:t>重新思考吸毒和吸毒成瘾问题</w:t>
        </w:r>
      </w:hyperlink>
    </w:p>
    <w:p>
      <w:pPr>
        <w:spacing w:before="0" w:after="80"/>
      </w:pPr>
      <w:r>
        <w:rPr>
          <w:i/>
          <w:sz w:val="20"/>
        </w:rPr>
        <w:t>EN: Rethinking drug use and addiction</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75">
        <w:r>
          <w:rPr>
            <w:color w:val="1155CC"/>
            <w:u w:val="single"/>
          </w:rPr>
          <w:t>10.1126/science.aec7911</w:t>
        </w:r>
      </w:hyperlink>
    </w:p>
    <w:p>
      <w:pPr>
        <w:spacing w:before="0" w:after="120"/>
      </w:pPr>
      <w:r>
        <w:rPr>
          <w:b/>
        </w:rPr>
        <w:t xml:space="preserve">Notes: </w:t>
      </w:r>
      <w:r>
        <w:t>abstract_source=crossref</w:t>
      </w:r>
    </w:p>
    <w:p>
      <w:pPr>
        <w:spacing w:before="0" w:after="80" w:lineRule="auto" w:line="276"/>
      </w:pPr>
      <w:r>
        <w:rPr>
          <w:b/>
        </w:rPr>
        <w:t xml:space="preserve">摘要（ZH）: </w:t>
      </w:r>
      <w:r>
        <w:t>哲学家提倡采取更人道、更知情的理念方法</w:t>
      </w:r>
    </w:p>
    <w:p>
      <w:pPr>
        <w:spacing w:before="0" w:after="200" w:lineRule="auto" w:line="276"/>
      </w:pPr>
      <w:r>
        <w:rPr>
          <w:b/>
        </w:rPr>
        <w:t xml:space="preserve">Abstract (EN): </w:t>
      </w:r>
      <w:r>
        <w:t>A philosopher advocates for a more humane and context-informed approach</w:t>
      </w:r>
    </w:p>
    <w:p>
      <w:pPr>
        <w:spacing w:before="120" w:after="120"/>
      </w:pPr>
      <w:r>
        <w:rPr>
          <w:sz w:val="18"/>
        </w:rPr>
        <w:t>——————————————————————————————————————————————————————————————————————</w:t>
      </w:r>
    </w:p>
    <w:p>
      <w:pPr>
        <w:spacing w:before="160" w:after="40" w:line="240" w:lineRule="auto"/>
      </w:pPr>
      <w:r>
        <w:rPr>
          <w:b/>
        </w:rPr>
        <w:t xml:space="preserve">[375] </w:t>
      </w:r>
      <w:hyperlink r:id="rId576">
        <w:r>
          <w:rPr>
            <w:color w:val="1155CC"/>
            <w:u w:val="single"/>
          </w:rPr>
          <w:t>通过能量传输催解,获得四人环状硫酰胺</w:t>
        </w:r>
      </w:hyperlink>
    </w:p>
    <w:p>
      <w:pPr>
        <w:spacing w:before="0" w:after="80"/>
      </w:pPr>
      <w:r>
        <w:rPr>
          <w:i/>
          <w:sz w:val="20"/>
        </w:rPr>
        <w:t>EN: Access to four-membered cyclic sulfinamides by energy transfer catalysis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77">
        <w:r>
          <w:rPr>
            <w:color w:val="1155CC"/>
            <w:u w:val="single"/>
          </w:rPr>
          <w:t>10.1126/science.aec3158</w:t>
        </w:r>
      </w:hyperlink>
    </w:p>
    <w:p>
      <w:pPr>
        <w:spacing w:before="0" w:after="120"/>
      </w:pPr>
      <w:r>
        <w:rPr>
          <w:b/>
        </w:rPr>
        <w:t xml:space="preserve">Notes: </w:t>
      </w:r>
      <w:r>
        <w:t>abstract_source=crossref</w:t>
      </w:r>
    </w:p>
    <w:p>
      <w:pPr>
        <w:spacing w:before="0" w:after="80" w:lineRule="auto" w:line="276"/>
      </w:pPr>
      <w:r>
        <w:rPr>
          <w:b/>
        </w:rPr>
        <w:t xml:space="preserve">摘要（ZH）: </w:t>
      </w:r>
      <w:r>
        <w:t>通过非常规机械化途径推进的通过兴奋状态推进的合成变异,通过非常规机械化途径进行,并交付利用地面化学无法获取的产品。这些合成有价值的变异的广度受到能够提供有生产力的兴奋状态的分子——特别是功能组的分子——特别是功能组的制约,大多数方法使用100多年前界定的相同功能组。在这项工作中,我们表明N-Silyll sulfinyylamines可以使用能量转移催化剂和可见光来进行合成有用的振动性反应。我们利用这些中间体与Alkees的反应来形成四人组成的环硫酰胺产品。这些反应是高效的。</w:t>
      </w:r>
    </w:p>
    <w:p>
      <w:pPr>
        <w:spacing w:before="0" w:after="200" w:lineRule="auto" w:line="276"/>
      </w:pPr>
      <w:r>
        <w:rPr>
          <w:b/>
        </w:rPr>
        <w:t xml:space="preserve">Abstract (EN): </w:t>
      </w:r>
      <w:r>
        <w:t>Synthetic transformations that advance through excited states proceed by unconventional mechanistic pathways and deliver products not accessible using ground-state chemistry. The breadth of these synthetically valuable transformations is constrained by the range of molecules—and particularly the functional groups—that can deliver productive excited states, with most methods using the same functional groups that were defined more than 100 years ago. In this work, we show that</w:t>
      </w:r>
      <w:r>
        <w:t xml:space="preserve"> </w:t>
      </w:r>
      <w:r>
        <w:t>N</w:t>
      </w:r>
      <w:r>
        <w:t xml:space="preserve"> </w:t>
      </w:r>
      <w:r>
        <w:t>-silyl sulfinylamines can undergo synthetically useful excited-state reactivity accessed using energy transfer catalysts and visible light. We exploit these intermediates in reactions with alkenes to form four-membered cyclic sulfinamide products. The reactions are efficient and broad in scope, and the products are advanced to sulfonamides as well as four-membered cyclic sulfonimidamides.</w:t>
      </w:r>
    </w:p>
    <w:p>
      <w:pPr>
        <w:spacing w:before="120" w:after="120"/>
      </w:pPr>
      <w:r>
        <w:rPr>
          <w:sz w:val="18"/>
        </w:rPr>
        <w:t>——————————————————————————————————————————————————————————————————————</w:t>
      </w:r>
    </w:p>
    <w:p>
      <w:pPr>
        <w:spacing w:before="160" w:after="40" w:line="240" w:lineRule="auto"/>
      </w:pPr>
      <w:r>
        <w:rPr>
          <w:b/>
        </w:rPr>
        <w:t xml:space="preserve">[376] </w:t>
      </w:r>
      <w:hyperlink r:id="rId578">
        <w:r>
          <w:rPr>
            <w:color w:val="1155CC"/>
            <w:u w:val="single"/>
          </w:rPr>
          <w:t>分子按按动肛neneaaling 使强固的千伏伏丁太阳能电池得以使用</w:t>
        </w:r>
      </w:hyperlink>
    </w:p>
    <w:p>
      <w:pPr>
        <w:spacing w:before="0" w:after="80"/>
      </w:pPr>
      <w:r>
        <w:rPr>
          <w:i/>
          <w:sz w:val="20"/>
        </w:rPr>
        <w:t>EN: Molecular press annealing enables robust perovskite solar cells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79">
        <w:r>
          <w:rPr>
            <w:color w:val="1155CC"/>
            <w:u w:val="single"/>
          </w:rPr>
          <w:t>10.1126/science.aea8228</w:t>
        </w:r>
      </w:hyperlink>
    </w:p>
    <w:p>
      <w:pPr>
        <w:spacing w:before="0" w:after="120"/>
      </w:pPr>
      <w:r>
        <w:rPr>
          <w:b/>
        </w:rPr>
        <w:t xml:space="preserve">Notes: </w:t>
      </w:r>
      <w:r>
        <w:t>abstract_source=crossref</w:t>
      </w:r>
    </w:p>
    <w:p>
      <w:pPr>
        <w:spacing w:before="0" w:after="80" w:lineRule="auto" w:line="276"/>
      </w:pPr>
      <w:r>
        <w:rPr>
          <w:b/>
        </w:rPr>
        <w:t xml:space="preserve">摘要（ZH）: </w:t>
      </w:r>
      <w:r>
        <w:t>我们展示了一种分子压动肛门(MPA)战略,其中2-丙基乙基乙胺薄膜的热和压力粘贴在普罗夫斯基表面;在喷射过程中实时治愈缺碘,通过优化离心机工程,铅碘框架稳定下来,从而提高了透气胶片的结构完整性和长期稳定性;使无-i-i perovskite太阳能电池能够达到26.6%的PCE(核证为26.5%);值得注意的是,在连续运行1617小时后,该装置保留了其初始PCE的98.6%和97.2%。</w:t>
      </w:r>
    </w:p>
    <w:p>
      <w:pPr>
        <w:spacing w:before="0" w:after="200" w:lineRule="auto" w:line="276"/>
      </w:pPr>
      <w:r>
        <w:rPr>
          <w:b/>
        </w:rPr>
        <w:t xml:space="preserve">Abstract (EN): </w:t>
      </w:r>
      <w:r>
        <w:t>Thermal annealing improves the crystallinity of perovskite films and boosts their power conversion efficiencies (PCEs) in solar cells but also induces surface iodine loss and local lattice degradation. We demonstrate a molecular press annealing (MPA) strategy in which a 2-pyridylethylamine film is thermally and pressure-bonded to the perovskite surface. Real-time healing of iodine vacancies occurred during annealing and the lead-iodine framework was stabilized through optimized ligand engineering, resulting in enhanced structural integrity and long-term stability of perovskite films. This strategy enabled n-i-p perovskite solar cells to achieve a PCE of 26.6% (certified 26.5%). Notably, the devices retain 98.6 and 97.2% of their initial PCEs after 1617 hours of continuous operation under maximum power point tracking [ISOS-L-3 protocol, 85°C, 60% relative humidity (RH)] and 5280 hours of ambient storage (ISOS-D-1 protocol, room temperature, 10% RH).</w:t>
      </w:r>
    </w:p>
    <w:p>
      <w:pPr>
        <w:spacing w:before="120" w:after="120"/>
      </w:pPr>
      <w:r>
        <w:rPr>
          <w:sz w:val="18"/>
        </w:rPr>
        <w:t>——————————————————————————————————————————————————————————————————————</w:t>
      </w:r>
    </w:p>
    <w:p>
      <w:pPr>
        <w:spacing w:before="160" w:after="40" w:line="240" w:lineRule="auto"/>
      </w:pPr>
      <w:r>
        <w:rPr>
          <w:b/>
        </w:rPr>
        <w:t xml:space="preserve">[377] </w:t>
      </w:r>
      <w:hyperlink r:id="rId580">
        <w:r>
          <w:rPr>
            <w:color w:val="1155CC"/>
            <w:u w:val="single"/>
          </w:rPr>
          <w:t>氟氯胺酮质捆绑和具体活化共聚物的分子基础</w:t>
        </w:r>
      </w:hyperlink>
    </w:p>
    <w:p>
      <w:pPr>
        <w:spacing w:before="0" w:after="80"/>
      </w:pPr>
      <w:r>
        <w:rPr>
          <w:i/>
          <w:sz w:val="20"/>
        </w:rPr>
        <w:t>EN: The molecular basis of the binding and specific activation of rhizobial NodD by flavonoids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81">
        <w:r>
          <w:rPr>
            <w:color w:val="1155CC"/>
            <w:u w:val="single"/>
          </w:rPr>
          <w:t>10.1126/science.aec3061</w:t>
        </w:r>
      </w:hyperlink>
    </w:p>
    <w:p>
      <w:pPr>
        <w:spacing w:before="0" w:after="120"/>
      </w:pPr>
      <w:r>
        <w:rPr>
          <w:b/>
        </w:rPr>
        <w:t xml:space="preserve">Notes: </w:t>
      </w:r>
      <w:r>
        <w:t>abstract_source=crossref</w:t>
      </w:r>
    </w:p>
    <w:p>
      <w:pPr>
        <w:spacing w:before="0" w:after="80" w:lineRule="auto" w:line="276"/>
      </w:pPr>
      <w:r>
        <w:rPr>
          <w:b/>
        </w:rPr>
        <w:t xml:space="preserve">摘要（ZH）: </w:t>
      </w:r>
      <w:r>
        <w:t>植物叶片类植物激活细菌转录因子NodD,这触发了植物承认的Nod因子的生产。Pisum sativum (pea) symbiont Rhizobiumumunusarum NodD的结构研究揭示了两种口袋,对于用氟化物激活它至关重要。与Sinorhizobium medicae的NodD1,Medicago truncula的symbiont的对比研究显示,这种特性是由口袋形状和具体的氨基酸决定的。含有氟化物识别的Chimeric NodD,其中含有氟化物识别剂的识别体。</w:t>
      </w:r>
    </w:p>
    <w:p>
      <w:pPr>
        <w:spacing w:before="0" w:after="200" w:lineRule="auto" w:line="276"/>
      </w:pPr>
      <w:r>
        <w:rPr>
          <w:b/>
        </w:rPr>
        <w:t xml:space="preserve">Abstract (EN): </w:t>
      </w:r>
      <w:r>
        <w:t>The specific partnership between legumes and rhizobia relies on a chemical dialogue. Plant flavonoids activate the bacterial transcription factor NodD, which triggers production of Nod factors that are recognized by the plant. Structural studies of the</w:t>
      </w:r>
      <w:r>
        <w:t xml:space="preserve"> </w:t>
      </w:r>
      <w:r>
        <w:t>Pisum sativum</w:t>
      </w:r>
      <w:r>
        <w:t xml:space="preserve"> </w:t>
      </w:r>
      <w:r>
        <w:t>(pea) symbiont</w:t>
      </w:r>
      <w:r>
        <w:t xml:space="preserve"> </w:t>
      </w:r>
      <w:r>
        <w:t>Rhizobium leguminosarum</w:t>
      </w:r>
      <w:r>
        <w:t xml:space="preserve"> </w:t>
      </w:r>
      <w:r>
        <w:t>NodD revealed two pockets that are essential for its activation by flavonoids. Comparative studies with NodD1 of</w:t>
      </w:r>
      <w:r>
        <w:t xml:space="preserve"> </w:t>
      </w:r>
      <w:r>
        <w:t>Sinorhizobium medicae</w:t>
      </w:r>
      <w:r>
        <w:t xml:space="preserve"> </w:t>
      </w:r>
      <w:r>
        <w:t>, the symbiont of</w:t>
      </w:r>
      <w:r>
        <w:t xml:space="preserve"> </w:t>
      </w:r>
      <w:r>
        <w:t>Medicago truncatula</w:t>
      </w:r>
      <w:r>
        <w:t xml:space="preserve"> </w:t>
      </w:r>
      <w:r>
        <w:t>, revealed that this specificity is determined by the shape of the pocket and by specific amino acids. A chimeric NodD containing the flavonoid recognition residues from</w:t>
      </w:r>
      <w:r>
        <w:t xml:space="preserve"> </w:t>
      </w:r>
      <w:r>
        <w:t>S. medicae</w:t>
      </w:r>
      <w:r>
        <w:t xml:space="preserve"> </w:t>
      </w:r>
      <w:r>
        <w:t>NodD1 in the</w:t>
      </w:r>
      <w:r>
        <w:t xml:space="preserve"> </w:t>
      </w:r>
      <w:r>
        <w:t>R. leguminosarum</w:t>
      </w:r>
      <w:r>
        <w:t xml:space="preserve"> </w:t>
      </w:r>
      <w:r>
        <w:t>NodD backbone was sufficient to complement nitrogen fixation in</w:t>
      </w:r>
      <w:r>
        <w:t xml:space="preserve"> </w:t>
      </w:r>
      <w:r>
        <w:t>M. truncatula</w:t>
      </w:r>
      <w:r>
        <w:t xml:space="preserve"> </w:t>
      </w:r>
      <w:r>
        <w:t>by an</w:t>
      </w:r>
      <w:r>
        <w:t xml:space="preserve"> </w:t>
      </w:r>
      <w:r>
        <w:t>S. medicae nodD1</w:t>
      </w:r>
      <w:r>
        <w:t xml:space="preserve"> </w:t>
      </w:r>
      <w:r>
        <w:t>mutant, confirming the critical role of flavonoid recognition in host range.</w:t>
      </w:r>
    </w:p>
    <w:p>
      <w:pPr>
        <w:spacing w:before="120" w:after="120"/>
      </w:pPr>
      <w:r>
        <w:rPr>
          <w:sz w:val="18"/>
        </w:rPr>
        <w:t>——————————————————————————————————————————————————————————————————————</w:t>
      </w:r>
    </w:p>
    <w:p>
      <w:pPr>
        <w:spacing w:before="160" w:after="40" w:line="240" w:lineRule="auto"/>
      </w:pPr>
      <w:r>
        <w:rPr>
          <w:b/>
        </w:rPr>
        <w:t xml:space="preserve">[378] </w:t>
      </w:r>
      <w:hyperlink r:id="rId582">
        <w:r>
          <w:rPr>
            <w:color w:val="1155CC"/>
            <w:u w:val="single"/>
          </w:rPr>
          <w:t>用于气候管理的树皮树皮微生物</w:t>
        </w:r>
      </w:hyperlink>
    </w:p>
    <w:p>
      <w:pPr>
        <w:spacing w:before="0" w:after="80"/>
      </w:pPr>
      <w:r>
        <w:rPr>
          <w:i/>
          <w:sz w:val="20"/>
        </w:rPr>
        <w:t>EN: Tree bark microbes for climate management</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83">
        <w:r>
          <w:rPr>
            <w:color w:val="1155CC"/>
            <w:u w:val="single"/>
          </w:rPr>
          <w:t>10.1126/science.aec9651</w:t>
        </w:r>
      </w:hyperlink>
    </w:p>
    <w:p>
      <w:pPr>
        <w:spacing w:before="0" w:after="120"/>
      </w:pPr>
      <w:r>
        <w:rPr>
          <w:b/>
        </w:rPr>
        <w:t xml:space="preserve">Notes: </w:t>
      </w:r>
      <w:r>
        <w:t>abstract_source=crossref</w:t>
      </w:r>
    </w:p>
    <w:p>
      <w:pPr>
        <w:spacing w:before="0" w:after="80" w:lineRule="auto" w:line="276"/>
      </w:pPr>
      <w:r>
        <w:rPr>
          <w:b/>
        </w:rPr>
        <w:t xml:space="preserve">摘要（ZH）: </w:t>
      </w:r>
      <w:r>
        <w:t>生活在树皮中的微生物可以处理温室气体甲烷、氢和一氧化碳。</w:t>
      </w:r>
    </w:p>
    <w:p>
      <w:pPr>
        <w:spacing w:before="0" w:after="200" w:lineRule="auto" w:line="276"/>
      </w:pPr>
      <w:r>
        <w:rPr>
          <w:b/>
        </w:rPr>
        <w:t xml:space="preserve">Abstract (EN): </w:t>
      </w:r>
      <w:r>
        <w:t>Microbes living in bark can process the greenhouse gases methane, hydrogen, and carbon monoxide</w:t>
      </w:r>
    </w:p>
    <w:p>
      <w:pPr>
        <w:spacing w:before="120" w:after="120"/>
      </w:pPr>
      <w:r>
        <w:rPr>
          <w:sz w:val="18"/>
        </w:rPr>
        <w:t>——————————————————————————————————————————————————————————————————————</w:t>
      </w:r>
    </w:p>
    <w:p>
      <w:pPr>
        <w:spacing w:before="160" w:after="40" w:line="240" w:lineRule="auto"/>
      </w:pPr>
      <w:r>
        <w:rPr>
          <w:b/>
        </w:rPr>
        <w:t xml:space="preserve">[379] </w:t>
      </w:r>
      <w:hyperlink r:id="rId584">
        <w:r>
          <w:rPr>
            <w:color w:val="1155CC"/>
            <w:u w:val="single"/>
          </w:rPr>
          <w:t>为立体选择性骨骼重组利用三亚重新排列</w:t>
        </w:r>
      </w:hyperlink>
    </w:p>
    <w:p>
      <w:pPr>
        <w:spacing w:before="0" w:after="80"/>
      </w:pPr>
      <w:r>
        <w:rPr>
          <w:i/>
          <w:sz w:val="20"/>
        </w:rPr>
        <w:t>EN: Leveraging triatropic rearrangements for stereoselective skeletal reshuffling</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85">
        <w:r>
          <w:rPr>
            <w:color w:val="1155CC"/>
            <w:u w:val="single"/>
          </w:rPr>
          <w:t>10.1126/science.adw3340</w:t>
        </w:r>
      </w:hyperlink>
    </w:p>
    <w:p>
      <w:pPr>
        <w:spacing w:before="0" w:after="120"/>
      </w:pPr>
      <w:r>
        <w:rPr>
          <w:b/>
        </w:rPr>
        <w:t xml:space="preserve">Notes: </w:t>
      </w:r>
      <w:r>
        <w:t>abstract_source=crossref</w:t>
      </w:r>
    </w:p>
    <w:p>
      <w:pPr>
        <w:spacing w:before="0" w:after="80" w:lineRule="auto" w:line="276"/>
      </w:pPr>
      <w:r>
        <w:rPr>
          <w:b/>
        </w:rPr>
        <w:t xml:space="preserve">摘要（ZH）: </w:t>
      </w:r>
      <w:r>
        <w:t>环环反应将简单的前体转化成建筑上复杂的产品,具有精密的立体控制,使其成为合成的中心工具。在这里,我们报告了一系列环环环反应,称为三亚重新排列,其中三个 -bond 被打破,同时形成两个 -bond 和一个 -bond, 全部在一个过渡状态中。在这个机械化的多元体中, 过氧化物中的碳- 氧联结被定序地选择性地转换成碳- 碳联结, 由有机子试剂进行调节。 环球环烷进行高化学、再生和立体选择性碳迁移, 以向环包产品提供广泛的通用性产品。 这一战略还使得线性过氧化物亚化物的对等选择性的1- 2- 水化迁移成为碳联结。</w:t>
      </w:r>
    </w:p>
    <w:p>
      <w:pPr>
        <w:spacing w:before="0" w:after="200" w:lineRule="auto" w:line="276"/>
      </w:pPr>
      <w:r>
        <w:rPr>
          <w:b/>
        </w:rPr>
        <w:t xml:space="preserve">Abstract (EN): </w:t>
      </w:r>
      <w:r>
        <w:t>Pericyclic reactions transform simple precursors into architecturally complex products with exquisite stereocontrol, making them central tools in synthesis. Here, we report a class of pericyclic reactions, called triatropic rearrangements, wherein three σ-bonds are broken concomitantly with the formation of two σ-bonds and one π-bond, all in a single transition state. Within this mechanistic manifold, carbon-oxygen bonds in epoxides are stereoselectively converted into carbon-carbon bonds in a process mediated by organoboron reagents. Epoxycycloalkanes undergo highly chemo-, regio-, and stereoselective carbon migration to furnish ring-contracted products with broad generality. This strategy also enables enantioselective 1,2-hydride migrations for linear epoxide substrates. The combination of this ring contraction protocol with [4+2] cycloadditions provides a distinct “[4+2–1]” strategy for the stereoselective construction of complex cyclopentanes in a modular fashion.</w:t>
      </w:r>
    </w:p>
    <w:p>
      <w:pPr>
        <w:spacing w:before="120" w:after="120"/>
      </w:pPr>
      <w:r>
        <w:rPr>
          <w:sz w:val="18"/>
        </w:rPr>
        <w:t>——————————————————————————————————————————————————————————————————————</w:t>
      </w:r>
    </w:p>
    <w:p>
      <w:pPr>
        <w:spacing w:before="160" w:after="40" w:line="240" w:lineRule="auto"/>
      </w:pPr>
      <w:r>
        <w:rPr>
          <w:b/>
        </w:rPr>
        <w:t xml:space="preserve">[380] </w:t>
      </w:r>
      <w:hyperlink r:id="rId586">
        <w:r>
          <w:rPr>
            <w:color w:val="1155CC"/>
            <w:u w:val="single"/>
          </w:rPr>
          <w:t>真正的达芬奇代码</w:t>
        </w:r>
      </w:hyperlink>
    </w:p>
    <w:p>
      <w:pPr>
        <w:spacing w:before="0" w:after="80"/>
      </w:pPr>
      <w:r>
        <w:rPr>
          <w:i/>
          <w:sz w:val="20"/>
        </w:rPr>
        <w:t>EN: The real da Vinci code</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87">
        <w:r>
          <w:rPr>
            <w:color w:val="1155CC"/>
            <w:u w:val="single"/>
          </w:rPr>
          <w:t>10.1126/science.aef2260</w:t>
        </w:r>
      </w:hyperlink>
    </w:p>
    <w:p>
      <w:pPr>
        <w:spacing w:before="0" w:after="120"/>
      </w:pPr>
      <w:r>
        <w:rPr>
          <w:b/>
        </w:rPr>
        <w:t xml:space="preserve">Notes: </w:t>
      </w:r>
      <w:r>
        <w:t>abstract_source=crossref</w:t>
      </w:r>
    </w:p>
    <w:p>
      <w:pPr>
        <w:spacing w:before="0" w:after="80" w:lineRule="auto" w:line="276"/>
      </w:pPr>
      <w:r>
        <w:rPr>
          <w:b/>
        </w:rPr>
        <w:t xml:space="preserve">摘要（ZH）: </w:t>
      </w:r>
      <w:r>
        <w:t>研究如何识别莱昂纳多·达芬奇的DNA的奇质探索的学者们取得了里程碑式的成就。</w:t>
      </w:r>
    </w:p>
    <w:p>
      <w:pPr>
        <w:spacing w:before="0" w:after="200" w:lineRule="auto" w:line="276"/>
      </w:pPr>
      <w:r>
        <w:rPr>
          <w:b/>
        </w:rPr>
        <w:t xml:space="preserve">Abstract (EN): </w:t>
      </w:r>
      <w:r>
        <w:t>Scholars on a quixotic quest to identify Leonardo da Vinci’s DNA achieve a milestone</w:t>
      </w:r>
    </w:p>
    <w:p>
      <w:pPr>
        <w:spacing w:before="120" w:after="120"/>
      </w:pPr>
      <w:r>
        <w:rPr>
          <w:sz w:val="18"/>
        </w:rPr>
        <w:t>——————————————————————————————————————————————————————————————————————</w:t>
      </w:r>
    </w:p>
    <w:p>
      <w:pPr>
        <w:spacing w:before="160" w:after="40" w:line="240" w:lineRule="auto"/>
      </w:pPr>
      <w:r>
        <w:rPr>
          <w:b/>
        </w:rPr>
        <w:t xml:space="preserve">[381] </w:t>
      </w:r>
      <w:hyperlink r:id="rId588">
        <w:r>
          <w:rPr>
            <w:color w:val="1155CC"/>
            <w:u w:val="single"/>
          </w:rPr>
          <w:t>磁质团内自发的花旗</w:t>
        </w:r>
      </w:hyperlink>
    </w:p>
    <w:p>
      <w:pPr>
        <w:spacing w:before="0" w:after="80"/>
      </w:pPr>
      <w:r>
        <w:rPr>
          <w:i/>
          <w:sz w:val="20"/>
        </w:rPr>
        <w:t>EN: Self-induced Floquet magnons in magnetic vortices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89">
        <w:r>
          <w:rPr>
            <w:color w:val="1155CC"/>
            <w:u w:val="single"/>
          </w:rPr>
          <w:t>10.1126/science.adq9891</w:t>
        </w:r>
      </w:hyperlink>
    </w:p>
    <w:p>
      <w:pPr>
        <w:spacing w:before="0" w:after="120"/>
      </w:pPr>
      <w:r>
        <w:rPr>
          <w:b/>
        </w:rPr>
        <w:t xml:space="preserve">Notes: </w:t>
      </w:r>
      <w:r>
        <w:t>abstract_source=crossref</w:t>
      </w:r>
    </w:p>
    <w:p>
      <w:pPr>
        <w:spacing w:before="0" w:after="80" w:lineRule="auto" w:line="276"/>
      </w:pPr>
      <w:r>
        <w:rPr>
          <w:b/>
        </w:rPr>
        <w:t xml:space="preserve">摘要（ZH）: </w:t>
      </w:r>
      <w:r>
        <w:t>使用定期电磁场运行冷凝物质系统可能导致在平衡中无法找到的奇异状态。 定期Floquet工程,这种对电子系统的定期驱动可以诱发表层带结构和控制旋转互动。 在这次研究中,我们用磁旋核心与微波巨子之间的非线性互动所产生的磁旋呈现出一组Floquet状态。 通过岩心周期振动,通过直接驱动核心或抽动azuthal大型模型来启动浮带波带。 对于后者,亚zmuthal模式通过非线性互动来引发核心回旋,这反过来又使大型波段结构重新正常化。 这代表了Floquet磁带engin的自导机制。</w:t>
      </w:r>
    </w:p>
    <w:p>
      <w:pPr>
        <w:spacing w:before="0" w:after="200" w:lineRule="auto" w:line="276"/>
      </w:pPr>
      <w:r>
        <w:rPr>
          <w:b/>
        </w:rPr>
        <w:t xml:space="preserve">Abstract (EN): </w:t>
      </w:r>
      <w:r>
        <w:t>Driving condensed matter systems with periodic electromagnetic fields can result in exotic states not found in equilibrium. Termed Floquet engineering, such periodic driving applied to electronic systems can induce topological band structures and control spin interactions. In this study, we present a class of Floquet states in a magnetic vortex that arise from nonlinear interactions between the vortex core and microwave magnons. Floquet bands emerge through the periodic oscillation of the core, which can be initiated by either driving the core directly or pumping azimuthal magnon modes. For the latter, the azimuthal modes induce core gyration through nonlinear interactions, which in turn renormalizes the magnon band structure. This represents a self-induced mechanism for Floquet band engineering and opens avenues to study and control nonlinear magnon dynamics.</w:t>
      </w:r>
    </w:p>
    <w:p>
      <w:pPr>
        <w:spacing w:before="120" w:after="120"/>
      </w:pPr>
      <w:r>
        <w:rPr>
          <w:sz w:val="18"/>
        </w:rPr>
        <w:t>——————————————————————————————————————————————————————————————————————</w:t>
      </w:r>
    </w:p>
    <w:p>
      <w:pPr>
        <w:spacing w:before="160" w:after="40" w:line="240" w:lineRule="auto"/>
      </w:pPr>
      <w:r>
        <w:rPr>
          <w:b/>
        </w:rPr>
        <w:t xml:space="preserve">[382] </w:t>
      </w:r>
      <w:hyperlink r:id="rId590">
        <w:r>
          <w:rPr>
            <w:color w:val="1155CC"/>
            <w:u w:val="single"/>
          </w:rPr>
          <w:t>伊朗古老的赫尔卡尼亚森林着火</w:t>
        </w:r>
      </w:hyperlink>
    </w:p>
    <w:p>
      <w:pPr>
        <w:spacing w:before="0" w:after="80"/>
      </w:pPr>
      <w:r>
        <w:rPr>
          <w:i/>
          <w:sz w:val="20"/>
        </w:rPr>
        <w:t>EN: Iran’s ancient Hyrcanian forests on fire</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91">
        <w:r>
          <w:rPr>
            <w:color w:val="1155CC"/>
            <w:u w:val="single"/>
          </w:rPr>
          <w:t>10.1126/science.aee1473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[383] </w:t>
      </w:r>
      <w:hyperlink r:id="rId592">
        <w:r>
          <w:rPr>
            <w:color w:val="1155CC"/>
            <w:u w:val="single"/>
          </w:rPr>
          <w:t>学习引领</w:t>
        </w:r>
      </w:hyperlink>
    </w:p>
    <w:p>
      <w:pPr>
        <w:spacing w:before="0" w:after="80"/>
      </w:pPr>
      <w:r>
        <w:rPr>
          <w:i/>
          <w:sz w:val="20"/>
        </w:rPr>
        <w:t>EN: Learning to lead</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93">
        <w:r>
          <w:rPr>
            <w:color w:val="1155CC"/>
            <w:u w:val="single"/>
          </w:rPr>
          <w:t>10.1126/science.aef2259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[384] </w:t>
      </w:r>
      <w:hyperlink r:id="rId594">
        <w:r>
          <w:rPr>
            <w:color w:val="1155CC"/>
            <w:u w:val="single"/>
          </w:rPr>
          <w:t>IDH- 混合性浮膜的来源</w:t>
        </w:r>
      </w:hyperlink>
    </w:p>
    <w:p>
      <w:pPr>
        <w:spacing w:before="0" w:after="80"/>
      </w:pPr>
      <w:r>
        <w:rPr>
          <w:i/>
          <w:sz w:val="20"/>
        </w:rPr>
        <w:t>EN: The source of IDH-mutant gliomas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95">
        <w:r>
          <w:rPr>
            <w:color w:val="1155CC"/>
            <w:u w:val="single"/>
          </w:rPr>
          <w:t>10.1126/science.aed6843</w:t>
        </w:r>
      </w:hyperlink>
    </w:p>
    <w:p>
      <w:pPr>
        <w:spacing w:before="0" w:after="120"/>
      </w:pPr>
      <w:r>
        <w:rPr>
          <w:b/>
        </w:rPr>
        <w:t xml:space="preserve">Notes: </w:t>
      </w:r>
      <w:r>
        <w:t>abstract_source=crossref</w:t>
      </w:r>
    </w:p>
    <w:p>
      <w:pPr>
        <w:spacing w:before="0" w:after="80" w:lineRule="auto" w:line="276"/>
      </w:pPr>
      <w:r>
        <w:rPr>
          <w:b/>
        </w:rPr>
        <w:t xml:space="preserve">摘要（ZH）: </w:t>
      </w:r>
      <w:r>
        <w:t>人类脑组织深度测序 确定可能来自国际卫生协会的细胞</w:t>
      </w:r>
    </w:p>
    <w:p>
      <w:pPr>
        <w:spacing w:before="0" w:after="200" w:lineRule="auto" w:line="276"/>
      </w:pPr>
      <w:r>
        <w:rPr>
          <w:b/>
        </w:rPr>
        <w:t xml:space="preserve">Abstract (EN): </w:t>
      </w:r>
      <w:r>
        <w:t>Deep sequencing of human brain tissue identifies the probable cell of origin of IDH-mutant gliomas</w:t>
      </w:r>
    </w:p>
    <w:p>
      <w:pPr>
        <w:spacing w:before="120" w:after="120"/>
      </w:pPr>
      <w:r>
        <w:rPr>
          <w:sz w:val="18"/>
        </w:rPr>
        <w:t>——————————————————————————————————————————————————————————————————————</w:t>
      </w:r>
    </w:p>
    <w:p>
      <w:pPr>
        <w:spacing w:before="160" w:after="40" w:line="240" w:lineRule="auto"/>
      </w:pPr>
      <w:r>
        <w:rPr>
          <w:b/>
        </w:rPr>
        <w:t xml:space="preserve">[385] </w:t>
      </w:r>
      <w:hyperlink r:id="rId596">
        <w:r>
          <w:rPr>
            <w:color w:val="1155CC"/>
            <w:u w:val="single"/>
          </w:rPr>
          <w:t>改善公共交通的空气质量</w:t>
        </w:r>
      </w:hyperlink>
    </w:p>
    <w:p>
      <w:pPr>
        <w:spacing w:before="0" w:after="80"/>
      </w:pPr>
      <w:r>
        <w:rPr>
          <w:i/>
          <w:sz w:val="20"/>
        </w:rPr>
        <w:t>EN: Improve air quality in public transportation</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97">
        <w:r>
          <w:rPr>
            <w:color w:val="1155CC"/>
            <w:u w:val="single"/>
          </w:rPr>
          <w:t>10.1126/science.aed9350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[386] </w:t>
      </w:r>
      <w:hyperlink r:id="rId598">
        <w:r>
          <w:rPr>
            <w:color w:val="1155CC"/>
            <w:u w:val="single"/>
          </w:rPr>
          <w:t>科学杂志</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599">
        <w:r>
          <w:rPr>
            <w:color w:val="1155CC"/>
            <w:u w:val="single"/>
          </w:rPr>
          <w:t>10.1126/science.aef2261</w:t>
        </w:r>
      </w:hyperlink>
    </w:p>
    <w:p>
      <w:pPr>
        <w:spacing w:before="0" w:after="120"/>
      </w:pPr>
      <w:r>
        <w:rPr>
          <w:b/>
        </w:rPr>
        <w:t xml:space="preserve">Notes: </w:t>
      </w:r>
      <w:r>
        <w:t>abstract_source=crossref</w:t>
      </w:r>
    </w:p>
    <w:p>
      <w:pPr>
        <w:spacing w:before="0" w:after="80" w:lineRule="auto" w:line="276"/>
      </w:pPr>
      <w:r>
        <w:rPr>
          <w:b/>
        </w:rPr>
        <w:t xml:space="preserve">摘要（ZH）: </w:t>
      </w:r>
      <w:r>
        <w:t>《科学》杂志系列的要点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[387] </w:t>
      </w:r>
      <w:hyperlink r:id="rId600">
        <w:r>
          <w:rPr>
            <w:color w:val="1155CC"/>
            <w:u w:val="single"/>
          </w:rPr>
          <w:t>其他《日刊》</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601">
        <w:r>
          <w:rPr>
            <w:color w:val="1155CC"/>
            <w:u w:val="single"/>
          </w:rPr>
          <w:t>10.1126/science.aef2262</w:t>
        </w:r>
      </w:hyperlink>
    </w:p>
    <w:p>
      <w:pPr>
        <w:spacing w:before="0" w:after="120"/>
      </w:pPr>
      <w:r>
        <w:rPr>
          <w:b/>
        </w:rPr>
        <w:t xml:space="preserve">Notes: </w:t>
      </w:r>
      <w:r>
        <w:t>abstract_source=crossref</w:t>
      </w:r>
    </w:p>
    <w:p>
      <w:pPr>
        <w:spacing w:before="0" w:after="80" w:lineRule="auto" w:line="276"/>
      </w:pPr>
      <w:r>
        <w:rPr>
          <w:b/>
        </w:rPr>
        <w:t xml:space="preserve">摘要（ZH）: </w:t>
      </w:r>
      <w:r>
        <w:t>从当前科学文献中挑选的编辑</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[388] </w:t>
      </w:r>
      <w:hyperlink r:id="rId602">
        <w:r>
          <w:rPr>
            <w:color w:val="1155CC"/>
            <w:u w:val="single"/>
          </w:rPr>
          <w:t>艺术历史学家转向生物学</w:t>
        </w:r>
      </w:hyperlink>
    </w:p>
    <w:p>
      <w:pPr>
        <w:spacing w:before="0" w:after="80"/>
      </w:pPr>
      <w:r>
        <w:rPr>
          <w:i/>
          <w:sz w:val="20"/>
        </w:rPr>
        <w:t>EN: Art historians turn to biology</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603">
        <w:r>
          <w:rPr>
            <w:color w:val="1155CC"/>
            <w:u w:val="single"/>
          </w:rPr>
          <w:t>10.1126/science.aef2597</w:t>
        </w:r>
      </w:hyperlink>
    </w:p>
    <w:p>
      <w:pPr>
        <w:spacing w:before="0" w:after="120"/>
      </w:pPr>
      <w:r>
        <w:rPr>
          <w:b/>
        </w:rPr>
        <w:t xml:space="preserve">Notes: </w:t>
      </w:r>
      <w:r>
        <w:t>abstract_source=crossref</w:t>
      </w:r>
    </w:p>
    <w:p>
      <w:pPr>
        <w:spacing w:before="0" w:after="80" w:lineRule="auto" w:line="276"/>
      </w:pPr>
      <w:r>
        <w:rPr>
          <w:b/>
        </w:rPr>
        <w:t xml:space="preserve">摘要（ZH）: </w:t>
      </w:r>
      <w:r>
        <w:t>绘画捕捉了丰富的生物分子炖肉,能够揭示艺术作品的历史和真实性。</w:t>
      </w:r>
    </w:p>
    <w:p>
      <w:pPr>
        <w:spacing w:before="0" w:after="200" w:lineRule="auto" w:line="276"/>
      </w:pPr>
      <w:r>
        <w:rPr>
          <w:b/>
        </w:rPr>
        <w:t xml:space="preserve">Abstract (EN): </w:t>
      </w:r>
      <w:r>
        <w:t>Paint traps a rich stew of biomolecules that can reveal artworks’ history—and authenticity</w:t>
      </w:r>
    </w:p>
    <w:p>
      <w:pPr>
        <w:spacing w:before="120" w:after="120"/>
      </w:pPr>
      <w:r>
        <w:rPr>
          <w:sz w:val="18"/>
        </w:rPr>
        <w:t>——————————————————————————————————————————————————————————————————————</w:t>
      </w:r>
    </w:p>
    <w:p>
      <w:pPr>
        <w:spacing w:before="160" w:after="40" w:line="240" w:lineRule="auto"/>
      </w:pPr>
      <w:r>
        <w:rPr>
          <w:b/>
        </w:rPr>
        <w:t xml:space="preserve">[389] </w:t>
      </w:r>
      <w:hyperlink r:id="rId604">
        <w:r>
          <w:rPr>
            <w:color w:val="1155CC"/>
            <w:u w:val="single"/>
          </w:rPr>
          <w:t>制药公司说,从试验地点的废墟研究获得的虚假数据</w:t>
        </w:r>
      </w:hyperlink>
    </w:p>
    <w:p>
      <w:pPr>
        <w:spacing w:before="0" w:after="80"/>
      </w:pPr>
      <w:r>
        <w:rPr>
          <w:i/>
          <w:sz w:val="20"/>
        </w:rPr>
        <w:t>EN: Fake data from trial sites ruin studies, drug firms say</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605">
        <w:r>
          <w:rPr>
            <w:color w:val="1155CC"/>
            <w:u w:val="single"/>
          </w:rPr>
          <w:t>10.1126/science.aef2599</w:t>
        </w:r>
      </w:hyperlink>
    </w:p>
    <w:p>
      <w:pPr>
        <w:spacing w:before="0" w:after="120"/>
      </w:pPr>
      <w:r>
        <w:rPr>
          <w:b/>
        </w:rPr>
        <w:t xml:space="preserve">Notes: </w:t>
      </w:r>
      <w:r>
        <w:t>abstract_source=crossref</w:t>
      </w:r>
    </w:p>
    <w:p>
      <w:pPr>
        <w:spacing w:before="0" w:after="80" w:lineRule="auto" w:line="276"/>
      </w:pPr>
      <w:r>
        <w:rPr>
          <w:b/>
        </w:rPr>
        <w:t xml:space="preserve">摘要（ZH）: </w:t>
      </w:r>
      <w:r>
        <w:t>阿尔茨海默氏病的药物开发商指控它雇用的公司提供“医疗上不可能”的结果。</w:t>
      </w:r>
    </w:p>
    <w:p>
      <w:pPr>
        <w:spacing w:before="0" w:after="200" w:lineRule="auto" w:line="276"/>
      </w:pPr>
      <w:r>
        <w:rPr>
          <w:b/>
        </w:rPr>
        <w:t xml:space="preserve">Abstract (EN): </w:t>
      </w:r>
      <w:r>
        <w:t>Alzheimer’s drug developer accuses companies it hired of providing “medically impossible” results</w:t>
      </w:r>
    </w:p>
    <w:p>
      <w:pPr>
        <w:spacing w:before="120" w:after="120"/>
      </w:pPr>
      <w:r>
        <w:rPr>
          <w:sz w:val="18"/>
        </w:rPr>
        <w:t>——————————————————————————————————————————————————————————————————————</w:t>
      </w:r>
    </w:p>
    <w:p>
      <w:pPr>
        <w:spacing w:before="160" w:after="40" w:line="240" w:lineRule="auto"/>
      </w:pPr>
      <w:r>
        <w:rPr>
          <w:b/>
        </w:rPr>
        <w:t xml:space="preserve">[390] </w:t>
      </w:r>
      <w:hyperlink r:id="rId606">
        <w:r>
          <w:rPr>
            <w:color w:val="1155CC"/>
            <w:u w:val="single"/>
          </w:rPr>
          <w:t>非法的芬太尼交易是否受到供应冲击?</w:t>
        </w:r>
      </w:hyperlink>
    </w:p>
    <w:p>
      <w:pPr>
        <w:spacing w:before="0" w:after="80"/>
      </w:pPr>
      <w:r>
        <w:rPr>
          <w:i/>
          <w:sz w:val="20"/>
        </w:rPr>
        <w:t>EN: Did the illicit fentanyl trade experience a supply shock?</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607">
        <w:r>
          <w:rPr>
            <w:color w:val="1155CC"/>
            <w:u w:val="single"/>
          </w:rPr>
          <w:t>10.1126/science.aea6130</w:t>
        </w:r>
      </w:hyperlink>
    </w:p>
    <w:p>
      <w:pPr>
        <w:spacing w:before="0" w:after="120"/>
      </w:pPr>
      <w:r>
        <w:rPr>
          <w:b/>
        </w:rPr>
        <w:t xml:space="preserve">Notes: </w:t>
      </w:r>
      <w:r>
        <w:t>abstract_source=crossref</w:t>
      </w:r>
    </w:p>
    <w:p>
      <w:pPr>
        <w:spacing w:before="0" w:after="80" w:lineRule="auto" w:line="276"/>
      </w:pPr>
      <w:r>
        <w:rPr>
          <w:b/>
        </w:rPr>
        <w:t xml:space="preserve">摘要（ZH）: </w:t>
      </w:r>
      <w:r>
        <w:t>将政府和社会媒体数据综合起来,就意味着混乱,可能与中国的事件有关。</w:t>
      </w:r>
    </w:p>
    <w:p>
      <w:pPr>
        <w:spacing w:before="0" w:after="200" w:lineRule="auto" w:line="276"/>
      </w:pPr>
      <w:r>
        <w:rPr>
          <w:b/>
        </w:rPr>
        <w:t xml:space="preserve">Abstract (EN): </w:t>
      </w:r>
      <w:r>
        <w:t>A synthesis of government and social media data suggests a disruption, possibly tied to events in China</w:t>
      </w:r>
    </w:p>
    <w:p>
      <w:pPr>
        <w:spacing w:before="120" w:after="120"/>
      </w:pPr>
      <w:r>
        <w:rPr>
          <w:sz w:val="18"/>
        </w:rPr>
        <w:t>——————————————————————————————————————————————————————————————————————</w:t>
      </w:r>
    </w:p>
    <w:p>
      <w:pPr>
        <w:spacing w:before="160" w:after="40" w:line="240" w:lineRule="auto"/>
      </w:pPr>
      <w:r>
        <w:rPr>
          <w:b/>
        </w:rPr>
        <w:t xml:space="preserve">[391] </w:t>
      </w:r>
      <w:hyperlink r:id="rId608">
        <w:r>
          <w:rPr>
            <w:color w:val="1155CC"/>
            <w:u w:val="single"/>
          </w:rPr>
          <w:t>做面相</w:t>
        </w:r>
      </w:hyperlink>
    </w:p>
    <w:p>
      <w:pPr>
        <w:spacing w:before="0" w:after="80"/>
      </w:pPr>
      <w:r>
        <w:rPr>
          <w:i/>
          <w:sz w:val="20"/>
        </w:rPr>
        <w:t>EN: Making faces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609">
        <w:r>
          <w:rPr>
            <w:color w:val="1155CC"/>
            <w:u w:val="single"/>
          </w:rPr>
          <w:t>10.1126/science.aed7126</w:t>
        </w:r>
      </w:hyperlink>
    </w:p>
    <w:p>
      <w:pPr>
        <w:spacing w:before="0" w:after="120"/>
      </w:pPr>
      <w:r>
        <w:rPr>
          <w:b/>
        </w:rPr>
        <w:t xml:space="preserve">Notes: </w:t>
      </w:r>
      <w:r>
        <w:t>abstract_source=crossref</w:t>
      </w:r>
    </w:p>
    <w:p>
      <w:pPr>
        <w:spacing w:before="0" w:after="80" w:lineRule="auto" w:line="276"/>
      </w:pPr>
      <w:r>
        <w:rPr>
          <w:b/>
        </w:rPr>
        <w:t xml:space="preserve">摘要（ZH）: </w:t>
      </w:r>
      <w:r>
        <w:t>通过一个自愿和情感途径的协调系统,形成膀胱表达方式。</w:t>
      </w:r>
    </w:p>
    <w:p>
      <w:pPr>
        <w:spacing w:before="0" w:after="200" w:lineRule="auto" w:line="276"/>
      </w:pPr>
      <w:r>
        <w:rPr>
          <w:b/>
        </w:rPr>
        <w:t xml:space="preserve">Abstract (EN): </w:t>
      </w:r>
      <w:r>
        <w:t>Facial expressions are produced through a coordinated system of voluntary and emotional pathways</w:t>
      </w:r>
    </w:p>
    <w:p>
      <w:pPr>
        <w:spacing w:before="120" w:after="120"/>
      </w:pPr>
      <w:r>
        <w:rPr>
          <w:sz w:val="18"/>
        </w:rPr>
        <w:t>——————————————————————————————————————————————————————————————————————</w:t>
      </w:r>
    </w:p>
    <w:p>
      <w:pPr>
        <w:spacing w:before="160" w:after="40" w:line="240" w:lineRule="auto"/>
      </w:pPr>
      <w:r>
        <w:rPr>
          <w:b/>
        </w:rPr>
        <w:t xml:space="preserve">[392] </w:t>
      </w:r>
      <w:hyperlink r:id="rId610">
        <w:r>
          <w:rPr>
            <w:color w:val="1155CC"/>
            <w:u w:val="single"/>
          </w:rPr>
          <w:t>NIH领导阶层的动荡加剧了对政治化的关切</w:t>
        </w:r>
      </w:hyperlink>
    </w:p>
    <w:p>
      <w:pPr>
        <w:spacing w:before="0" w:after="80"/>
      </w:pPr>
      <w:r>
        <w:rPr>
          <w:i/>
          <w:sz w:val="20"/>
        </w:rPr>
        <w:t>EN: NIH leadership turmoil adds to politicization concerns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611">
        <w:r>
          <w:rPr>
            <w:color w:val="1155CC"/>
            <w:u w:val="single"/>
          </w:rPr>
          <w:t>10.1126/science.aef2600</w:t>
        </w:r>
      </w:hyperlink>
    </w:p>
    <w:p>
      <w:pPr>
        <w:spacing w:before="0" w:after="120"/>
      </w:pPr>
      <w:r>
        <w:rPr>
          <w:b/>
        </w:rPr>
        <w:t xml:space="preserve">Notes: </w:t>
      </w:r>
      <w:r>
        <w:t>abstract_source=crossref</w:t>
      </w:r>
    </w:p>
    <w:p>
      <w:pPr>
        <w:spacing w:before="0" w:after="80" w:lineRule="auto" w:line="276"/>
      </w:pPr>
      <w:r>
        <w:rPr>
          <w:b/>
        </w:rPr>
        <w:t xml:space="preserve">摘要（ZH）: </w:t>
      </w:r>
      <w:r>
        <w:t>NIH 主任被阻止重新任命研究所所长</w:t>
      </w:r>
    </w:p>
    <w:p>
      <w:pPr>
        <w:spacing w:before="0" w:after="200" w:lineRule="auto" w:line="276"/>
      </w:pPr>
      <w:r>
        <w:rPr>
          <w:b/>
        </w:rPr>
        <w:t xml:space="preserve">Abstract (EN): </w:t>
      </w:r>
      <w:r>
        <w:t>NIH director was prevented from reappointing institute head</w:t>
      </w:r>
    </w:p>
    <w:p>
      <w:pPr>
        <w:spacing w:before="120" w:after="120"/>
      </w:pPr>
      <w:r>
        <w:rPr>
          <w:sz w:val="18"/>
        </w:rPr>
        <w:t>——————————————————————————————————————————————————————————————————————</w:t>
      </w:r>
    </w:p>
    <w:p>
      <w:pPr>
        <w:spacing w:before="160" w:after="40" w:line="240" w:lineRule="auto"/>
      </w:pPr>
      <w:r>
        <w:rPr>
          <w:b/>
        </w:rPr>
        <w:t xml:space="preserve">[393] </w:t>
      </w:r>
      <w:hyperlink r:id="rId612">
        <w:r>
          <w:rPr>
            <w:color w:val="1155CC"/>
            <w:u w:val="single"/>
          </w:rPr>
          <w:t>Jellyfish的睡眠和我们很像,原因与我们相同</w:t>
        </w:r>
      </w:hyperlink>
    </w:p>
    <w:p>
      <w:pPr>
        <w:spacing w:before="0" w:after="80"/>
      </w:pPr>
      <w:r>
        <w:rPr>
          <w:i/>
          <w:sz w:val="20"/>
        </w:rPr>
        <w:t>EN: Jellyfish sleep a lot like us—and for the same reasons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613">
        <w:r>
          <w:rPr>
            <w:color w:val="1155CC"/>
            <w:u w:val="single"/>
          </w:rPr>
          <w:t>10.1126/science.aef2601</w:t>
        </w:r>
      </w:hyperlink>
    </w:p>
    <w:p>
      <w:pPr>
        <w:spacing w:before="0" w:after="120"/>
      </w:pPr>
      <w:r>
        <w:rPr>
          <w:b/>
        </w:rPr>
        <w:t xml:space="preserve">Notes: </w:t>
      </w:r>
      <w:r>
        <w:t>abstract_source=crossref</w:t>
      </w:r>
    </w:p>
    <w:p>
      <w:pPr>
        <w:spacing w:before="0" w:after="80" w:lineRule="auto" w:line="276"/>
      </w:pPr>
      <w:r>
        <w:rPr>
          <w:b/>
        </w:rPr>
        <w:t xml:space="preserve">摘要（ZH）: </w:t>
      </w:r>
      <w:r>
        <w:t>研究补充了证据,证明古代动物之间可能发生睡眠变化,作为修复神经元的一种手段。</w:t>
      </w:r>
    </w:p>
    <w:p>
      <w:pPr>
        <w:spacing w:before="0" w:after="200" w:lineRule="auto" w:line="276"/>
      </w:pPr>
      <w:r>
        <w:rPr>
          <w:b/>
        </w:rPr>
        <w:t xml:space="preserve">Abstract (EN): </w:t>
      </w:r>
      <w:r>
        <w:t>Study adds to evidence that sleep likely evolved among ancient animals as a means of repairing neurons</w:t>
      </w:r>
    </w:p>
    <w:p>
      <w:pPr>
        <w:spacing w:before="120" w:after="120"/>
      </w:pPr>
      <w:r>
        <w:rPr>
          <w:sz w:val="18"/>
        </w:rPr>
        <w:t>——————————————————————————————————————————————————————————————————————</w:t>
      </w:r>
    </w:p>
    <w:p>
      <w:pPr>
        <w:spacing w:before="160" w:after="40" w:line="240" w:lineRule="auto"/>
      </w:pPr>
      <w:r>
        <w:rPr>
          <w:b/>
        </w:rPr>
        <w:t xml:space="preserve">[394] </w:t>
      </w:r>
      <w:hyperlink r:id="rId614">
        <w:r>
          <w:rPr>
            <w:color w:val="1155CC"/>
            <w:u w:val="single"/>
          </w:rPr>
          <w:t>关键病毒数据库引发新的冲突</w:t>
        </w:r>
      </w:hyperlink>
    </w:p>
    <w:p>
      <w:pPr>
        <w:spacing w:before="0" w:after="80"/>
      </w:pPr>
      <w:r>
        <w:rPr>
          <w:i/>
          <w:sz w:val="20"/>
        </w:rPr>
        <w:t>EN: New conflicts erupt over key virus database</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615">
        <w:r>
          <w:rPr>
            <w:color w:val="1155CC"/>
            <w:u w:val="single"/>
          </w:rPr>
          <w:t>10.1126/science.aef2602</w:t>
        </w:r>
      </w:hyperlink>
    </w:p>
    <w:p>
      <w:pPr>
        <w:spacing w:before="0" w:after="120"/>
      </w:pPr>
      <w:r>
        <w:rPr>
          <w:b/>
        </w:rPr>
        <w:t xml:space="preserve">Notes: </w:t>
      </w:r>
      <w:r>
        <w:t>abstract_source=crossref</w:t>
      </w:r>
    </w:p>
    <w:p>
      <w:pPr>
        <w:spacing w:before="0" w:after="80" w:lineRule="auto" w:line="276"/>
      </w:pPr>
      <w:r>
        <w:rPr>
          <w:b/>
        </w:rPr>
        <w:t xml:space="preserve">摘要（ZH）: </w:t>
      </w:r>
      <w:r>
        <w:t>GISAID, 被控“高权”行为, 停止向SARS-COV-2仪表板提供数据</w:t>
      </w:r>
    </w:p>
    <w:p>
      <w:pPr>
        <w:spacing w:before="0" w:after="200" w:lineRule="auto" w:line="276"/>
      </w:pPr>
      <w:r>
        <w:rPr>
          <w:b/>
        </w:rPr>
        <w:t xml:space="preserve">Abstract (EN): </w:t>
      </w:r>
      <w:r>
        <w:t>GISAID, accused of “autocratic” behavior, stops providing data to SARS-CoV-2 dashboards</w:t>
      </w:r>
    </w:p>
    <w:p>
      <w:pPr>
        <w:spacing w:before="120" w:after="120"/>
      </w:pPr>
      <w:r>
        <w:rPr>
          <w:sz w:val="18"/>
        </w:rPr>
        <w:t>——————————————————————————————————————————————————————————————————————</w:t>
      </w:r>
    </w:p>
    <w:p>
      <w:pPr>
        <w:spacing w:before="160" w:after="40" w:line="240" w:lineRule="auto"/>
      </w:pPr>
      <w:r>
        <w:rPr>
          <w:b/>
        </w:rPr>
        <w:t xml:space="preserve">[395] </w:t>
      </w:r>
      <w:hyperlink r:id="rId616">
        <w:r>
          <w:rPr>
            <w:color w:val="1155CC"/>
            <w:u w:val="single"/>
          </w:rPr>
          <w:t>不只是骨头痛</w:t>
        </w:r>
      </w:hyperlink>
    </w:p>
    <w:p>
      <w:pPr>
        <w:spacing w:before="0" w:after="80"/>
      </w:pPr>
      <w:r>
        <w:rPr>
          <w:i/>
          <w:sz w:val="20"/>
        </w:rPr>
        <w:t>EN: Not just a pain in the bone</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617">
        <w:r>
          <w:rPr>
            <w:color w:val="1155CC"/>
            <w:u w:val="single"/>
          </w:rPr>
          <w:t>10.1126/science.aed9273</w:t>
        </w:r>
      </w:hyperlink>
    </w:p>
    <w:p>
      <w:pPr>
        <w:spacing w:before="0" w:after="120"/>
      </w:pPr>
      <w:r>
        <w:rPr>
          <w:b/>
        </w:rPr>
        <w:t xml:space="preserve">Notes: </w:t>
      </w:r>
      <w:r>
        <w:t>abstract_source=crossref</w:t>
      </w:r>
    </w:p>
    <w:p>
      <w:pPr>
        <w:spacing w:before="0" w:after="80" w:lineRule="auto" w:line="276"/>
      </w:pPr>
      <w:r>
        <w:rPr>
          <w:b/>
        </w:rPr>
        <w:t xml:space="preserve">摘要（ZH）: </w:t>
      </w:r>
      <w:r>
        <w:t>感官神经隐秘的增长因素促进骨折愈合</w:t>
      </w:r>
    </w:p>
    <w:p>
      <w:pPr>
        <w:spacing w:before="0" w:after="200" w:lineRule="auto" w:line="276"/>
      </w:pPr>
      <w:r>
        <w:rPr>
          <w:b/>
        </w:rPr>
        <w:t xml:space="preserve">Abstract (EN): </w:t>
      </w:r>
      <w:r>
        <w:t>Growth factors secreted by sensory nerves promote fracture healing</w:t>
      </w:r>
    </w:p>
    <w:p>
      <w:pPr>
        <w:spacing w:before="120" w:after="120"/>
      </w:pPr>
      <w:r>
        <w:rPr>
          <w:sz w:val="18"/>
        </w:rPr>
        <w:t>——————————————————————————————————————————————————————————————————————</w:t>
      </w:r>
    </w:p>
    <w:p>
      <w:pPr>
        <w:spacing w:before="160" w:after="40" w:line="240" w:lineRule="auto"/>
      </w:pPr>
      <w:r>
        <w:rPr>
          <w:b/>
        </w:rPr>
        <w:t xml:space="preserve">[396] </w:t>
      </w:r>
      <w:hyperlink r:id="rId618">
        <w:r>
          <w:rPr>
            <w:color w:val="1155CC"/>
            <w:u w:val="single"/>
          </w:rPr>
          <w:t>数据共享有助于避免“烟枪”对地形里程碑的“烟枪”索赔</w:t>
        </w:r>
      </w:hyperlink>
    </w:p>
    <w:p>
      <w:pPr>
        <w:spacing w:before="0" w:after="80"/>
      </w:pPr>
      <w:r>
        <w:rPr>
          <w:i/>
          <w:sz w:val="20"/>
        </w:rPr>
        <w:t>EN: Data sharing helps avoid “smoking gun” claims of topological milestones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619">
        <w:r>
          <w:rPr>
            <w:color w:val="1155CC"/>
            <w:u w:val="single"/>
          </w:rPr>
          <w:t>10.1126/science.adk9181</w:t>
        </w:r>
      </w:hyperlink>
    </w:p>
    <w:p>
      <w:pPr>
        <w:spacing w:before="0" w:after="120"/>
      </w:pPr>
      <w:r>
        <w:rPr>
          <w:b/>
        </w:rPr>
        <w:t xml:space="preserve">Notes: </w:t>
      </w:r>
      <w:r>
        <w:t>abstract_source=crossref</w:t>
      </w:r>
    </w:p>
    <w:p>
      <w:pPr>
        <w:spacing w:before="0" w:after="80" w:lineRule="auto" w:line="276"/>
      </w:pPr>
      <w:r>
        <w:rPr>
          <w:b/>
        </w:rPr>
        <w:t xml:space="preserve">摘要（ZH）: </w:t>
      </w:r>
      <w:r>
        <w:t>管理电子波段的地形学可以实现新的物质状态,并可能对信息技术产生影响。一个中心问题是如何判断是否已经实现了一个地形学制度。 实验往往以预测一个被称为“吸烟枪”的独特和不言自明的信号为指导。 然而,在微米或纳米标本中,人文学可以模仿预期的行为而不包含外来国家。 我们所显示的数据有限,与四种地形现象的存在相符;通过考虑额外数据,我们发现所观察到的模式的最可能起源是微不足道的。 我们认为,通过发布全面的数据集,讨论替代数据,可以极大地提高吸烟枪类型索赔的可靠性。</w:t>
      </w:r>
    </w:p>
    <w:p>
      <w:pPr>
        <w:spacing w:before="0" w:after="200" w:lineRule="auto" w:line="276"/>
      </w:pPr>
      <w:r>
        <w:rPr>
          <w:b/>
        </w:rPr>
        <w:t xml:space="preserve">Abstract (EN): </w:t>
      </w:r>
      <w:r>
        <w:t>Manipulating the topology of electronic bands can realize new states of matter, with possible implications for information technology. A central question is how to tell whether a topological regime has been achieved. Experiments are often guided by a prediction of a distinct and self-explanatory signal called “the smoking gun.” However, in micrometer- or nanometer-scale specimens, phenomenology can mimic the anticipated behavior without containing the exotic states. We show limited data that are consistent with the presence of four topological phenomena; by considering additional data, we identified the most likely origins of the observed patterns as trivial. We argue that the reliability of smoking gun–type claims can be greatly enhanced by releasing comprehensive datasets, discussing alternative scenarios, and disclosing the total volume of study.</w:t>
      </w:r>
    </w:p>
    <w:p>
      <w:pPr>
        <w:spacing w:before="120" w:after="120"/>
      </w:pPr>
      <w:r>
        <w:rPr>
          <w:sz w:val="18"/>
        </w:rPr>
        <w:t>——————————————————————————————————————————————————————————————————————</w:t>
      </w:r>
    </w:p>
    <w:p>
      <w:pPr>
        <w:spacing w:before="160" w:after="40" w:line="240" w:lineRule="auto"/>
      </w:pPr>
      <w:r>
        <w:rPr>
          <w:b/>
        </w:rPr>
        <w:t xml:space="preserve">[397] </w:t>
      </w:r>
      <w:hyperlink r:id="rId620">
        <w:r>
          <w:rPr>
            <w:color w:val="1155CC"/>
            <w:u w:val="single"/>
          </w:rPr>
          <w:t>配有大型物品标签词汇表的狗通过偷听像1.5岁婴儿一样的听力学习新标签</w:t>
        </w:r>
      </w:hyperlink>
    </w:p>
    <w:p>
      <w:pPr>
        <w:spacing w:before="0" w:after="80"/>
      </w:pPr>
      <w:r>
        <w:rPr>
          <w:i/>
          <w:sz w:val="20"/>
        </w:rPr>
        <w:t>EN: Dogs with a large vocabulary of object labels learn new labels by overhearing like 1.5-year-old infants</w:t>
      </w:r>
    </w:p>
    <w:p>
      <w:pPr>
        <w:spacing w:before="0" w:after="120"/>
      </w:pPr>
      <w:r>
        <w:rPr>
          <w:b/>
        </w:rPr>
        <w:t xml:space="preserve">Source: </w:t>
      </w:r>
      <w:r>
        <w:t>AAAS: Science: Table of Contents</w:t>
      </w:r>
      <w:r>
        <w:t xml:space="preserve">    </w:t>
      </w:r>
      <w:r>
        <w:rPr>
          <w:b/>
        </w:rPr>
        <w:t xml:space="preserve">Pub date: </w:t>
      </w:r>
      <w:r>
        <w:t>2026-01-08 07:00:05+00:00</w:t>
      </w:r>
      <w:r>
        <w:t xml:space="preserve">    </w:t>
      </w:r>
      <w:r>
        <w:rPr>
          <w:b/>
        </w:rPr>
        <w:t xml:space="preserve">DOI: </w:t>
      </w:r>
      <w:hyperlink r:id="rId621">
        <w:r>
          <w:rPr>
            <w:color w:val="1155CC"/>
            <w:u w:val="single"/>
          </w:rPr>
          <w:t>10.1126/science.adq5474</w:t>
        </w:r>
      </w:hyperlink>
    </w:p>
    <w:p>
      <w:pPr>
        <w:spacing w:before="0" w:after="120"/>
      </w:pPr>
      <w:r>
        <w:rPr>
          <w:b/>
        </w:rPr>
        <w:t xml:space="preserve">Notes: </w:t>
      </w:r>
      <w:r>
        <w:t>abstract_source=crossref</w:t>
      </w:r>
    </w:p>
    <w:p>
      <w:pPr>
        <w:spacing w:before="0" w:after="80" w:lineRule="auto" w:line="276"/>
      </w:pPr>
      <w:r>
        <w:rPr>
          <w:b/>
        </w:rPr>
        <w:t xml:space="preserve">摘要（ZH）: </w:t>
      </w:r>
      <w:r>
        <w:t>未满18个月的儿童可以通过偷听第三方互动来获得新语言。 在非人类物种中展示类似的学习过程,可以表明支持这一进程的社会认知技能不完全是人类的,但在其他物种中,这些技能可能已经演化,或能够发展,为与语言相关认知的起源提供了宝贵的洞见。 在这项研究中,我们展示了一小群拥有大量物品标签词汇的优秀的“语言学习犬 ”, 可以通过偷听其主人的互动来学习新标签。 此外,我们显示这些狗可以获取新的物品标签图,即使标签和物品不是同时展示的。 这些结果加在一起表明,“天赋的“学习者”狗可以学习新标签。</w:t>
      </w:r>
    </w:p>
    <w:p>
      <w:pPr>
        <w:spacing w:before="0" w:after="200" w:lineRule="auto" w:line="276"/>
      </w:pPr>
      <w:r>
        <w:rPr>
          <w:b/>
        </w:rPr>
        <w:t xml:space="preserve">Abstract (EN): </w:t>
      </w:r>
      <w:r>
        <w:t>Children as young as 18 months can acquire novel words by overhearing third-party interactions. Demonstrating similar learning processes in nonhuman species would indicate that the social-cognitive skills supporting this process are not exclusively human but may have evolved, or can develop, in other species, offering valuable insights into the origins of language-related cognition. In this study, we demonstrated that a small group of Gifted Word Learner dogs, which possess an extensive vocabulary of object labels, can learn new labels by overhearing their owners’ interactions. Moreover, we show that these dogs can acquire novel object-label mappings even when the labels and objects are not presented simultaneously. Taken together, these results suggest that Gifted Word Learner dogs possess sociocognitive skills functionally parallel to those of 18-month-old children.</w:t>
      </w:r>
    </w:p>
    <w:p>
      <w:pPr>
        <w:spacing w:before="120" w:after="120"/>
      </w:pPr>
      <w:r>
        <w:rPr>
          <w:sz w:val="18"/>
        </w:rPr>
        <w:t>——————————————————————————————————————————————————————————————————————</w:t>
      </w:r>
    </w:p>
    <w:p>
      <w:pPr>
        <w:spacing w:before="160" w:after="40" w:line="240" w:lineRule="auto"/>
      </w:pPr>
      <w:r>
        <w:rPr>
          <w:b/>
        </w:rPr>
        <w:t xml:space="preserve">[398] </w:t>
      </w:r>
      <w:hyperlink r:id="rId622">
        <w:r>
          <w:rPr>
            <w:color w:val="1155CC"/>
            <w:u w:val="single"/>
          </w:rPr>
          <w:t>实施昆明-蒙特利尔生物多样性目标</w:t>
        </w:r>
      </w:hyperlink>
    </w:p>
    <w:p>
      <w:pPr>
        <w:spacing w:before="0" w:after="80"/>
      </w:pPr>
      <w:r>
        <w:rPr>
          <w:i/>
          <w:sz w:val="20"/>
        </w:rPr>
        <w:t>EN: Implementing the Kunming-Montreal Biodiversity Targets</w:t>
      </w:r>
    </w:p>
    <w:p>
      <w:pPr>
        <w:spacing w:before="0" w:after="120"/>
      </w:pPr>
      <w:r>
        <w:rPr>
          <w:b/>
        </w:rPr>
        <w:t xml:space="preserve">Source: </w:t>
      </w:r>
      <w:r>
        <w:t>Proceedings of the National Academy of Sciences: Keyword search for query</w:t>
      </w:r>
      <w:r>
        <w:t xml:space="preserve">    </w:t>
      </w:r>
      <w:r>
        <w:rPr>
          <w:b/>
        </w:rPr>
        <w:t xml:space="preserve">Pub date: </w:t>
      </w:r>
      <w:r>
        <w:t>2026-01-08 08:00:00+00:00</w:t>
      </w:r>
      <w:r>
        <w:t xml:space="preserve">    </w:t>
      </w:r>
      <w:r>
        <w:rPr>
          <w:b/>
        </w:rPr>
        <w:t xml:space="preserve">DOI: </w:t>
      </w:r>
      <w:hyperlink r:id="rId623">
        <w:r>
          <w:rPr>
            <w:color w:val="1155CC"/>
            <w:u w:val="single"/>
          </w:rPr>
          <w:t>10.1073/pnas.2514761123</w:t>
        </w:r>
      </w:hyperlink>
    </w:p>
    <w:p>
      <w:pPr>
        <w:spacing w:before="0" w:after="120"/>
      </w:pPr>
      <w:r>
        <w:rPr>
          <w:b/>
        </w:rPr>
        <w:t xml:space="preserve">Notes: </w:t>
      </w:r>
      <w:r>
        <w:t>abstract_source=crossref</w:t>
      </w:r>
    </w:p>
    <w:p>
      <w:pPr>
        <w:spacing w:before="0" w:after="80" w:lineRule="auto" w:line="276"/>
      </w:pPr>
      <w:r>
        <w:rPr>
          <w:b/>
        </w:rPr>
        <w:t xml:space="preserve">摘要（ZH）: </w:t>
      </w:r>
      <w:r>
        <w:t>昆明-蒙特利尔生物多样性目标(Kunming-Montreal Dreetive Treaties)提出了有史以来最雄心勃勃和最严肃的养护议程 — — 至2030年保护地球30%的总体目标。 现在,组织框架已经到位,以提供稳定、预测和适应性的行动来监测和测量地球的生物多样性,评估生态和进化变化,确定这些变化的关键驱动因素,并在核心上运用有效的科学、财政和政府处理方法来阻止生物多样性的下降,以实现可持续的未来。我们总结了目标的实质,以提出有关其执行的关键问题。 我们显示,大型保护组织的报告很少与这些目标相关联。 然而,有充足的证据可以证明 measu 。</w:t>
      </w:r>
    </w:p>
    <w:p>
      <w:pPr>
        <w:spacing w:before="0" w:after="200" w:lineRule="auto" w:line="276"/>
      </w:pPr>
      <w:r>
        <w:rPr>
          <w:b/>
        </w:rPr>
        <w:t xml:space="preserve">Abstract (EN): </w:t>
      </w:r>
      <w:r>
        <w:t>The Kunming-Montreal Biodiversity Targets present the most ambitious and serious conservation agenda ever developed—the overarching goal of preserving 30% of the planet by 2030. An organizational framework is now in place to deliver stable, predictive, and adaptive actions to monitor and measure the Earth’s biodiversity, assess ecological and evolutionary changes, identify key drivers of those changes, and, at the core, apply effective scientific, financial, and governmental treatments to halt biodiversity decline for a sustainable future. Is this implementable? We summarize the essence of the Targets to raise key questions about their execution. We show that the reports of large conservation organizations connect to these Targets only infrequently. Yet, there is abundant evidence to measure the successes and failures of the conservation enterprise. Generally, global financial commitments are substantial and increasing. We specify improvements and continual reassessments toward protected areas, developing countries, and indigenous communities. To achieve success, we recommend actionable plans to improve implementation leading up to and following the next CBD-COP meetings.</w:t>
      </w:r>
    </w:p>
    <w:p>
      <w:pPr>
        <w:spacing w:before="120" w:after="120"/>
      </w:pPr>
      <w:r>
        <w:rPr>
          <w:sz w:val="18"/>
        </w:rPr>
        <w:t>——————————————————————————————————————————————————————————————————————</w:t>
      </w:r>
    </w:p>
    <w:p>
      <w:pPr>
        <w:spacing w:before="160" w:after="40" w:line="240" w:lineRule="auto"/>
      </w:pPr>
      <w:r>
        <w:rPr>
          <w:b/>
        </w:rPr>
        <w:t xml:space="preserve">[399] </w:t>
      </w:r>
      <w:hyperlink r:id="rId624">
        <w:r>
          <w:rPr>
            <w:color w:val="1155CC"/>
            <w:u w:val="single"/>
          </w:rPr>
          <w:t>用于放牧牲畜的天然草原能够减缓气候变化</w:t>
        </w:r>
      </w:hyperlink>
    </w:p>
    <w:p>
      <w:pPr>
        <w:spacing w:before="0" w:after="80"/>
      </w:pPr>
      <w:r>
        <w:rPr>
          <w:i/>
          <w:sz w:val="20"/>
        </w:rPr>
        <w:t>EN: Natural grasslands used for grazing livestock can mitigate climate change</w:t>
      </w:r>
    </w:p>
    <w:p>
      <w:pPr>
        <w:spacing w:before="0" w:after="120"/>
      </w:pPr>
      <w:r>
        <w:rPr>
          <w:b/>
        </w:rPr>
        <w:t xml:space="preserve">Source: </w:t>
      </w:r>
      <w:r>
        <w:t>AAAS: Science: Table of Contents</w:t>
      </w:r>
      <w:r>
        <w:t xml:space="preserve">    </w:t>
      </w:r>
      <w:r>
        <w:rPr>
          <w:b/>
        </w:rPr>
        <w:t xml:space="preserve">Pub date: </w:t>
      </w:r>
      <w:r>
        <w:t>2026-01-08 08:00:00+00:00</w:t>
      </w:r>
      <w:r>
        <w:t xml:space="preserve">    </w:t>
      </w:r>
      <w:r>
        <w:rPr>
          <w:b/>
        </w:rPr>
        <w:t xml:space="preserve">DOI: </w:t>
      </w:r>
      <w:hyperlink r:id="rId625">
        <w:r>
          <w:rPr>
            <w:color w:val="1155CC"/>
            <w:u w:val="single"/>
          </w:rPr>
          <w:t>10.1126/science.aea8344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[400] </w:t>
      </w:r>
      <w:hyperlink r:id="rId626">
        <w:r>
          <w:rPr>
            <w:color w:val="1155CC"/>
            <w:u w:val="single"/>
          </w:rPr>
          <w:t>早期生命阶段热抗御力取决于与气候相关的监管差异</w:t>
        </w:r>
      </w:hyperlink>
    </w:p>
    <w:p>
      <w:pPr>
        <w:spacing w:before="0" w:after="80"/>
      </w:pPr>
      <w:r>
        <w:rPr>
          <w:i/>
          <w:sz w:val="20"/>
        </w:rPr>
        <w:t>EN: Early life-stage thermal resilience is determined by climate-linked regulatory variation</w:t>
      </w:r>
    </w:p>
    <w:p>
      <w:pPr>
        <w:spacing w:before="0" w:after="120"/>
      </w:pPr>
      <w:r>
        <w:rPr>
          <w:b/>
        </w:rPr>
        <w:t xml:space="preserve">Source: </w:t>
      </w:r>
      <w:r>
        <w:t>Proceedings of the National Academy of Sciences: Keyword search for query</w:t>
      </w:r>
      <w:r>
        <w:t xml:space="preserve">    </w:t>
      </w:r>
      <w:r>
        <w:rPr>
          <w:b/>
        </w:rPr>
        <w:t xml:space="preserve">Pub date: </w:t>
      </w:r>
      <w:r>
        <w:t>2026-01-08 08:00:00+00:00</w:t>
      </w:r>
      <w:r>
        <w:t xml:space="preserve">    </w:t>
      </w:r>
      <w:r>
        <w:rPr>
          <w:b/>
        </w:rPr>
        <w:t xml:space="preserve">DOI: </w:t>
      </w:r>
      <w:hyperlink r:id="rId627">
        <w:r>
          <w:rPr>
            <w:color w:val="1155CC"/>
            <w:u w:val="single"/>
          </w:rPr>
          <w:t>10.1073/pnas.2518358123</w:t>
        </w:r>
      </w:hyperlink>
    </w:p>
    <w:p>
      <w:pPr>
        <w:spacing w:before="0" w:after="120"/>
      </w:pPr>
      <w:r>
        <w:rPr>
          <w:b/>
        </w:rPr>
        <w:t xml:space="preserve">Notes: </w:t>
      </w:r>
      <w:r>
        <w:t>abstract_source=crossref</w:t>
      </w:r>
    </w:p>
    <w:p>
      <w:pPr>
        <w:spacing w:before="0" w:after="80" w:lineRule="auto" w:line="276"/>
      </w:pPr>
      <w:r>
        <w:rPr>
          <w:b/>
        </w:rPr>
        <w:t xml:space="preserve">摘要（ZH）: </w:t>
      </w:r>
      <w:r>
        <w:t>发展生理学的生态环境基本上尚未探索。我们以前曾指出,热选择主要针对Drosophila melanogaster的早期胚胎。在这里,我们利用先进的进化和集合整个基因序列来绘制D. melanogaster的新热带线中胚胎耐热度增强的基因基。我们查明了染色体2R和X的两个地方,这些地方一直以六种重复的进化中16代热选择为目标。全球人口比较表明,这些基因组区域的两个SNP显示出与动物环境变化相联系的临床和季节性模式。</w:t>
      </w:r>
    </w:p>
    <w:p>
      <w:pPr>
        <w:spacing w:before="0" w:after="200" w:lineRule="auto" w:line="276"/>
      </w:pPr>
      <w:r>
        <w:rPr>
          <w:b/>
        </w:rPr>
        <w:t xml:space="preserve">Abstract (EN): </w:t>
      </w:r>
      <w:r>
        <w:t>The ecological context of developmental physiology remains largely unexplored. We previously showed that thermal selection primarily targets early embryos in</w:t>
      </w:r>
      <w:r>
        <w:t xml:space="preserve"> </w:t>
      </w:r>
      <w:r>
        <w:t>Drosophila melanogaster</w:t>
      </w:r>
      <w:r>
        <w:t xml:space="preserve"> </w:t>
      </w:r>
      <w:r>
        <w:t>. Here, we used advanced introgression and pooled whole-genome resequencing to map the genomic basis of enhanced embryonic heat tolerance in a neotropical line of</w:t>
      </w:r>
      <w:r>
        <w:t xml:space="preserve"> </w:t>
      </w:r>
      <w:r>
        <w:t>D. melanogaster</w:t>
      </w:r>
      <w:r>
        <w:t xml:space="preserve"> </w:t>
      </w:r>
      <w:r>
        <w:t>. We identified two loci on chromosomes 2R and X that were consistently targeted by 16 generations of thermal selection across six replicate introgressions. Global population comparisons revealed that two SNPs in these genomic regions exhibit clinal and seasonal patterns linked to environmental variability in average precipitation and temperature variance across space and time. The two SNPs lie in putative regulatory regions of the genes</w:t>
      </w:r>
      <w:r>
        <w:t xml:space="preserve"> </w:t>
      </w:r>
      <w:r>
        <w:t>SP70</w:t>
      </w:r>
      <w:r>
        <w:t xml:space="preserve"> </w:t>
      </w:r>
      <w:r>
        <w:t>and</w:t>
      </w:r>
      <w:r>
        <w:t xml:space="preserve"> </w:t>
      </w:r>
      <w:r>
        <w:t>sog</w:t>
      </w:r>
      <w:r>
        <w:t xml:space="preserve"> </w:t>
      </w:r>
      <w:r>
        <w:t>, where allelic variation in gene expression correlates with heat tolerance. Using the</w:t>
      </w:r>
      <w:r>
        <w:t xml:space="preserve"> </w:t>
      </w:r>
      <w:r>
        <w:t>Drosophila</w:t>
      </w:r>
      <w:r>
        <w:t xml:space="preserve"> </w:t>
      </w:r>
      <w:r>
        <w:t>Genetic Reference Panel, we confirmed that tropical alleles at these loci increase embryonic heat tolerance and interact epistatically, demonstrating the genotype-to-phenotype link in an independent set of diverse genetic backgrounds. Overall, our study extends previous work in developmental genetics by showcasing developmental regulatory variants that appear to be under natural selection.</w:t>
      </w:r>
    </w:p>
    <w:p>
      <w:pPr>
        <w:spacing w:before="120" w:after="120"/>
      </w:pPr>
      <w:r>
        <w:rPr>
          <w:sz w:val="18"/>
        </w:rPr>
        <w:t>——————————————————————————————————————————————————————————————————————</w:t>
      </w:r>
    </w:p>
    <w:p>
      <w:pPr>
        <w:spacing w:before="160" w:after="40" w:line="240" w:lineRule="auto"/>
      </w:pPr>
      <w:r>
        <w:rPr>
          <w:b/>
        </w:rPr>
        <w:t xml:space="preserve">[401] </w:t>
      </w:r>
      <w:hyperlink r:id="rId628">
        <w:r>
          <w:rPr>
            <w:color w:val="1155CC"/>
            <w:u w:val="single"/>
          </w:rPr>
          <w:t>表示T细胞炎性关关节炎的多国临时部队受体(CD74)的致病作用</w:t>
        </w:r>
      </w:hyperlink>
    </w:p>
    <w:p>
      <w:pPr>
        <w:spacing w:before="0" w:after="80"/>
      </w:pPr>
      <w:r>
        <w:rPr>
          <w:i/>
          <w:sz w:val="20"/>
        </w:rPr>
        <w:t>EN: Pathogenic role of MIF receptor (CD74) expressing T cells in inflammatory arthritis</w:t>
      </w:r>
    </w:p>
    <w:p>
      <w:pPr>
        <w:spacing w:before="0" w:after="120"/>
      </w:pPr>
      <w:r>
        <w:rPr>
          <w:b/>
        </w:rPr>
        <w:t xml:space="preserve">Source: </w:t>
      </w:r>
      <w:r>
        <w:t>Proceedings of the National Academy of Sciences: Keyword search for query</w:t>
      </w:r>
      <w:r>
        <w:t xml:space="preserve">    </w:t>
      </w:r>
      <w:r>
        <w:rPr>
          <w:b/>
        </w:rPr>
        <w:t xml:space="preserve">Pub date: </w:t>
      </w:r>
      <w:r>
        <w:t>2026-01-08 08:00:00+00:00</w:t>
      </w:r>
      <w:r>
        <w:t xml:space="preserve">    </w:t>
      </w:r>
      <w:r>
        <w:rPr>
          <w:b/>
        </w:rPr>
        <w:t xml:space="preserve">DOI: </w:t>
      </w:r>
      <w:hyperlink r:id="rId629">
        <w:r>
          <w:rPr>
            <w:color w:val="1155CC"/>
            <w:u w:val="single"/>
          </w:rPr>
          <w:t>10.1073/pnas.2509156123</w:t>
        </w:r>
      </w:hyperlink>
    </w:p>
    <w:p>
      <w:pPr>
        <w:spacing w:before="0" w:after="120"/>
      </w:pPr>
      <w:r>
        <w:rPr>
          <w:b/>
        </w:rPr>
        <w:t xml:space="preserve">Notes: </w:t>
      </w:r>
      <w:r>
        <w:t>abstract_source=crossref</w:t>
      </w:r>
    </w:p>
    <w:p>
      <w:pPr>
        <w:spacing w:before="0" w:after="80" w:lineRule="auto" w:line="276"/>
      </w:pPr>
      <w:r>
        <w:rPr>
          <w:b/>
        </w:rPr>
        <w:t xml:space="preserve">摘要（ZH）: </w:t>
      </w:r>
      <w:r>
        <w:t>许多研究都支持多国投资基金在引发炎症途径中的作用,而多国投资基金抑制作用则减少了不同关节炎实验模型的共同病理学。我们研究了在T细胞依赖的科拉根诱发的关节炎模型中,删除多国投资基金或其同卵受体CD74的基因影响,并观察到完全没有发展关节炎,这表明多国投资基金/CD74在发源性T细胞的开发中具有不可预见的信号作用。 虽然模型系统显示多国投资基金通过增加内产反应促进细胞激活,但低于1%。</w:t>
      </w:r>
    </w:p>
    <w:p>
      <w:pPr>
        <w:spacing w:before="0" w:after="200" w:lineRule="auto" w:line="276"/>
      </w:pPr>
      <w:r>
        <w:rPr>
          <w:b/>
        </w:rPr>
        <w:t xml:space="preserve">Abstract (EN): </w:t>
      </w:r>
      <w:r>
        <w:t>High expression alleles of the innate cytokine, macrophage migration inhibitory factor (MIF), are associated with the development or the severity of autoimmune inflammatory diseases, including rheumatoid arthritis. Numerous studies support MIF’s role in activating inflammatory pathways and MIF inhibition reduces joint pathology in different experimental models of arthritis. We examined the impact of gene deletion of MIF or its cognate receptor CD74 in the T cell–dependent model of collagen-induced arthritis (CIA) and observed the complete absence of arthritis development, suggesting an unforeseen role for MIF/CD74 signaling in the development of arthritogenic T cells. While MIF has been shown in model systems to contribute to T cell activation by augmenting innate responses, fewer than 1% of T lineage cells express CD74 in naive spleens and lymph nodes, and its functional consequences in pathogenic T cell subpopulations have not been studied. We found CD74+ T cells to expand during CIA and to increase in number within joint synovium, where they express an effector memory phenotype and recapitulate CIA development upon transfer into naive mice. We further found evidence for the presence of CD74+ T cells in the circulation and joint synovium of patients with rheumatoid arthritis. MIF-dependent, CD74+ T cells may contribute to the chronicity of rheumatoid synovitis and to disease relapse in previously inflamed joints.</w:t>
      </w:r>
    </w:p>
    <w:p>
      <w:pPr>
        <w:spacing w:before="120" w:after="120"/>
      </w:pPr>
      <w:r>
        <w:rPr>
          <w:sz w:val="18"/>
        </w:rPr>
        <w:t>——————————————————————————————————————————————————————————————————————</w:t>
      </w:r>
    </w:p>
    <w:p>
      <w:pPr>
        <w:spacing w:before="160" w:after="40" w:line="240" w:lineRule="auto"/>
      </w:pPr>
      <w:r>
        <w:rPr>
          <w:b/>
        </w:rPr>
        <w:t xml:space="preserve">[402] </w:t>
      </w:r>
      <w:hyperlink r:id="rId630">
        <w:r>
          <w:rPr>
            <w:color w:val="1155CC"/>
            <w:u w:val="single"/>
          </w:rPr>
          <w:t>目标C1q在纤维-减轻活性活性活性生殖器中发出C1q信号,防止老肌肉再生纤维化</w:t>
        </w:r>
      </w:hyperlink>
    </w:p>
    <w:p>
      <w:pPr>
        <w:spacing w:before="0" w:after="80"/>
      </w:pPr>
      <w:r>
        <w:rPr>
          <w:i/>
          <w:sz w:val="20"/>
        </w:rPr>
        <w:t>EN: Targeting C1q signaling in fibro-adipogenic progenitors prevents regenerative fibrosis of aged muscle</w:t>
      </w:r>
    </w:p>
    <w:p>
      <w:pPr>
        <w:spacing w:before="0" w:after="120"/>
      </w:pPr>
      <w:r>
        <w:rPr>
          <w:b/>
        </w:rPr>
        <w:t xml:space="preserve">Source: </w:t>
      </w:r>
      <w:r>
        <w:t>Proceedings of the National Academy of Sciences: Keyword search for query</w:t>
      </w:r>
      <w:r>
        <w:t xml:space="preserve">    </w:t>
      </w:r>
      <w:r>
        <w:rPr>
          <w:b/>
        </w:rPr>
        <w:t xml:space="preserve">Pub date: </w:t>
      </w:r>
      <w:r>
        <w:t>2026-01-08 08:00:00+00:00</w:t>
      </w:r>
      <w:r>
        <w:t xml:space="preserve">    </w:t>
      </w:r>
      <w:r>
        <w:rPr>
          <w:b/>
        </w:rPr>
        <w:t xml:space="preserve">DOI: </w:t>
      </w:r>
      <w:hyperlink r:id="rId631">
        <w:r>
          <w:rPr>
            <w:color w:val="1155CC"/>
            <w:u w:val="single"/>
          </w:rPr>
          <w:t>10.1073/pnas.2423340122</w:t>
        </w:r>
      </w:hyperlink>
    </w:p>
    <w:p>
      <w:pPr>
        <w:spacing w:before="0" w:after="120"/>
      </w:pPr>
      <w:r>
        <w:rPr>
          <w:b/>
        </w:rPr>
        <w:t xml:space="preserve">Notes: </w:t>
      </w:r>
      <w:r>
        <w:t>abstract_source=crossref</w:t>
      </w:r>
    </w:p>
    <w:p>
      <w:pPr>
        <w:spacing w:before="0" w:after="80" w:lineRule="auto" w:line="276"/>
      </w:pPr>
      <w:r>
        <w:rPr>
          <w:b/>
        </w:rPr>
        <w:t xml:space="preserve">摘要（ZH）: </w:t>
      </w:r>
      <w:r>
        <w:t>骨骼肌肉纤维化,随着年龄、受伤或退化性疾病的发生、年龄而发生,或因受伤、或因降解性疾病而发生,导致肌肉再生和功能的损伤。Fibro-糖尿病生殖器(FAPs)是居住在肌肉中间层的肌肉-常住中子性子细胞群,它通过支持肌肉干细胞扩散,在正常肌肉肌肉再生中发挥关键作用。然而,在诸如严重或经常肌肉伤害等病理条件下,FAPs可以对纤维化细胞进行异常区分,导致外细胞基体和纤维化反应过度。在本研究中,我们探索FAP差异的分子调节,沿着纤维化系,以便了解老年肌肉中的纤维化机制。</w:t>
      </w:r>
    </w:p>
    <w:p>
      <w:pPr>
        <w:spacing w:before="0" w:after="200" w:lineRule="auto" w:line="276"/>
      </w:pPr>
      <w:r>
        <w:rPr>
          <w:b/>
        </w:rPr>
        <w:t xml:space="preserve">Abstract (EN): </w:t>
      </w:r>
      <w:r>
        <w:t>Skeletal muscle fibrosis, as occurs with age, in response to injury, or in the setting of degenerative diseases, results in impairments of muscle regeneration and function. Fibro-adipogenic progenitors (FAPs), a distinct population of muscle-resident mesenchymal progenitor cells that reside in the muscle interstitium, play a crucial role in normal muscle regeneration by supporting muscle stem cell proliferation. However, in pathological conditions such as severe or recurrent muscle injury, FAPs can aberrantly differentiate into fibrogenic cells, resulting in excessive deposition of extracellular matrix and fibrosis. In this study, we explore the molecular regulation of FAP differentiation along the fibrogenic lineage to gain insights into the mechanisms of fibrosis in aged muscle in response to injury. Our findings reveal that aging is associated with an increased expression of the complement component 1q (C1q) in muscle-resident macrophages and elevated expression of the complement proteins C1r and C1s in FAPs. Exposure of proliferating FAPs to C1q results in the activation of the Wnt signaling pathway, elevated expression of collagen genes, and FAP fibrogenic differentiation, leading to increased tissue fibrosis. We demonstrate that either pharmacological inhibition of the complement pathway or genetic ablation of C1s in FAPs in aged mice reduces fibrogenic differentiation of FAPs by suppressing Wnt signaling. This reduction in FAP differentiation attenuates the fibrotic response to injury in aged animals as well as in a mouse model of muscular dystrophy. Our study supports the inhibition of complement signaling as a potential therapeutic strategy for mitigating fibrosis in skeletal muscle injury or degeneration.</w:t>
      </w:r>
    </w:p>
    <w:p>
      <w:pPr>
        <w:spacing w:before="120" w:after="120"/>
      </w:pPr>
      <w:r>
        <w:rPr>
          <w:sz w:val="18"/>
        </w:rPr>
        <w:t>——————————————————————————————————————————————————————————————————————</w:t>
      </w:r>
    </w:p>
    <w:p>
      <w:pPr>
        <w:spacing w:before="160" w:after="40" w:line="240" w:lineRule="auto"/>
      </w:pPr>
      <w:r>
        <w:rPr>
          <w:b/>
        </w:rPr>
        <w:t xml:space="preserve">[403] </w:t>
      </w:r>
      <w:hyperlink r:id="rId632">
        <w:r>
          <w:rPr>
            <w:color w:val="1155CC"/>
            <w:u w:val="single"/>
          </w:rPr>
          <w:t>M.P.Thakur等人撰写的研究文章“陆地生态系统的入侵影响:全球模式和预测器”,“陆地生态系统的入侵影响:全球模式和预测器”,Erratum,作者:M.P.Thakur等人。</w:t>
        </w:r>
      </w:hyperlink>
    </w:p>
    <w:p>
      <w:pPr>
        <w:spacing w:before="0" w:after="80"/>
      </w:pPr>
      <w:r>
        <w:rPr>
          <w:i/>
          <w:sz w:val="20"/>
        </w:rPr>
        <w:t>EN: Erratum for the Research Article “Invasion impacts in terrestrial ecosystems: Global patterns and predictors” by M. P. Thakur et al.</w:t>
      </w:r>
    </w:p>
    <w:p>
      <w:pPr>
        <w:spacing w:before="0" w:after="120"/>
      </w:pPr>
      <w:r>
        <w:rPr>
          <w:b/>
        </w:rPr>
        <w:t xml:space="preserve">Source: </w:t>
      </w:r>
      <w:r>
        <w:t>AAAS: Science: Table of Contents</w:t>
      </w:r>
      <w:r>
        <w:t xml:space="preserve">    </w:t>
      </w:r>
      <w:r>
        <w:rPr>
          <w:b/>
        </w:rPr>
        <w:t xml:space="preserve">Pub date: </w:t>
      </w:r>
      <w:r>
        <w:t>2026-01-08 08:00:00+00:00</w:t>
      </w:r>
      <w:r>
        <w:t xml:space="preserve">    </w:t>
      </w:r>
      <w:r>
        <w:rPr>
          <w:b/>
        </w:rPr>
        <w:t xml:space="preserve">DOI: </w:t>
      </w:r>
      <w:hyperlink r:id="rId633">
        <w:r>
          <w:rPr>
            <w:color w:val="1155CC"/>
            <w:u w:val="single"/>
          </w:rPr>
          <w:t>10.1126/science.aee9878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[404] </w:t>
      </w:r>
      <w:hyperlink r:id="rId634">
        <w:r>
          <w:rPr>
            <w:color w:val="1155CC"/>
            <w:u w:val="single"/>
          </w:rPr>
          <w:t>通过动态和稳定的法典的皮层等级制度,来实施面部手势;</w:t>
        </w:r>
      </w:hyperlink>
    </w:p>
    <w:p>
      <w:pPr>
        <w:spacing w:before="0" w:after="80"/>
      </w:pPr>
      <w:r>
        <w:rPr>
          <w:i/>
          <w:sz w:val="20"/>
        </w:rPr>
        <w:t>EN: Facial gestures are enacted through a cortical hierarchy of dynamic and stable codes</w:t>
      </w:r>
    </w:p>
    <w:p>
      <w:pPr>
        <w:spacing w:before="0" w:after="120"/>
      </w:pPr>
      <w:r>
        <w:rPr>
          <w:b/>
        </w:rPr>
        <w:t xml:space="preserve">Source: </w:t>
      </w:r>
      <w:r>
        <w:t>AAAS: Science: Table of Contents</w:t>
      </w:r>
      <w:r>
        <w:t xml:space="preserve">    </w:t>
      </w:r>
      <w:r>
        <w:rPr>
          <w:b/>
        </w:rPr>
        <w:t xml:space="preserve">Pub date: </w:t>
      </w:r>
      <w:r>
        <w:t>2026-01-08 08:00:00+00:00</w:t>
      </w:r>
      <w:r>
        <w:t xml:space="preserve">    </w:t>
      </w:r>
      <w:r>
        <w:rPr>
          <w:b/>
        </w:rPr>
        <w:t xml:space="preserve">DOI: </w:t>
      </w:r>
      <w:hyperlink r:id="rId635">
        <w:r>
          <w:rPr>
            <w:color w:val="1155CC"/>
            <w:u w:val="single"/>
          </w:rPr>
          <w:t>10.1126/science.aea0890</w:t>
        </w:r>
      </w:hyperlink>
    </w:p>
    <w:p>
      <w:pPr>
        <w:spacing w:before="0" w:after="120"/>
      </w:pPr>
      <w:r>
        <w:rPr>
          <w:b/>
        </w:rPr>
        <w:t xml:space="preserve">Notes: </w:t>
      </w:r>
      <w:r>
        <w:t>abstract_source=crossref</w:t>
      </w:r>
    </w:p>
    <w:p>
      <w:pPr>
        <w:spacing w:before="0" w:after="80" w:lineRule="auto" w:line="276"/>
      </w:pPr>
      <w:r>
        <w:rPr>
          <w:b/>
        </w:rPr>
        <w:t xml:space="preserve">摘要（ZH）: </w:t>
      </w:r>
      <w:r>
        <w:t>畸形手势是灵长类中一种基本的交流行为,通过许多精细肌肉的动态安排产生。解剖显示,面部肌肉直接受多个皮层地区的直接控制,对有中心损伤的病人的研究表明,侧面前部皮层控制着自愿运动和介质情感表达。通过直接测量两组地区的单中活动,我们发现横向和中间皮部脸部运动区域将两种类型的手势编码起来。它们通过特定区域的时间活动模式进行这种分类,在运动开始之前很早就可以辨别。我们的结果显示,平行下游的皮层区域形成一个从动态到时间稳定的手势编码连续体。</w:t>
      </w:r>
    </w:p>
    <w:p>
      <w:pPr>
        <w:spacing w:before="0" w:after="200" w:lineRule="auto" w:line="276"/>
      </w:pPr>
      <w:r>
        <w:rPr>
          <w:b/>
        </w:rPr>
        <w:t xml:space="preserve">Abstract (EN): </w:t>
      </w:r>
      <w:r>
        <w:t>Facial gestures are one fundamental set of communicative behaviors in primates, generated through the dynamic arrangement of many fine muscles. Anatomy shows that facial muscles are under direct control from multiple cortical regions, and studies of patients with focal lesions suggest that lateral frontal cortices control voluntary movements and medial emotional expressions. By directly measuring single-neuron activity from both sets of areas, we found that lateral and medial cortical face motor regions encode both types of gestures. They do so through area-specific temporal activity patterns, distinguishable well prior to movement onset. Our results show that cortical regions projecting in parallel downstream form a continuum of gesture coding, from dynamic to temporally stable, to produce socially appropriate motor outputs during communication.</w:t>
      </w:r>
    </w:p>
    <w:p>
      <w:pPr>
        <w:spacing w:before="120" w:after="120"/>
      </w:pPr>
      <w:r>
        <w:rPr>
          <w:sz w:val="18"/>
        </w:rPr>
        <w:t>——————————————————————————————————————————————————————————————————————</w:t>
      </w:r>
    </w:p>
    <w:p>
      <w:pPr>
        <w:spacing w:before="160" w:after="40" w:line="240" w:lineRule="auto"/>
      </w:pPr>
      <w:r>
        <w:rPr>
          <w:b/>
        </w:rPr>
        <w:t xml:space="preserve">[405] </w:t>
      </w:r>
      <w:hyperlink r:id="rId636">
        <w:r>
          <w:rPr>
            <w:color w:val="1155CC"/>
            <w:u w:val="single"/>
          </w:rPr>
          <w:t>老年人日常自传思维中强化了老年人日常自传思维中的偶发性特殊性和社会情感内容</w:t>
        </w:r>
      </w:hyperlink>
    </w:p>
    <w:p>
      <w:pPr>
        <w:spacing w:before="0" w:after="80"/>
      </w:pPr>
      <w:r>
        <w:rPr>
          <w:i/>
          <w:sz w:val="20"/>
        </w:rPr>
        <w:t>EN: Enhanced episodic specificity and socioemotional content in older adults’ everyday autobiographical thoughts</w:t>
      </w:r>
    </w:p>
    <w:p>
      <w:pPr>
        <w:spacing w:before="0" w:after="120"/>
      </w:pPr>
      <w:r>
        <w:rPr>
          <w:b/>
        </w:rPr>
        <w:t xml:space="preserve">Source: </w:t>
      </w:r>
      <w:r>
        <w:t>Proceedings of the National Academy of Sciences: Keyword search for query</w:t>
      </w:r>
      <w:r>
        <w:t xml:space="preserve">    </w:t>
      </w:r>
      <w:r>
        <w:rPr>
          <w:b/>
        </w:rPr>
        <w:t xml:space="preserve">Pub date: </w:t>
      </w:r>
      <w:r>
        <w:t>2026-01-08 08:00:00+00:00</w:t>
      </w:r>
      <w:r>
        <w:t xml:space="preserve">    </w:t>
      </w:r>
      <w:r>
        <w:rPr>
          <w:b/>
        </w:rPr>
        <w:t xml:space="preserve">DOI: </w:t>
      </w:r>
      <w:hyperlink r:id="rId637">
        <w:r>
          <w:rPr>
            <w:color w:val="1155CC"/>
            <w:u w:val="single"/>
          </w:rPr>
          <w:t>10.1073/pnas.2513990123</w:t>
        </w:r>
      </w:hyperlink>
    </w:p>
    <w:p>
      <w:pPr>
        <w:spacing w:before="0" w:after="120"/>
      </w:pPr>
      <w:r>
        <w:rPr>
          <w:b/>
        </w:rPr>
        <w:t xml:space="preserve">Notes: </w:t>
      </w:r>
      <w:r>
        <w:t>abstract_source=crossref</w:t>
      </w:r>
    </w:p>
    <w:p>
      <w:pPr>
        <w:spacing w:before="0" w:after="80" w:lineRule="auto" w:line="276"/>
      </w:pPr>
      <w:r>
        <w:rPr>
          <w:b/>
        </w:rPr>
        <w:t xml:space="preserve">摘要（ZH）: </w:t>
      </w:r>
      <w:r>
        <w:t>长期的认知老龄化研究发现,根据实验室环境的评估,老年人的自传记忆和未来思想缺乏与年轻成年人相比的时空细节。这种模式是否也存在于日常生活中?在两项研究中,我们利用生态瞬间评估(EMA)研究了现实世界环境中自传思维的特点。研究1包括成人寿命样本(N=3 847)。研究2(预先登记)包括217名年轻人和老年人,他们自传记忆也通过传统的实验室访谈进行了评估。与文献中通常报道的以实验室为基础的研究结果相反,两个研究的老年人都报告说,他们的日常自传思想中具有比年轻成年人更明显的特征。</w:t>
      </w:r>
    </w:p>
    <w:p>
      <w:pPr>
        <w:spacing w:before="0" w:after="200" w:lineRule="auto" w:line="276"/>
      </w:pPr>
      <w:r>
        <w:rPr>
          <w:b/>
        </w:rPr>
        <w:t xml:space="preserve">Abstract (EN): </w:t>
      </w:r>
      <w:r>
        <w:t>Cognitive aging research has long observed that older adults’ autobiographical memories and future thoughts, as assessed in laboratory contexts, lack spatiotemporal detail compared to young adults. Does this pattern also hold in everyday contexts? Across two studies, we examined characteristics of autobiographical thinking in real-world settings using ecological momentary assessment (EMA). Study 1 included an adult lifespan sample (N = 3,847). Study 2 (preregistered) included 217 young and older adults whose autobiographical memories were also assessed with a traditional lab-based interview. Contrary to lab-based findings commonly reported in the literature, older adults across both studies reported more episodic specificity in their everyday autobiographical thoughts than younger adults, as well as shifts toward positive and social focus rather than on the self. Linguistic analyses validated self-report data, revealing greater concreteness and perceptual detail with increasing age. Together, these findings highlight discrepancies between measurement approaches in autobiographical thinking in older age, emphasizing the significance of motivational and contextual factors in its study.</w:t>
      </w:r>
    </w:p>
    <w:p>
      <w:pPr>
        <w:spacing w:before="120" w:after="120"/>
      </w:pPr>
      <w:r>
        <w:rPr>
          <w:sz w:val="18"/>
        </w:rPr>
        <w:t>——————————————————————————————————————————————————————————————————————</w:t>
      </w:r>
    </w:p>
    <w:p>
      <w:pPr>
        <w:spacing w:before="160" w:after="40" w:line="240" w:lineRule="auto"/>
      </w:pPr>
      <w:r>
        <w:rPr>
          <w:b/>
        </w:rPr>
        <w:t xml:space="preserve">[406] </w:t>
      </w:r>
      <w:hyperlink r:id="rId638">
        <w:r>
          <w:rPr>
            <w:color w:val="1155CC"/>
            <w:u w:val="single"/>
          </w:rPr>
          <w:t>测量骨骼的测深血代素性活性电路,确定骨折愈合所需的神经营养信号</w:t>
        </w:r>
      </w:hyperlink>
    </w:p>
    <w:p>
      <w:pPr>
        <w:spacing w:before="0" w:after="80"/>
      </w:pPr>
      <w:r>
        <w:rPr>
          <w:i/>
          <w:sz w:val="20"/>
        </w:rPr>
        <w:t>EN: Mapping somatosensory afferent circuitry to bone identifies neurotrophic signals required for fracture healing</w:t>
      </w:r>
    </w:p>
    <w:p>
      <w:pPr>
        <w:spacing w:before="0" w:after="120"/>
      </w:pPr>
      <w:r>
        <w:rPr>
          <w:b/>
        </w:rPr>
        <w:t xml:space="preserve">Source: </w:t>
      </w:r>
      <w:r>
        <w:t>AAAS: Science: Table of Contents</w:t>
      </w:r>
      <w:r>
        <w:t xml:space="preserve">    </w:t>
      </w:r>
      <w:r>
        <w:rPr>
          <w:b/>
        </w:rPr>
        <w:t xml:space="preserve">Pub date: </w:t>
      </w:r>
      <w:r>
        <w:t>2026-01-08 08:00:00+00:00</w:t>
      </w:r>
      <w:r>
        <w:t xml:space="preserve">    </w:t>
      </w:r>
      <w:r>
        <w:rPr>
          <w:b/>
        </w:rPr>
        <w:t xml:space="preserve">DOI: </w:t>
      </w:r>
      <w:hyperlink r:id="rId639">
        <w:r>
          <w:rPr>
            <w:color w:val="1155CC"/>
            <w:u w:val="single"/>
          </w:rPr>
          <w:t>10.1126/science.adr9608</w:t>
        </w:r>
      </w:hyperlink>
    </w:p>
    <w:p>
      <w:pPr>
        <w:spacing w:before="0" w:after="120"/>
      </w:pPr>
      <w:r>
        <w:rPr>
          <w:b/>
        </w:rPr>
        <w:t xml:space="preserve">Notes: </w:t>
      </w:r>
      <w:r>
        <w:t>abstract_source=crossref</w:t>
      </w:r>
    </w:p>
    <w:p>
      <w:pPr>
        <w:spacing w:before="0" w:after="80" w:lineRule="auto" w:line="276"/>
      </w:pPr>
      <w:r>
        <w:rPr>
          <w:b/>
        </w:rPr>
        <w:t xml:space="preserve">摘要（ZH）: </w:t>
      </w:r>
      <w:r>
        <w:t>与骨骨骨折相关的疼痛通过骨骼感应神经元进行调节,这似乎也是开始骨骼再生所需要的。为了描述神经外科脉动介介介介骨骨鼻部和再生的特点,我们在骨折前后用单细胞细胞细胞细胞细胞细胞细胞缩微学将骨质结裂神经元(DRG)成形。CGRP + 和Aet-Field LTMR 神经元是最有代表性的骨刺激神经元类别。感知性神经神经元对伤害的反应变化反映了骨骼修复的歇斯性质,包括Tgfb1、Fgf9和Shush等形态体的表达。神经神经元的动态变化反映了骨骼修补,包括Tgfb1、Fgf9和Xh。</w:t>
      </w:r>
    </w:p>
    <w:p>
      <w:pPr>
        <w:spacing w:before="0" w:after="200" w:lineRule="auto" w:line="276"/>
      </w:pPr>
      <w:r>
        <w:rPr>
          <w:b/>
        </w:rPr>
        <w:t xml:space="preserve">Abstract (EN): </w:t>
      </w:r>
      <w:r>
        <w:t>The pain associated with bone fracture is mediated by somatosensory neurons, which also appear to be required to initiate bone regeneration. To characterize neuroanatomical circuitry mediating skeletal nociception and regeneration, we profiled dorsal root ganglia (DRG) neurons innervating murine bones using single-cell transcriptomics before and after fracture. CGRP</w:t>
      </w:r>
      <w:r>
        <w:t xml:space="preserve"> </w:t>
      </w:r>
      <w:r>
        <w:t>+</w:t>
      </w:r>
      <w:r>
        <w:t xml:space="preserve"> </w:t>
      </w:r>
      <w:r>
        <w:t>and Aβ-Field LTMR neurons were the most represented classes of bone-innervating neurons. Dynamic changes in sensory neuron response to injury reflected the phasic nature of bone repair, including expression of morphogens such as</w:t>
      </w:r>
      <w:r>
        <w:t xml:space="preserve"> </w:t>
      </w:r>
      <w:r>
        <w:t>Tgfb1</w:t>
      </w:r>
      <w:r>
        <w:t xml:space="preserve"> </w:t>
      </w:r>
      <w:r>
        <w:t>,</w:t>
      </w:r>
      <w:r>
        <w:t xml:space="preserve"> </w:t>
      </w:r>
      <w:r>
        <w:t>Fgf9</w:t>
      </w:r>
      <w:r>
        <w:t xml:space="preserve"> </w:t>
      </w:r>
      <w:r>
        <w:t>, and</w:t>
      </w:r>
      <w:r>
        <w:t xml:space="preserve"> </w:t>
      </w:r>
      <w:r>
        <w:t>Shh</w:t>
      </w:r>
      <w:r>
        <w:t xml:space="preserve"> </w:t>
      </w:r>
      <w:r>
        <w:t>. Innervation loss resulted in poor bone repair and was associated with defective mesenchymal cell proliferation and osteodifferentiation. Finally, we identified fibroblast growth factor 9 (FGF9) as a major regulator of fracture repair that could be leveraged to promote bone repair.</w:t>
      </w:r>
    </w:p>
    <w:p>
      <w:pPr>
        <w:spacing w:before="120" w:after="120"/>
      </w:pPr>
      <w:r>
        <w:rPr>
          <w:sz w:val="18"/>
        </w:rPr>
        <w:t>——————————————————————————————————————————————————————————————————————</w:t>
      </w:r>
    </w:p>
    <w:p>
      <w:pPr>
        <w:spacing w:before="160" w:after="40" w:line="240" w:lineRule="auto"/>
      </w:pPr>
      <w:r>
        <w:rPr>
          <w:b/>
        </w:rPr>
        <w:t xml:space="preserve">[407] </w:t>
      </w:r>
      <w:hyperlink r:id="rId640">
        <w:r>
          <w:rPr>
            <w:color w:val="1155CC"/>
            <w:u w:val="single"/>
          </w:rPr>
          <w:t>在 Ciona 心眼炎血清代代代数规格期间,细胞数有助于细胞归宿</w:t>
        </w:r>
      </w:hyperlink>
    </w:p>
    <w:p>
      <w:pPr>
        <w:spacing w:before="0" w:after="80"/>
      </w:pPr>
      <w:r>
        <w:rPr>
          <w:i/>
          <w:sz w:val="20"/>
        </w:rPr>
        <w:t>EN: Cell numbers contribute to cell fate during Ciona cardiopharyngeal mesoderm specification</w:t>
      </w:r>
    </w:p>
    <w:p>
      <w:pPr>
        <w:spacing w:before="0" w:after="120"/>
      </w:pPr>
      <w:r>
        <w:rPr>
          <w:b/>
        </w:rPr>
        <w:t xml:space="preserve">Source: </w:t>
      </w:r>
      <w:r>
        <w:t>Proceedings of the National Academy of Sciences: Keyword search for query</w:t>
      </w:r>
      <w:r>
        <w:t xml:space="preserve">    </w:t>
      </w:r>
      <w:r>
        <w:rPr>
          <w:b/>
        </w:rPr>
        <w:t xml:space="preserve">Pub date: </w:t>
      </w:r>
      <w:r>
        <w:t>2026-01-08 08:00:00+00:00</w:t>
      </w:r>
      <w:r>
        <w:t xml:space="preserve">    </w:t>
      </w:r>
      <w:r>
        <w:rPr>
          <w:b/>
        </w:rPr>
        <w:t xml:space="preserve">DOI: </w:t>
      </w:r>
      <w:hyperlink r:id="rId641">
        <w:r>
          <w:rPr>
            <w:color w:val="1155CC"/>
            <w:u w:val="single"/>
          </w:rPr>
          <w:t>10.1073/pnas.2530472123</w:t>
        </w:r>
      </w:hyperlink>
    </w:p>
    <w:p>
      <w:pPr>
        <w:spacing w:before="0" w:after="120"/>
      </w:pPr>
      <w:r>
        <w:rPr>
          <w:b/>
        </w:rPr>
        <w:t xml:space="preserve">Notes: </w:t>
      </w:r>
      <w:r>
        <w:t>abstract_source=crossref</w:t>
      </w:r>
    </w:p>
    <w:p>
      <w:pPr>
        <w:spacing w:before="0" w:after="80" w:lineRule="auto" w:line="276"/>
      </w:pPr>
      <w:r>
        <w:rPr>
          <w:b/>
        </w:rPr>
        <w:t xml:space="preserve">摘要（ZH）: </w:t>
      </w:r>
      <w:r>
        <w:t>Ciona心脏细胞系系可以准确地追溯到64个细胞阶段形成的一对爆炸性粒子,即B7.5细胞。除了成人心脏外,B7.5细胞还促成幼虫的两个尾部肌肉细胞,以及形成抽水抽水的肌肉。由于这个系统简单,我们非常了解B7.5衍生物是如何在开发过程中指定的。然而,我们不太了解Ciona胚胎如何精确地调节细胞数,以及改变细胞数对发育的影响。我们发现B7.5细胞系的细胞数是由细胞循环抑制器的脉冲控制的。</w:t>
      </w:r>
    </w:p>
    <w:p>
      <w:pPr>
        <w:spacing w:before="0" w:after="200" w:lineRule="auto" w:line="276"/>
      </w:pPr>
      <w:r>
        <w:rPr>
          <w:b/>
        </w:rPr>
        <w:t xml:space="preserve">Abstract (EN): </w:t>
      </w:r>
      <w:r>
        <w:t>The</w:t>
      </w:r>
      <w:r>
        <w:t xml:space="preserve"> </w:t>
      </w:r>
      <w:r>
        <w:t>Ciona</w:t>
      </w:r>
      <w:r>
        <w:t xml:space="preserve"> </w:t>
      </w:r>
      <w:r>
        <w:t>heart cell lineage can be accurately traced back to a pair of blastomeres, the B7.5 cells, that form at the 64-cell stage. In addition to the adult heart, the B7.5 cells also contribute to two tail muscle cells in the larva, as well as the muscles that form the siphons for pumping water for feeding. Because of the simplicity of this system, we have a good understanding of how the B7.5 derivatives are specified during development. However, we know less about how the</w:t>
      </w:r>
      <w:r>
        <w:t xml:space="preserve"> </w:t>
      </w:r>
      <w:r>
        <w:t>Ciona</w:t>
      </w:r>
      <w:r>
        <w:t xml:space="preserve"> </w:t>
      </w:r>
      <w:r>
        <w:t>embryo precisely regulates cell numbers, as well as what effects altering cell numbers will have on development. We found that cell numbers in the B7.5 lineage are controlled by a pulse of transcription of the cell cycle inhibitor</w:t>
      </w:r>
      <w:r>
        <w:t xml:space="preserve"> </w:t>
      </w:r>
      <w:r>
        <w:t>Cdkn1.b</w:t>
      </w:r>
      <w:r>
        <w:t xml:space="preserve"> </w:t>
      </w:r>
      <w:r>
        <w:t>.</w:t>
      </w:r>
      <w:r>
        <w:t xml:space="preserve"> </w:t>
      </w:r>
      <w:r>
        <w:t>Cdkn1.b</w:t>
      </w:r>
      <w:r>
        <w:t xml:space="preserve"> </w:t>
      </w:r>
      <w:r>
        <w:t>can be repressed by the paralogs</w:t>
      </w:r>
      <w:r>
        <w:t xml:space="preserve"> </w:t>
      </w:r>
      <w:r>
        <w:t>Prdm1-r.a</w:t>
      </w:r>
      <w:r>
        <w:t xml:space="preserve"> </w:t>
      </w:r>
      <w:r>
        <w:t>and</w:t>
      </w:r>
      <w:r>
        <w:t xml:space="preserve"> </w:t>
      </w:r>
      <w:r>
        <w:t>Prdm1-r.b</w:t>
      </w:r>
      <w:r>
        <w:t xml:space="preserve"> </w:t>
      </w:r>
      <w:r>
        <w:t>that are exclusively transcribed in the B7.5 cells at the 112-cell stage. We unexpectedly found that precocious arrest of cell division in the B7.5 cell lineage resulted in a reversion to tail muscle fate, even in cells that can migrate. Our work demonstrates an unexpected connection between the control of cell numbers and cell fate in development.</w:t>
      </w:r>
    </w:p>
    <w:p>
      <w:pPr>
        <w:spacing w:before="120" w:after="120"/>
      </w:pPr>
      <w:r>
        <w:rPr>
          <w:sz w:val="18"/>
        </w:rPr>
        <w:t>——————————————————————————————————————————————————————————————————————</w:t>
      </w:r>
    </w:p>
    <w:p>
      <w:pPr>
        <w:spacing w:before="160" w:after="40" w:line="240" w:lineRule="auto"/>
      </w:pPr>
      <w:r>
        <w:rPr>
          <w:b/>
        </w:rPr>
        <w:t xml:space="preserve">[408] </w:t>
      </w:r>
      <w:hyperlink r:id="rId642">
        <w:r>
          <w:rPr>
            <w:color w:val="1155CC"/>
            <w:u w:val="single"/>
          </w:rPr>
          <w:t>脊髓横角的本体性</w:t>
        </w:r>
      </w:hyperlink>
    </w:p>
    <w:p>
      <w:pPr>
        <w:spacing w:before="0" w:after="80"/>
      </w:pPr>
      <w:r>
        <w:rPr>
          <w:i/>
          <w:sz w:val="20"/>
        </w:rPr>
        <w:t>EN: Ontogeny of the spinal cord dorsal horn</w:t>
      </w:r>
    </w:p>
    <w:p>
      <w:pPr>
        <w:spacing w:before="0" w:after="120"/>
      </w:pPr>
      <w:r>
        <w:rPr>
          <w:b/>
        </w:rPr>
        <w:t xml:space="preserve">Source: </w:t>
      </w:r>
      <w:r>
        <w:t>AAAS: Science: Table of Contents</w:t>
      </w:r>
      <w:r>
        <w:t xml:space="preserve">    </w:t>
      </w:r>
      <w:r>
        <w:rPr>
          <w:b/>
        </w:rPr>
        <w:t xml:space="preserve">Pub date: </w:t>
      </w:r>
      <w:r>
        <w:t>2026-01-08 08:00:00+00:00</w:t>
      </w:r>
      <w:r>
        <w:t xml:space="preserve">    </w:t>
      </w:r>
      <w:r>
        <w:rPr>
          <w:b/>
        </w:rPr>
        <w:t xml:space="preserve">DOI: </w:t>
      </w:r>
      <w:hyperlink r:id="rId643">
        <w:r>
          <w:rPr>
            <w:color w:val="1155CC"/>
            <w:u w:val="single"/>
          </w:rPr>
          <w:t>10.1126/science.adx5781</w:t>
        </w:r>
      </w:hyperlink>
    </w:p>
    <w:p>
      <w:pPr>
        <w:spacing w:before="0" w:after="120"/>
      </w:pPr>
      <w:r>
        <w:rPr>
          <w:b/>
        </w:rPr>
        <w:t xml:space="preserve">Notes: </w:t>
      </w:r>
      <w:r>
        <w:t>abstract_source=crossref</w:t>
      </w:r>
    </w:p>
    <w:p>
      <w:pPr>
        <w:spacing w:before="0" w:after="80" w:lineRule="auto" w:line="276"/>
      </w:pPr>
      <w:r>
        <w:rPr>
          <w:b/>
        </w:rPr>
        <w:t xml:space="preserve">摘要（ZH）: </w:t>
      </w:r>
      <w:r>
        <w:t>哺乳动物脊髓的圆角被组织成薄膜,每个层由不同的神经类型组成,具有独特的电路连接,在行为中发挥着特殊作用。一个突出的问题是,在形成过程中,哺乳动物脊髓脊髓的角是如何从一个明显同质的神经先发体库中产生。这里,我们显示,鼠尾脊髓神经随着时间而多样化,相关细胞类型的家庭作为时间组而出生,并且通过一个空间分子梯度来指定各个细胞类型。刺激性神经元会形成一个将渐进的出生日期转化为解剖顺序并需要建立适当的长膜的时空分位安排。我们确定了将多斯生殖器形成Div的基本天体原则。</w:t>
      </w:r>
    </w:p>
    <w:p>
      <w:pPr>
        <w:spacing w:before="0" w:after="200" w:lineRule="auto" w:line="276"/>
      </w:pPr>
      <w:r>
        <w:rPr>
          <w:b/>
        </w:rPr>
        <w:t xml:space="preserve">Abstract (EN): </w:t>
      </w:r>
      <w:r>
        <w:t>The dorsal horn of the mammalian spinal cord is organized into laminae where each layer is populated by different neuron types, has distinctive circuit connections, and plays specialized roles in behavior. An outstanding question is how this organization emerges during development from an apparently homogeneous pool of neural progenitors. Here, we show that mouse dorsal neurons are diversified by time, with families of related cell types born as temporal cohorts, and by a spatial-molecular gradient that specifies individual cell types. Excitatory neurons settle into a chronotopic arrangement that transforms their progressive birthdates into anatomical order and is required to establish proper laminae. We identified essential ontogenetic principles that shape dorsal progenitors into the diverse cell types and structure that subserve sensorimotor function.</w:t>
      </w:r>
    </w:p>
    <w:p>
      <w:pPr>
        <w:spacing w:before="120" w:after="120"/>
      </w:pPr>
      <w:r>
        <w:rPr>
          <w:sz w:val="18"/>
        </w:rPr>
        <w:t>——————————————————————————————————————————————————————————————————————</w:t>
      </w:r>
    </w:p>
    <w:p>
      <w:pPr>
        <w:spacing w:before="160" w:after="40" w:line="240" w:lineRule="auto"/>
      </w:pPr>
      <w:r>
        <w:rPr>
          <w:b/>
        </w:rPr>
        <w:t xml:space="preserve">[409] </w:t>
      </w:r>
      <w:hyperlink r:id="rId644">
        <w:r>
          <w:rPr>
            <w:color w:val="1155CC"/>
            <w:u w:val="single"/>
          </w:rPr>
          <w:t>深刻对比式学习使整个基因组的虚拟筛选成为可能</w:t>
        </w:r>
      </w:hyperlink>
    </w:p>
    <w:p>
      <w:pPr>
        <w:spacing w:before="0" w:after="80"/>
      </w:pPr>
      <w:r>
        <w:rPr>
          <w:i/>
          <w:sz w:val="20"/>
        </w:rPr>
        <w:t>EN: Deep contrastive learning enables genome-wide virtual screening</w:t>
      </w:r>
    </w:p>
    <w:p>
      <w:pPr>
        <w:spacing w:before="0" w:after="120"/>
      </w:pPr>
      <w:r>
        <w:rPr>
          <w:b/>
        </w:rPr>
        <w:t xml:space="preserve">Source: </w:t>
      </w:r>
      <w:r>
        <w:t>AAAS: Science: Table of Contents</w:t>
      </w:r>
      <w:r>
        <w:t xml:space="preserve">    </w:t>
      </w:r>
      <w:r>
        <w:rPr>
          <w:b/>
        </w:rPr>
        <w:t xml:space="preserve">Pub date: </w:t>
      </w:r>
      <w:r>
        <w:t>2026-01-08 08:00:00+00:00</w:t>
      </w:r>
      <w:r>
        <w:t xml:space="preserve">    </w:t>
      </w:r>
      <w:r>
        <w:rPr>
          <w:b/>
        </w:rPr>
        <w:t xml:space="preserve">DOI: </w:t>
      </w:r>
      <w:hyperlink r:id="rId645">
        <w:r>
          <w:rPr>
            <w:color w:val="1155CC"/>
            <w:u w:val="single"/>
          </w:rPr>
          <w:t>10.1126/science.ads9530</w:t>
        </w:r>
      </w:hyperlink>
    </w:p>
    <w:p>
      <w:pPr>
        <w:spacing w:before="0" w:after="120"/>
      </w:pPr>
      <w:r>
        <w:rPr>
          <w:b/>
        </w:rPr>
        <w:t xml:space="preserve">Notes: </w:t>
      </w:r>
      <w:r>
        <w:t>abstract_source=crossref</w:t>
      </w:r>
    </w:p>
    <w:p>
      <w:pPr>
        <w:spacing w:before="0" w:after="80" w:lineRule="auto" w:line="276"/>
      </w:pPr>
      <w:r>
        <w:rPr>
          <w:b/>
        </w:rPr>
        <w:t xml:space="preserve">摘要（ZH）: </w:t>
      </w:r>
      <w:r>
        <w:t>最近在蛋白质结构预测方面的突破为整个基因组的药物发现开辟了新的途径,但现有的虚拟筛选方法仍然在计算上令人望而却步。 我们展示了一种对比式的学习框架,即超快和准确的虚拟筛选,比对接速度快多达1 000万倍,但始终比硅基基准的各种基线高。在湿实验室验证中,无肾上腺素运输器的点击率达到15%,而两个已查明的抑制剂的结构与目标蛋白十分复杂。 对于甲状腺激素受体互动器12,一个缺乏全息结构和小分子集聚体的目标,药物CLIP仅使用阿尔法Fold2-预设结构就达到了17.5%的点击率。 最后,我们重述了甲状腺激素受体互动器12,一个缺乏全息结构和小分子集体的具体目标,即仅使用阿尔法Fold2-预设结构就实现了17.5%的点击率率率率率。</w:t>
      </w:r>
    </w:p>
    <w:p>
      <w:pPr>
        <w:spacing w:before="0" w:after="200" w:lineRule="auto" w:line="276"/>
      </w:pPr>
      <w:r>
        <w:rPr>
          <w:b/>
        </w:rPr>
        <w:t xml:space="preserve">Abstract (EN): </w:t>
      </w:r>
      <w:r>
        <w:t>Recent breakthroughs in protein structure prediction have opened new avenues for genome-wide drug discovery, yet existing virtual screening methods remain computationally prohibitive. We present DrugCLIP, a contrastive learning framework that achieves ultrafast and accurate virtual screening, up to 10 million times faster than docking, while consistently outperforming various baselines on in silico benchmarks. In wet-lab validations, DrugCLIP achieved a 15% hit rate for norepinephrine transporter, and structures of two identified inhibitors were determined in complex with the target protein. For thyroid hormone receptor interactor 12, a target that lacks holo structures and small-molecule binders, DrugCLIP achieved a 17.5% hit rate using only AlphaFold2-predicted structures. Finally, we released GenomeScreenDB, an open-access database providing precomputed results for ~10,000 human proteins screened against 500 million compounds, pioneering a drug discovery paradigm in the post-AlphaFold era.</w:t>
      </w:r>
    </w:p>
    <w:p>
      <w:pPr>
        <w:spacing w:before="120" w:after="120"/>
      </w:pPr>
      <w:r>
        <w:rPr>
          <w:sz w:val="18"/>
        </w:rPr>
        <w:t>——————————————————————————————————————————————————————————————————————</w:t>
      </w:r>
    </w:p>
    <w:p>
      <w:pPr>
        <w:spacing w:before="160" w:after="40" w:line="240" w:lineRule="auto"/>
      </w:pPr>
      <w:r>
        <w:rPr>
          <w:b/>
        </w:rPr>
        <w:t xml:space="preserve">[410] </w:t>
      </w:r>
      <w:hyperlink r:id="rId646">
        <w:r>
          <w:rPr>
            <w:color w:val="1155CC"/>
            <w:u w:val="single"/>
          </w:rPr>
          <w:t>SARS-COV-2peptide碎片通过高山曲线定位有选择性地对特定免疫细胞群进行脱氧调节</w:t>
        </w:r>
      </w:hyperlink>
    </w:p>
    <w:p>
      <w:pPr>
        <w:spacing w:before="0" w:after="80"/>
      </w:pPr>
      <w:r>
        <w:rPr>
          <w:i/>
          <w:sz w:val="20"/>
        </w:rPr>
        <w:t>EN: SARS-CoV-2 peptide fragments selectively dysregulate specific immune cell populations via Gaussian curvature targeting</w:t>
      </w:r>
    </w:p>
    <w:p>
      <w:pPr>
        <w:spacing w:before="0" w:after="120"/>
      </w:pPr>
      <w:r>
        <w:rPr>
          <w:b/>
        </w:rPr>
        <w:t xml:space="preserve">Source: </w:t>
      </w:r>
      <w:r>
        <w:t>Proceedings of the National Academy of Sciences: Keyword search for query</w:t>
      </w:r>
      <w:r>
        <w:t xml:space="preserve">    </w:t>
      </w:r>
      <w:r>
        <w:rPr>
          <w:b/>
        </w:rPr>
        <w:t xml:space="preserve">Pub date: </w:t>
      </w:r>
      <w:r>
        <w:t>2026-01-08 08:00:00+00:00</w:t>
      </w:r>
      <w:r>
        <w:t xml:space="preserve">    </w:t>
      </w:r>
      <w:r>
        <w:rPr>
          <w:b/>
        </w:rPr>
        <w:t xml:space="preserve">DOI: </w:t>
      </w:r>
      <w:hyperlink r:id="rId647">
        <w:r>
          <w:rPr>
            <w:color w:val="1155CC"/>
            <w:u w:val="single"/>
          </w:rPr>
          <w:t>10.1073/pnas.2521841122</w:t>
        </w:r>
      </w:hyperlink>
    </w:p>
    <w:p>
      <w:pPr>
        <w:spacing w:before="0" w:after="120"/>
      </w:pPr>
      <w:r>
        <w:rPr>
          <w:b/>
        </w:rPr>
        <w:t xml:space="preserve">Notes: </w:t>
      </w:r>
      <w:r>
        <w:t>abstract_source=crossref</w:t>
      </w:r>
    </w:p>
    <w:p>
      <w:pPr>
        <w:spacing w:before="0" w:after="80" w:lineRule="auto" w:line="276"/>
      </w:pPr>
      <w:r>
        <w:rPr>
          <w:b/>
        </w:rPr>
        <w:t xml:space="preserve">摘要（ZH）: </w:t>
      </w:r>
      <w:r>
        <w:t>光电池群由于目前未知的原因在COVID-19中受到调节,因为目前未知的原因:等离子细胞-日丁基细胞(PDDC)数量减少,从而妨碍抗病毒反应。CD8+T细胞数量减少,其水平已作为疾病严重程度指数出现。最近的工作表明,SARS-CoV-2的蛋白质是抗微生物浸泡物相似序列motifs(xenoAMPs)的丰富储备库,它能够为放大的托盘3(TLR3)在体外和体内进行dsRNA(dsRNA)的分辨并组织dsRNA,在体外和体内进行调解的发炎。在这里,我们证明,主机的SARS-COV-2顶蛋白质的蛋白质蛋白质的蛋白质色素类静脉冲直接产生XenoAMPs。Sychrotron小X光散射、质量光光光分射、质测量和理论。</w:t>
      </w:r>
    </w:p>
    <w:p>
      <w:pPr>
        <w:spacing w:before="0" w:after="200" w:lineRule="auto" w:line="276"/>
      </w:pPr>
      <w:r>
        <w:rPr>
          <w:b/>
        </w:rPr>
        <w:t xml:space="preserve">Abstract (EN): </w:t>
      </w:r>
      <w:r>
        <w:t>Immune cell populations are dysregulated in COVID-19 for currently unknown reasons: Plasmacytoid dendritic cell (pDC) populations are reduced, thus hampering antiviral responses. CD8</w:t>
      </w:r>
      <w:r>
        <w:t xml:space="preserve"> </w:t>
      </w:r>
      <w:r>
        <w:t>+</w:t>
      </w:r>
      <w:r>
        <w:t xml:space="preserve"> </w:t>
      </w:r>
      <w:r>
        <w:t>T cell populations are reduced, the level of which has emerged as an index of disease severity. Recent work has shown that the proteome of SARS-CoV-2 is a rich reservoir of antimicrobial peptide-like sequence motifs (xenoAMPs) which can chaperone and organize dsRNA for amplified Toll-Like Receptor 3 (TLR3)-mediated inflammation in vitro and in vivo. Here, we demonstrate that proteolytic digestion of the SARS-CoV-2 spike protein by host trypsin-like serine proteases directly produces xenoAMPs. Synchrotron Small Angle X-ray Scattering, mass spectrometry, and a theoretical analysis based on continuum membrane elasticity show that proteolytically generated xenoAMPs from SARS-CoV-2 proteins in vitro and machine learning-predicted high-scoring xenoAMPs all induce negative Gaussian curvature (NGC) necessary for pore formation in membranes. We find that xenoAMPs alone as well as xenoAMPs synergistically with endogenous AMP LL-37 can induce NGC in membranes. A computational analysis of immune cells with morphologically complex shapes (e.g., pDC, CD8</w:t>
      </w:r>
      <w:r>
        <w:t xml:space="preserve"> </w:t>
      </w:r>
      <w:r>
        <w:t>+</w:t>
      </w:r>
      <w:r>
        <w:t xml:space="preserve"> </w:t>
      </w:r>
      <w:r>
        <w:t>, and CD4</w:t>
      </w:r>
      <w:r>
        <w:t xml:space="preserve"> </w:t>
      </w:r>
      <w:r>
        <w:t>+</w:t>
      </w:r>
      <w:r>
        <w:t xml:space="preserve"> </w:t>
      </w:r>
      <w:r>
        <w:t>T cells) suggests that surfaces with high local NGC can concentrate AMP-like sequences and promote selective membrane disruption. Consistent with this hypothesis, experiments with freshly isolated human peripheral blood mononuclear cells confirm that viable pDCs, DCs, and T cells are significantly depleted after xenoAMP exposure, in contrast to monocytes and neutrophils, the immune cell subsets with spheroidal morphology. Structural data from Omicron variant xenoAMP homologs indicate reduced pore formation, consistent with clinical observations of reduced T cell cytopenia in Omicron variant infections.</w:t>
      </w:r>
    </w:p>
    <w:p>
      <w:pPr>
        <w:spacing w:before="120" w:after="120"/>
      </w:pPr>
      <w:r>
        <w:rPr>
          <w:sz w:val="18"/>
        </w:rPr>
        <w:t>——————————————————————————————————————————————————————————————————————</w:t>
      </w:r>
    </w:p>
    <w:p>
      <w:pPr>
        <w:spacing w:before="160" w:after="40" w:line="240" w:lineRule="auto"/>
      </w:pPr>
      <w:r>
        <w:rPr>
          <w:b/>
        </w:rPr>
        <w:t xml:space="preserve">[411] </w:t>
      </w:r>
      <w:hyperlink r:id="rId648">
        <w:r>
          <w:rPr>
            <w:color w:val="1155CC"/>
            <w:u w:val="single"/>
          </w:rPr>
          <w:t>原动力突变的原动力源 由液球生殖细胞产生</w:t>
        </w:r>
      </w:hyperlink>
    </w:p>
    <w:p>
      <w:pPr>
        <w:spacing w:before="0" w:after="80"/>
      </w:pPr>
      <w:r>
        <w:rPr>
          <w:i/>
          <w:sz w:val="20"/>
        </w:rPr>
        <w:t>EN: IDH-mutant gliomas arise from glial progenitor cells harboring the initial driver mutation</w:t>
      </w:r>
    </w:p>
    <w:p>
      <w:pPr>
        <w:spacing w:before="0" w:after="120"/>
      </w:pPr>
      <w:r>
        <w:rPr>
          <w:b/>
        </w:rPr>
        <w:t xml:space="preserve">Source: </w:t>
      </w:r>
      <w:r>
        <w:t>AAAS: Science: Table of Contents</w:t>
      </w:r>
      <w:r>
        <w:t xml:space="preserve">    </w:t>
      </w:r>
      <w:r>
        <w:rPr>
          <w:b/>
        </w:rPr>
        <w:t xml:space="preserve">Pub date: </w:t>
      </w:r>
      <w:r>
        <w:t>2026-01-08 08:00:00+00:00</w:t>
      </w:r>
      <w:r>
        <w:t xml:space="preserve">    </w:t>
      </w:r>
      <w:r>
        <w:rPr>
          <w:b/>
        </w:rPr>
        <w:t xml:space="preserve">DOI: </w:t>
      </w:r>
      <w:hyperlink r:id="rId649">
        <w:r>
          <w:rPr>
            <w:color w:val="1155CC"/>
            <w:u w:val="single"/>
          </w:rPr>
          <w:t>10.1126/science.adt0559</w:t>
        </w:r>
      </w:hyperlink>
    </w:p>
    <w:p>
      <w:pPr>
        <w:spacing w:before="0" w:after="120"/>
      </w:pPr>
      <w:r>
        <w:rPr>
          <w:b/>
        </w:rPr>
        <w:t xml:space="preserve">Notes: </w:t>
      </w:r>
      <w:r>
        <w:t>abstract_source=crossref</w:t>
      </w:r>
    </w:p>
    <w:p>
      <w:pPr>
        <w:spacing w:before="0" w:after="80" w:lineRule="auto" w:line="276"/>
      </w:pPr>
      <w:r>
        <w:rPr>
          <w:b/>
        </w:rPr>
        <w:t xml:space="preserve">摘要（ZH）: </w:t>
      </w:r>
      <w:r>
        <w:t>识别最初驱动因素突变的起源细胞是了解肿瘤进化和开发新治疗的关键。 对于雄性脱氢酶(IDH) — — 混合性微粒瘤(IDH) — — 年轻成人最常见的恶性原脑肿瘤),起源细胞目前还不太为人所知。 我们从70个由肿瘤、临终皮层皮层或子脑带和血液组成的组织中对142个组织进行了深度测序。 在37.9 % (29人中有11人)的病人的临终皮层中发现了低水平的IDH突变。整合了细胞型特定突变分析、球状进化方向、病人大脑的空间定型、以及变异性寡细胞产生的癌症鼠标模型。</w:t>
      </w:r>
    </w:p>
    <w:p>
      <w:pPr>
        <w:spacing w:before="0" w:after="200" w:lineRule="auto" w:line="276"/>
      </w:pPr>
      <w:r>
        <w:rPr>
          <w:b/>
        </w:rPr>
        <w:t xml:space="preserve">Abstract (EN): </w:t>
      </w:r>
      <w:r>
        <w:t>Identifying the cell of origin that harbors an initial driver mutation is key to understanding tumor evolution and for the development of new treatments. For isocitrate dehydrogenase (IDH)–mutant gliomas, the most common malignant primary brain tumor in young adults, the cell of origin is currently poorly understood. We conducted deep sequencing on 142 tissues from 70 individuals comprising tumors, peritumoral cortex or subventricular zones, and blood. Low-level</w:t>
      </w:r>
      <w:r>
        <w:t xml:space="preserve"> </w:t>
      </w:r>
      <w:r>
        <w:t>IDH</w:t>
      </w:r>
      <w:r>
        <w:t xml:space="preserve"> </w:t>
      </w:r>
      <w:r>
        <w:t>mutations were found in the peritumoral cortex in 37.9% (11 of 29) of patients. Integrating cell-type–specific mutation analysis, the direction of clonal evolution, spatial transcriptomics from patient brains, and a cancer mouse model arising from mutant oligodendrocyte progenitor cell, we determined that glial progenitor cells harboring an initial</w:t>
      </w:r>
      <w:r>
        <w:t xml:space="preserve"> </w:t>
      </w:r>
      <w:r>
        <w:t>IDH</w:t>
      </w:r>
      <w:r>
        <w:t xml:space="preserve"> </w:t>
      </w:r>
      <w:r>
        <w:t>mutation were responsible for the development of IDH-mutant gliomas.</w:t>
      </w:r>
    </w:p>
    <w:p>
      <w:pPr>
        <w:spacing w:before="120" w:after="120"/>
      </w:pPr>
      <w:r>
        <w:rPr>
          <w:sz w:val="18"/>
        </w:rPr>
        <w:t>——————————————————————————————————————————————————————————————————————</w:t>
      </w:r>
    </w:p>
    <w:p>
      <w:pPr>
        <w:spacing w:before="160" w:after="40" w:line="240" w:lineRule="auto"/>
      </w:pPr>
      <w:r>
        <w:rPr>
          <w:b/>
        </w:rPr>
        <w:t xml:space="preserve">[412] </w:t>
      </w:r>
      <w:hyperlink r:id="rId650">
        <w:r>
          <w:rPr>
            <w:color w:val="1155CC"/>
            <w:u w:val="single"/>
          </w:rPr>
          <w:t>防止变异族狩猎锡的K6和K9在变异族K6和K9中无处不在,这在敲击鼠标模型中加剧了疾病病理学</w:t>
        </w:r>
      </w:hyperlink>
    </w:p>
    <w:p>
      <w:pPr>
        <w:spacing w:before="0" w:after="80"/>
      </w:pPr>
      <w:r>
        <w:rPr>
          <w:i/>
          <w:sz w:val="20"/>
        </w:rPr>
        <w:t>EN: Prevention of ubiquitination at K6 and K9 in mutant huntingtin exacerbates disease pathology in a knock-in mouse model</w:t>
      </w:r>
    </w:p>
    <w:p>
      <w:pPr>
        <w:spacing w:before="0" w:after="120"/>
      </w:pPr>
      <w:r>
        <w:rPr>
          <w:b/>
        </w:rPr>
        <w:t xml:space="preserve">Source: </w:t>
      </w:r>
      <w:r>
        <w:t>Proceedings of the National Academy of Sciences: Keyword search for query</w:t>
      </w:r>
      <w:r>
        <w:t xml:space="preserve">    </w:t>
      </w:r>
      <w:r>
        <w:rPr>
          <w:b/>
        </w:rPr>
        <w:t xml:space="preserve">Pub date: </w:t>
      </w:r>
      <w:r>
        <w:t>2026-01-08 08:00:00+00:00</w:t>
      </w:r>
      <w:r>
        <w:t xml:space="preserve">    </w:t>
      </w:r>
      <w:r>
        <w:rPr>
          <w:b/>
        </w:rPr>
        <w:t xml:space="preserve">DOI: </w:t>
      </w:r>
      <w:hyperlink r:id="rId651">
        <w:r>
          <w:rPr>
            <w:color w:val="1155CC"/>
            <w:u w:val="single"/>
          </w:rPr>
          <w:t>10.1073/pnas.2527258122</w:t>
        </w:r>
      </w:hyperlink>
    </w:p>
    <w:p>
      <w:pPr>
        <w:spacing w:before="0" w:after="120"/>
      </w:pPr>
      <w:r>
        <w:rPr>
          <w:b/>
        </w:rPr>
        <w:t xml:space="preserve">Notes: </w:t>
      </w:r>
      <w:r>
        <w:t>abstract_source=crossref</w:t>
      </w:r>
    </w:p>
    <w:p>
      <w:pPr>
        <w:spacing w:before="0" w:after="80" w:lineRule="auto" w:line="276"/>
      </w:pPr>
      <w:r>
        <w:rPr>
          <w:b/>
        </w:rPr>
        <w:t xml:space="preserve">摘要（ZH）: </w:t>
      </w:r>
      <w:r>
        <w:t>Huntington 疾病(HD)是由狩猎用蛋白(HT)中多凝胺(PollyQ)片的扩大导致的,导致其混合和聚合错误。变异HTT(mHTT)集合的亚细胞局部化对其神经毒性产生了严重影响,核集合对神经退化的贡献比神经细胞中的神经衰变更为显著。我们以前的调查结果表明,HTT中K6和K9位置上的碱性残留物在特定地点的普遍存在,严重影响了MHTT的聚合特性和影响细胞生存能力。然而,这一修改的活体功能相关性仍然难以找到。为了解决这个问题,我们产生了两种HD Knock-in(KI)鼠标模型,其中鼠标 Htt Exon 1 w。</w:t>
      </w:r>
    </w:p>
    <w:p>
      <w:pPr>
        <w:spacing w:before="0" w:after="200" w:lineRule="auto" w:line="276"/>
      </w:pPr>
      <w:r>
        <w:rPr>
          <w:b/>
        </w:rPr>
        <w:t xml:space="preserve">Abstract (EN): </w:t>
      </w:r>
      <w:r>
        <w:t>Huntington disease (HD) is caused by an expansion of the polyglutamine (polyQ) tract in the huntingtin protein (HTT), leading to its misfolding and aggregation. The subcellular localization of mutant HTT (mHTT) aggregates critically influences their neuronal toxicity, with nuclear aggregates contributing more significantly to neurodegeneration than those in the neuropil. Our previous findings demonstrated that site-specific ubiquitination of lysine residues at the positions of K6 and K9 in HTT significantly affect the aggregation properties of mHTT and influence cell viability. However, the in vivo functional relevance of this modification remains elusive. To address this, we generated two HD knock-in (KI) mouse models in which the mouse</w:t>
      </w:r>
      <w:r>
        <w:t xml:space="preserve"> </w:t>
      </w:r>
      <w:r>
        <w:t>Htt</w:t>
      </w:r>
      <w:r>
        <w:t xml:space="preserve"> </w:t>
      </w:r>
      <w:r>
        <w:t>exon 1 was replaced by human mutant</w:t>
      </w:r>
      <w:r>
        <w:t xml:space="preserve"> </w:t>
      </w:r>
      <w:r>
        <w:t>HTT</w:t>
      </w:r>
      <w:r>
        <w:t xml:space="preserve"> </w:t>
      </w:r>
      <w:r>
        <w:t>exon 1 containing 134 pure cytosine–adenine–guanine (CAG) repeats. In addition, one of these KI lines carries lysine-to-arginine (K &amp;gt; R) substitutions at residues 6 and 9 to block site-specific ubiquitination (Q134</w:t>
      </w:r>
      <w:r>
        <w:t xml:space="preserve"> </w:t>
      </w:r>
      <w:r>
        <w:t>RR</w:t>
      </w:r>
      <w:r>
        <w:t xml:space="preserve"> </w:t>
      </w:r>
      <w:r>
        <w:t>line). Compared to Q134</w:t>
      </w:r>
      <w:r>
        <w:t xml:space="preserve"> </w:t>
      </w:r>
      <w:r>
        <w:t>KK</w:t>
      </w:r>
      <w:r>
        <w:t xml:space="preserve"> </w:t>
      </w:r>
      <w:r>
        <w:t>control mice, Q134</w:t>
      </w:r>
      <w:r>
        <w:t xml:space="preserve"> </w:t>
      </w:r>
      <w:r>
        <w:t>RR</w:t>
      </w:r>
      <w:r>
        <w:t xml:space="preserve"> </w:t>
      </w:r>
      <w:r>
        <w:t>mice showed a more pronounced accumulation of both soluble and aggregated forms of mHTT. Notably, the K &amp;gt; R substitutions accelerated mHTT aggregation kinetics, resulting in the formation of large inclusion bodies and their exclusive nuclear localization. Furthermore, Q134</w:t>
      </w:r>
      <w:r>
        <w:t xml:space="preserve"> </w:t>
      </w:r>
      <w:r>
        <w:t>RR</w:t>
      </w:r>
      <w:r>
        <w:t xml:space="preserve"> </w:t>
      </w:r>
      <w:r>
        <w:t>mice exhibited earlier onset and accelerated progression of motor impairments, brain atrophy, and neuropathological features. Collectively, our findings provide strong in vivo evidence for the crucial role of site-specific ubiquitination at K6 and K9 in modulating mHTT aggregation and HD pathology. These results reinforce the therapeutic potential of targeting these specific ubiquitination sites for clinical translation.</w:t>
      </w:r>
    </w:p>
    <w:p>
      <w:pPr>
        <w:spacing w:before="120" w:after="120"/>
      </w:pPr>
      <w:r>
        <w:rPr>
          <w:sz w:val="18"/>
        </w:rPr>
        <w:t>——————————————————————————————————————————————————————————————————————</w:t>
      </w:r>
    </w:p>
    <w:p>
      <w:pPr>
        <w:spacing w:before="160" w:after="40" w:line="240" w:lineRule="auto"/>
      </w:pPr>
      <w:r>
        <w:rPr>
          <w:b/>
        </w:rPr>
        <w:t xml:space="preserve">[413] </w:t>
      </w:r>
      <w:hyperlink r:id="rId652">
        <w:r>
          <w:rPr>
            <w:color w:val="1155CC"/>
            <w:u w:val="single"/>
          </w:rPr>
          <w:t>中国光环多功能地图集</w:t>
        </w:r>
      </w:hyperlink>
    </w:p>
    <w:p>
      <w:pPr>
        <w:spacing w:before="0" w:after="80"/>
      </w:pPr>
      <w:r>
        <w:rPr>
          <w:i/>
          <w:sz w:val="20"/>
        </w:rPr>
        <w:t>EN: Chinese Immune Multi-Omics Atlas</w:t>
      </w:r>
    </w:p>
    <w:p>
      <w:pPr>
        <w:spacing w:before="0" w:after="120"/>
      </w:pPr>
      <w:r>
        <w:rPr>
          <w:b/>
        </w:rPr>
        <w:t xml:space="preserve">Source: </w:t>
      </w:r>
      <w:r>
        <w:t>AAAS: Science: Table of Contents</w:t>
      </w:r>
      <w:r>
        <w:t xml:space="preserve">    </w:t>
      </w:r>
      <w:r>
        <w:rPr>
          <w:b/>
        </w:rPr>
        <w:t xml:space="preserve">Pub date: </w:t>
      </w:r>
      <w:r>
        <w:t>2026-01-08 08:00:00+00:00</w:t>
      </w:r>
      <w:r>
        <w:t xml:space="preserve">    </w:t>
      </w:r>
      <w:r>
        <w:rPr>
          <w:b/>
        </w:rPr>
        <w:t xml:space="preserve">DOI: </w:t>
      </w:r>
      <w:hyperlink r:id="rId653">
        <w:r>
          <w:rPr>
            <w:color w:val="1155CC"/>
            <w:u w:val="single"/>
          </w:rPr>
          <w:t>10.1126/science.adt3130</w:t>
        </w:r>
      </w:hyperlink>
    </w:p>
    <w:p>
      <w:pPr>
        <w:spacing w:before="0" w:after="120"/>
      </w:pPr>
      <w:r>
        <w:rPr>
          <w:b/>
        </w:rPr>
        <w:t xml:space="preserve">Notes: </w:t>
      </w:r>
      <w:r>
        <w:t>abstract_source=crossref</w:t>
      </w:r>
    </w:p>
    <w:p>
      <w:pPr>
        <w:spacing w:before="0" w:after="80" w:lineRule="auto" w:line="276"/>
      </w:pPr>
      <w:r>
        <w:rPr>
          <w:b/>
        </w:rPr>
        <w:t xml:space="preserve">摘要（ZH）: </w:t>
      </w:r>
      <w:r>
        <w:t>人类周边血液物证分子和细胞不同人群的分子和细胞差异性,但基本机制仍不清楚。我们介绍了中国免疫多有机物地图集(CIMA),通过对428个中国成年人超过1 000万个循环免疫细胞的1 000多万个循环性免疫细胞进行多学分析,将与性别、年龄和遗传变量有关的分子变化定性为多学分析,对428个中国成人的1 000多万个流动免疫细胞进行了多学分析。 CIMA建立了一个强化型基因调节网络,由237个强力重重重重重金组成;确定了细胞型解解的9600个电子基因和52 361个焦皮克斯;并揭示了与免疫相关的疾病风险地、晶状定量特征(QTLs)和铬可获取性(QTLs)。此外,CLMA-CLM预测的细胞语言模型预测了染色素的可获得性,并评估了无的可获取性影响。</w:t>
      </w:r>
    </w:p>
    <w:p>
      <w:pPr>
        <w:spacing w:before="0" w:after="200" w:lineRule="auto" w:line="276"/>
      </w:pPr>
      <w:r>
        <w:rPr>
          <w:b/>
        </w:rPr>
        <w:t xml:space="preserve">Abstract (EN): </w:t>
      </w:r>
      <w:r>
        <w:t>Human peripheral blood exhibits molecular and cellular heterogeneity across populations, yet the underlying mechanisms remain unclear. We present the Chinese Immune Multi-Omics Atlas (CIMA), characterizing molecular variations linked to sex, age, and genetic variants through multi-omics analysis of more than 10 million circulating immune cells from 428 Chinese adults. CIMA established an enhancer-driven gene regulatory network comprising 237 robust regulons; identified 9600 eGenes and 52,361 caPeaks at cell type resolution; and revealed pleiotropic associations among immune-related disease risk loci, cis-expression quantitative trait loci (QTLs), and chromatin accessibility QTLs. Furthermore, the cell language model CIMA-CLM predicted chromatin accessibility and evaluated the effects of noncoding variants from chromatin sequences and gene expression. CIMA provides a comprehensive reference for immune-related disease research.</w:t>
      </w:r>
    </w:p>
    <w:p>
      <w:pPr>
        <w:spacing w:before="120" w:after="120"/>
      </w:pPr>
      <w:r>
        <w:rPr>
          <w:sz w:val="18"/>
        </w:rPr>
        <w:t>——————————————————————————————————————————————————————————————————————</w:t>
      </w:r>
    </w:p>
    <w:p>
      <w:pPr>
        <w:spacing w:before="160" w:after="40" w:line="240" w:lineRule="auto"/>
      </w:pPr>
      <w:r>
        <w:rPr>
          <w:b/>
        </w:rPr>
        <w:t xml:space="preserve">[414] </w:t>
      </w:r>
      <w:hyperlink r:id="rId654">
        <w:r>
          <w:rPr>
            <w:color w:val="1155CC"/>
            <w:u w:val="single"/>
          </w:rPr>
          <w:t>澳大利亚森林中的碱性微生物体调节气候活性气体通量</w:t>
        </w:r>
      </w:hyperlink>
    </w:p>
    <w:p>
      <w:pPr>
        <w:spacing w:before="0" w:after="80"/>
      </w:pPr>
      <w:r>
        <w:rPr>
          <w:i/>
          <w:sz w:val="20"/>
        </w:rPr>
        <w:t>EN: Bark microbiota modulate climate-active gas fluxes in Australian forests</w:t>
      </w:r>
    </w:p>
    <w:p>
      <w:pPr>
        <w:spacing w:before="0" w:after="120"/>
      </w:pPr>
      <w:r>
        <w:rPr>
          <w:b/>
        </w:rPr>
        <w:t xml:space="preserve">Source: </w:t>
      </w:r>
      <w:r>
        <w:t>AAAS: Science: Table of Contents</w:t>
      </w:r>
      <w:r>
        <w:t xml:space="preserve">    </w:t>
      </w:r>
      <w:r>
        <w:rPr>
          <w:b/>
        </w:rPr>
        <w:t xml:space="preserve">Pub date: </w:t>
      </w:r>
      <w:r>
        <w:t>2026-01-08 08:00:00+00:00</w:t>
      </w:r>
      <w:r>
        <w:t xml:space="preserve">    </w:t>
      </w:r>
      <w:r>
        <w:rPr>
          <w:b/>
        </w:rPr>
        <w:t xml:space="preserve">DOI: </w:t>
      </w:r>
      <w:hyperlink r:id="rId655">
        <w:r>
          <w:rPr>
            <w:color w:val="1155CC"/>
            <w:u w:val="single"/>
          </w:rPr>
          <w:t>10.1126/science.adu2182</w:t>
        </w:r>
      </w:hyperlink>
    </w:p>
    <w:p>
      <w:pPr>
        <w:spacing w:before="0" w:after="120"/>
      </w:pPr>
      <w:r>
        <w:rPr>
          <w:b/>
        </w:rPr>
        <w:t xml:space="preserve">Notes: </w:t>
      </w:r>
      <w:r>
        <w:t>abstract_source=crossref</w:t>
      </w:r>
    </w:p>
    <w:p>
      <w:pPr>
        <w:spacing w:before="0" w:after="80" w:lineRule="auto" w:line="276"/>
      </w:pPr>
      <w:r>
        <w:rPr>
          <w:b/>
        </w:rPr>
        <w:t xml:space="preserve">摘要（ZH）: </w:t>
      </w:r>
      <w:r>
        <w:t>最近的研究显示,微生物生长在树皮上,但对其特性、功能和环境作用却知之甚少。在这里,我们通过以基因为中心的和基因组溶解的代谢基因发现,八个澳大利亚普通树种的树皮中蕴藏着丰富和专门的微生物群落。主要细菌是可适应动态再氧化和基质条件的氢循环的催眠性厌养动物。此外,与树皮有关的中亚营养素丰富,可以与氢营养杂质杂质共存。微科姆实验显示,在植物浓度中,微生物在有氧条件下吸收甲烷、氢和一氧化碳,并在厌氧条件下产生这些气体。我们同时进行实地测量,我们显示,树状微生物与原地测量结果相结合,在植物富饶微生物中生长。</w:t>
      </w:r>
    </w:p>
    <w:p>
      <w:pPr>
        <w:spacing w:before="0" w:after="200" w:lineRule="auto" w:line="276"/>
      </w:pPr>
      <w:r>
        <w:rPr>
          <w:b/>
        </w:rPr>
        <w:t xml:space="preserve">Abstract (EN): </w:t>
      </w:r>
      <w:r>
        <w:t>Recent studies suggest that microbes inhabit tree bark, yet little is known about their identities, functions, and environmental roles. Here we reveal, through gene-centric and genome-resolved metagenomics, that the bark of eight common Australian tree species hosts abundant and specialized microbial communities. The predominant bacteria are hydrogen-cycling facultative anaerobes adapted to dynamic redox and substrate conditions. Furthermore, bark-associated methanotrophs are abundant and can coexist with hydrogenotrophic methanogens. Microcosm experiments showed that bark microorganisms aerobically consume methane, hydrogen, and carbon monoxide at in planta concentrations and produce these gases under anoxia. Combined with in situ field measurements, we show that tree-dwelling microbiota metabolize multiple climate-active gases at marked rates within tree stems, highlighting a potentially substantial role in global atmospheric cycles.</w:t>
      </w:r>
    </w:p>
    <w:p>
      <w:pPr>
        <w:spacing w:before="120" w:after="120"/>
      </w:pPr>
      <w:r>
        <w:rPr>
          <w:sz w:val="18"/>
        </w:rPr>
        <w:t>——————————————————————————————————————————————————————————————————————</w:t>
      </w:r>
    </w:p>
    <w:p>
      <w:pPr>
        <w:spacing w:before="160" w:after="40" w:line="240" w:lineRule="auto"/>
      </w:pPr>
      <w:r>
        <w:rPr>
          <w:b/>
        </w:rPr>
        <w:t xml:space="preserve">[415] </w:t>
      </w:r>
      <w:hyperlink r:id="rId656">
        <w:r>
          <w:rPr>
            <w:color w:val="1155CC"/>
            <w:u w:val="single"/>
          </w:rPr>
          <w:t>家庭内化驱动了性-性性生活周期在酵母中反复发生性-性生活周期权衡取舍的演变</w:t>
        </w:r>
      </w:hyperlink>
    </w:p>
    <w:p>
      <w:pPr>
        <w:spacing w:before="0" w:after="80"/>
      </w:pPr>
      <w:r>
        <w:rPr>
          <w:i/>
          <w:sz w:val="20"/>
        </w:rPr>
        <w:t>EN: Domestication drives repeated evolution of sexual–asexual life cycle trade-offs in yeast</w:t>
      </w:r>
    </w:p>
    <w:p>
      <w:pPr>
        <w:spacing w:before="0" w:after="120"/>
      </w:pPr>
      <w:r>
        <w:rPr>
          <w:b/>
        </w:rPr>
        <w:t xml:space="preserve">Source: </w:t>
      </w:r>
      <w:r>
        <w:t>Proceedings of the National Academy of Sciences: Keyword search for query</w:t>
      </w:r>
      <w:r>
        <w:t xml:space="preserve">    </w:t>
      </w:r>
      <w:r>
        <w:rPr>
          <w:b/>
        </w:rPr>
        <w:t xml:space="preserve">Pub date: </w:t>
      </w:r>
      <w:r>
        <w:t>2026-01-08 08:00:00+00:00</w:t>
      </w:r>
      <w:r>
        <w:t xml:space="preserve">    </w:t>
      </w:r>
      <w:r>
        <w:rPr>
          <w:b/>
        </w:rPr>
        <w:t xml:space="preserve">DOI: </w:t>
      </w:r>
      <w:hyperlink r:id="rId657">
        <w:r>
          <w:rPr>
            <w:color w:val="1155CC"/>
            <w:u w:val="single"/>
          </w:rPr>
          <w:t>10.1073/pnas.2526682123</w:t>
        </w:r>
      </w:hyperlink>
    </w:p>
    <w:p>
      <w:pPr>
        <w:spacing w:before="0" w:after="120"/>
      </w:pPr>
      <w:r>
        <w:rPr>
          <w:b/>
        </w:rPr>
        <w:t xml:space="preserve">Notes: </w:t>
      </w:r>
      <w:r>
        <w:t>abstract_source=crossref</w:t>
      </w:r>
    </w:p>
    <w:p>
      <w:pPr>
        <w:spacing w:before="0" w:after="80" w:lineRule="auto" w:line="276"/>
      </w:pPr>
      <w:r>
        <w:rPr>
          <w:b/>
        </w:rPr>
        <w:t xml:space="preserve">摘要（ZH）: </w:t>
      </w:r>
      <w:r>
        <w:t>数千年来,人类通过管理生殖和选择适合的特性来养殖动物和种植作物。 相反,微生物养殖经常是无意发生的,生命周期的变化及其对基因组演变的影响仍然不为人们所理解。 在这里,我们系统地检查了由771个Diploid Sacchharomyces 子宫从野生和养殖的家族中分离出来的不同小组的生命周期差异。我们发现了性生殖方面的广泛变化,包括螺旋、子体活性和交配型转换的缺陷。这些变化导致了两种不同的生命周期战略的出现,其中两种战略都倾向于原型。</w:t>
      </w:r>
    </w:p>
    <w:p>
      <w:pPr>
        <w:spacing w:before="0" w:after="200" w:lineRule="auto" w:line="276"/>
      </w:pPr>
      <w:r>
        <w:rPr>
          <w:b/>
        </w:rPr>
        <w:t xml:space="preserve">Abstract (EN): </w:t>
      </w:r>
      <w:r>
        <w:t>For thousands of years, humans have domesticated animals and cultivated crops by managing reproduction and selecting for desirable traits. In contrast, microbial domestication has often occurred unintentionally, and the variation of life cycle as well as its impact on genome evolution remain poorly understood. Here, we systematically examined life cycle variation across a diverse panel of 771 diploid</w:t>
      </w:r>
      <w:r>
        <w:t xml:space="preserve"> </w:t>
      </w:r>
      <w:r>
        <w:t>Saccharomyces cerevisiae</w:t>
      </w:r>
      <w:r>
        <w:t xml:space="preserve"> </w:t>
      </w:r>
      <w:r>
        <w:t>isolates from both wild and domesticated lineages. We identified widespread alterations in sexual reproduction, including impairments of sporulation, spore viability, and mating-type switching. These changes led to the emergence of two distinct life cycle strategies, favoring either asexual or sexual reproduction, which were notably enriched in domesticated clades. Haplotype analyses of the</w:t>
      </w:r>
      <w:r>
        <w:t xml:space="preserve"> </w:t>
      </w:r>
      <w:r>
        <w:t>HO</w:t>
      </w:r>
      <w:r>
        <w:t xml:space="preserve"> </w:t>
      </w:r>
      <w:r>
        <w:t>mating-type switching gene revealed multiple, independent loss-of-function mutations, indicating convergent evolution of heterothallism. While a preference for sexual life cycle often correlated with increased genomic heterozygosity in domesticated and human-associated clades, this relationship was not uniform across all lineages. We propose that the co-occurrence of altered sexual and asexual cycle preferences results in a trade-off that balances outcrossing and the subsequent maintenance of heterozygosity in domesticated populations. Finally, we provide a CRISPR-based molecular toolbox and a stable haploid strain collection spanning global genetic diversity, enabling further genetic research and industrial applications.</w:t>
      </w:r>
    </w:p>
    <w:p>
      <w:pPr>
        <w:spacing w:before="120" w:after="120"/>
      </w:pPr>
      <w:r>
        <w:rPr>
          <w:sz w:val="18"/>
        </w:rPr>
        <w:t>——————————————————————————————————————————————————————————————————————</w:t>
      </w:r>
    </w:p>
    <w:p>
      <w:pPr>
        <w:spacing w:before="160" w:after="40" w:line="240" w:lineRule="auto"/>
      </w:pPr>
      <w:r>
        <w:rPr>
          <w:b/>
        </w:rPr>
        <w:t xml:space="preserve">[416] </w:t>
      </w:r>
      <w:hyperlink r:id="rId658">
        <w:r>
          <w:rPr>
            <w:color w:val="1155CC"/>
            <w:u w:val="single"/>
          </w:rPr>
          <w:t>在变种人p53 - 驱动乳腺癌中,说明DCIS进展过程中的合作遗传事件</w:t>
        </w:r>
      </w:hyperlink>
    </w:p>
    <w:p>
      <w:pPr>
        <w:spacing w:before="0" w:after="80"/>
      </w:pPr>
      <w:r>
        <w:rPr>
          <w:i/>
          <w:sz w:val="20"/>
        </w:rPr>
        <w:t>EN: Elucidating cooperative genetic events in DCIS progression in mutant p53–driven breast cancer</w:t>
      </w:r>
    </w:p>
    <w:p>
      <w:pPr>
        <w:spacing w:before="0" w:after="120"/>
      </w:pPr>
      <w:r>
        <w:rPr>
          <w:b/>
        </w:rPr>
        <w:t xml:space="preserve">Source: </w:t>
      </w:r>
      <w:r>
        <w:t>Proceedings of the National Academy of Sciences: Keyword search for query</w:t>
      </w:r>
      <w:r>
        <w:t xml:space="preserve">    </w:t>
      </w:r>
      <w:r>
        <w:rPr>
          <w:b/>
        </w:rPr>
        <w:t xml:space="preserve">Pub date: </w:t>
      </w:r>
      <w:r>
        <w:t>2026-01-08 08:00:00+00:00</w:t>
      </w:r>
      <w:r>
        <w:t xml:space="preserve">    </w:t>
      </w:r>
      <w:r>
        <w:rPr>
          <w:b/>
        </w:rPr>
        <w:t xml:space="preserve">DOI: </w:t>
      </w:r>
      <w:hyperlink r:id="rId659">
        <w:r>
          <w:rPr>
            <w:color w:val="1155CC"/>
            <w:u w:val="single"/>
          </w:rPr>
          <w:t>10.1073/pnas.2526544123</w:t>
        </w:r>
      </w:hyperlink>
    </w:p>
    <w:p>
      <w:pPr>
        <w:spacing w:before="0" w:after="120"/>
      </w:pPr>
      <w:r>
        <w:rPr>
          <w:b/>
        </w:rPr>
        <w:t xml:space="preserve">Notes: </w:t>
      </w:r>
      <w:r>
        <w:t>abstract_source=crossref</w:t>
      </w:r>
    </w:p>
    <w:p>
      <w:pPr>
        <w:spacing w:before="0" w:after="80" w:lineRule="auto" w:line="276"/>
      </w:pPr>
      <w:r>
        <w:rPr>
          <w:b/>
        </w:rPr>
        <w:t xml:space="preserve">摘要（ZH）: </w:t>
      </w:r>
      <w:r>
        <w:t>在原地的Ductal癌肿瘤(DCIS)是一种先发性乳腺损伤,其特征特征是乳房管管内仍局限于发光空间的异常上皮细胞有异常的上皮细胞,并非所有DCIS都具有侵入性,而且目前没有任何战略使病人在有发展危险的情况下将DCIS分解为DCIS,几项人类DCIS和乳腺癌研究表明TP53突变在DCIS早期发生。然而,TP53突变本身不足以形成DCIS或转化为侵入性疾病。</w:t>
      </w:r>
    </w:p>
    <w:p>
      <w:pPr>
        <w:spacing w:before="0" w:after="200" w:lineRule="auto" w:line="276"/>
      </w:pPr>
      <w:r>
        <w:rPr>
          <w:b/>
        </w:rPr>
        <w:t xml:space="preserve">Abstract (EN): </w:t>
      </w:r>
      <w:r>
        <w:t>Ductal carcinoma in situ (DCIS) is a precursor mammary lesion characterized by abnormal epithelial cells in mammary ducts that remain confined to the luminal space. Not all DCIS becomes invasive, and no strategy currently exists in patients to stratify indolent DCIS from DCIS at risk of progression. Several studies of human DCIS and breast cancer suggest that</w:t>
      </w:r>
      <w:r>
        <w:t xml:space="preserve"> </w:t>
      </w:r>
      <w:r>
        <w:t>TP53</w:t>
      </w:r>
      <w:r>
        <w:t xml:space="preserve"> </w:t>
      </w:r>
      <w:r>
        <w:t>mutations occur early in DCIS. However,</w:t>
      </w:r>
      <w:r>
        <w:t xml:space="preserve"> </w:t>
      </w:r>
      <w:r>
        <w:t>TP53</w:t>
      </w:r>
      <w:r>
        <w:t xml:space="preserve"> </w:t>
      </w:r>
      <w:r>
        <w:t>mutation alone is insufficient for DCIS formation or transformation to invasive disease. Using an autochthonous somatic mouse model of</w:t>
      </w:r>
      <w:r>
        <w:t xml:space="preserve"> </w:t>
      </w:r>
      <w:r>
        <w:t>Trp53</w:t>
      </w:r>
      <w:r>
        <w:t xml:space="preserve"> </w:t>
      </w:r>
      <w:r>
        <w:t>R245W</w:t>
      </w:r>
      <w:r>
        <w:t xml:space="preserve"> </w:t>
      </w:r>
      <w:r>
        <w:t>induced breast cancer (equivalent to the</w:t>
      </w:r>
      <w:r>
        <w:t xml:space="preserve"> </w:t>
      </w:r>
      <w:r>
        <w:t>TP53</w:t>
      </w:r>
      <w:r>
        <w:t xml:space="preserve"> </w:t>
      </w:r>
      <w:r>
        <w:t>R248W</w:t>
      </w:r>
      <w:r>
        <w:t xml:space="preserve"> </w:t>
      </w:r>
      <w:r>
        <w:t>hotspot mutation in humans), we identified DCIS lesions. Through exome sequencing and low-pass whole-genome sequencing, we identified additional genomic changes shared between DCIS and invasive tumors. This comparison nominated seven murine candidate genes, with eight human orthologs. We assessed the cooperativity of these genes with mutant</w:t>
      </w:r>
      <w:r>
        <w:t xml:space="preserve"> </w:t>
      </w:r>
      <w:r>
        <w:t>TP53</w:t>
      </w:r>
      <w:r>
        <w:t xml:space="preserve"> </w:t>
      </w:r>
      <w:r>
        <w:t>in human breast cells using acinar morphogenesis and migration assays. Overexpression of</w:t>
      </w:r>
      <w:r>
        <w:t xml:space="preserve"> </w:t>
      </w:r>
      <w:r>
        <w:t>TMEM267</w:t>
      </w:r>
      <w:r>
        <w:t xml:space="preserve"> </w:t>
      </w:r>
      <w:r>
        <w:t>, which encodes a transmembrane protein overexpressed in 22% of</w:t>
      </w:r>
      <w:r>
        <w:t xml:space="preserve"> </w:t>
      </w:r>
      <w:r>
        <w:t>TP53</w:t>
      </w:r>
      <w:r>
        <w:t xml:space="preserve"> </w:t>
      </w:r>
      <w:r>
        <w:t>missense mutant breast cancer cases, in cells with mutant</w:t>
      </w:r>
      <w:r>
        <w:t xml:space="preserve"> </w:t>
      </w:r>
      <w:r>
        <w:t>TP53</w:t>
      </w:r>
      <w:r>
        <w:t xml:space="preserve"> </w:t>
      </w:r>
      <w:r>
        <w:t>caused a significant increase in the filled duct, DCIS-like phenotype. We nominate</w:t>
      </w:r>
      <w:r>
        <w:t xml:space="preserve"> </w:t>
      </w:r>
      <w:r>
        <w:t>TMEM267</w:t>
      </w:r>
      <w:r>
        <w:t xml:space="preserve"> </w:t>
      </w:r>
      <w:r>
        <w:t>as a cooperating event with mutant</w:t>
      </w:r>
      <w:r>
        <w:t xml:space="preserve"> </w:t>
      </w:r>
      <w:r>
        <w:t>TP53</w:t>
      </w:r>
      <w:r>
        <w:t xml:space="preserve"> </w:t>
      </w:r>
      <w:r>
        <w:t>in DCIS progression.</w:t>
      </w:r>
    </w:p>
    <w:p>
      <w:pPr>
        <w:spacing w:before="120" w:after="120"/>
      </w:pPr>
      <w:r>
        <w:rPr>
          <w:sz w:val="18"/>
        </w:rPr>
        <w:t>——————————————————————————————————————————————————————————————————————</w:t>
      </w:r>
    </w:p>
    <w:p>
      <w:pPr>
        <w:spacing w:before="160" w:after="40" w:line="240" w:lineRule="auto"/>
      </w:pPr>
      <w:r>
        <w:rPr>
          <w:b/>
        </w:rPr>
        <w:t xml:space="preserve">[417] </w:t>
      </w:r>
      <w:hyperlink r:id="rId660">
        <w:r>
          <w:rPr>
            <w:color w:val="1155CC"/>
            <w:u w:val="single"/>
          </w:rPr>
          <w:t>[ASAP]说明细胞周期对MRNA Lipid Nanop 粒子的影响</w:t>
        </w:r>
      </w:hyperlink>
    </w:p>
    <w:p>
      <w:pPr>
        <w:spacing w:before="0" w:after="80"/>
      </w:pPr>
      <w:r>
        <w:rPr>
          <w:i/>
          <w:sz w:val="20"/>
        </w:rPr>
        <w:t>EN: [ASAP] Characterizing the Impact of the Cell Cycle on mRNA Lipid Nanoparticles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2026-01-08 09:29:25+00:00</w:t>
      </w:r>
      <w:r>
        <w:t xml:space="preserve">    </w:t>
      </w:r>
      <w:r>
        <w:rPr>
          <w:b/>
        </w:rPr>
        <w:t xml:space="preserve">DOI: </w:t>
      </w:r>
      <w:hyperlink r:id="rId661">
        <w:r>
          <w:rPr>
            <w:color w:val="1155CC"/>
            <w:u w:val="single"/>
          </w:rPr>
          <w:t>10.1021/jacs.5c20083</w:t>
        </w:r>
      </w:hyperlink>
    </w:p>
    <w:p>
      <w:pPr>
        <w:spacing w:before="0" w:after="120"/>
      </w:pPr>
      <w:r>
        <w:rPr>
          <w:b/>
        </w:rPr>
        <w:t xml:space="preserve">Notes: </w:t>
      </w:r>
      <w:r>
        <w:t>abstract_source=pubmed</w:t>
      </w:r>
    </w:p>
    <w:p>
      <w:pPr>
        <w:spacing w:before="0" w:after="80" w:lineRule="auto" w:line="276"/>
      </w:pPr>
      <w:r>
        <w:rPr>
          <w:b/>
        </w:rPr>
        <w:t xml:space="preserve">摘要（ZH）: </w:t>
      </w:r>
      <w:r>
        <w:t>要成长和分裂,细胞必须通过细胞循环、一系列阶段(G0/G1、S和G2/M),最终从一个细胞分裂为两个细胞。值得注意的是,每个阶段的特点是,主要纳米医学(如以MRNA脂质纳米粒子(LNP)为基础的基因药物)机制的核心特性和效力发生动态变化。尽管如此,细胞循环阶段与MRNA液溶液机制及功效之间的关系仍然相对缺乏研究,有可能阻碍下一代疗法的发展。在这里,我们说明MRNA液溶液(包括内分泌病途径、内分泌脱出和蛋白质表达)机制及其功效的关键步骤如何影响整个细胞循环的G0/G1、S和G2/M阶段。具体地说,我们分析的是电子。</w:t>
      </w:r>
    </w:p>
    <w:p>
      <w:pPr>
        <w:spacing w:before="0" w:after="200" w:lineRule="auto" w:line="276"/>
      </w:pPr>
      <w:r>
        <w:rPr>
          <w:b/>
        </w:rPr>
        <w:t xml:space="preserve">Abstract (EN): </w:t>
      </w:r>
      <w:r>
        <w:t>To grow and divide, cells must pass through the cell cycle, a series of phases (G0/G1, S, and G2/M) where they ultimately split from one cell into two. Notably, each of these phases is characterized by dynamic changes in properties central to the mechanism and efficacy of leading nanomedicines such as mRNA lipid nanoparticle (LNP)-based genetic medicines. Despite this, the relationship between cell cycle phases and mRNA LNP mechanism and efficacy remains relatively understudied, potentially hindering the development of next-generation therapies. Here, we characterize how key steps of the mechanism and efficacy of mRNA LNPs (including endocytosis pathway, endosomal escape, and protein expression) are impacted across the G0/G1, S, and G2/M phases of the cell cycle. Specifically, we analyze each of these mechanistic properties across multiple cell types, multiple LNP chemistries, and multiple mRNA payloads to further generalize our findings. Notably, our results collectively highlight that while uptake mechanism remains similar across each phase of the cell cycle, LNP uptake and protein translation are different between G0/G1, S, and G2/M, following the pattern G0/G1 &lt; S &lt; G2/M for these LNP chemistries, mRNA payloads, and cell types. Taken collectively, we hope that this study not only provides fundamental insights into the relationship between the cell cycle and mRNA LNPs but more broadly lays the foundations for the creation of next-generation genetic medicines that could transfect specific phases of the cell cycle for maximal efficacy in applications such as cancer with dysregulated cell cycles.</w:t>
      </w:r>
    </w:p>
    <w:p>
      <w:pPr>
        <w:spacing w:before="120" w:after="120"/>
      </w:pPr>
      <w:r>
        <w:rPr>
          <w:sz w:val="18"/>
        </w:rPr>
        <w:t>——————————————————————————————————————————————————————————————————————</w:t>
      </w:r>
    </w:p>
    <w:p>
      <w:pPr>
        <w:spacing w:before="160" w:after="40" w:line="240" w:lineRule="auto"/>
      </w:pPr>
      <w:r>
        <w:rPr>
          <w:b/>
        </w:rPr>
        <w:t xml:space="preserve">[418] </w:t>
      </w:r>
      <w:hyperlink r:id="rId662">
        <w:r>
          <w:rPr>
            <w:color w:val="1155CC"/>
            <w:u w:val="single"/>
          </w:rPr>
          <w:t>[ASAP] 近红外线成像器:活电超级分辨率RNA成像Dye系统</w:t>
        </w:r>
      </w:hyperlink>
    </w:p>
    <w:p>
      <w:pPr>
        <w:spacing w:before="0" w:after="80"/>
      </w:pPr>
      <w:r>
        <w:rPr>
          <w:i/>
          <w:sz w:val="20"/>
        </w:rPr>
        <w:t>EN: [ASAP] A Near-Infrared Aptamer:Dye System For Live-Cell Super-Resolution RNA Imaging</w:t>
      </w:r>
    </w:p>
    <w:p>
      <w:pPr>
        <w:spacing w:before="0" w:after="120"/>
      </w:pPr>
      <w:r>
        <w:rPr>
          <w:b/>
        </w:rPr>
        <w:t xml:space="preserve">Source: </w:t>
      </w:r>
      <w:r>
        <w:t>Journal of the American Chemical Society: Latest Articles (ACS Publications)</w:t>
      </w:r>
      <w:r>
        <w:t xml:space="preserve">    </w:t>
      </w:r>
      <w:r>
        <w:rPr>
          <w:b/>
        </w:rPr>
        <w:t xml:space="preserve">Pub date: </w:t>
      </w:r>
      <w:r>
        <w:t>2026-01-08 09:54:40+00:00</w:t>
      </w:r>
      <w:r>
        <w:t xml:space="preserve">    </w:t>
      </w:r>
      <w:r>
        <w:rPr>
          <w:b/>
        </w:rPr>
        <w:t xml:space="preserve">DOI: </w:t>
      </w:r>
      <w:hyperlink r:id="rId663">
        <w:r>
          <w:rPr>
            <w:color w:val="1155CC"/>
            <w:u w:val="single"/>
          </w:rPr>
          <w:t>10.1021/jacs.5c16419</w:t>
        </w:r>
      </w:hyperlink>
    </w:p>
    <w:p>
      <w:pPr>
        <w:spacing w:before="0" w:after="120"/>
      </w:pPr>
      <w:r>
        <w:rPr>
          <w:b/>
        </w:rPr>
        <w:t xml:space="preserve">Notes: </w:t>
      </w:r>
      <w:r>
        <w:t>abstract_source=pubmed</w:t>
      </w:r>
    </w:p>
    <w:p>
      <w:pPr>
        <w:spacing w:before="0" w:after="80" w:lineRule="auto" w:line="276"/>
      </w:pPr>
      <w:r>
        <w:rPr>
          <w:b/>
        </w:rPr>
        <w:t xml:space="preserve">摘要（ZH）: </w:t>
      </w:r>
      <w:r>
        <w:t>尽管高性能硅亚胺(SiR)近红外线(NIR)探针对活细胞成像和超分辨率显微镜具有优点,但通过荧光灯光成像器(FLAPs)在RNA成像中仍然很少使用高性能硅亚胺(SiR)探针。 在这里,我们通过一种综合进化方法开发了SiRuS:SiR-5系统:通过荧光活化细胞分类(FACS)使吸气器演化,同时有目标的突变、电流和合理设计,并通过系统的化学衍生来改进染色。这导致了一种有高含氟性和可光性(dye ) 的Aptamer:dye对,专门优化了哺乳动物活细胞中RNA的可视化性。我们的系统展示了活细胞成像的强强的荧光增强,使衰变成成能得以时间解成像。</w:t>
      </w:r>
    </w:p>
    <w:p>
      <w:pPr>
        <w:spacing w:before="0" w:after="200" w:lineRule="auto" w:line="276"/>
      </w:pPr>
      <w:r>
        <w:rPr>
          <w:b/>
        </w:rPr>
        <w:t xml:space="preserve">Abstract (EN): </w:t>
      </w:r>
      <w:r>
        <w:t>Despite their advantageous properties for live-cell imaging and super-resolution microscopy, high-performance silicon rhodamine (SiR) near-infrared (NIR) probes are still rarely employed in RNA imaging via fluorescent light-up aptamers (FLAPs). Here, we developed the SiRiuS:SiR-5 system through a combined evolutionary approach: evolving the aptamer via fluorescence-activated cell sorting (FACS), along with targeted mutations, truncations, and rational design, and improvement of the dye by systematic chemical derivatization. This resulted in an aptamer:dye pair with high fluorogenicity and photostability, specifically optimized for visualization of RNAs in mammalian live cells. Our system demonstrates strong fluorescence enhancement in live-cell imaging, enabling time-resolved imaging of dynamic processes such as stress-granule formation. Notably, we validate its application in STED super-resolution microscopy, establishing it as a powerful NIR imaging platform for RNA structures below the diffraction limit. Its orthogonality to existing FLAPs operating in the yellow-orange spectrum further broadens its versatility for exploring complex RNA dynamics in live cells.</w:t>
      </w:r>
    </w:p>
    <w:p>
      <w:pPr>
        <w:spacing w:before="120" w:after="120"/>
      </w:pPr>
      <w:r>
        <w:rPr>
          <w:sz w:val="18"/>
        </w:rPr>
        <w:t>——————————————————————————————————————————————————————————————————————</w:t>
      </w:r>
    </w:p>
    <w:p>
      <w:pPr>
        <w:spacing w:before="160" w:after="40" w:line="240" w:lineRule="auto"/>
      </w:pPr>
      <w:r>
        <w:rPr>
          <w:b/>
        </w:rPr>
        <w:t xml:space="preserve">[419] </w:t>
      </w:r>
      <w:hyperlink r:id="rId664">
        <w:r>
          <w:rPr>
            <w:color w:val="1155CC"/>
            <w:u w:val="single"/>
          </w:rPr>
          <w:t>[ASAP] N-Hydroxyphthalimide Esters与使用内细胞同质减低剂的亚里基甲基溴的交叉分营养联结</w:t>
        </w:r>
      </w:hyperlink>
    </w:p>
    <w:p>
      <w:pPr>
        <w:spacing w:before="0" w:after="80"/>
      </w:pPr>
      <w:r>
        <w:rPr>
          <w:i/>
          <w:sz w:val="20"/>
        </w:rPr>
        <w:t>EN: [ASAP] Cross-Electrophile Coupling of N-Hydroxyphthalimide Esters with Aryl Bromides Using an Inner-Sphere Homogeneous Reductant</w:t>
      </w:r>
    </w:p>
    <w:p>
      <w:pPr>
        <w:spacing w:before="0" w:after="120"/>
      </w:pPr>
      <w:r>
        <w:rPr>
          <w:b/>
        </w:rPr>
        <w:t xml:space="preserve">Source: </w:t>
      </w:r>
      <w:r>
        <w:t>Journal of the American Chemical Society: Latest Articles (ACS Publications)</w:t>
      </w:r>
      <w:r>
        <w:t xml:space="preserve">    </w:t>
      </w:r>
      <w:r>
        <w:rPr>
          <w:b/>
        </w:rPr>
        <w:t xml:space="preserve">Pub date: </w:t>
      </w:r>
      <w:r>
        <w:t>2026-01-08 09:55:38+00:00</w:t>
      </w:r>
      <w:r>
        <w:t xml:space="preserve">    </w:t>
      </w:r>
      <w:r>
        <w:rPr>
          <w:b/>
        </w:rPr>
        <w:t xml:space="preserve">DOI: </w:t>
      </w:r>
      <w:hyperlink r:id="rId665">
        <w:r>
          <w:rPr>
            <w:color w:val="1155CC"/>
            <w:u w:val="single"/>
          </w:rPr>
          <w:t>10.1021/jacs.5c18451</w:t>
        </w:r>
      </w:hyperlink>
    </w:p>
    <w:p>
      <w:pPr>
        <w:spacing w:before="0" w:after="120"/>
      </w:pPr>
      <w:r>
        <w:rPr>
          <w:b/>
        </w:rPr>
        <w:t xml:space="preserve">Notes: </w:t>
      </w:r>
      <w:r>
        <w:t>abstract_source=pubmed</w:t>
      </w:r>
    </w:p>
    <w:p>
      <w:pPr>
        <w:spacing w:before="0" w:after="80" w:lineRule="auto" w:line="276"/>
      </w:pPr>
      <w:r>
        <w:rPr>
          <w:b/>
        </w:rPr>
        <w:t xml:space="preserve">摘要（ZH）: </w:t>
      </w:r>
      <w:r>
        <w:t>在有机合成中最近越来越多地使用C(sp2)-C(sp3)债券,而将丙烯基溴和碘化物与N-氢氧二氟硫化物(NHP)酯(NHP)酯的跨子营养联结,提供了形成C(sp2)-C(sp3)债券的宝贵战略,然而,开发一种广泛适用的方法仍然具有挑战性,特别是在富电子的丙烯基溴方面,这往往要求电子化学工具或富电子的NHP衍生物取得成功。在这里,我们报告了有助于克服应对这一挑战的关键限制的新条件,并提供了广泛的再活动范围,而不需要专门硬件。成功的关键是确定一种新的 XEC同质再处理剂的一般类别:1,4-二(jal-kylill)二氢化管(Si-DHP),这些再排放剂将镍(II)减到镍(0)比其他的更快。</w:t>
      </w:r>
    </w:p>
    <w:p>
      <w:pPr>
        <w:spacing w:before="0" w:after="200" w:lineRule="auto" w:line="276"/>
      </w:pPr>
      <w:r>
        <w:rPr>
          <w:b/>
        </w:rPr>
        <w:t xml:space="preserve">Abstract (EN): </w:t>
      </w:r>
      <w:r>
        <w:t>Cross-electrophile coupling of aryl bromides and iodides with N-hydroxyphthalimide (NHP) esters offers a valuable strategy for forming C(sp2)-C(sp3) bonds that has recently seen increasing use in organic synthesis. However, developing a broadly applicable method remains challenging, particularly with electron-rich aryl bromides, often requiring electrochemical tools or electron-rich NHP derivatives to succeed. Here, we report new conditions that help overcome key limitations in solving this challenge and provide a broad scope of reactivity without the need for specialized hardware. Key to success is the identification of a new general class of homogeneous reductants for XEC: 1,4-bis(trialkylsilyl)dihydropiperazines (Si-DHP). These reductants reduce nickel(II) to nickel(0) faster than other common reductants and can be tuned by modifying the silicon substituents and the substitution pattern on the dihydropiperazine ring. We found that 1,4-bis(trimethylsilyl)dihydropiperazine (TMS-DHP) and 1,4-bis(trimethylsilyl)-2,3,5,6-tetramethyldihydropiperazine (TMS-Me4DHP) are the most useful. The improved scope is demonstrated with a broad set of NHP esters and aryl bromides relevant to medicinal chemistry, including drug-like aryl bromide informers and comparisons to existing methodologies. Finally, these homogeneous reductants work well in a variety of solvents, addressing several long-standing issues for small- and large-scale applications.</w:t>
      </w:r>
    </w:p>
    <w:p>
      <w:pPr>
        <w:spacing w:before="120" w:after="120"/>
      </w:pPr>
      <w:r>
        <w:rPr>
          <w:sz w:val="18"/>
        </w:rPr>
        <w:t>——————————————————————————————————————————————————————————————————————</w:t>
      </w:r>
    </w:p>
    <w:p>
      <w:pPr>
        <w:spacing w:before="160" w:after="40" w:line="240" w:lineRule="auto"/>
      </w:pPr>
      <w:r>
        <w:rPr>
          <w:b/>
        </w:rPr>
        <w:t xml:space="preserve">[420] </w:t>
      </w:r>
      <w:hyperlink r:id="rId666">
        <w:r>
          <w:rPr>
            <w:color w:val="1155CC"/>
            <w:u w:val="single"/>
          </w:rPr>
          <w:t>[ASAP]当地pH对CO2电解器中产品成形的温度依赖性产生的当地pH效应</w:t>
        </w:r>
      </w:hyperlink>
    </w:p>
    <w:p>
      <w:pPr>
        <w:spacing w:before="0" w:after="80"/>
      </w:pPr>
      <w:r>
        <w:rPr>
          <w:i/>
          <w:sz w:val="20"/>
        </w:rPr>
        <w:t>EN: [ASAP] Local pH Effects on the Temperature Dependence of Product Formation in CO2 Electrolyzers</w:t>
      </w:r>
    </w:p>
    <w:p>
      <w:pPr>
        <w:spacing w:before="0" w:after="120"/>
      </w:pPr>
      <w:r>
        <w:rPr>
          <w:b/>
        </w:rPr>
        <w:t xml:space="preserve">Source: </w:t>
      </w:r>
      <w:r>
        <w:t>Journal of the American Chemical Society: Latest Articles (ACS Publications)</w:t>
      </w:r>
      <w:r>
        <w:t xml:space="preserve">    </w:t>
      </w:r>
      <w:r>
        <w:rPr>
          <w:b/>
        </w:rPr>
        <w:t xml:space="preserve">Pub date: </w:t>
      </w:r>
      <w:r>
        <w:t>2026-01-08 10:49:28+00:00</w:t>
      </w:r>
      <w:r>
        <w:t xml:space="preserve">    </w:t>
      </w:r>
      <w:r>
        <w:rPr>
          <w:b/>
        </w:rPr>
        <w:t xml:space="preserve">DOI: </w:t>
      </w:r>
      <w:hyperlink r:id="rId667">
        <w:r>
          <w:rPr>
            <w:color w:val="1155CC"/>
            <w:u w:val="single"/>
          </w:rPr>
          <w:t>10.1021/jacs.5c20444</w:t>
        </w:r>
      </w:hyperlink>
    </w:p>
    <w:p>
      <w:pPr>
        <w:spacing w:before="0" w:after="120"/>
      </w:pPr>
      <w:r>
        <w:rPr>
          <w:b/>
        </w:rPr>
        <w:t xml:space="preserve">Notes: </w:t>
      </w:r>
      <w:r>
        <w:t>abstract_source=pubmed</w:t>
      </w:r>
    </w:p>
    <w:p>
      <w:pPr>
        <w:spacing w:before="0" w:after="80" w:lineRule="auto" w:line="276"/>
      </w:pPr>
      <w:r>
        <w:rPr>
          <w:b/>
        </w:rPr>
        <w:t xml:space="preserve">摘要（ZH）: </w:t>
      </w:r>
      <w:r>
        <w:t>大型CO2电解器很可能在高温下运行,但温度对铜催化剂附近的微环境的微环境的影响基本上不为人所知。在这项工作中,我们使用Confocal Raman光谱分析法来揭示当地pH是在高温减少CO2减少期间控制产品形成的关键参数。我们发现,温度升高导致pH梯度升高,在较短的边界层上,表层和体积的pH值差异大于表层和体积的pH值差异。在 -0.6 V 时,75 °C 时的表层和体积pH值差异为1.8个单位,高于仅温度影响在25 °C时的单位。这些结果表明,在高温下运行的大多数CO2电解器都是在比以前更多的碱性微环境条件下评估的。</w:t>
      </w:r>
    </w:p>
    <w:p>
      <w:pPr>
        <w:spacing w:before="0" w:after="200" w:lineRule="auto" w:line="276"/>
      </w:pPr>
      <w:r>
        <w:rPr>
          <w:b/>
        </w:rPr>
        <w:t xml:space="preserve">Abstract (EN): </w:t>
      </w:r>
      <w:r>
        <w:t>Large-scale CO2 electrolyzers will likely operate at elevated temperatures, but the effect of temperature on the microenvironment near copper catalysts is largely unknown. In this work, we use confocal Raman spectroscopy to reveal that the local pH is a critical parameter controlling product formation during CO2 reduction at elevated temperatures. We found that higher temperatures lead to stronger pH gradients consisting of greater surface to bulk pH differences over shorter boundary layers. At -0.6 V, the surface to bulk pH difference at 75 °C was 1.8 units higher than that at 25 °C just from the effect of temperature alone. These results imply that most CO2 electrolyzers operating at elevated temperatures were evaluated under much more alkaline microenvironment conditions than previously conjectured at 25 °C. Correlation between surface pH and product analysis shows that a high surface pH (9.9) is beneficial for multicarbon products formation below 45 °C. However, above 55 °C when the surface pH (10.3) becomes too high due to increased surface-bound hydrogen coverage, hydrogenation of C1 intermediates is favored, thus compromising carbon-carbon coupling toward C2+ products.</w:t>
      </w:r>
    </w:p>
    <w:p>
      <w:pPr>
        <w:spacing w:before="120" w:after="120"/>
      </w:pPr>
      <w:r>
        <w:rPr>
          <w:sz w:val="18"/>
        </w:rPr>
        <w:t>——————————————————————————————————————————————————————————————————————</w:t>
      </w:r>
    </w:p>
    <w:p>
      <w:pPr>
        <w:spacing w:before="160" w:after="40" w:line="240" w:lineRule="auto"/>
      </w:pPr>
      <w:r>
        <w:rPr>
          <w:b/>
        </w:rPr>
        <w:t xml:space="preserve">[421] </w:t>
      </w:r>
      <w:hyperlink r:id="rId668">
        <w:r>
          <w:rPr>
            <w:color w:val="1155CC"/>
            <w:u w:val="single"/>
          </w:rPr>
          <w:t>[ASAP] 减少电化CO2中Mn(bpy)CO3Br 的机理-依赖氧氧容忍</w:t>
        </w:r>
      </w:hyperlink>
    </w:p>
    <w:p>
      <w:pPr>
        <w:spacing w:before="0" w:after="80"/>
      </w:pPr>
      <w:r>
        <w:rPr>
          <w:i/>
          <w:sz w:val="20"/>
        </w:rPr>
        <w:t>EN: [ASAP] Mechanism-Dependent Oxygen Tolerance of Mn(bpy)CO3Br in Electrochemical CO2 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2026-01-08 11:50:27+00:00</w:t>
      </w:r>
      <w:r>
        <w:t xml:space="preserve">    </w:t>
      </w:r>
      <w:r>
        <w:rPr>
          <w:b/>
        </w:rPr>
        <w:t xml:space="preserve">DOI: </w:t>
      </w:r>
      <w:hyperlink r:id="rId669">
        <w:r>
          <w:rPr>
            <w:color w:val="1155CC"/>
            <w:u w:val="single"/>
          </w:rPr>
          <w:t>10.1021/jacs.5c17737</w:t>
        </w:r>
      </w:hyperlink>
    </w:p>
    <w:p>
      <w:pPr>
        <w:spacing w:before="0" w:after="120"/>
      </w:pPr>
      <w:r>
        <w:rPr>
          <w:b/>
        </w:rPr>
        <w:t xml:space="preserve">Notes: </w:t>
      </w:r>
      <w:r>
        <w:t>abstract_source=pubmed</w:t>
      </w:r>
    </w:p>
    <w:p>
      <w:pPr>
        <w:spacing w:before="0" w:after="80" w:lineRule="auto" w:line="276"/>
      </w:pPr>
      <w:r>
        <w:rPr>
          <w:b/>
        </w:rPr>
        <w:t xml:space="preserve">摘要（ZH）: </w:t>
      </w:r>
      <w:r>
        <w:t>直接空气捕获(DAC)CO2含有高达10%的氧作为杂质,这是电化学CO2减少反应(CO2RR)的真诚竞争者,因为它有利于热动力学。在最好的情况下,相互竞争的O2减少反应(ORR)导致CO2RR的法拉达效率降低,在最坏的情况下,产生反应性氧种(ROS)导致催化剂退化。为了绕过这种相互竞争的反应,需要一种具有CO2RR动力优势的催化剂。然而,在稀释或不洁净的条件下,很少探索最先进的CO2减少催化剂。</w:t>
      </w:r>
    </w:p>
    <w:p>
      <w:pPr>
        <w:spacing w:before="0" w:after="200" w:lineRule="auto" w:line="276"/>
      </w:pPr>
      <w:r>
        <w:rPr>
          <w:b/>
        </w:rPr>
        <w:t xml:space="preserve">Abstract (EN): </w:t>
      </w:r>
      <w:r>
        <w:t>CO2 capture and utilization require the development of highly selective catalysts that convert low-concentration CO2 into valuable chemicals. Direct air capture (DAC) CO2 contains up to 10% of oxygen as an impurity, which is a sincere competitor to the electrochemical CO2 reduction reaction (CO2RR) due to its favorable thermodynamics. In the best case, the competing O2 reduction reaction (ORR) leads to lower Faradaic efficiencies of the CO2RR, and in the worst case, reactive oxygen species (ROS) are generated that lead to catalyst degradation. To circumvent this competing reaction, a catalyst featuring a kinetic advantage for the CO2RR is required. However, state-of-the-art CO2 reduction catalysts are rarely explored under dilute or impure conditions. Herein, we investigate the intrinsic reactivity of a homogeneous manganese-based CO2RR catalyst under DAC-mimicking conditions. Depending on reaction conditions, the catalyst can follow two different mechanisms, which selectively form either CO or formic acid (FA). The oxygen tolerance of the catalyst was found to be dependent on the reaction mechanism: the first step of the CO selective mechanism is CO2 binding, which is faster than O2 binding, leading to an intrinsically oxygen-tolerant mechanism; however, the formic acid selective mechanism goes via a manganese-hydride intermediate, which facilitates competing ORR at the metal center.</w:t>
      </w:r>
    </w:p>
    <w:p>
      <w:pPr>
        <w:spacing w:before="120" w:after="120"/>
      </w:pPr>
      <w:r>
        <w:rPr>
          <w:sz w:val="18"/>
        </w:rPr>
        <w:t>——————————————————————————————————————————————————————————————————————</w:t>
      </w:r>
    </w:p>
    <w:p>
      <w:pPr>
        <w:spacing w:before="160" w:after="40" w:line="240" w:lineRule="auto"/>
      </w:pPr>
      <w:r>
        <w:rPr>
          <w:b/>
        </w:rPr>
        <w:t xml:space="preserve">[422] </w:t>
      </w:r>
      <w:hyperlink r:id="rId670">
        <w:r>
          <w:rPr>
            <w:color w:val="1155CC"/>
            <w:u w:val="single"/>
          </w:rPr>
          <w:t>[ASAP] 一个空间控制的DNA,以Origami为主的消除精确肿瘤T-Cell群集参与者</w:t>
        </w:r>
      </w:hyperlink>
    </w:p>
    <w:p>
      <w:pPr>
        <w:spacing w:before="0" w:after="80"/>
      </w:pPr>
      <w:r>
        <w:rPr>
          <w:i/>
          <w:sz w:val="20"/>
        </w:rPr>
        <w:t>EN: [ASAP] A Spatially Controllable DNA Origami-Based T-Cell Cluster Engager for Precise Tumor Elimination</w:t>
      </w:r>
    </w:p>
    <w:p>
      <w:pPr>
        <w:spacing w:before="0" w:after="120"/>
      </w:pPr>
      <w:r>
        <w:rPr>
          <w:b/>
        </w:rPr>
        <w:t xml:space="preserve">Source: </w:t>
      </w:r>
      <w:r>
        <w:t>Journal of the American Chemical Society: Latest Articles (ACS Publications)</w:t>
      </w:r>
      <w:r>
        <w:t xml:space="preserve">    </w:t>
      </w:r>
      <w:r>
        <w:rPr>
          <w:b/>
        </w:rPr>
        <w:t xml:space="preserve">Pub date: </w:t>
      </w:r>
      <w:r>
        <w:t>2026-01-08 11:51:20+00:00</w:t>
      </w:r>
      <w:r>
        <w:t xml:space="preserve">    </w:t>
      </w:r>
      <w:r>
        <w:rPr>
          <w:b/>
        </w:rPr>
        <w:t xml:space="preserve">DOI: </w:t>
      </w:r>
      <w:hyperlink r:id="rId671">
        <w:r>
          <w:rPr>
            <w:color w:val="1155CC"/>
            <w:u w:val="single"/>
          </w:rPr>
          <w:t>10.1021/jacs.5c19678</w:t>
        </w:r>
      </w:hyperlink>
    </w:p>
    <w:p>
      <w:pPr>
        <w:spacing w:before="0" w:after="120"/>
      </w:pPr>
      <w:r>
        <w:rPr>
          <w:b/>
        </w:rPr>
        <w:t xml:space="preserve">Notes: </w:t>
      </w:r>
      <w:r>
        <w:t>abstract_source=pubmed</w:t>
      </w:r>
    </w:p>
    <w:p>
      <w:pPr>
        <w:spacing w:before="0" w:after="80" w:lineRule="auto" w:line="276"/>
      </w:pPr>
      <w:r>
        <w:rPr>
          <w:b/>
        </w:rPr>
        <w:t xml:space="preserve">摘要（ZH）: </w:t>
      </w:r>
      <w:r>
        <w:t>T细胞组合疗法是免疫-肿瘤学中的一种尖端方法,它利用免疫系统的力量来防治癌症。尽管它有希望,但与功效和安全有关的挑战限制了其更广泛的临床应用。这里我们介绍SpTCE,这是一个空间控制的T细胞集群参与者SpTCE,一个基于DNA折纸技术的空间可控T细胞集群参与者SpTCE。SpTCE有一个优雅的双层结构结构,建筑在DNA折纸底底部上。内功能层设计用来组织多种多价、多价、多价、有抗体作用的抗体和辅助手触手的股,共同加强T细胞集聚和激活。外防护层将聚集域与i-motif开关融合在一起,形成一种PH-响应的相形外衣,发挥两种功能:孤立内侧</w:t>
      </w:r>
    </w:p>
    <w:p>
      <w:pPr>
        <w:spacing w:before="0" w:after="200" w:lineRule="auto" w:line="276"/>
      </w:pPr>
      <w:r>
        <w:rPr>
          <w:b/>
        </w:rPr>
        <w:t xml:space="preserve">Abstract (EN): </w:t>
      </w:r>
      <w:r>
        <w:t>T cell-engaging therapy represents a cutting-edge approach in immuno-oncology that harnesses the power of the immune system to combat cancer. Despite its promise, challenges related to efficacy and safety limit its broader clinical application. Here we introduce SpTCE, a spatially controllable T-cell cluster engager based on DNA origami technology. SpTCE features an elegant two-layer architecture built on a DNA origami chassis. The inner functional layer is engineered to organize multiple, multivalent engaging antibodies and complementary hand-in-hand strands, which work together to enhance T-cell clustering and activation. The outer shielding layer integrates albumin binding domains with i-motif switches, which form a pH-responsive albumin coat and serve two functions: isolating the inner layer from healthy tissues and improving the structural stability of the DNA origami through an albumin coat. We validate acidic pH-triggered, specific T-cell cytotoxicity of SpTCE against tumor cells in vitro and observe the substantial intratumoral accumulation and improved physiological stability in vivo. As a proof of concept, we show that SpTCE effectively redirects T cells to eliminate tumors with high specificity and a more favorable off-tumor toxicity profile than a clinical-stage bispecific T cell engager. Collectively, these findings highlight the potential of SpTCE as a promising T-cell engager, offering precise control over T-cell activation while balancing efficacy and safety, and expanding the possibilities for advanced immuno-oncology treatments.</w:t>
      </w:r>
    </w:p>
    <w:p>
      <w:pPr>
        <w:spacing w:before="120" w:after="120"/>
      </w:pPr>
      <w:r>
        <w:rPr>
          <w:sz w:val="18"/>
        </w:rPr>
        <w:t>——————————————————————————————————————————————————————————————————————</w:t>
      </w:r>
    </w:p>
    <w:p>
      <w:pPr>
        <w:spacing w:before="160" w:after="40" w:line="240" w:lineRule="auto"/>
      </w:pPr>
      <w:r>
        <w:rPr>
          <w:b/>
        </w:rPr>
        <w:t xml:space="preserve">[423] </w:t>
      </w:r>
      <w:hyperlink r:id="rId672">
        <w:r>
          <w:rPr>
            <w:color w:val="1155CC"/>
            <w:u w:val="single"/>
          </w:rPr>
          <w:t>[ASAP] H+ Ions 和 APTP 重组 RNA 识别摩蒂夫的构造景观并规范其纤维</w:t>
        </w:r>
      </w:hyperlink>
    </w:p>
    <w:p>
      <w:pPr>
        <w:spacing w:before="0" w:after="80"/>
      </w:pPr>
      <w:r>
        <w:rPr>
          <w:i/>
          <w:sz w:val="20"/>
        </w:rPr>
        <w:t>EN: [ASAP] H+ Ions and ATP Reshape the Conformational Landscape of an RNA Recognition Motif and Regulate Its Fibrillation</w:t>
      </w:r>
    </w:p>
    <w:p>
      <w:pPr>
        <w:spacing w:before="0" w:after="120"/>
      </w:pPr>
      <w:r>
        <w:rPr>
          <w:b/>
        </w:rPr>
        <w:t xml:space="preserve">Source: </w:t>
      </w:r>
      <w:r>
        <w:t>Journal of the American Chemical Society: Latest Articles (ACS Publications)</w:t>
      </w:r>
      <w:r>
        <w:t xml:space="preserve">    </w:t>
      </w:r>
      <w:r>
        <w:rPr>
          <w:b/>
        </w:rPr>
        <w:t xml:space="preserve">Pub date: </w:t>
      </w:r>
      <w:r>
        <w:t>2026-01-08 11:52:08+00:00</w:t>
      </w:r>
      <w:r>
        <w:t xml:space="preserve">    </w:t>
      </w:r>
      <w:r>
        <w:rPr>
          <w:b/>
        </w:rPr>
        <w:t xml:space="preserve">DOI: </w:t>
      </w:r>
      <w:hyperlink r:id="rId673">
        <w:r>
          <w:rPr>
            <w:color w:val="1155CC"/>
            <w:u w:val="single"/>
          </w:rPr>
          <w:t>10.1021/jacs.5c15374</w:t>
        </w:r>
      </w:hyperlink>
    </w:p>
    <w:p>
      <w:pPr>
        <w:spacing w:before="0" w:after="120"/>
      </w:pPr>
      <w:r>
        <w:rPr>
          <w:b/>
        </w:rPr>
        <w:t xml:space="preserve">Notes: </w:t>
      </w:r>
      <w:r>
        <w:t>abstract_source=pubmed</w:t>
      </w:r>
    </w:p>
    <w:p>
      <w:pPr>
        <w:spacing w:before="0" w:after="80" w:lineRule="auto" w:line="276"/>
      </w:pPr>
      <w:r>
        <w:rPr>
          <w:b/>
        </w:rPr>
        <w:t xml:space="preserve">摘要（ZH）: </w:t>
      </w:r>
      <w:r>
        <w:t>蛋白质作为动态集合体存在,其母体状态包括对其生理功能和参与疾病状态至关重要的对立分质子状态。 蛋白质在沙尔科马(FUS)中,是一种与神经退化性疾病(如亚亚营养性横向硬化(ALS)和前时性失常(FTD))相关的RNA结合蛋白质,含有一种RNA识别 motif(RRM),已知该物质形成纤维纤维体综合体。这里,我们利用先进的NMR技术,特别是15N化学交换饱和转移和肝核对地放松分散实验,调查FUS-RIM在其母体状态中的异质性塑性,以捕捉慢速微秒(μ)时间尺度的动态。我们进一步研究PH等环境因素的影响。</w:t>
      </w:r>
    </w:p>
    <w:p>
      <w:pPr>
        <w:spacing w:before="0" w:after="200" w:lineRule="auto" w:line="276"/>
      </w:pPr>
      <w:r>
        <w:rPr>
          <w:b/>
        </w:rPr>
        <w:t xml:space="preserve">Abstract (EN): </w:t>
      </w:r>
      <w:r>
        <w:t>Proteins exist as dynamic ensembles, with their native states comprising interconverting conformational substates critical to their physiological functions and participation in disease states. Fused in sarcoma (FUS), an RNA-binding protein implicated in neurodegenerative diseases, such as amyotrophic lateral sclerosis (ALS) and frontotemporal dementia (FTD), contains an RNA recognition motif (RRM) known to form fibrillar aggregates. Here, we investigate the conformational plasticity of FUS-RRM in its native state using advanced NMR techniques, particularly 15N chemical exchange saturation transfer and heteronuclear adiabatic relaxation dispersion experiments, to capture slow and fast microsecond (μs) time scale dynamics. We further examine the influence of environmental factors such as pH and ATP on the conformational plasticity and the aggregation behavior of FUS-RRM. Our findings show that both ATP and pH perturb the fast and slow μs time scale dynamics of FUS-RRM and thus the aggregation behavior. Specifically, a contrasting effect of ATP on slow and fast μs-ms dynamics at pH 6.4 and 4.6, along with the corresponding changes in aggregation behavior, suggests a complex relationship among ATP, pH, and protein aggregation kinetics. The study suggests that these environmental perturbations behave as kinetic regulators of FUS-RRM's propensity for aggregation.</w:t>
      </w:r>
    </w:p>
    <w:p>
      <w:pPr>
        <w:spacing w:before="120" w:after="120"/>
      </w:pPr>
      <w:r>
        <w:rPr>
          <w:sz w:val="18"/>
        </w:rPr>
        <w:t>——————————————————————————————————————————————————————————————————————</w:t>
      </w:r>
    </w:p>
    <w:p>
      <w:pPr>
        <w:spacing w:before="160" w:after="40" w:line="240" w:lineRule="auto"/>
      </w:pPr>
      <w:r>
        <w:rPr>
          <w:b/>
        </w:rPr>
        <w:t xml:space="preserve">[424] </w:t>
      </w:r>
      <w:hyperlink r:id="rId674">
        <w:r>
          <w:rPr>
            <w:color w:val="1155CC"/>
            <w:u w:val="single"/>
          </w:rPr>
          <w:t>[ASAP] 稳定可变面向中立立立立体的三氢化氢</w:t>
        </w:r>
      </w:hyperlink>
    </w:p>
    <w:p>
      <w:pPr>
        <w:spacing w:before="0" w:after="80"/>
      </w:pPr>
      <w:r>
        <w:rPr>
          <w:i/>
          <w:sz w:val="20"/>
        </w:rPr>
        <w:t>EN: [ASAP] Ambient Stabilization of Metastable Face-Centered Cubic Lanthanide Trihydrides</w:t>
      </w:r>
    </w:p>
    <w:p>
      <w:pPr>
        <w:spacing w:before="0" w:after="120"/>
      </w:pPr>
      <w:r>
        <w:rPr>
          <w:b/>
        </w:rPr>
        <w:t xml:space="preserve">Source: </w:t>
      </w:r>
      <w:r>
        <w:t>Journal of the American Chemical Society: Latest Articles (ACS Publications)</w:t>
      </w:r>
      <w:r>
        <w:t xml:space="preserve">    </w:t>
      </w:r>
      <w:r>
        <w:rPr>
          <w:b/>
        </w:rPr>
        <w:t xml:space="preserve">Pub date: </w:t>
      </w:r>
      <w:r>
        <w:t>2026-01-08 12:11:24+00:00</w:t>
      </w:r>
      <w:r>
        <w:t xml:space="preserve">    </w:t>
      </w:r>
      <w:r>
        <w:rPr>
          <w:b/>
        </w:rPr>
        <w:t xml:space="preserve">DOI: </w:t>
      </w:r>
      <w:hyperlink r:id="rId675">
        <w:r>
          <w:rPr>
            <w:color w:val="1155CC"/>
            <w:u w:val="single"/>
          </w:rPr>
          <w:t>10.1021/jacs.5c18028</w:t>
        </w:r>
      </w:hyperlink>
    </w:p>
    <w:p>
      <w:pPr>
        <w:spacing w:before="0" w:after="120"/>
      </w:pPr>
      <w:r>
        <w:rPr>
          <w:b/>
        </w:rPr>
        <w:t xml:space="preserve">Notes: </w:t>
      </w:r>
      <w:r>
        <w:t>abstract_source=pubmed</w:t>
      </w:r>
    </w:p>
    <w:p>
      <w:pPr>
        <w:spacing w:before="0" w:after="80" w:lineRule="auto" w:line="276"/>
      </w:pPr>
      <w:r>
        <w:rPr>
          <w:b/>
        </w:rPr>
        <w:t xml:space="preserve">摘要（ZH）: </w:t>
      </w:r>
      <w:r>
        <w:t>实现在极端条件下合成的氢丰富材料的环境稳定性仍然是释放其功能潜力的一个主要障碍。在这里,我们报告使用大量压量(LVP)以稳定三氟氰化物(LnH3, Ln = Sm、Gd、Tb、Dy、Ho、Er和Tm)在环境条件下的三氢化氢化合物(LnH3, Ln = Sm、Gd、Tb、Dy、Ho、Er和Tm)的可溶性分量(fcc)阶段,使用大量压强高温(HPHPHT)一般高压高温(HPH)战略,以稳定三氟化氢化合物(Ln-LnH3化合物)在环境条件下的可变面向立立立立立立(fc-crnH3化合物)阶段。这些fcc阶段通常在消压后恢复为三质结构结构结构结构结构,保留下来的LnH2先质在氨泡沫中存在。</w:t>
      </w:r>
    </w:p>
    <w:p>
      <w:pPr>
        <w:spacing w:before="0" w:after="200" w:lineRule="auto" w:line="276"/>
      </w:pPr>
      <w:r>
        <w:rPr>
          <w:b/>
        </w:rPr>
        <w:t xml:space="preserve">Abstract (EN): </w:t>
      </w:r>
      <w:r>
        <w:t>Achieving ambient stability of hydrogen-rich materials synthesized under extreme conditions remains a major barrier to unlocking their functional potential. Here, we report a general high-pressure-high-temperature (HPHT) strategy using large volume press (LVP) to stabilize metastable face-centered cubic (fcc) phases of lanthanide trihydrides (LnH3, Ln = Sm, Gd, Tb, Dy, Ho, Er, and Tm) at ambient conditions. These fcc phases, which normally revert to trigonal structures upon decompression, are retained through controlled hydrogenation of LnH2 precursors in the presence of ammonia borane. Structural characterization confirms the successful recovery of seven fcc-LnH3 compounds, and systematic trends in lattice parameters and H-induced volume expansion are established across the lanthanide series. First-principles calculations reveal that these fcc phases are thermodynamically metastable, lying up to 70 meV/atom above the ground state, but dynamically stabilized at room temperature via strong anharmonic lattice vibrations. All fcc-LnH3 compounds are wide-bandgap semiconductors with paramagnetic behavior, in sharp contrast to the metallic superconductivity of clathrate superhydrides. Our findings deliver a broadly applicable synthesis route and expand the functionality of hydrogen-rich materials beyond superconductivity, setting a new benchmark for exploring their diverse electronic and magnetic states at ambient conditions.</w:t>
      </w:r>
    </w:p>
    <w:p>
      <w:pPr>
        <w:spacing w:before="120" w:after="120"/>
      </w:pPr>
      <w:r>
        <w:rPr>
          <w:sz w:val="18"/>
        </w:rPr>
        <w:t>——————————————————————————————————————————————————————————————————————</w:t>
      </w:r>
    </w:p>
    <w:p>
      <w:pPr>
        <w:spacing w:before="160" w:after="40" w:line="240" w:lineRule="auto"/>
      </w:pPr>
      <w:r>
        <w:rPr>
          <w:b/>
        </w:rPr>
        <w:t xml:space="preserve">[425] </w:t>
      </w:r>
      <w:hyperlink r:id="rId676">
        <w:r>
          <w:rPr>
            <w:color w:val="1155CC"/>
            <w:u w:val="single"/>
          </w:rPr>
          <w:t>[ASAP] 机械透视进入由Lattice Strain 进化而出且经Lattice Strain 进化而失灵的晶化</w:t>
        </w:r>
      </w:hyperlink>
    </w:p>
    <w:p>
      <w:pPr>
        <w:spacing w:before="0" w:after="80"/>
      </w:pPr>
      <w:r>
        <w:rPr>
          <w:i/>
          <w:sz w:val="20"/>
        </w:rPr>
        <w:t>EN: [ASAP] Mechanistic Insights into Defect-Mediated Crystallization Revealed by Lattice Strain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2026-01-08 13:56:49+00:00</w:t>
      </w:r>
      <w:r>
        <w:t xml:space="preserve">    </w:t>
      </w:r>
      <w:r>
        <w:rPr>
          <w:b/>
        </w:rPr>
        <w:t xml:space="preserve">DOI: </w:t>
      </w:r>
      <w:hyperlink r:id="rId677">
        <w:r>
          <w:rPr>
            <w:color w:val="1155CC"/>
            <w:u w:val="single"/>
          </w:rPr>
          <w:t>10.1021/jacs.5c11233</w:t>
        </w:r>
      </w:hyperlink>
    </w:p>
    <w:p>
      <w:pPr>
        <w:spacing w:before="0" w:after="120"/>
      </w:pPr>
      <w:r>
        <w:rPr>
          <w:b/>
        </w:rPr>
        <w:t xml:space="preserve">Notes: </w:t>
      </w:r>
      <w:r>
        <w:t>abstract_source=pubmed</w:t>
      </w:r>
    </w:p>
    <w:p>
      <w:pPr>
        <w:spacing w:before="0" w:after="80" w:lineRule="auto" w:line="276"/>
      </w:pPr>
      <w:r>
        <w:rPr>
          <w:b/>
        </w:rPr>
        <w:t xml:space="preserve">摘要（ZH）: </w:t>
      </w:r>
      <w:r>
        <w:t>许多晶晶材料都固有的结构缺陷和晶状菌株是许多晶状材料的固有体质缺陷和晶状菌株,但它们在控制化学反应机制和指导晶化路径方面的作用仍然不为人所知。 在这里,我们通过使用连贯的X射线散射、电子显微镜和分子模拟等方法,揭示出在纳米规模上,通过多式核聚核白石(BASO4)和钙石(CaCO3)晶体晶体(CaCO3)的生长过程中,纳米规模的菌株和失调缺陷的三维演变。 与巴氏石不同,巴氏体的内压力最小,卡岩形成脱形体缺陷,且在生长过程中呈现出空间上各异的压力。 在富集溶液的生长过程中,卡氏体很可能将Sr2+纳入缺陷中,从而进一步调节本地的花状结构并增加。</w:t>
      </w:r>
    </w:p>
    <w:p>
      <w:pPr>
        <w:spacing w:before="0" w:after="200" w:lineRule="auto" w:line="276"/>
      </w:pPr>
      <w:r>
        <w:rPr>
          <w:b/>
        </w:rPr>
        <w:t xml:space="preserve">Abstract (EN): </w:t>
      </w:r>
      <w:r>
        <w:t>Structural defects and lattice strain are intrinsic to many crystalline materials, yet their roles in controlling chemical reaction mechanisms and directing crystallization pathways remain poorly understood. Here, we revealed the three-dimensional evolution of strain and dislocation defects at the nanoscale during the growth of heterogeneously nucleated barite (BaSO4) and calcite (CaCO3) crystals by using coherent X-ray scattering, electron microscopy, and molecular simulations. Unlike barite, which formed with minimal internal strain, calcite developed dislocation defects and exhibited spatially varying strain that increased during growth. During growth in Sr-rich solutions, calcite likely incorporates Sr2+ into the defects, which further modulates the local lattice structure and increases both the compressive and tensile strain. These findings suggest that calcite crystallization was likely dominated by attachment of precursor phases, which gave rise to defect-enriched domain structures not predicted by classical growth models. By linking defect formation to ion incorporation and growth dynamics, this work provides fundamental insight into how lattice-level strain heterogeneity governs the chemical reactivity of ionic crystals.</w:t>
      </w:r>
    </w:p>
    <w:p>
      <w:pPr>
        <w:spacing w:before="120" w:after="120"/>
      </w:pPr>
      <w:r>
        <w:rPr>
          <w:sz w:val="18"/>
        </w:rPr>
        <w:t>——————————————————————————————————————————————————————————————————————</w:t>
      </w:r>
    </w:p>
    <w:p>
      <w:pPr>
        <w:spacing w:before="160" w:after="40" w:line="240" w:lineRule="auto"/>
      </w:pPr>
      <w:r>
        <w:rPr>
          <w:b/>
        </w:rPr>
        <w:t xml:space="preserve">[426] </w:t>
      </w:r>
      <w:hyperlink r:id="rId678">
        <w:r>
          <w:rPr>
            <w:color w:val="1155CC"/>
            <w:u w:val="single"/>
          </w:rPr>
          <w:t>[ASAP] 动物体内的Alkalob生物合成基因捆绑</w:t>
        </w:r>
      </w:hyperlink>
    </w:p>
    <w:p>
      <w:pPr>
        <w:spacing w:before="0" w:after="80"/>
      </w:pPr>
      <w:r>
        <w:rPr>
          <w:i/>
          <w:sz w:val="20"/>
        </w:rPr>
        <w:t>EN: [ASAP] An Alkaloid Biosynthetic Gene Bundle in Animals</w:t>
      </w:r>
    </w:p>
    <w:p>
      <w:pPr>
        <w:spacing w:before="0" w:after="120"/>
      </w:pPr>
      <w:r>
        <w:rPr>
          <w:b/>
        </w:rPr>
        <w:t xml:space="preserve">Source: </w:t>
      </w:r>
      <w:r>
        <w:t>Journal of the American Chemical Society: Latest Articles (ACS Publications)</w:t>
      </w:r>
      <w:r>
        <w:t xml:space="preserve">    </w:t>
      </w:r>
      <w:r>
        <w:rPr>
          <w:b/>
        </w:rPr>
        <w:t xml:space="preserve">Pub date: </w:t>
      </w:r>
      <w:r>
        <w:t>2026-01-08 14:04:50+00:00</w:t>
      </w:r>
      <w:r>
        <w:t xml:space="preserve">    </w:t>
      </w:r>
      <w:r>
        <w:rPr>
          <w:b/>
        </w:rPr>
        <w:t xml:space="preserve">DOI: </w:t>
      </w:r>
      <w:hyperlink r:id="rId679">
        <w:r>
          <w:rPr>
            <w:color w:val="1155CC"/>
            <w:u w:val="single"/>
          </w:rPr>
          <w:t>10.1021/jacs.5c18350</w:t>
        </w:r>
      </w:hyperlink>
    </w:p>
    <w:p>
      <w:pPr>
        <w:spacing w:before="0" w:after="120"/>
      </w:pPr>
      <w:r>
        <w:rPr>
          <w:b/>
        </w:rPr>
        <w:t xml:space="preserve">Notes: </w:t>
      </w:r>
      <w:r>
        <w:t>abstract_source=pubmed</w:t>
      </w:r>
    </w:p>
    <w:p>
      <w:pPr>
        <w:spacing w:before="0" w:after="80" w:lineRule="auto" w:line="276"/>
      </w:pPr>
      <w:r>
        <w:rPr>
          <w:b/>
        </w:rPr>
        <w:t xml:space="preserve">摘要（ZH）: </w:t>
      </w:r>
      <w:r>
        <w:t>藻类包括一些在科学和医学中使用的最具影响分子。 虽然植物藻类得到了很好的探索,但对于动物王国的多种生物活性藻类却知之甚少。为了解决这个问题,我们开发了一种计算方法来发现在染色体区域捆绑起来的基因,从而能够在没有事先知道什么可能涉及酶的情况下对非癌症生物合成基因组(BGCs)进行不可知的发现。这个方法适用于生产或生出或生出或生出或生出或产于相关微粒的海绵的海洋海绵,在产或生出或生成的海藻类中发现了36种BGC,其中只有一种(多)在所有物种中都发现了。许多这些基因组无视目前的BGC条,导致我们提出这一现象的“集合”名称。五种有机蛋白质是val 。</w:t>
      </w:r>
    </w:p>
    <w:p>
      <w:pPr>
        <w:spacing w:before="0" w:after="200" w:lineRule="auto" w:line="276"/>
      </w:pPr>
      <w:r>
        <w:rPr>
          <w:b/>
        </w:rPr>
        <w:t xml:space="preserve">Abstract (EN): </w:t>
      </w:r>
      <w:r>
        <w:t>Alkaloids include some of the most impactful molecules used in science and medicine. While plant alkaloids are well explored, much less is known about the diverse bioactive alkaloids from the animal kingdom. To solve this problem, we developed a computational method to discover genes that are bundled in chromosomal regions, enabling agnostic discovery of noncanonical biosynthetic gene clusters (BGCs) without prior knowledge of what enzymes might be involved. The method was applied to marine sponges that produce oroidin and related pyrrole-imidazole alkaloids, uncovering 36 BGCs in oroidin-producing sponges, only one of which (oro) was found in all species. Many of these clusters defy current BGC dogma, leading us to suggest the name "bundles" for this phenomenon. Five oro proteins were validated in biochemical assays. oro consists of orthologs of common, animal-specific primary metabolic genes that have been collected in one chromosomal region and repurposed for alkaloid biosynthesis. This provides a roadmap to accelerate the development of oroidins and the countless other unique natural products found in the animal kingdom.</w:t>
      </w:r>
    </w:p>
    <w:p>
      <w:pPr>
        <w:spacing w:before="120" w:after="120"/>
      </w:pPr>
      <w:r>
        <w:rPr>
          <w:sz w:val="18"/>
        </w:rPr>
        <w:t>——————————————————————————————————————————————————————————————————————</w:t>
      </w:r>
    </w:p>
    <w:p>
      <w:pPr>
        <w:spacing w:before="160" w:after="40" w:line="240" w:lineRule="auto"/>
      </w:pPr>
      <w:r>
        <w:rPr>
          <w:b/>
        </w:rPr>
        <w:t xml:space="preserve">[427] </w:t>
      </w:r>
      <w:hyperlink r:id="rId680">
        <w:r>
          <w:rPr>
            <w:color w:val="1155CC"/>
            <w:u w:val="single"/>
          </w:rPr>
          <w:t>冷冻溶剂 自由环境 压力 驱动 MXene Aerogels</w:t>
        </w:r>
      </w:hyperlink>
    </w:p>
    <w:p>
      <w:pPr>
        <w:spacing w:before="0" w:after="80"/>
      </w:pPr>
      <w:r>
        <w:rPr>
          <w:i/>
          <w:sz w:val="20"/>
        </w:rPr>
        <w:t>EN: Hydrophobic Interaction‐Directed Solvent‐Free Ambient‐Pressure‐Dried MXene Aerogels</w:t>
      </w:r>
    </w:p>
    <w:p>
      <w:pPr>
        <w:spacing w:before="0" w:after="120"/>
      </w:pPr>
      <w:r>
        <w:rPr>
          <w:b/>
        </w:rPr>
        <w:t xml:space="preserve">Source: </w:t>
      </w:r>
      <w:r>
        <w:t>Wiley: Advanced Materials: Table of Contents</w:t>
      </w:r>
      <w:r>
        <w:t xml:space="preserve">    </w:t>
      </w:r>
      <w:r>
        <w:rPr>
          <w:b/>
        </w:rPr>
        <w:t xml:space="preserve">Pub date: </w:t>
      </w:r>
      <w:r>
        <w:t>2026-01-08 14:22:12+00:00</w:t>
      </w:r>
      <w:r>
        <w:t xml:space="preserve">    </w:t>
      </w:r>
      <w:r>
        <w:rPr>
          <w:b/>
        </w:rPr>
        <w:t xml:space="preserve">DOI: </w:t>
      </w:r>
      <w:hyperlink r:id="rId681">
        <w:r>
          <w:rPr>
            <w:color w:val="1155CC"/>
            <w:u w:val="single"/>
          </w:rPr>
          <w:t>10.1002/adma.202514667</w:t>
        </w:r>
      </w:hyperlink>
    </w:p>
    <w:p>
      <w:pPr>
        <w:spacing w:before="0" w:after="120"/>
      </w:pPr>
      <w:r>
        <w:rPr>
          <w:b/>
        </w:rPr>
        <w:t xml:space="preserve">Notes: </w:t>
      </w:r>
      <w:r>
        <w:t>abstract_source=crossref</w:t>
      </w:r>
    </w:p>
    <w:p>
      <w:pPr>
        <w:spacing w:before="0" w:after="80" w:lineRule="auto" w:line="276"/>
      </w:pPr>
      <w:r>
        <w:rPr>
          <w:b/>
        </w:rPr>
        <w:t xml:space="preserve">摘要（ZH）: </w:t>
      </w:r>
      <w:r>
        <w:t>多功能MXene气凝胶(APD)的ABSTACT可缩放溶溶剂无环境压力干燥(APD)仍然具有巨大的挑战性。我们展示了MXene、Chitosan(CS)和Ntutaradaldhyd(GA)之间的一种水离子互动定向组装战略,用可编程的氢离子体机能改造气凝胶。CS有选择地减少CS地雷组抑制无溶解的APD的阴道阻力,在常规MXene气凝胶上产生4,477%的压缩强度增强。组合调制能提供可转换的电磁功能:25.6 wt.% CS产生76 dB微波屏蔽效果,67.4 wt.%产生6.4 GHz宽带微波吸收效果,这与最好的MXene aegel相仿。ADPMXene Aerogel进一步展示了Exc。</w:t>
      </w:r>
    </w:p>
    <w:p>
      <w:pPr>
        <w:spacing w:before="0" w:after="200" w:lineRule="auto" w:line="276"/>
      </w:pPr>
      <w:r>
        <w:rPr>
          <w:b/>
        </w:rPr>
        <w:t xml:space="preserve">Abstract (EN): </w:t>
      </w:r>
      <w:r>
        <w:t>Scalable solvent‐free ambient‐pressure drying (APD) of robust multifunctional MXene aerogels remains significantly challenging. We present a hydrophobic interaction‐directed assembly strategy among MXene, chitosan (CS), and glutaraldehyde (GA) to engineer aerogels with programmable hydrophobicity‐mechanics. Selective reduction of CS amine groups suppresses capillary forces upon solvent‐free APD, yielding 4,477% compressive strength enhancement over conventional MXene aerogels. Composition tuning delivers switchable electromagnetic functionality: 25.6 wt.% CS generates a 76 dB microwave shielding effectiveness, while 67.4 wt.% yields a 6.4 GHz broadband microwave absorption, which is comparable to the best MXene aerogels. The APD MXene aerogels further exhibit exceptional thermal protection, characterized by a record‐high limiting oxygen index of 60%, outstanding thermal insulation, reliable structural integrity at elevated temperatures, and a high‐efficiency early fire‐warning capability, outperforming previously reported nanostructured monoliths. This work offers a general, scalable, and solvent‐free route for assembling MXene and other nonstructured aerogels with integrated mechanics and functionalities, advancing their application in aerospace and energy systems.</w:t>
      </w:r>
    </w:p>
    <w:p>
      <w:pPr>
        <w:spacing w:before="120" w:after="120"/>
      </w:pPr>
      <w:r>
        <w:rPr>
          <w:sz w:val="18"/>
        </w:rPr>
        <w:t>——————————————————————————————————————————————————————————————————————</w:t>
      </w:r>
    </w:p>
    <w:p>
      <w:pPr>
        <w:spacing w:before="160" w:after="40" w:line="240" w:lineRule="auto"/>
      </w:pPr>
      <w:r>
        <w:rPr>
          <w:b/>
        </w:rPr>
        <w:t xml:space="preserve">[428] </w:t>
      </w:r>
      <w:hyperlink r:id="rId682">
        <w:r>
          <w:rPr>
            <w:color w:val="1155CC"/>
            <w:u w:val="single"/>
          </w:rPr>
          <w:t>高效液态氯化物结构(I)</w:t>
        </w:r>
      </w:hyperlink>
    </w:p>
    <w:p>
      <w:pPr>
        <w:spacing w:before="0" w:after="80"/>
      </w:pPr>
      <w:r>
        <w:rPr>
          <w:i/>
          <w:sz w:val="20"/>
        </w:rPr>
        <w:t>EN: Acid‐Programmed Generation of Coordination, Ionic, and All‐In‐One Cu(I) Chloride Architectures with Highly Efficient Luminescence</w:t>
      </w:r>
    </w:p>
    <w:p>
      <w:pPr>
        <w:spacing w:before="0" w:after="120"/>
      </w:pPr>
      <w:r>
        <w:rPr>
          <w:b/>
        </w:rPr>
        <w:t xml:space="preserve">Source: </w:t>
      </w:r>
      <w:r>
        <w:t>Wiley: Angewandte Chemie International Edition: Table of Contents</w:t>
      </w:r>
      <w:r>
        <w:t xml:space="preserve">    </w:t>
      </w:r>
      <w:r>
        <w:rPr>
          <w:b/>
        </w:rPr>
        <w:t xml:space="preserve">Pub date: </w:t>
      </w:r>
      <w:r>
        <w:t>2026-01-08 14:22:46+00:00</w:t>
      </w:r>
      <w:r>
        <w:t xml:space="preserve">    </w:t>
      </w:r>
      <w:r>
        <w:rPr>
          <w:b/>
        </w:rPr>
        <w:t xml:space="preserve">DOI: </w:t>
      </w:r>
      <w:hyperlink r:id="rId683">
        <w:r>
          <w:rPr>
            <w:color w:val="1155CC"/>
            <w:u w:val="single"/>
          </w:rPr>
          <w:t>10.1002/anie.202521806</w:t>
        </w:r>
      </w:hyperlink>
    </w:p>
    <w:p>
      <w:pPr>
        <w:spacing w:before="0" w:after="120"/>
      </w:pPr>
      <w:r>
        <w:rPr>
          <w:b/>
        </w:rPr>
        <w:t xml:space="preserve">Notes: </w:t>
      </w:r>
      <w:r>
        <w:t>abstract_source=crossref</w:t>
      </w:r>
    </w:p>
    <w:p>
      <w:pPr>
        <w:spacing w:before="0" w:after="80" w:lineRule="auto" w:line="276"/>
      </w:pPr>
      <w:r>
        <w:rPr>
          <w:b/>
        </w:rPr>
        <w:t xml:space="preserve">摘要（ZH）: </w:t>
      </w:r>
      <w:r>
        <w:t>抽象铜(I)基混合卤化物具有高度可设计的结构、系统的金枪鱼性,以及极好的光光光度;然而,仍在探讨制定能够预测地调节不同结构类型排放的可预见设计规则。 我们在此报告一种酸方案生成方法,即反应酸性同时调节离子和质子和核分离屏障,从而通过调适反应酸性,为六种新化合物提供520-625纳米的排放量,从而产生协调性离子和全新氯铜(I)。 其中,AIO化合物3 A1H[CUCl 2] (A=4(氨基甲基))</w:t>
      </w:r>
    </w:p>
    <w:p>
      <w:pPr>
        <w:spacing w:before="0" w:after="200" w:lineRule="auto" w:line="276"/>
      </w:pPr>
      <w:r>
        <w:rPr>
          <w:b/>
        </w:rPr>
        <w:t xml:space="preserve">Abstract (EN): </w:t>
      </w:r>
      <w:r>
        <w:t>Copper(I)‐based hybrid halides feature highly designable structures, systematic tunability, and excellent photoluminescence; however, developing design rules that can predictably modulate their emission across different structural types remains under explored. Here, we report an acid‐programmed generating approach, in which reaction acidity simultaneously modulates ligand protonation and the nucleation barrier, thereby generating coordination, ionic, and all‐in‐one copper(I) chloride architectures by tuning reaction acidity and affording six new compounds with emissions spanning 520–625 nm. Among these, the AIO compound</w:t>
      </w:r>
      <w:r>
        <w:rPr>
          <w:vertAlign w:val="subscript"/>
        </w:rPr>
        <w:t>3</w:t>
      </w:r>
      <w:r>
        <w:t>A‐1H[CuCl</w:t>
      </w:r>
      <w:r>
        <w:rPr>
          <w:vertAlign w:val="subscript"/>
        </w:rPr>
        <w:t>2</w:t>
      </w:r>
      <w:r>
        <w:t>] (A = 4‐(aminomethyl)pyridine, 4AMP) exhibits a record‐high photoluminescence quantum yield (PLQY) of 99%, setting a new benchmark for AIO Cu(I)‐based emitters. Temperature‐dependent photoluminescence and time‐resolved spectroscopy reveal that the ultrahigh PLQY originates from enhanced lattice rigidity and a triplet phosphorescence pathway. Solubility and thin film fabrication demonstrate excellent processability, while long‐term stability stands in stark contrast to the notorious instability of conventional Cu(I) halides. Moreover, mixing compounds yields broad‐range white‐light emission, underscoring the potential of materials for tunable and high‐efficiency solid‐state lighting. This study establishes acid‐driven structural integration as a general strategy for constructing functional copper(I) halide compounds, laying the foundation for stable, solution‐processable, and high‐performance optoelectronic materials.</w:t>
      </w:r>
    </w:p>
    <w:p>
      <w:pPr>
        <w:spacing w:before="120" w:after="120"/>
      </w:pPr>
      <w:r>
        <w:rPr>
          <w:sz w:val="18"/>
        </w:rPr>
        <w:t>——————————————————————————————————————————————————————————————————————</w:t>
      </w:r>
    </w:p>
    <w:p>
      <w:pPr>
        <w:spacing w:before="160" w:after="40" w:line="240" w:lineRule="auto"/>
      </w:pPr>
      <w:r>
        <w:rPr>
          <w:b/>
        </w:rPr>
        <w:t xml:space="preserve">[429] </w:t>
      </w:r>
      <w:hyperlink r:id="rId684">
        <w:r>
          <w:rPr>
            <w:color w:val="1155CC"/>
            <w:u w:val="single"/>
          </w:rPr>
          <w:t>Plasma Membrane纳米结构的高分辨率可视化</w:t>
        </w:r>
      </w:hyperlink>
    </w:p>
    <w:p>
      <w:pPr>
        <w:spacing w:before="0" w:after="80"/>
      </w:pPr>
      <w:r>
        <w:rPr>
          <w:i/>
          <w:sz w:val="20"/>
        </w:rPr>
        <w:t>EN: Fluorogenic Rhodamine Probes Enable High‐Resolution Visualization of Plasma Membrane Nanostructures</w:t>
      </w:r>
    </w:p>
    <w:p>
      <w:pPr>
        <w:spacing w:before="0" w:after="120"/>
      </w:pPr>
      <w:r>
        <w:rPr>
          <w:b/>
        </w:rPr>
        <w:t xml:space="preserve">Source: </w:t>
      </w:r>
      <w:r>
        <w:t>Wiley: Angewandte Chemie International Edition: Table of Contents</w:t>
      </w:r>
      <w:r>
        <w:t xml:space="preserve">    </w:t>
      </w:r>
      <w:r>
        <w:rPr>
          <w:b/>
        </w:rPr>
        <w:t xml:space="preserve">Pub date: </w:t>
      </w:r>
      <w:r>
        <w:t>2026-01-08 14:23:46+00:00</w:t>
      </w:r>
      <w:r>
        <w:t xml:space="preserve">    </w:t>
      </w:r>
      <w:r>
        <w:rPr>
          <w:b/>
        </w:rPr>
        <w:t xml:space="preserve">DOI: </w:t>
      </w:r>
      <w:hyperlink r:id="rId685">
        <w:r>
          <w:rPr>
            <w:color w:val="1155CC"/>
            <w:u w:val="single"/>
          </w:rPr>
          <w:t>10.1002/anie.202519056</w:t>
        </w:r>
      </w:hyperlink>
    </w:p>
    <w:p>
      <w:pPr>
        <w:spacing w:before="0" w:after="120"/>
      </w:pPr>
      <w:r>
        <w:rPr>
          <w:b/>
        </w:rPr>
        <w:t xml:space="preserve">Notes: </w:t>
      </w:r>
      <w:r>
        <w:t>abstract_source=crossref</w:t>
      </w:r>
    </w:p>
    <w:p>
      <w:pPr>
        <w:spacing w:before="0" w:after="80" w:lineRule="auto" w:line="276"/>
      </w:pPr>
      <w:r>
        <w:rPr>
          <w:b/>
        </w:rPr>
        <w:t xml:space="preserve">摘要（ZH）: </w:t>
      </w:r>
      <w:r>
        <w:t>等离子膜摘要摘要展示了对蜂窝通信和货物运输至关重要的各种亚结构,如假阴极、膜纳米管和偏头痛等。这些细结构由于纳米尺寸和现有荧光探测器的局限性而仍然具有挑战性。在这里,我们报告开发了两个基于红胺的探针RSD1和RCD2,其中包括亚离膜环球球和阳性分泌聚体,以便实现无洗、血清相容、长期等离子膜成像。特别是,RSD2显示了高含氟性、亮度和光电动道。</w:t>
      </w:r>
    </w:p>
    <w:p>
      <w:pPr>
        <w:spacing w:before="0" w:after="200" w:lineRule="auto" w:line="276"/>
      </w:pPr>
      <w:r>
        <w:rPr>
          <w:b/>
        </w:rPr>
        <w:t xml:space="preserve">Abstract (EN): </w:t>
      </w:r>
      <w:r>
        <w:t>The plasma membrane exhibits diverse substructures, such as pseudopodia, membrane nanotubes, and migrasomes, that are essential for cellular communication and cargo transport. Imaging these fine structures remains challenging due to their nanoscale dimensions and limitations of existing fluorescent probes. Here, we report the development of two rhodamine‐based probes,</w:t>
      </w:r>
      <w:r>
        <w:t xml:space="preserve"> </w:t>
      </w:r>
      <w:r>
        <w:t>RSD1</w:t>
      </w:r>
      <w:r>
        <w:t xml:space="preserve"> </w:t>
      </w:r>
      <w:r>
        <w:t>and</w:t>
      </w:r>
      <w:r>
        <w:t xml:space="preserve"> </w:t>
      </w:r>
      <w:r>
        <w:t>RSD2</w:t>
      </w:r>
      <w:r>
        <w:t xml:space="preserve"> </w:t>
      </w:r>
      <w:r>
        <w:t>, incorporating anionic membrane‐anchoring groups and pyrrolidine auxochromes to enable wash‐free, serum‐compatible, long‐term plasma membrane imaging.</w:t>
      </w:r>
      <w:r>
        <w:t xml:space="preserve"> </w:t>
      </w:r>
      <w:r>
        <w:t>RSD2</w:t>
      </w:r>
      <w:r>
        <w:t xml:space="preserve"> </w:t>
      </w:r>
      <w:r>
        <w:t>, in particular, demonstrates superior fluorogenicity, brightness, and photoswitching properties, facilitating high‐resolution imaging in both live and fixed cells. It selectively labels membrane substructures across diverse cell types and maintains membrane specificity in the presence of serum.</w:t>
      </w:r>
      <w:r>
        <w:t xml:space="preserve"> </w:t>
      </w:r>
      <w:r>
        <w:t>RSD2</w:t>
      </w:r>
      <w:r>
        <w:t xml:space="preserve"> </w:t>
      </w:r>
      <w:r>
        <w:t>is compatible with advanced microscopy techniques including confocal microscopy, instant structured illumination microscopy (iSIM), and direct stochastic optical reconstruction microscopy (dSTORM), achieving up to 40 nm resolution. Using two‐color dSTORM, we visualize silica nanoparticle trafficking via membrane nanotubes and gondola‐like bulges in neuronal cells, marking the first such observation.</w:t>
      </w:r>
      <w:r>
        <w:t xml:space="preserve"> </w:t>
      </w:r>
      <w:r>
        <w:t>RSD2</w:t>
      </w:r>
      <w:r>
        <w:t xml:space="preserve"> </w:t>
      </w:r>
      <w:r>
        <w:t>also enables imaging of migrasomes and retraction fibers, revealing dynamic membrane‐mediated transport processes. This probe offers a robust and versatile platform for investigating membrane architecture and function, with broad applicability in cell biology, nanomedicine, and super‐resolution imaging.</w:t>
      </w:r>
    </w:p>
    <w:p>
      <w:pPr>
        <w:spacing w:before="120" w:after="120"/>
      </w:pPr>
      <w:r>
        <w:rPr>
          <w:sz w:val="18"/>
        </w:rPr>
        <w:t>——————————————————————————————————————————————————————————————————————</w:t>
      </w:r>
    </w:p>
    <w:p>
      <w:pPr>
        <w:spacing w:before="160" w:after="40" w:line="240" w:lineRule="auto"/>
      </w:pPr>
      <w:r>
        <w:rPr>
          <w:b/>
        </w:rPr>
        <w:t xml:space="preserve">[430] </w:t>
      </w:r>
      <w:hyperlink r:id="rId686">
        <w:r>
          <w:rPr>
            <w:color w:val="1155CC"/>
            <w:u w:val="single"/>
          </w:rPr>
          <w:t>探索在Anion Exchange Membrane水电解解器中 Ni基氢氢气进化催化器的潜力</w:t>
        </w:r>
      </w:hyperlink>
    </w:p>
    <w:p>
      <w:pPr>
        <w:spacing w:before="0" w:after="80"/>
      </w:pPr>
      <w:r>
        <w:rPr>
          <w:i/>
          <w:sz w:val="20"/>
        </w:rPr>
        <w:t>EN: Exploring the Potential of Ni‐Based Hydrogen Evolution Catalysts in Anion Exchange Membrane Water Electrolyzer</w:t>
      </w:r>
    </w:p>
    <w:p>
      <w:pPr>
        <w:spacing w:before="0" w:after="120"/>
      </w:pPr>
      <w:r>
        <w:rPr>
          <w:b/>
        </w:rPr>
        <w:t xml:space="preserve">Source: </w:t>
      </w:r>
      <w:r>
        <w:t>Wiley: Advanced Materials: Table of Contents</w:t>
      </w:r>
      <w:r>
        <w:t xml:space="preserve">    </w:t>
      </w:r>
      <w:r>
        <w:rPr>
          <w:b/>
        </w:rPr>
        <w:t xml:space="preserve">Pub date: </w:t>
      </w:r>
      <w:r>
        <w:t>2026-01-08 14:24:39+00:00</w:t>
      </w:r>
      <w:r>
        <w:t xml:space="preserve">    </w:t>
      </w:r>
      <w:r>
        <w:rPr>
          <w:b/>
        </w:rPr>
        <w:t xml:space="preserve">DOI: </w:t>
      </w:r>
      <w:hyperlink r:id="rId687">
        <w:r>
          <w:rPr>
            <w:color w:val="1155CC"/>
            <w:u w:val="single"/>
          </w:rPr>
          <w:t>10.1002/adma.202520491</w:t>
        </w:r>
      </w:hyperlink>
    </w:p>
    <w:p>
      <w:pPr>
        <w:spacing w:before="0" w:after="120"/>
      </w:pPr>
      <w:r>
        <w:rPr>
          <w:b/>
        </w:rPr>
        <w:t xml:space="preserve">Notes: </w:t>
      </w:r>
      <w:r>
        <w:t>abstract_source=crossref</w:t>
      </w:r>
    </w:p>
    <w:p>
      <w:pPr>
        <w:spacing w:before="0" w:after="80" w:lineRule="auto" w:line="276"/>
      </w:pPr>
      <w:r>
        <w:rPr>
          <w:b/>
        </w:rPr>
        <w:t xml:space="preserve">摘要（ZH）: </w:t>
      </w:r>
      <w:r>
        <w:t>可持续氢生产迫切需要可持续氢生产,这凸显了阴离交换膜水电解解器(AEMWE)这一有希望的技术,因为它具有具有成本效益和高效氢进化的潜力。基于镍(Ni)的催化剂已成为这一领域的关键角色,为AEMWE的氢进化反应提供了替代高贵金属催化剂的有力替代物。尽管这些催化剂广泛使用,但是在碱性条件下活动不足、导电性和长期稳定性等挑战妨碍了其商业可扩展性。这一审查系统地探索了在AEMWE的尼基催化剂,首先是深入分析设计原则,包括反应机制、关键性能。</w:t>
      </w:r>
    </w:p>
    <w:p>
      <w:pPr>
        <w:spacing w:before="0" w:after="200" w:lineRule="auto" w:line="276"/>
      </w:pPr>
      <w:r>
        <w:rPr>
          <w:b/>
        </w:rPr>
        <w:t xml:space="preserve">Abstract (EN): </w:t>
      </w:r>
      <w:r>
        <w:t>The pressing need for sustainable hydrogen production has spotlighted anion exchange membrane water electrolyzer (AEMWE) as a promising technology, due to its potential for cost‐effective and efficient hydrogen evolution. Nickel (Ni)‐based catalysts have emerged as pivotal players in this domain, offering a compelling alternative to noble metal catalysts for the hydrogen evolution reaction (HER) in AEMWE. Despite their widespread use, challenges such as insufficient activity, conductivity, and long‐term stability under alkaline conditions hinder their commercial scalability. This review provides a systematic exploration of Ni‐based catalysts for HER in AEMWE, beginning with an in‐depth analysis of design principles, including reaction mechanisms, key performance descriptors, and their interrelationships. Subsequently, we categorize advanced regulation strategies for Ni‐based HER catalysts into distinct approaches, offering a critical evaluation of catalyst design, synthesis methods, electrocatalytic performance, and representative examples alongside current limitations. The diverse types of Ni‐based HER catalysts, including metals/alloys, oxides/hydroxides, and Ni‐based composites, are examined, highlighting their respective advantages and drawbacks. We also review the latest research progress on Ni‐based catalysts in practical AEMWE devices. Finally, this review concludes with a discussion of challenges and future prospects, aiming to guide the development of Ni‐based HER catalysts for industrial‐scale hydrogen production via AEMWE.</w:t>
      </w:r>
    </w:p>
    <w:p>
      <w:pPr>
        <w:spacing w:before="120" w:after="120"/>
      </w:pPr>
      <w:r>
        <w:rPr>
          <w:sz w:val="18"/>
        </w:rPr>
        <w:t>——————————————————————————————————————————————————————————————————————</w:t>
      </w:r>
    </w:p>
    <w:p>
      <w:pPr>
        <w:spacing w:before="160" w:after="40" w:line="240" w:lineRule="auto"/>
      </w:pPr>
      <w:r>
        <w:rPr>
          <w:b/>
        </w:rPr>
        <w:t xml:space="preserve">[431] </w:t>
      </w:r>
      <w:hyperlink r:id="rId688">
        <w:r>
          <w:rPr>
            <w:color w:val="1155CC"/>
            <w:u w:val="single"/>
          </w:rPr>
          <w:t>水溶性 PVA 水溶性 PVA Macrothiol 能够以400毫米s-1 的电池交互式水文凝胶结构的 2 Photon 微制造</w:t>
        </w:r>
      </w:hyperlink>
    </w:p>
    <w:p>
      <w:pPr>
        <w:spacing w:before="0" w:after="80"/>
      </w:pPr>
      <w:r>
        <w:rPr>
          <w:i/>
          <w:sz w:val="20"/>
        </w:rPr>
        <w:t>EN: A Water‐Soluble PVA Macrothiol Enables Two‐Photon Microfabrication of Cell‐Interactive Hydrogel Structures at 400 mm s−1</w:t>
      </w:r>
    </w:p>
    <w:p>
      <w:pPr>
        <w:spacing w:before="0" w:after="120"/>
      </w:pPr>
      <w:r>
        <w:rPr>
          <w:b/>
        </w:rPr>
        <w:t xml:space="preserve">Source: </w:t>
      </w:r>
      <w:r>
        <w:t>Wiley: Advanced Materials: Table of Contents</w:t>
      </w:r>
      <w:r>
        <w:t xml:space="preserve">    </w:t>
      </w:r>
      <w:r>
        <w:rPr>
          <w:b/>
        </w:rPr>
        <w:t xml:space="preserve">Pub date: </w:t>
      </w:r>
      <w:r>
        <w:t>2026-01-08 14:26:08+00:00</w:t>
      </w:r>
      <w:r>
        <w:t xml:space="preserve">    </w:t>
      </w:r>
      <w:r>
        <w:rPr>
          <w:b/>
        </w:rPr>
        <w:t xml:space="preserve">DOI: </w:t>
      </w:r>
      <w:hyperlink r:id="rId689">
        <w:r>
          <w:rPr>
            <w:color w:val="1155CC"/>
            <w:u w:val="single"/>
          </w:rPr>
          <w:t>10.1002/adma.202510834</w:t>
        </w:r>
      </w:hyperlink>
    </w:p>
    <w:p>
      <w:pPr>
        <w:spacing w:before="0" w:after="120"/>
      </w:pPr>
      <w:r>
        <w:rPr>
          <w:b/>
        </w:rPr>
        <w:t xml:space="preserve">Notes: </w:t>
      </w:r>
      <w:r>
        <w:t>abstract_source=crossref</w:t>
      </w:r>
    </w:p>
    <w:p>
      <w:pPr>
        <w:spacing w:before="0" w:after="80" w:lineRule="auto" w:line="276"/>
      </w:pPr>
      <w:r>
        <w:rPr>
          <w:b/>
        </w:rPr>
        <w:t xml:space="preserve">摘要（ZH）: </w:t>
      </w:r>
      <w:r>
        <w:t>ABSTACT Two-photon聚合物(2PP)已经日益引起对具有定制建筑和受控细胞反应的工程体液凝胶的注意,然而,目前的2PP战略通常依赖(meth)加热蛋白和低效率的链锁交织机制。 虽然Thiolene 光击点击反应可以提高2PP效率,但商用水溶性硫醇交叉介质(例如DTT-dithiothreitol)往往形成分子内部循环,并因其分子长度短而造成结构性缺陷。 因此,高聚合物浓度(通常高达2050 % ) 需要达到令人满意的打印忠诚。 在那里,我们开发了一系列水溶性、聚乙烯酒精宏观分子硫醇(PVAS, 轴承10-35thi) 。</w:t>
      </w:r>
    </w:p>
    <w:p>
      <w:pPr>
        <w:spacing w:before="0" w:after="200" w:lineRule="auto" w:line="276"/>
      </w:pPr>
      <w:r>
        <w:rPr>
          <w:b/>
        </w:rPr>
        <w:t xml:space="preserve">Abstract (EN): </w:t>
      </w:r>
      <w:r>
        <w:t>Two‐photon polymerization (2PP) has garnered increasing attention for engineering hydrogels with tailored architectures and controlled cellular responses. However, current 2PP strategies typically rely on (meth)acrylated proteins and inefficient chain‐growth crosslinking mechanisms. Although thiol‐ene photo‐click reactions can enhance 2PP efficiency, commercial water‐soluble thiol crosslinkers (e.g., DTT—dithiothreitol) tend to form intramolecular loops and introduce structural defects due to their short molecular length. As a result, high polymer concentrations (often up to 20%–50%) are required to achieve satisfactory print fidelity. Here, we develop a series of water‐soluble, polyvinyl alcohol macromolecular thiol (PVASH, bearing 10–35 thiol groups) for fast high‐fidelity hydrogel microfabrication via 2PP. A two‐step synthesis yields PVASH with tunable degrees of substitution and excellent water‐solubility. Compared to DTT and polyethylene glycol di‐thiol, PVASH‐based hydrogels exhibit reduced swelling, enhanced mechanical properties, and significantly improved printing fidelity. Notably, several complex hydrogel structures are fabricated at laser power as low as 20 mW and high scanning speeds of up to 400 mm s</w:t>
      </w:r>
      <w:r>
        <w:t xml:space="preserve"> </w:t>
      </w:r>
      <w:r>
        <w:t>−1</w:t>
      </w:r>
      <w:r>
        <w:t xml:space="preserve"> </w:t>
      </w:r>
      <w:r>
        <w:t>, achieving sub‐micron feature size at 3% polymer concentration. After biofunctionalization with RGD motifs, the micro‐scaffolds support cell infiltration, adhesion, proliferation, and osteogenic differentiation. Altogether, this work reports a new strategy for 2PP microfabrication of cell‐interactive hydrogel structures with unprecedented printing efficiency and precision.</w:t>
      </w:r>
    </w:p>
    <w:p>
      <w:pPr>
        <w:spacing w:before="120" w:after="120"/>
      </w:pPr>
      <w:r>
        <w:rPr>
          <w:sz w:val="18"/>
        </w:rPr>
        <w:t>——————————————————————————————————————————————————————————————————————</w:t>
      </w:r>
    </w:p>
    <w:p>
      <w:pPr>
        <w:spacing w:before="160" w:after="40" w:line="240" w:lineRule="auto"/>
      </w:pPr>
      <w:r>
        <w:rPr>
          <w:b/>
        </w:rPr>
        <w:t xml:space="preserve">[432] </w:t>
      </w:r>
      <w:hyperlink r:id="rId690">
        <w:r>
          <w:rPr>
            <w:color w:val="1155CC"/>
            <w:u w:val="single"/>
          </w:rPr>
          <w:t>直接制造疏水、能源采集和遥感装置的基于碳的金枪鱼制纳米硫化物的热采样</w:t>
        </w:r>
      </w:hyperlink>
    </w:p>
    <w:p>
      <w:pPr>
        <w:spacing w:before="0" w:after="80"/>
      </w:pPr>
      <w:r>
        <w:rPr>
          <w:i/>
          <w:sz w:val="20"/>
        </w:rPr>
        <w:t>EN: Electrically Assisted Thermal Stamping of Tunable Carbon‐Based Nanofilms for Direct Fabrication of Hydrophobic, Energy Harvesting, and Sensing Devices</w:t>
      </w:r>
    </w:p>
    <w:p>
      <w:pPr>
        <w:spacing w:before="0" w:after="120"/>
      </w:pPr>
      <w:r>
        <w:rPr>
          <w:b/>
        </w:rPr>
        <w:t xml:space="preserve">Source: </w:t>
      </w:r>
      <w:r>
        <w:t>Wiley: Advanced Materials: Table of Contents</w:t>
      </w:r>
      <w:r>
        <w:t xml:space="preserve">    </w:t>
      </w:r>
      <w:r>
        <w:rPr>
          <w:b/>
        </w:rPr>
        <w:t xml:space="preserve">Pub date: </w:t>
      </w:r>
      <w:r>
        <w:t>2026-01-08 14:26:11+00:00</w:t>
      </w:r>
      <w:r>
        <w:t xml:space="preserve">    </w:t>
      </w:r>
      <w:r>
        <w:rPr>
          <w:b/>
        </w:rPr>
        <w:t xml:space="preserve">DOI: </w:t>
      </w:r>
      <w:hyperlink r:id="rId691">
        <w:r>
          <w:rPr>
            <w:color w:val="1155CC"/>
            <w:u w:val="single"/>
          </w:rPr>
          <w:t>10.1002/adma.202516478</w:t>
        </w:r>
      </w:hyperlink>
    </w:p>
    <w:p>
      <w:pPr>
        <w:spacing w:before="0" w:after="120"/>
      </w:pPr>
      <w:r>
        <w:rPr>
          <w:b/>
        </w:rPr>
        <w:t xml:space="preserve">Notes: </w:t>
      </w:r>
      <w:r>
        <w:t>abstract_source=crossref</w:t>
      </w:r>
    </w:p>
    <w:p>
      <w:pPr>
        <w:spacing w:before="0" w:after="80" w:lineRule="auto" w:line="276"/>
      </w:pPr>
      <w:r>
        <w:rPr>
          <w:b/>
        </w:rPr>
        <w:t xml:space="preserve">摘要（ZH）: </w:t>
      </w:r>
      <w:r>
        <w:t>对多功能薄膜薄膜装置的需求加快了可扩展的制造技术的开发,能够精确控制成分、结构和成型,然而,常规方法依赖于复杂、多步骤的加工和苛刻条件,限制了其适用性。在这里,我们报告了一种单步、电力辅助热压钉(EATS)法,用于直接和可扩展的碳基纳米胶片的制造,包括减少的石氧化物(rGO)、聚四氟乙烯(PTFE)及其纳米复合胶片。通过在环境条件下对PTFE封装的碳纸应用局部焦热,EATS引出石墨脱色、GO削减和PTFE集成,从而产生灭蚁剂。</w:t>
      </w:r>
    </w:p>
    <w:p>
      <w:pPr>
        <w:spacing w:before="0" w:after="200" w:lineRule="auto" w:line="276"/>
      </w:pPr>
      <w:r>
        <w:rPr>
          <w:b/>
        </w:rPr>
        <w:t xml:space="preserve">Abstract (EN): </w:t>
      </w:r>
      <w:r>
        <w:t>The demand for multifunctional thin‐film devices has accelerated the development of scalable fabrication techniques capable of precisely controlling composition, structure, and patterning. However, conventional approaches rely on complex, multi‐step processing and harsh conditions, limiting their applicability. Herein, we report a single‐step, electrically assisted thermal stamping (EATS) method for the direct and scalable fabrication of carbon‐based nanofilms, including reduced graphene oxide (rGO), polytetrafluoroethylene (PTFE), and their nanocomposite films. By applying localized Joule heating to PTFE‐embedded carbon paper under ambient conditions, EATS induces graphite exfoliation, GO reduction, and PTFE incorporation, thereby eliminating the need for multi‐step processing or harsh environments. The resulting films exhibit tunable thickness, morphology, and composition, governed by EATS power density and duration. EATS enables spatially selective patterning without the need for complex lithographic techniques. The versatility of EATS is demonstrated through the direct fabrication of functional devices: (i) hydrophobic coatings with contact angles tunable from 44.3° to 109.8°, (ii) triboelectric nanogenerators achieving 10.11 mW cm</w:t>
      </w:r>
      <w:r>
        <w:t xml:space="preserve"> </w:t>
      </w:r>
      <w:r>
        <w:t>−3</w:t>
      </w:r>
      <w:r>
        <w:t xml:space="preserve"> </w:t>
      </w:r>
      <w:r>
        <w:t>power density with &amp;lt;2.8% variation over 10 000 cycles, and (iii) humidity sensors exhibiting a 3.56% sensing error across 50–100% relative humidity. These results establish EATS as a powerful, lithography‐free fabrication platform for multifunctional thin‐film devices, offering a generalizable strategy for next‐generation electronics.</w:t>
      </w:r>
    </w:p>
    <w:p>
      <w:pPr>
        <w:spacing w:before="120" w:after="120"/>
      </w:pPr>
      <w:r>
        <w:rPr>
          <w:sz w:val="18"/>
        </w:rPr>
        <w:t>——————————————————————————————————————————————————————————————————————</w:t>
      </w:r>
    </w:p>
    <w:p>
      <w:pPr>
        <w:spacing w:before="160" w:after="40" w:line="240" w:lineRule="auto"/>
      </w:pPr>
      <w:r>
        <w:rPr>
          <w:b/>
        </w:rPr>
        <w:t xml:space="preserve">[433] </w:t>
      </w:r>
      <w:hyperlink r:id="rId692">
        <w:r>
          <w:rPr>
            <w:color w:val="1155CC"/>
            <w:u w:val="single"/>
          </w:rPr>
          <w:t>2D 电子设备的高端 Perovskite 和 Ternary Niobium Oxide 电</w:t>
        </w:r>
      </w:hyperlink>
    </w:p>
    <w:p>
      <w:pPr>
        <w:spacing w:before="0" w:after="80"/>
      </w:pPr>
      <w:r>
        <w:rPr>
          <w:i/>
          <w:sz w:val="20"/>
        </w:rPr>
        <w:t>EN: High‐κ Perovskite‐Like Ternary Niobium Oxide Dielectrics for 2D Electronics</w:t>
      </w:r>
    </w:p>
    <w:p>
      <w:pPr>
        <w:spacing w:before="0" w:after="120"/>
      </w:pPr>
      <w:r>
        <w:rPr>
          <w:b/>
        </w:rPr>
        <w:t xml:space="preserve">Source: </w:t>
      </w:r>
      <w:r>
        <w:t>Wiley: Advanced Materials: Table of Contents</w:t>
      </w:r>
      <w:r>
        <w:t xml:space="preserve">    </w:t>
      </w:r>
      <w:r>
        <w:rPr>
          <w:b/>
        </w:rPr>
        <w:t xml:space="preserve">Pub date: </w:t>
      </w:r>
      <w:r>
        <w:t>2026-01-08 14:27:30+00:00</w:t>
      </w:r>
      <w:r>
        <w:t xml:space="preserve">    </w:t>
      </w:r>
      <w:r>
        <w:rPr>
          <w:b/>
        </w:rPr>
        <w:t xml:space="preserve">DOI: </w:t>
      </w:r>
      <w:hyperlink r:id="rId693">
        <w:r>
          <w:rPr>
            <w:color w:val="1155CC"/>
            <w:u w:val="single"/>
          </w:rPr>
          <w:t>10.1002/adma.202520423</w:t>
        </w:r>
      </w:hyperlink>
    </w:p>
    <w:p>
      <w:pPr>
        <w:spacing w:before="0" w:after="120"/>
      </w:pPr>
      <w:r>
        <w:rPr>
          <w:b/>
        </w:rPr>
        <w:t xml:space="preserve">Notes: </w:t>
      </w:r>
      <w:r>
        <w:t>abstract_source=crossref</w:t>
      </w:r>
    </w:p>
    <w:p>
      <w:pPr>
        <w:spacing w:before="0" w:after="80" w:lineRule="auto" w:line="276"/>
      </w:pPr>
      <w:r>
        <w:rPr>
          <w:b/>
        </w:rPr>
        <w:t xml:space="preserve">摘要（ZH）: </w:t>
      </w:r>
      <w:r>
        <w:t>高超接口质量的绝电对于纳米级晶体管的实地效果控制至关重要,然而,由于原子级的两极化要求相互竞争,其设计仍然具有挑战性。 在这里,我们展示出无铁的无氧无氧氧化亚氮(CaNb 2 O 6, KNb 3 O 8, Na 2 Nb 4 O 11)作为有希望的候选人,其中强大的Nb 4 d O 2 p</w:t>
      </w:r>
    </w:p>
    <w:p>
      <w:pPr>
        <w:spacing w:before="0" w:after="200" w:lineRule="auto" w:line="276"/>
      </w:pPr>
      <w:r>
        <w:rPr>
          <w:b/>
        </w:rPr>
        <w:t xml:space="preserve">Abstract (EN): </w:t>
      </w:r>
      <w:r>
        <w:t>High‐κ dielectrics with exceptional interface quality are essential for the field‐effect control of nanoscale transistors. However, their design remains challenging due to competing atomic‐scale polarization requirements. Here, we demonstrate nonlayered perovskite‐like ternary niobium oxides (CaNb</w:t>
      </w:r>
      <w:r>
        <w:rPr>
          <w:vertAlign w:val="subscript"/>
        </w:rPr>
        <w:t>2</w:t>
      </w:r>
      <w:r>
        <w:t>O</w:t>
      </w:r>
      <w:r>
        <w:rPr>
          <w:vertAlign w:val="subscript"/>
        </w:rPr>
        <w:t>6</w:t>
      </w:r>
      <w:r>
        <w:t>, KNb</w:t>
      </w:r>
      <w:r>
        <w:rPr>
          <w:vertAlign w:val="subscript"/>
        </w:rPr>
        <w:t>3</w:t>
      </w:r>
      <w:r>
        <w:t>O</w:t>
      </w:r>
      <w:r>
        <w:rPr>
          <w:vertAlign w:val="subscript"/>
        </w:rPr>
        <w:t>8</w:t>
      </w:r>
      <w:r>
        <w:t>, and Na</w:t>
      </w:r>
      <w:r>
        <w:rPr>
          <w:vertAlign w:val="subscript"/>
        </w:rPr>
        <w:t>2</w:t>
      </w:r>
      <w:r>
        <w:t>Nb</w:t>
      </w:r>
      <w:r>
        <w:rPr>
          <w:vertAlign w:val="subscript"/>
        </w:rPr>
        <w:t>4</w:t>
      </w:r>
      <w:r>
        <w:t>O</w:t>
      </w:r>
      <w:r>
        <w:rPr>
          <w:vertAlign w:val="subscript"/>
        </w:rPr>
        <w:t>11</w:t>
      </w:r>
      <w:r>
        <w:t>) as promising candidates, where strong Nb 4</w:t>
      </w:r>
      <w:r>
        <w:t xml:space="preserve"> </w:t>
      </w:r>
      <w:r>
        <w:t>d</w:t>
      </w:r>
      <w:r>
        <w:t xml:space="preserve"> </w:t>
      </w:r>
      <w:r>
        <w:t>‐O 2</w:t>
      </w:r>
      <w:r>
        <w:t xml:space="preserve"> </w:t>
      </w:r>
      <w:r>
        <w:t>p</w:t>
      </w:r>
      <w:r>
        <w:t xml:space="preserve"> </w:t>
      </w:r>
      <w:r>
        <w:t>covalent hybridization enables pronounced Nb</w:t>
      </w:r>
      <w:r>
        <w:t xml:space="preserve"> </w:t>
      </w:r>
      <w:r>
        <w:t>5+</w:t>
      </w:r>
      <w:r>
        <w:t xml:space="preserve"> </w:t>
      </w:r>
      <w:r>
        <w:t>ionic displacements and enhanced polarization, while ionic bonding from intercalated Ca/K/Na suppresses electronic transitions, widening the bandgap and enhancing stability via configurational entropy. We successfully synthesize these high‐quality nanoflakes through a scalable molten‐salt method. Crucially, these oxides demonstrate a combination of high dielectric constants (∼16, 9, and 68 for CaNb</w:t>
      </w:r>
      <w:r>
        <w:rPr>
          <w:vertAlign w:val="subscript"/>
        </w:rPr>
        <w:t>2</w:t>
      </w:r>
      <w:r>
        <w:t>O</w:t>
      </w:r>
      <w:r>
        <w:rPr>
          <w:vertAlign w:val="subscript"/>
        </w:rPr>
        <w:t>6</w:t>
      </w:r>
      <w:r>
        <w:t>, KNb</w:t>
      </w:r>
      <w:r>
        <w:rPr>
          <w:vertAlign w:val="subscript"/>
        </w:rPr>
        <w:t>3</w:t>
      </w:r>
      <w:r>
        <w:t>O</w:t>
      </w:r>
      <w:r>
        <w:rPr>
          <w:vertAlign w:val="subscript"/>
        </w:rPr>
        <w:t>8</w:t>
      </w:r>
      <w:r>
        <w:t>, and Na</w:t>
      </w:r>
      <w:r>
        <w:rPr>
          <w:vertAlign w:val="subscript"/>
        </w:rPr>
        <w:t>2</w:t>
      </w:r>
      <w:r>
        <w:t>Nb</w:t>
      </w:r>
      <w:r>
        <w:rPr>
          <w:vertAlign w:val="subscript"/>
        </w:rPr>
        <w:t>4</w:t>
      </w:r>
      <w:r>
        <w:t>O</w:t>
      </w:r>
      <w:r>
        <w:rPr>
          <w:vertAlign w:val="subscript"/>
        </w:rPr>
        <w:t>11</w:t>
      </w:r>
      <w:r>
        <w:t>, respectively), wide bandgaps (∼4 eV), large breakdown field strengths (&amp;gt; 4.9 MV cm</w:t>
      </w:r>
      <w:r>
        <w:t xml:space="preserve"> </w:t>
      </w:r>
      <w:r>
        <w:t>−1</w:t>
      </w:r>
      <w:r>
        <w:t xml:space="preserve"> </w:t>
      </w:r>
      <w:r>
        <w:t>), and excellent air stability. Furthermore, due to the low‐contamination transfer via a fully dry process, MoS</w:t>
      </w:r>
      <w:r>
        <w:rPr>
          <w:vertAlign w:val="subscript"/>
        </w:rPr>
        <w:t>2</w:t>
      </w:r>
      <w:r>
        <w:t>field‐effect transistors with these gate dielectrics achieve low subthreshold swings (∼60 mV dec</w:t>
      </w:r>
      <w:r>
        <w:t xml:space="preserve"> </w:t>
      </w:r>
      <w:r>
        <w:t>−1</w:t>
      </w:r>
      <w:r>
        <w:t xml:space="preserve"> </w:t>
      </w:r>
      <w:r>
        <w:t>), ON/OFF ratios &amp;gt; 10</w:t>
      </w:r>
      <w:r>
        <w:rPr>
          <w:vertAlign w:val="subscript"/>
        </w:rPr>
        <w:t>7</w:t>
      </w:r>
      <w:r>
        <w:t>, gate leakage currents below 10</w:t>
      </w:r>
      <w:r>
        <w:t xml:space="preserve"> </w:t>
      </w:r>
      <w:r>
        <w:t>−6</w:t>
      </w:r>
      <w:r>
        <w:t xml:space="preserve"> </w:t>
      </w:r>
      <w:r>
        <w:t>A cm</w:t>
      </w:r>
      <w:r>
        <w:t xml:space="preserve"> </w:t>
      </w:r>
      <w:r>
        <w:t>−2</w:t>
      </w:r>
      <w:r>
        <w:t xml:space="preserve"> </w:t>
      </w:r>
      <w:r>
        <w:t>, and ultralow trap densities. We show high‐performance NOT and NAND gates using a CaNb</w:t>
      </w:r>
      <w:r>
        <w:rPr>
          <w:vertAlign w:val="subscript"/>
        </w:rPr>
        <w:t>2</w:t>
      </w:r>
      <w:r>
        <w:t>O</w:t>
      </w:r>
      <w:r>
        <w:rPr>
          <w:vertAlign w:val="subscript"/>
        </w:rPr>
        <w:t>6</w:t>
      </w:r>
      <w:r>
        <w:t>dielectric layer, with the inverter achieving a static power consumption of &amp;lt; 0.02 µW and a gain of ∼20. This work provides new opportunities for the development of next‐generation 2D electronics devices.</w:t>
      </w:r>
    </w:p>
    <w:p>
      <w:pPr>
        <w:spacing w:before="120" w:after="120"/>
      </w:pPr>
      <w:r>
        <w:rPr>
          <w:sz w:val="18"/>
        </w:rPr>
        <w:t>——————————————————————————————————————————————————————————————————————</w:t>
      </w:r>
    </w:p>
    <w:p>
      <w:pPr>
        <w:spacing w:before="160" w:after="40" w:line="240" w:lineRule="auto"/>
      </w:pPr>
      <w:r>
        <w:rPr>
          <w:b/>
        </w:rPr>
        <w:t xml:space="preserve">[434] </w:t>
      </w:r>
      <w:hyperlink r:id="rId694">
        <w:r>
          <w:rPr>
            <w:color w:val="1155CC"/>
            <w:u w:val="single"/>
          </w:rPr>
          <w:t>用于硅/碳烷烷基电池内干扰稳定性高的硅/碳单极阳极的可调水共溶和超分子分子聚合箱</w:t>
        </w:r>
      </w:hyperlink>
    </w:p>
    <w:p>
      <w:pPr>
        <w:spacing w:before="0" w:after="80"/>
      </w:pPr>
      <w:r>
        <w:rPr>
          <w:i/>
          <w:sz w:val="20"/>
        </w:rPr>
        <w:t>EN: Water‐Processable Covalent‐and‐Supramolecular Polymeric Binders for Silicon/Carbon Anodes with High Interfacial Stability in Lithium‐Ion Batteries</w:t>
      </w:r>
    </w:p>
    <w:p>
      <w:pPr>
        <w:spacing w:before="0" w:after="120"/>
      </w:pPr>
      <w:r>
        <w:rPr>
          <w:b/>
        </w:rPr>
        <w:t xml:space="preserve">Source: </w:t>
      </w:r>
      <w:r>
        <w:t>Wiley: Angewandte Chemie International Edition: Table of Contents</w:t>
      </w:r>
      <w:r>
        <w:t xml:space="preserve">    </w:t>
      </w:r>
      <w:r>
        <w:rPr>
          <w:b/>
        </w:rPr>
        <w:t xml:space="preserve">Pub date: </w:t>
      </w:r>
      <w:r>
        <w:t>2026-01-08 14:27:51+00:00</w:t>
      </w:r>
      <w:r>
        <w:t xml:space="preserve">    </w:t>
      </w:r>
      <w:r>
        <w:rPr>
          <w:b/>
        </w:rPr>
        <w:t xml:space="preserve">DOI: </w:t>
      </w:r>
      <w:hyperlink r:id="rId695">
        <w:r>
          <w:rPr>
            <w:color w:val="1155CC"/>
            <w:u w:val="single"/>
          </w:rPr>
          <w:t>10.1002/anie.202525354</w:t>
        </w:r>
      </w:hyperlink>
    </w:p>
    <w:p>
      <w:pPr>
        <w:spacing w:before="0" w:after="120"/>
      </w:pPr>
      <w:r>
        <w:rPr>
          <w:b/>
        </w:rPr>
        <w:t xml:space="preserve">Notes: </w:t>
      </w:r>
      <w:r>
        <w:t>abstract_source=crossref</w:t>
      </w:r>
    </w:p>
    <w:p>
      <w:pPr>
        <w:spacing w:before="0" w:after="80" w:lineRule="auto" w:line="276"/>
      </w:pPr>
      <w:r>
        <w:rPr>
          <w:b/>
        </w:rPr>
        <w:t xml:space="preserve">摘要（ZH）: </w:t>
      </w:r>
      <w:r>
        <w:t>白硅/碳(Si/C)复合阳极是最有希望的高能密度锂-离子电池候选体之一,但在自行车循环过程中,其体积波动和间隙降解非常严重。在这里,我们报告了一个水-可处理共价-和超分子聚合聚合聚合物(CSPBs),它协同消散机械压力,促进Li+运输以稳定Si/Caode界面。CSPBs集聚(丙酸)(PAA)、八氯化萘聚(乙基甘醇)(8armPEGNH2)和Benzo-21crown-7二核氨基聚氨基聚氨基聚氨酯通过电极制造过程中的恐吓而形成。</w:t>
      </w:r>
    </w:p>
    <w:p>
      <w:pPr>
        <w:spacing w:before="0" w:after="200" w:lineRule="auto" w:line="276"/>
      </w:pPr>
      <w:r>
        <w:rPr>
          <w:b/>
        </w:rPr>
        <w:t xml:space="preserve">Abstract (EN): </w:t>
      </w:r>
      <w:r>
        <w:t>Silicon/carbon (Si/C) composite anodes are among the most promising candidates for high‐energy‐density lithium‐ion batteries but suffer from severe volume fluctuation and interfacial degradation during cycling. Herein, we report a water‐processable covalent‐and‐supramolecular polymeric binders (CSPBs) that synergistically dissipate mechanical stress and promote Li</w:t>
      </w:r>
      <w:r>
        <w:t xml:space="preserve"> </w:t>
      </w:r>
      <w:r>
        <w:t>+</w:t>
      </w:r>
      <w:r>
        <w:t xml:space="preserve"> </w:t>
      </w:r>
      <w:r>
        <w:t>transport to stabilize the Si/C anode interface. The CSPBs integrate poly(acrylic acid) (PAA), amine‐terminated eight‐arm poly(ethylene glycol) (8arm‐PEG‐NH</w:t>
      </w:r>
      <w:r>
        <w:rPr>
          <w:vertAlign w:val="subscript"/>
        </w:rPr>
        <w:t>2</w:t>
      </w:r>
      <w:r>
        <w:t>), and benzo‐21‐crown‐7/secondary ammonium host–guest complexes through amidation during electrode fabrication. The covalent linkages impart strong structural integrity, while the reversible supramolecular interactions act as sacrificial bonds to dissipate stress arising from Si volume expansion. Additionally, oxygen‐rich PEG chains form continuous Li</w:t>
      </w:r>
      <w:r>
        <w:t xml:space="preserve"> </w:t>
      </w:r>
      <w:r>
        <w:t>+</w:t>
      </w:r>
      <w:r>
        <w:t xml:space="preserve"> </w:t>
      </w:r>
      <w:r>
        <w:t>conduction pathways, enabling efficient ion transport. As a result, the CSPB‐</w:t>
      </w:r>
      <w:r>
        <w:rPr>
          <w:vertAlign w:val="subscript"/>
        </w:rPr>
        <w:t>2</w:t>
      </w:r>
      <w:r>
        <w:t>‐based Si/C anode delivers a high specific capacity of 582.0 mAh g</w:t>
      </w:r>
      <w:r>
        <w:t xml:space="preserve"> </w:t>
      </w:r>
      <w:r>
        <w:t>−1</w:t>
      </w:r>
      <w:r>
        <w:t xml:space="preserve"> </w:t>
      </w:r>
      <w:r>
        <w:t>after 265 cycles at 1C, with superior rate capability than the electrodes based on PAA or solely covalently cross‐linked binders (CCBs). Kinetic analysis reveals an enhanced Li</w:t>
      </w:r>
      <w:r>
        <w:t xml:space="preserve"> </w:t>
      </w:r>
      <w:r>
        <w:t>+</w:t>
      </w:r>
      <w:r>
        <w:t xml:space="preserve"> </w:t>
      </w:r>
      <w:r>
        <w:t>diffusion coefficient, confirming the improved ionic conductivity of the binder system. This work demonstrates a new strategy for integrating covalent anchoring and dynamic supramolecular adaptability within a sustainable, water‐processable polymeric binder system, paving the way for the design of durable and high‐performance silicon‐based anodes.</w:t>
      </w:r>
    </w:p>
    <w:p>
      <w:pPr>
        <w:spacing w:before="120" w:after="120"/>
      </w:pPr>
      <w:r>
        <w:rPr>
          <w:sz w:val="18"/>
        </w:rPr>
        <w:t>——————————————————————————————————————————————————————————————————————</w:t>
      </w:r>
    </w:p>
    <w:p>
      <w:pPr>
        <w:spacing w:before="160" w:after="40" w:line="240" w:lineRule="auto"/>
      </w:pPr>
      <w:r>
        <w:rPr>
          <w:b/>
        </w:rPr>
        <w:t xml:space="preserve">[435] </w:t>
      </w:r>
      <w:hyperlink r:id="rId696">
        <w:r>
          <w:rPr>
            <w:color w:val="1155CC"/>
            <w:u w:val="single"/>
          </w:rPr>
          <w:t>高性能电池电解液电解液 -- -- 化学、构成和接口</w:t>
        </w:r>
      </w:hyperlink>
    </w:p>
    <w:p>
      <w:pPr>
        <w:spacing w:before="0" w:after="80"/>
      </w:pPr>
      <w:r>
        <w:rPr>
          <w:i/>
          <w:sz w:val="20"/>
        </w:rPr>
        <w:t>EN: Ionic Liquids Electrolytes for High Performance Sodium Batteries—Chemistry, Composition, and Interfaces</w:t>
      </w:r>
    </w:p>
    <w:p>
      <w:pPr>
        <w:spacing w:before="0" w:after="120"/>
      </w:pPr>
      <w:r>
        <w:rPr>
          <w:b/>
        </w:rPr>
        <w:t xml:space="preserve">Source: </w:t>
      </w:r>
      <w:r>
        <w:t>Wiley: Advanced Energy Materials: Table of Contents</w:t>
      </w:r>
      <w:r>
        <w:t xml:space="preserve">    </w:t>
      </w:r>
      <w:r>
        <w:rPr>
          <w:b/>
        </w:rPr>
        <w:t xml:space="preserve">Pub date: </w:t>
      </w:r>
      <w:r>
        <w:t>2026-01-08 14:28:07+00:00</w:t>
      </w:r>
      <w:r>
        <w:t xml:space="preserve">    </w:t>
      </w:r>
      <w:r>
        <w:rPr>
          <w:b/>
        </w:rPr>
        <w:t xml:space="preserve">DOI: </w:t>
      </w:r>
      <w:hyperlink r:id="rId697">
        <w:r>
          <w:rPr>
            <w:color w:val="1155CC"/>
            <w:u w:val="single"/>
          </w:rPr>
          <w:t>10.1002/aenm.202506236</w:t>
        </w:r>
      </w:hyperlink>
    </w:p>
    <w:p>
      <w:pPr>
        <w:spacing w:before="0" w:after="120"/>
      </w:pPr>
      <w:r>
        <w:rPr>
          <w:b/>
        </w:rPr>
        <w:t xml:space="preserve">Notes: </w:t>
      </w:r>
      <w:r>
        <w:t>abstract_source=crossref</w:t>
      </w:r>
    </w:p>
    <w:p>
      <w:pPr>
        <w:spacing w:before="0" w:after="80" w:lineRule="auto" w:line="276"/>
      </w:pPr>
      <w:r>
        <w:rPr>
          <w:b/>
        </w:rPr>
        <w:t xml:space="preserve">摘要（ZH）: </w:t>
      </w:r>
      <w:r>
        <w:t>新能源储存和能源产生技术得到了广泛的支持,利用了离子液体(ILs)的独特特性,特别是一些离子液体化学的低挥发性、高离子传导性,以及一些离子液体化学和电化学的大规模稳定性,这些是开发高性能电解液化装置包括钠电池的关键,最近,探索转向了对离子液化化学和钠盐浓度的修改,显示出对环流性能(金属钠和硬碳)的重大影响,而最初的循环方案也对循环稳定性产生了显著影响。</w:t>
      </w:r>
    </w:p>
    <w:p>
      <w:pPr>
        <w:spacing w:before="0" w:after="200" w:lineRule="auto" w:line="276"/>
      </w:pPr>
      <w:r>
        <w:rPr>
          <w:b/>
        </w:rPr>
        <w:t xml:space="preserve">Abstract (EN): </w:t>
      </w:r>
      <w:r>
        <w:t>Novel energy storage and energy generation technologies have been extensively supported by taking advantage of the unique properties of ionic liquids (ILs). In particular, the low volatility, high ionic conductivity, and large chemical and electrochemical stability of some ionic liquid chemistries have been key in the development of high‐performance electrolytes for electrochemical devices including sodium batteries. Recently, exploration has turned to modifications in the ionic liquid cation chemistry, as well as the sodium salt concentration, demonstrating significant influence on the anode cycling performance (both metal sodium and hard carbon), while the initial cycling protocols also have a marked effect on cycling stability. While the beneficial properties of ILs in energy storage applications have been well demonstrated, there is still a great deal to learn about their interactions both in the bulk and at electrode interfaces to facilitate further improvements in their chemical design. Future work to advance next‐generation sodium battery technologies should focus on the design and synthesis of new IL cations and anions with structural features promoting high sodium ion transport through improved coordination structures, as well as improved understanding of the interface interactions that contribute to improved solid electrolyte interphases solid–electrolyte interphase and uniform sodium plating.</w:t>
      </w:r>
    </w:p>
    <w:p>
      <w:pPr>
        <w:spacing w:before="120" w:after="120"/>
      </w:pPr>
      <w:r>
        <w:rPr>
          <w:sz w:val="18"/>
        </w:rPr>
        <w:t>——————————————————————————————————————————————————————————————————————</w:t>
      </w:r>
    </w:p>
    <w:p>
      <w:pPr>
        <w:spacing w:before="160" w:after="40" w:line="240" w:lineRule="auto"/>
      </w:pPr>
      <w:r>
        <w:rPr>
          <w:b/>
        </w:rPr>
        <w:t xml:space="preserve">[436] </w:t>
      </w:r>
      <w:hyperlink r:id="rId698">
        <w:r>
          <w:rPr>
            <w:color w:val="1155CC"/>
            <w:u w:val="single"/>
          </w:rPr>
          <w:t>质子交换薄膜燃料电池中指导高质量活动</w:t>
        </w:r>
      </w:hyperlink>
    </w:p>
    <w:p>
      <w:pPr>
        <w:spacing w:before="0" w:after="80"/>
      </w:pPr>
      <w:r>
        <w:rPr>
          <w:i/>
          <w:sz w:val="20"/>
        </w:rPr>
        <w:t>EN: Linker Group Directed High Mass Activity Fe–N–C Cathode in Proton Exchange Membrane Fuel Cells</w:t>
      </w:r>
    </w:p>
    <w:p>
      <w:pPr>
        <w:spacing w:before="0" w:after="120"/>
      </w:pPr>
      <w:r>
        <w:rPr>
          <w:b/>
        </w:rPr>
        <w:t xml:space="preserve">Source: </w:t>
      </w:r>
      <w:r>
        <w:t>Wiley: Advanced Materials: Table of Contents</w:t>
      </w:r>
      <w:r>
        <w:t xml:space="preserve">    </w:t>
      </w:r>
      <w:r>
        <w:rPr>
          <w:b/>
        </w:rPr>
        <w:t xml:space="preserve">Pub date: </w:t>
      </w:r>
      <w:r>
        <w:t>2026-01-08 14:28:47+00:00</w:t>
      </w:r>
      <w:r>
        <w:t xml:space="preserve">    </w:t>
      </w:r>
      <w:r>
        <w:rPr>
          <w:b/>
        </w:rPr>
        <w:t xml:space="preserve">DOI: </w:t>
      </w:r>
      <w:hyperlink r:id="rId699">
        <w:r>
          <w:rPr>
            <w:color w:val="1155CC"/>
            <w:u w:val="single"/>
          </w:rPr>
          <w:t>10.1002/adma.202518053</w:t>
        </w:r>
      </w:hyperlink>
    </w:p>
    <w:p>
      <w:pPr>
        <w:spacing w:before="0" w:after="120"/>
      </w:pPr>
      <w:r>
        <w:rPr>
          <w:b/>
        </w:rPr>
        <w:t xml:space="preserve">Notes: </w:t>
      </w:r>
      <w:r>
        <w:t>abstract_source=crossref</w:t>
      </w:r>
    </w:p>
    <w:p>
      <w:pPr>
        <w:spacing w:before="0" w:after="80" w:lineRule="auto" w:line="276"/>
      </w:pPr>
      <w:r>
        <w:rPr>
          <w:b/>
        </w:rPr>
        <w:t xml:space="preserve">摘要（ZH）: </w:t>
      </w:r>
      <w:r>
        <w:t>ABSTACT 原子散射的Fe-N-C催化剂被视为质子交换膜燃料电池(PEMFCs)的白蚁交换金属金属催化剂(PGM)的有希望的替代物,然而,由于薄膜电极组装(MEA)中活点的利用率不足,这些催化剂的进一步发展受到阻碍。 在这里,我们开发了高质量活性O-FENC催化剂,该催化剂具有高场地密度和高场地利用率。 CO集团作为硬基链接器发挥作用,通过刘易斯酸基互动促进FeN 4点的密度。 此外,这些催化剂还直接在三相界内进行内部的对接,导致聚氢离子离子浓缩和通过受管制的离子纳米加速氧渗透。</w:t>
      </w:r>
    </w:p>
    <w:p>
      <w:pPr>
        <w:spacing w:before="0" w:after="200" w:lineRule="auto" w:line="276"/>
      </w:pPr>
      <w:r>
        <w:rPr>
          <w:b/>
        </w:rPr>
        <w:t xml:space="preserve">Abstract (EN): </w:t>
      </w:r>
      <w:r>
        <w:t>Atomically dispersed Fe–N–C catalysts are regarded as promising alternatives to platinum‐group‐metal (PGM) catalysts for proton exchange membrane fuel cells (PEMFCs). However, their further development is hindered by inadequate utilization of active sites in membrane electrode assembly (MEA). Herein, we developed a high mass activity O–FeNC catalyst with high site density and enhanced site utilization. C═O groups function as hard base linkers, promoting the densification of FeN</w:t>
      </w:r>
      <w:r>
        <w:rPr>
          <w:vertAlign w:val="subscript"/>
        </w:rPr>
        <w:t>4</w:t>
      </w:r>
      <w:r>
        <w:t>sites through Lewis acid‐base interactions. Moreover, they also direct interfacial alignment within triple‐phase boundaries, leading to concentrated hydronium ions and accelerated oxygen permeation via regulated ionomer nanophase segregation. As a result, the obtained O–FeNC cathode delivered a current density of 66.45 mA cm</w:t>
      </w:r>
      <w:r>
        <w:t xml:space="preserve"> </w:t>
      </w:r>
      <w:r>
        <w:t>−2</w:t>
      </w:r>
      <w:r>
        <w:t xml:space="preserve"> </w:t>
      </w:r>
      <w:r>
        <w:t>at 0.90 V</w:t>
      </w:r>
      <w:r>
        <w:t xml:space="preserve"> </w:t>
      </w:r>
      <w:r>
        <w:t>iR‐free</w:t>
      </w:r>
      <w:r>
        <w:t xml:space="preserve"> </w:t>
      </w:r>
      <w:r>
        <w:t>, surpassing the US Department of Energy 2025 target (44 mA cm</w:t>
      </w:r>
      <w:r>
        <w:t xml:space="preserve"> </w:t>
      </w:r>
      <w:r>
        <w:t>−2</w:t>
      </w:r>
      <w:r>
        <w:t xml:space="preserve"> </w:t>
      </w:r>
      <w:r>
        <w:t>at 0.9 V</w:t>
      </w:r>
      <w:r>
        <w:t xml:space="preserve"> </w:t>
      </w:r>
      <w:r>
        <w:t>iR‐free</w:t>
      </w:r>
      <w:r>
        <w:t xml:space="preserve"> </w:t>
      </w:r>
      <w:r>
        <w:t>), with a mass activity that is 59% higher than commercial Pt/C. The peak power densities reached 1.8 W cm</w:t>
      </w:r>
      <w:r>
        <w:t xml:space="preserve"> </w:t>
      </w:r>
      <w:r>
        <w:t>−2</w:t>
      </w:r>
      <w:r>
        <w:t xml:space="preserve"> </w:t>
      </w:r>
      <w:r>
        <w:t>under H</w:t>
      </w:r>
      <w:r>
        <w:rPr>
          <w:vertAlign w:val="subscript"/>
        </w:rPr>
        <w:t>2</w:t>
      </w:r>
      <w:r>
        <w:t>–O</w:t>
      </w:r>
      <w:r>
        <w:rPr>
          <w:vertAlign w:val="subscript"/>
        </w:rPr>
        <w:t>2</w:t>
      </w:r>
      <w:r>
        <w:t>and 0.93 W cm</w:t>
      </w:r>
      <w:r>
        <w:t xml:space="preserve"> </w:t>
      </w:r>
      <w:r>
        <w:t>−2</w:t>
      </w:r>
      <w:r>
        <w:t xml:space="preserve"> </w:t>
      </w:r>
      <w:r>
        <w:t>under H</w:t>
      </w:r>
      <w:r>
        <w:rPr>
          <w:vertAlign w:val="subscript"/>
        </w:rPr>
        <w:t>2</w:t>
      </w:r>
      <w:r>
        <w:t>–air, alongside demonstrated industrial scalability through gram‐scale synthesis and a 500 W PGM‐free cathode stack prototype.</w:t>
      </w:r>
    </w:p>
    <w:p>
      <w:pPr>
        <w:spacing w:before="120" w:after="120"/>
      </w:pPr>
      <w:r>
        <w:rPr>
          <w:sz w:val="18"/>
        </w:rPr>
        <w:t>——————————————————————————————————————————————————————————————————————</w:t>
      </w:r>
    </w:p>
    <w:p>
      <w:pPr>
        <w:spacing w:before="160" w:after="40" w:line="240" w:lineRule="auto"/>
      </w:pPr>
      <w:r>
        <w:rPr>
          <w:b/>
        </w:rPr>
        <w:t xml:space="preserve">[437] </w:t>
      </w:r>
      <w:hyperlink r:id="rId700">
        <w:r>
          <w:rPr>
            <w:color w:val="1155CC"/>
            <w:u w:val="single"/>
          </w:rPr>
          <w:t>用于动态光谱遥感的电电电再配置可配置同质微型计算光谱分光计</w:t>
        </w:r>
      </w:hyperlink>
    </w:p>
    <w:p>
      <w:pPr>
        <w:spacing w:before="0" w:after="80"/>
      </w:pPr>
      <w:r>
        <w:rPr>
          <w:i/>
          <w:sz w:val="20"/>
        </w:rPr>
        <w:t>EN: Ferroelectric Reconfigurable Homojunction Miniaturized Computational Spectrometers for Dynamic Spectral Sensing</w:t>
      </w:r>
    </w:p>
    <w:p>
      <w:pPr>
        <w:spacing w:before="0" w:after="120"/>
      </w:pPr>
      <w:r>
        <w:rPr>
          <w:b/>
        </w:rPr>
        <w:t xml:space="preserve">Source: </w:t>
      </w:r>
      <w:r>
        <w:t>Wiley: Advanced Materials: Table of Contents</w:t>
      </w:r>
      <w:r>
        <w:t xml:space="preserve">    </w:t>
      </w:r>
      <w:r>
        <w:rPr>
          <w:b/>
        </w:rPr>
        <w:t xml:space="preserve">Pub date: </w:t>
      </w:r>
      <w:r>
        <w:t>2026-01-08 14:30:42+00:00</w:t>
      </w:r>
      <w:r>
        <w:t xml:space="preserve">    </w:t>
      </w:r>
      <w:r>
        <w:rPr>
          <w:b/>
        </w:rPr>
        <w:t xml:space="preserve">DOI: </w:t>
      </w:r>
      <w:hyperlink r:id="rId701">
        <w:r>
          <w:rPr>
            <w:color w:val="1155CC"/>
            <w:u w:val="single"/>
          </w:rPr>
          <w:t>10.1002/adma.202515132</w:t>
        </w:r>
      </w:hyperlink>
    </w:p>
    <w:p>
      <w:pPr>
        <w:spacing w:before="0" w:after="120"/>
      </w:pPr>
      <w:r>
        <w:rPr>
          <w:b/>
        </w:rPr>
        <w:t xml:space="preserve">Notes: </w:t>
      </w:r>
      <w:r>
        <w:t>abstract_source=crossref</w:t>
      </w:r>
    </w:p>
    <w:p>
      <w:pPr>
        <w:spacing w:before="0" w:after="80" w:lineRule="auto" w:line="276"/>
      </w:pPr>
      <w:r>
        <w:rPr>
          <w:b/>
        </w:rPr>
        <w:t xml:space="preserve">摘要（ZH）: </w:t>
      </w:r>
      <w:r>
        <w:t>抽象微型光谱仪对于推进紧凑、节能和实时光谱感测系统至关重要,然而,传统的光谱仪结构受到机械部件和效率的限制,因此难以不断缩小其体积。在这里,我们报告一个小型计算光谱仪平台,该平台以可进行电解再造的WSe 2同质光谱仪为基础,实现了高分辨率光谱重建和动态光谱感测,该设备在非挥发性下运行,接近零功率待命模式,由铁电极分化的保值特性所促成,确保在没有连续电力供应的情况下进行节能监测。</w:t>
      </w:r>
    </w:p>
    <w:p>
      <w:pPr>
        <w:spacing w:before="0" w:after="200" w:lineRule="auto" w:line="276"/>
      </w:pPr>
      <w:r>
        <w:rPr>
          <w:b/>
        </w:rPr>
        <w:t xml:space="preserve">Abstract (EN): </w:t>
      </w:r>
      <w:r>
        <w:t>Miniaturized spectrometers are crucial for advancing compact, energy‐efficient, and real‐time spectral sensing systems. However, traditional spectrometer architectures are limited by mechanical components and efficiency, making it difficult to consistently shrink their size. Here, we report a miniaturized computational spectral sensing platform based on a ferroelectrically reconfigurable WSe</w:t>
      </w:r>
      <w:r>
        <w:rPr>
          <w:vertAlign w:val="subscript"/>
        </w:rPr>
        <w:t>2</w:t>
      </w:r>
      <w:r>
        <w:t>homojunction, achieving both high‐resolution spectral reconstruction and dynamic spectral sensing. The device operates under a non‐volatile, near‐zero‐power standby mode enabled by the retention property of ferroelectric polarization, ensuring energy‐efficient monitoring without a continuous power supply. Event‐driven triggers combined with computational reconstruction enable real‐time spectral tracking with ∼32 µs response latency. This system shows broad spectral sensitivity (450 nm–950 nm) and the capability to detect dynamic spectral variations, validated via monitoring reflectance spectra of VO</w:t>
      </w:r>
      <w:r>
        <w:rPr>
          <w:vertAlign w:val="subscript"/>
        </w:rPr>
        <w:t>2</w:t>
      </w:r>
      <w:r>
        <w:t>film during phase transitions. This work reveals great potential for low‐power, real‐time spectral sensing, paving the way for on‐site spectral analysis.</w:t>
      </w:r>
    </w:p>
    <w:p>
      <w:pPr>
        <w:spacing w:before="120" w:after="120"/>
      </w:pPr>
      <w:r>
        <w:rPr>
          <w:sz w:val="18"/>
        </w:rPr>
        <w:t>——————————————————————————————————————————————————————————————————————</w:t>
      </w:r>
    </w:p>
    <w:p>
      <w:pPr>
        <w:spacing w:before="160" w:after="40" w:line="240" w:lineRule="auto"/>
      </w:pPr>
      <w:r>
        <w:rPr>
          <w:b/>
        </w:rPr>
        <w:t xml:space="preserve">[438] </w:t>
      </w:r>
      <w:hyperlink r:id="rId702">
        <w:r>
          <w:rPr>
            <w:color w:val="1155CC"/>
            <w:u w:val="single"/>
          </w:rPr>
          <w:t>具有广泛压力监测范围、用于多角度应用的具有广泛压力监测范围的电动三压感应器</w:t>
        </w:r>
      </w:hyperlink>
    </w:p>
    <w:p>
      <w:pPr>
        <w:spacing w:before="0" w:after="80"/>
      </w:pPr>
      <w:r>
        <w:rPr>
          <w:i/>
          <w:sz w:val="20"/>
        </w:rPr>
        <w:t>EN: Coral‐Inspired Double Cellulose Crosslinked Aerogel Triboelectric Sensors with Wide Pressure Monitoring Range for Multi‐Scenario Applications</w:t>
      </w:r>
    </w:p>
    <w:p>
      <w:pPr>
        <w:spacing w:before="0" w:after="120"/>
      </w:pPr>
      <w:r>
        <w:rPr>
          <w:b/>
        </w:rPr>
        <w:t xml:space="preserve">Source: </w:t>
      </w:r>
      <w:r>
        <w:t>Wiley: Advanced Materials: Table of Contents</w:t>
      </w:r>
      <w:r>
        <w:t xml:space="preserve">    </w:t>
      </w:r>
      <w:r>
        <w:rPr>
          <w:b/>
        </w:rPr>
        <w:t xml:space="preserve">Pub date: </w:t>
      </w:r>
      <w:r>
        <w:t>2026-01-08 14:31:24+00:00</w:t>
      </w:r>
      <w:r>
        <w:t xml:space="preserve">    </w:t>
      </w:r>
      <w:r>
        <w:rPr>
          <w:b/>
        </w:rPr>
        <w:t xml:space="preserve">DOI: </w:t>
      </w:r>
      <w:hyperlink r:id="rId703">
        <w:r>
          <w:rPr>
            <w:color w:val="1155CC"/>
            <w:u w:val="single"/>
          </w:rPr>
          <w:t>10.1002/adma.202515619</w:t>
        </w:r>
      </w:hyperlink>
    </w:p>
    <w:p>
      <w:pPr>
        <w:spacing w:before="0" w:after="120"/>
      </w:pPr>
      <w:r>
        <w:rPr>
          <w:b/>
        </w:rPr>
        <w:t xml:space="preserve">Notes: </w:t>
      </w:r>
      <w:r>
        <w:t>abstract_source=crossref</w:t>
      </w:r>
    </w:p>
    <w:p>
      <w:pPr>
        <w:spacing w:before="0" w:after="80" w:lineRule="auto" w:line="276"/>
      </w:pPr>
      <w:r>
        <w:rPr>
          <w:b/>
        </w:rPr>
        <w:t xml:space="preserve">摘要（ZH）: </w:t>
      </w:r>
      <w:r>
        <w:t>ABSTACT 以纤维素为基础的传感器的当前发展仍然受到有限的机械强度和敏感度范围不足的限制。在珊瑚结构的启发下,我们报告有一个以Janus纤维素气热凝胶(JCA)为基础的三压电动传感器(JCA),其特点是独特的双纤维素交叉连接网络。生物模拟结构增强了分子间相互作用,优化了分子链结构,大大提高了机械稳定性和操作耐久性。因此,JCA显示,与纯纤维素气凝胶(PCA)相比,Young的模量增加了43.7.5%,使其能承受50 000倍以上的负荷。相应的JCAS显示,包括高压下的稳定操作在内的高性能(300千帕)。</w:t>
      </w:r>
    </w:p>
    <w:p>
      <w:pPr>
        <w:spacing w:before="0" w:after="200" w:lineRule="auto" w:line="276"/>
      </w:pPr>
      <w:r>
        <w:rPr>
          <w:b/>
        </w:rPr>
        <w:t xml:space="preserve">Abstract (EN): </w:t>
      </w:r>
      <w:r>
        <w:t>Current development in cellulose‐based sensors remain restricted by limited mechanical strength and insufficient sensitivity range. Inspired by coral structure, we report a Janus cellulose aerogel (JCA) based triboelectric sensor (JCAS) featuring a unique double cellulose crosslinked network. The biomimetic structure enhances intermolecular interactions and optimizes the molecular chain structure, significantly improving mechanical stability and operational durability. Consequently, the JCA demonstrates a remarkable 437.5% increase in Young's modulus compared to pristine cellulose aerogel (PCA), enabling it to withstand loads over 50 000 times its own weight. The corresponding JCAS exhibits high performance, including stable operation under high‐pressure (300 kPa for 4 h), an extended cycling longevity, and a reliable sensing range of 0–800 kPa which is the widest reported to date for cellulose‐based triboelectric sensors to our knowledge. Biocompatibility tests further confirm their suitability for wearable applications. Finally, we demonstrate the practical utility of JCASs by integrating them into wearable devices for human posture recognition. This work provides a novel strategy for synthesizing crosslinked cellulose aerogels, promoting the practical applications of cellulose‐based triboelectric sensors.</w:t>
      </w:r>
    </w:p>
    <w:p>
      <w:pPr>
        <w:spacing w:before="120" w:after="120"/>
      </w:pPr>
      <w:r>
        <w:rPr>
          <w:sz w:val="18"/>
        </w:rPr>
        <w:t>——————————————————————————————————————————————————————————————————————</w:t>
      </w:r>
    </w:p>
    <w:p>
      <w:pPr>
        <w:spacing w:before="160" w:after="40" w:line="240" w:lineRule="auto"/>
      </w:pPr>
      <w:r>
        <w:rPr>
          <w:b/>
        </w:rPr>
        <w:t xml:space="preserve">[439] </w:t>
      </w:r>
      <w:hyperlink r:id="rId704">
        <w:r>
          <w:rPr>
            <w:color w:val="1155CC"/>
            <w:u w:val="single"/>
          </w:rPr>
          <w:t>通过在经过改造的水凝平台上改变耐体和受体受体,加强T细胞的扩大</w:t>
        </w:r>
      </w:hyperlink>
    </w:p>
    <w:p>
      <w:pPr>
        <w:spacing w:before="0" w:after="80"/>
      </w:pPr>
      <w:r>
        <w:rPr>
          <w:i/>
          <w:sz w:val="20"/>
        </w:rPr>
        <w:t>EN: Tunable Enhancement of T Cell Expansion Through Modulation of Stiffness and Adhesion Receptor Engagement in an Engineered Hydrogel Platform</w:t>
      </w:r>
    </w:p>
    <w:p>
      <w:pPr>
        <w:spacing w:before="0" w:after="120"/>
      </w:pPr>
      <w:r>
        <w:rPr>
          <w:b/>
        </w:rPr>
        <w:t xml:space="preserve">Source: </w:t>
      </w:r>
      <w:r>
        <w:t>Wiley: Advanced Materials: Table of Contents</w:t>
      </w:r>
      <w:r>
        <w:t xml:space="preserve">    </w:t>
      </w:r>
      <w:r>
        <w:rPr>
          <w:b/>
        </w:rPr>
        <w:t xml:space="preserve">Pub date: </w:t>
      </w:r>
      <w:r>
        <w:t>2026-01-08 14:31:29+00:00</w:t>
      </w:r>
      <w:r>
        <w:t xml:space="preserve">    </w:t>
      </w:r>
      <w:r>
        <w:rPr>
          <w:b/>
        </w:rPr>
        <w:t xml:space="preserve">DOI: </w:t>
      </w:r>
      <w:hyperlink r:id="rId705">
        <w:r>
          <w:rPr>
            <w:color w:val="1155CC"/>
            <w:u w:val="single"/>
          </w:rPr>
          <w:t>10.1002/adma.202505965</w:t>
        </w:r>
      </w:hyperlink>
    </w:p>
    <w:p>
      <w:pPr>
        <w:spacing w:before="0" w:after="120"/>
      </w:pPr>
      <w:r>
        <w:rPr>
          <w:b/>
        </w:rPr>
        <w:t xml:space="preserve">Notes: </w:t>
      </w:r>
      <w:r>
        <w:t>abstract_source=crossref</w:t>
      </w:r>
    </w:p>
    <w:p>
      <w:pPr>
        <w:spacing w:before="0" w:after="80" w:lineRule="auto" w:line="276"/>
      </w:pPr>
      <w:r>
        <w:rPr>
          <w:b/>
        </w:rPr>
        <w:t xml:space="preserve">摘要（ZH）: </w:t>
      </w:r>
      <w:r>
        <w:t>ABSTACT 收养细胞疗法(ACT) 是一个重要的肿瘤治疗类别, 需要外活细胞细胞扩展才能临床成功。 十分需要能够控制倍型和扩大细胞产品中产量的技术。 在这里, 我们开发了一个新的水凝胶支架, 用于控制T细胞扩张, 与其他水凝结构( 250x) 和 Dynabeads ( 1200x) 相比, 两周内产量最高为 2000xx 折的受控 T细胞扩张。 我们的2D 聚乙烯二甘醇二丙烯酸盐( PEGDA) 盐酸盐凝胶( SPGDA) 与 streptavidin moiety 交叉, 向具有受控水文凝胶硬度的细胞展示各种生物基板( PEGDA_Strep) 。 我们利用这个平台证明, 将亚粘性硬度与吸附感受体( ALFA_ 1 或 aCD2) 要求T 细胞行为。</w:t>
      </w:r>
    </w:p>
    <w:p>
      <w:pPr>
        <w:spacing w:before="0" w:after="200" w:lineRule="auto" w:line="276"/>
      </w:pPr>
      <w:r>
        <w:rPr>
          <w:b/>
        </w:rPr>
        <w:t xml:space="preserve">Abstract (EN): </w:t>
      </w:r>
      <w:r>
        <w:t>Adoptive T cell therapies (ACT) are an important class of oncology treatments that require ex vivo T cell expansion for clinical success. Technologies that can control both phenotype and yield in expanded cell products are highly desired. Here, we develop a new hydrogel scaffold for controlled T cell expansion with yields of up to 2000× fold in two weeks, compared to other hydrogel constructs (≈250×) and Dynabeads (≈1200×). Our 2D polyethylene glycol diacrylate (PEGDA) hydrogel scaffold is cross‐linked with streptavidin moieties to present various biotinylated ligands to cells with controlled hydrogel stiffness (PEGDA‐Strep). Using this platform, we demonstrate that combining substrate stiffness with adhesion receptor ligands (aLFA‐1 or aCD2) dictates T cell activation and proliferation. On stiff substrates, these ligands drove expansions 49% (aLFA‐1) and 68% (aCD2) greater than Dynabeads with comparable T cell products, preceded by elevated metabolic and transcriptional activity. Notably, while stiff substrates increased yield, soft substrates produced T cells with superior antigen‐specific killing selectivity. These findings highlight the role of mechanical sensing in T cell‐APC interactions and suggest improved manufacturing methods for adoptive T cell therapy (ACT).</w:t>
      </w:r>
    </w:p>
    <w:p>
      <w:pPr>
        <w:spacing w:before="120" w:after="120"/>
      </w:pPr>
      <w:r>
        <w:rPr>
          <w:sz w:val="18"/>
        </w:rPr>
        <w:t>——————————————————————————————————————————————————————————————————————</w:t>
      </w:r>
    </w:p>
    <w:p>
      <w:pPr>
        <w:spacing w:before="160" w:after="40" w:line="240" w:lineRule="auto"/>
      </w:pPr>
      <w:r>
        <w:rPr>
          <w:b/>
        </w:rPr>
        <w:t xml:space="preserve">[440] </w:t>
      </w:r>
      <w:hyperlink r:id="rId706">
        <w:r>
          <w:rPr>
            <w:color w:val="1155CC"/>
            <w:u w:val="single"/>
          </w:rPr>
          <w:t>大型电能储存线型大型能源储存设施,与具有定制原子空间多极化波动的刚果(金)刚果(金)刚果(金)刚果(金)刚果(金)刚果(金)刚果(金)刚果(金)刚果(金)刚果(金)刚果(金)刚果(金)武装部队</w:t>
        </w:r>
      </w:hyperlink>
    </w:p>
    <w:p>
      <w:pPr>
        <w:spacing w:before="0" w:after="80"/>
      </w:pPr>
      <w:r>
        <w:rPr>
          <w:i/>
          <w:sz w:val="20"/>
        </w:rPr>
        <w:t>EN: Large Capacitive Energy Storage in Linear‐Like MLCCs with Tailored Atomic‐Scale Polymorphic Polarization Fluctuations</w:t>
      </w:r>
    </w:p>
    <w:p>
      <w:pPr>
        <w:spacing w:before="0" w:after="120"/>
      </w:pPr>
      <w:r>
        <w:rPr>
          <w:b/>
        </w:rPr>
        <w:t xml:space="preserve">Source: </w:t>
      </w:r>
      <w:r>
        <w:t>Wiley: Advanced Materials: Table of Contents</w:t>
      </w:r>
      <w:r>
        <w:t xml:space="preserve">    </w:t>
      </w:r>
      <w:r>
        <w:rPr>
          <w:b/>
        </w:rPr>
        <w:t xml:space="preserve">Pub date: </w:t>
      </w:r>
      <w:r>
        <w:t>2026-01-08 14:32:38+00:00</w:t>
      </w:r>
      <w:r>
        <w:t xml:space="preserve">    </w:t>
      </w:r>
      <w:r>
        <w:rPr>
          <w:b/>
        </w:rPr>
        <w:t xml:space="preserve">DOI: </w:t>
      </w:r>
      <w:hyperlink r:id="rId707">
        <w:r>
          <w:rPr>
            <w:color w:val="1155CC"/>
            <w:u w:val="single"/>
          </w:rPr>
          <w:t>10.1002/adma.202522382</w:t>
        </w:r>
      </w:hyperlink>
    </w:p>
    <w:p>
      <w:pPr>
        <w:spacing w:before="0" w:after="120"/>
      </w:pPr>
      <w:r>
        <w:rPr>
          <w:b/>
        </w:rPr>
        <w:t xml:space="preserve">Notes: </w:t>
      </w:r>
      <w:r>
        <w:t>abstract_source=crossref</w:t>
      </w:r>
    </w:p>
    <w:p>
      <w:pPr>
        <w:spacing w:before="0" w:after="80" w:lineRule="auto" w:line="276"/>
      </w:pPr>
      <w:r>
        <w:rPr>
          <w:b/>
        </w:rPr>
        <w:t xml:space="preserve">摘要（ZH）: </w:t>
      </w:r>
      <w:r>
        <w:t>便携式电子装置的开发和新的能源领域对无铅多层陶瓷电容器(MLCCs)的能源储存特性提出了更高的要求。在这里,我们提出一项战略,通过对流系统工程诱导原子规模多形态两极分极波动。这项战略通过增加酶性,促进原子规模的阵列紊乱,导致原子规模的多形态两极分化波动与伦博和四角相并存,大大削弱极地厌食性和域交换屏障,从而实现一种类似线性极分化的行为,低歇斯。一种巨大的可回收能量密度(W REV)。</w:t>
      </w:r>
    </w:p>
    <w:p>
      <w:pPr>
        <w:spacing w:before="0" w:after="200" w:lineRule="auto" w:line="276"/>
      </w:pPr>
      <w:r>
        <w:rPr>
          <w:b/>
        </w:rPr>
        <w:t xml:space="preserve">Abstract (EN): </w:t>
      </w:r>
      <w:r>
        <w:t>The development of portable electronic devices and new energy fields has placed higher demands on the energy storage properties of lead‐free multilayer ceramic capacitors (MLCCs). Here, we propose a strategy for inducing atomic‐scale polymorphic polarization fluctuations via entropy engineering. This strategy promotes atomic‐scale lattice disorder through increasing entropy, induces the formation of atomic‐scale polymorphic polarization fluctuations with coexisting rhombohedral and tetragonal phase, significantly weakens polar anisotropy and domain switching barriers, and thus realizes a linear‐like polarization behavior with low hysteresis. A giant recoverable energy density (</w:t>
      </w:r>
      <w:r>
        <w:t xml:space="preserve"> </w:t>
      </w:r>
      <w:r>
        <w:t>W</w:t>
      </w:r>
      <w:r>
        <w:t xml:space="preserve"> </w:t>
      </w:r>
      <w:r>
        <w:t>rec</w:t>
      </w:r>
      <w:r>
        <w:t xml:space="preserve"> </w:t>
      </w:r>
      <w:r>
        <w:t>) of 21.3 J·cm</w:t>
      </w:r>
      <w:r>
        <w:t xml:space="preserve"> </w:t>
      </w:r>
      <w:r>
        <w:t>−3</w:t>
      </w:r>
      <w:r>
        <w:t xml:space="preserve"> </w:t>
      </w:r>
      <w:r>
        <w:t>under a high electric field of 1045 kV·cm</w:t>
      </w:r>
      <w:r>
        <w:t xml:space="preserve"> </w:t>
      </w:r>
      <w:r>
        <w:t>−1</w:t>
      </w:r>
      <w:r>
        <w:t xml:space="preserve"> </w:t>
      </w:r>
      <w:r>
        <w:t>is obtained in the high‐entropy MLCC, accompanied by a high energy efficiency (</w:t>
      </w:r>
      <w:r>
        <w:t xml:space="preserve"> </w:t>
      </w:r>
      <w:r>
        <w:t>η</w:t>
      </w:r>
      <w:r>
        <w:t xml:space="preserve"> </w:t>
      </w:r>
      <w:r>
        <w:t>) of 94.5%. Benefiting from such structural advantage, the MLCC prototype devices also possess excellent broad‐temperature, frequency, and cyclic stability. This work presents a reliable technical approach for the design of superior‐performing MLCCs by revealing the entropy‐structure‐performance correlation.</w:t>
      </w:r>
    </w:p>
    <w:p>
      <w:pPr>
        <w:spacing w:before="120" w:after="120"/>
      </w:pPr>
      <w:r>
        <w:rPr>
          <w:sz w:val="18"/>
        </w:rPr>
        <w:t>——————————————————————————————————————————————————————————————————————</w:t>
      </w:r>
    </w:p>
    <w:p>
      <w:pPr>
        <w:spacing w:before="160" w:after="40" w:line="240" w:lineRule="auto"/>
      </w:pPr>
      <w:r>
        <w:rPr>
          <w:b/>
        </w:rPr>
        <w:t xml:space="preserve">[441] </w:t>
      </w:r>
      <w:hyperlink r:id="rId708">
        <w:r>
          <w:rPr>
            <w:color w:val="1155CC"/>
            <w:u w:val="single"/>
          </w:rPr>
          <w:t>咖啡 Ring 工程化的干涉层能为可缩放的 Perovskite 光电化系统提供流化锁定</w:t>
        </w:r>
      </w:hyperlink>
    </w:p>
    <w:p>
      <w:pPr>
        <w:spacing w:before="0" w:after="80"/>
      </w:pPr>
      <w:r>
        <w:rPr>
          <w:i/>
          <w:sz w:val="20"/>
        </w:rPr>
        <w:t>EN: Coffee‐Ring‐Engineered Interfacial Layer Enables Fluid‐Locking for Scalable Perovskite Photovoltaics</w:t>
      </w:r>
    </w:p>
    <w:p>
      <w:pPr>
        <w:spacing w:before="0" w:after="120"/>
      </w:pPr>
      <w:r>
        <w:rPr>
          <w:b/>
        </w:rPr>
        <w:t xml:space="preserve">Source: </w:t>
      </w:r>
      <w:r>
        <w:t>Wiley: Advanced Materials: Table of Contents</w:t>
      </w:r>
      <w:r>
        <w:t xml:space="preserve">    </w:t>
      </w:r>
      <w:r>
        <w:rPr>
          <w:b/>
        </w:rPr>
        <w:t xml:space="preserve">Pub date: </w:t>
      </w:r>
      <w:r>
        <w:t>2026-01-08 14:34:28+00:00</w:t>
      </w:r>
      <w:r>
        <w:t xml:space="preserve">    </w:t>
      </w:r>
      <w:r>
        <w:rPr>
          <w:b/>
        </w:rPr>
        <w:t xml:space="preserve">DOI: </w:t>
      </w:r>
      <w:hyperlink r:id="rId709">
        <w:r>
          <w:rPr>
            <w:color w:val="1155CC"/>
            <w:u w:val="single"/>
          </w:rPr>
          <w:t>10.1002/adma.202518582</w:t>
        </w:r>
      </w:hyperlink>
    </w:p>
    <w:p>
      <w:pPr>
        <w:spacing w:before="0" w:after="120"/>
      </w:pPr>
      <w:r>
        <w:rPr>
          <w:b/>
        </w:rPr>
        <w:t xml:space="preserve">Notes: </w:t>
      </w:r>
      <w:r>
        <w:t>abstract_source=crossref</w:t>
      </w:r>
    </w:p>
    <w:p>
      <w:pPr>
        <w:spacing w:before="0" w:after="80" w:lineRule="auto" w:line="276"/>
      </w:pPr>
      <w:r>
        <w:rPr>
          <w:b/>
        </w:rPr>
        <w:t xml:space="preserve">摘要（ZH）: </w:t>
      </w:r>
      <w:r>
        <w:t>Perovskite太阳能电池(ABSTACT Perovskite太阳能电池)已成为充满希望的光伏发电技术,提供了杰出的电力转换效率和大规模部署的巨大潜力,然而,在印刷制造过程中,固有的咖啡效应诱发了多种共聚颗粒的沉积,导致非单形晶体化,严重限制了大面积装置的性能,这不仅使百草枯胶胶的结晶动态复杂化,而且妨碍制定适用于各装置规模的普遍流体控制战略。</w:t>
      </w:r>
    </w:p>
    <w:p>
      <w:pPr>
        <w:spacing w:before="0" w:after="200" w:lineRule="auto" w:line="276"/>
      </w:pPr>
      <w:r>
        <w:rPr>
          <w:b/>
        </w:rPr>
        <w:t xml:space="preserve">Abstract (EN): </w:t>
      </w:r>
      <w:r>
        <w:t>Perovskite solar cells (PSCs) have emerged as a promising photovoltaic technology, offering outstanding power conversion efficiency and significant potential for large‐scale deployment. However, during printed fabrication, the intrinsic coffee‐ring effect induces heterogeneous deposition of colloidal particles, leading to non‐uniform crystallization that critically limits the performance of large‐area devices. This issue not only complicates the crystallization dynamics of perovskite films but also impedes the development of a universal fluidic control strategy applicable across device scales. In this work, we harnessed the mechanisms of coffee‐ring formation and employed rapid drying combined with droplet fragmentation to construct a size‐tunable flow‐locking network at the buried interface. This network effectively confines the disordered migration of perovskite colloidal particles throughout the flowing and drying stages, suppressing the formation of macroscopic coffee rings and mitigating their detrimental impact on device crystallization and performance. As a result, the optimized PSCs deliver a high power conversion efficiency (PCE) of 26.61%, while a large‐area module (100 cm</w:t>
      </w:r>
      <w:r>
        <w:rPr>
          <w:vertAlign w:val="subscript"/>
        </w:rPr>
        <w:t>2</w:t>
      </w:r>
      <w:r>
        <w:t>) maintains an impressive PCE of 21.39%, demonstrating excellent scalability and device uniformity.</w:t>
      </w:r>
    </w:p>
    <w:p>
      <w:pPr>
        <w:spacing w:before="120" w:after="120"/>
      </w:pPr>
      <w:r>
        <w:rPr>
          <w:sz w:val="18"/>
        </w:rPr>
        <w:t>——————————————————————————————————————————————————————————————————————</w:t>
      </w:r>
    </w:p>
    <w:p>
      <w:pPr>
        <w:spacing w:before="160" w:after="40" w:line="240" w:lineRule="auto"/>
      </w:pPr>
      <w:r>
        <w:rPr>
          <w:b/>
        </w:rPr>
        <w:t xml:space="preserve">[442] </w:t>
      </w:r>
      <w:hyperlink r:id="rId710">
        <w:r>
          <w:rPr>
            <w:color w:val="1155CC"/>
            <w:u w:val="single"/>
          </w:rPr>
          <w:t>无辐射前的灵活弹性弹性弹性弹性弹性弹性弹性弹性弹性弹性弹性体的强光光度</w:t>
        </w:r>
      </w:hyperlink>
    </w:p>
    <w:p>
      <w:pPr>
        <w:spacing w:before="0" w:after="80"/>
      </w:pPr>
      <w:r>
        <w:rPr>
          <w:i/>
          <w:sz w:val="20"/>
        </w:rPr>
        <w:t>EN: Robust Solar‐Blind Ultraviolet Mechanoluminescence in Flexible Elastomers Without Pre‐Irradiation</w:t>
      </w:r>
    </w:p>
    <w:p>
      <w:pPr>
        <w:spacing w:before="0" w:after="120"/>
      </w:pPr>
      <w:r>
        <w:rPr>
          <w:b/>
        </w:rPr>
        <w:t xml:space="preserve">Source: </w:t>
      </w:r>
      <w:r>
        <w:t>Wiley: Advanced Materials: Table of Contents</w:t>
      </w:r>
      <w:r>
        <w:t xml:space="preserve">    </w:t>
      </w:r>
      <w:r>
        <w:rPr>
          <w:b/>
        </w:rPr>
        <w:t xml:space="preserve">Pub date: </w:t>
      </w:r>
      <w:r>
        <w:t>2026-01-08 14:35:30+00:00</w:t>
      </w:r>
      <w:r>
        <w:t xml:space="preserve">    </w:t>
      </w:r>
      <w:r>
        <w:rPr>
          <w:b/>
        </w:rPr>
        <w:t xml:space="preserve">DOI: </w:t>
      </w:r>
      <w:hyperlink r:id="rId711">
        <w:r>
          <w:rPr>
            <w:color w:val="1155CC"/>
            <w:u w:val="single"/>
          </w:rPr>
          <w:t>10.1002/adma.202521006</w:t>
        </w:r>
      </w:hyperlink>
    </w:p>
    <w:p>
      <w:pPr>
        <w:spacing w:before="0" w:after="120"/>
      </w:pPr>
      <w:r>
        <w:rPr>
          <w:b/>
        </w:rPr>
        <w:t xml:space="preserve">Notes: </w:t>
      </w:r>
      <w:r>
        <w:t>abstract_source=crossref</w:t>
      </w:r>
    </w:p>
    <w:p>
      <w:pPr>
        <w:spacing w:before="0" w:after="80" w:lineRule="auto" w:line="276"/>
      </w:pPr>
      <w:r>
        <w:rPr>
          <w:b/>
        </w:rPr>
        <w:t xml:space="preserve">摘要（ZH）: </w:t>
      </w:r>
      <w:r>
        <w:t>ABSTACT 弹性机械光化(ML)复合弹性体活性体体已成为可磨损装置、感测和监测应用的有希望的材料,然而,大多数报告系统主要在可见或近红外区域排放,只能在黑暗中有效检测到,而在全天候条件下可以监测的日盲紫外线(UV)ML系统相对而言仍然稀少,而且通常依赖未经辐照的磷。</w:t>
      </w:r>
    </w:p>
    <w:p>
      <w:pPr>
        <w:spacing w:before="0" w:after="200" w:lineRule="auto" w:line="276"/>
      </w:pPr>
      <w:r>
        <w:rPr>
          <w:b/>
        </w:rPr>
        <w:t xml:space="preserve">Abstract (EN): </w:t>
      </w:r>
      <w:r>
        <w:t>Flexible mechanoluminescence (ML) composite elastomers have emerged as promising materials for wearable devices, sensing, and monitoring applications. However, most reported systems emit predominantly in the visible or near‐infrared region, which can only be effectively detected in darkness. Solar‐blind ultraviolet (UV) ML systems that can be monitored under all‐weather conditions, in contrast, remain scarce and typically rely on pre‐irradiated phosphors. Herein, a robust solar‐blind ultraviolet‐C (UVC) ML composite elastomer composed of polydimethylsiloxane (PDMS) and Sr</w:t>
      </w:r>
      <w:r>
        <w:rPr>
          <w:vertAlign w:val="subscript"/>
        </w:rPr>
        <w:t>3</w:t>
      </w:r>
      <w:r>
        <w:t>(PO</w:t>
      </w:r>
      <w:r>
        <w:rPr>
          <w:vertAlign w:val="subscript"/>
        </w:rPr>
        <w:t>4</w:t>
      </w:r>
      <w:r>
        <w:t>)</w:t>
      </w:r>
      <w:r>
        <w:rPr>
          <w:vertAlign w:val="subscript"/>
        </w:rPr>
        <w:t>2</w:t>
      </w:r>
      <w:r>
        <w:t>:Pr</w:t>
      </w:r>
      <w:r>
        <w:t xml:space="preserve"> </w:t>
      </w:r>
      <w:r>
        <w:t>3+</w:t>
      </w:r>
      <w:r>
        <w:t xml:space="preserve"> </w:t>
      </w:r>
      <w:r>
        <w:t>(SPO:Pr) phosphors is developed. This composite elastomer exhibits self‐powered and self‐recovered UVC emission centered at 264 nm in response to various mechanical stimuli, such as stretching, rubbing, and impacting. Notably, it demonstrates remarkable repeatability and cyclic stability, maintaining detectable UVC emission over 10,000 continuous stretching cycles (the UVC power intensity during the first cycle can reach 12.1 mW·m</w:t>
      </w:r>
      <w:r>
        <w:t xml:space="preserve"> </w:t>
      </w:r>
      <w:r>
        <w:t>−2</w:t>
      </w:r>
      <w:r>
        <w:t xml:space="preserve"> </w:t>
      </w:r>
      <w:r>
        <w:t>), accompanied by rapid self‐recovery behavior. Comprehensive experimental analyses reveal that interfacial triboelectrification, originating from electron transfer from the SPO:Pr phosphors to the PDMS matrix, dominates the underlying UVC ML mechanism. This new series of pre‐irradiation‐free and self‐recoverable UVC ML elastomers holds great potential for practical applications under all‐weather conditions, such as structural failure monitoring, covert optical tagging and tracking, and collision detection.</w:t>
      </w:r>
    </w:p>
    <w:p>
      <w:pPr>
        <w:spacing w:before="120" w:after="120"/>
      </w:pPr>
      <w:r>
        <w:rPr>
          <w:sz w:val="18"/>
        </w:rPr>
        <w:t>——————————————————————————————————————————————————————————————————————</w:t>
      </w:r>
    </w:p>
    <w:p>
      <w:pPr>
        <w:spacing w:before="160" w:after="40" w:line="240" w:lineRule="auto"/>
      </w:pPr>
      <w:r>
        <w:rPr>
          <w:b/>
        </w:rPr>
        <w:t xml:space="preserve">[443] </w:t>
      </w:r>
      <w:hyperlink r:id="rId712">
        <w:r>
          <w:rPr>
            <w:color w:val="1155CC"/>
            <w:u w:val="single"/>
          </w:rPr>
          <w:t>解除混合阶段Tetragonal Ferrorozer 电电电多层中 热弹性磁场重组的电力机械反应</w:t>
        </w:r>
      </w:hyperlink>
    </w:p>
    <w:p>
      <w:pPr>
        <w:spacing w:before="0" w:after="80"/>
      </w:pPr>
      <w:r>
        <w:rPr>
          <w:i/>
          <w:sz w:val="20"/>
        </w:rPr>
        <w:t>EN: Unleashing the Electromechanical Response of Ferroelastic Domain Reorganization in Mixed‐Phase Tetragonal Ferroelectric Multilayers</w:t>
      </w:r>
    </w:p>
    <w:p>
      <w:pPr>
        <w:spacing w:before="0" w:after="120"/>
      </w:pPr>
      <w:r>
        <w:rPr>
          <w:b/>
        </w:rPr>
        <w:t xml:space="preserve">Source: </w:t>
      </w:r>
      <w:r>
        <w:t>Wiley: Advanced Materials: Table of Contents</w:t>
      </w:r>
      <w:r>
        <w:t xml:space="preserve">    </w:t>
      </w:r>
      <w:r>
        <w:rPr>
          <w:b/>
        </w:rPr>
        <w:t xml:space="preserve">Pub date: </w:t>
      </w:r>
      <w:r>
        <w:t>2026-01-08 14:36:33+00:00</w:t>
      </w:r>
      <w:r>
        <w:t xml:space="preserve">    </w:t>
      </w:r>
      <w:r>
        <w:rPr>
          <w:b/>
        </w:rPr>
        <w:t xml:space="preserve">DOI: </w:t>
      </w:r>
      <w:hyperlink r:id="rId713">
        <w:r>
          <w:rPr>
            <w:color w:val="1155CC"/>
            <w:u w:val="single"/>
          </w:rPr>
          <w:t>10.1002/adma.202518417</w:t>
        </w:r>
      </w:hyperlink>
    </w:p>
    <w:p>
      <w:pPr>
        <w:spacing w:before="0" w:after="120"/>
      </w:pPr>
      <w:r>
        <w:rPr>
          <w:b/>
        </w:rPr>
        <w:t xml:space="preserve">Notes: </w:t>
      </w:r>
      <w:r>
        <w:t>abstract_source=crossref</w:t>
      </w:r>
    </w:p>
    <w:p>
      <w:pPr>
        <w:spacing w:before="0" w:after="80" w:lineRule="auto" w:line="276"/>
      </w:pPr>
      <w:r>
        <w:rPr>
          <w:b/>
        </w:rPr>
        <w:t xml:space="preserve">摘要（ZH）: </w:t>
      </w:r>
      <w:r>
        <w:t>微薄胶片电子机械材料引起了相当大的兴趣,因为有可能使一系列应用的装置微型化,薄薄膜的电动机械反应一般受到基底夹紧和断电的限制,这项工作设计了薄膜,薄膜具有100厘米以下厚度,解决了夹紧和碎裂强度的局限性,从而产生了在性能方面与大宗碎裂对口相匹配或超过其大宗碎裂对口的胶片。</w:t>
      </w:r>
    </w:p>
    <w:p>
      <w:pPr>
        <w:spacing w:before="0" w:after="200" w:lineRule="auto" w:line="276"/>
      </w:pPr>
      <w:r>
        <w:rPr>
          <w:b/>
        </w:rPr>
        <w:t xml:space="preserve">Abstract (EN): </w:t>
      </w:r>
      <w:r>
        <w:t>There is considerable interest in thin‐film electromechanical materials due to the prospect for device miniaturization for an array of applications. The electromechanical response of thin films, however, is generally limited by substrate clamping and electrical breakdown. This work designs</w:t>
      </w:r>
      <w:r>
        <w:t xml:space="preserve"> </w:t>
      </w:r>
      <w:r>
        <w:t>thin‐film piezoceramics</w:t>
      </w:r>
      <w:r>
        <w:t xml:space="preserve"> </w:t>
      </w:r>
      <w:r>
        <w:t>with sub‐100‐nm thickness that address the limitations of clamping and breakdown strength and, as a result, produces films that rival or surpass their</w:t>
      </w:r>
      <w:r>
        <w:t xml:space="preserve"> </w:t>
      </w:r>
      <w:r>
        <w:t>bulk piezoceramics</w:t>
      </w:r>
      <w:r>
        <w:t xml:space="preserve"> </w:t>
      </w:r>
      <w:r>
        <w:t>counterparts in terms of performance. In the tetragonal ferroelectric PbZr</w:t>
      </w:r>
      <w:r>
        <w:t xml:space="preserve"> </w:t>
      </w:r>
      <w:r>
        <w:t>0.2</w:t>
      </w:r>
      <w:r>
        <w:t xml:space="preserve"> </w:t>
      </w:r>
      <w:r>
        <w:t>Ti</w:t>
      </w:r>
      <w:r>
        <w:t xml:space="preserve"> </w:t>
      </w:r>
      <w:r>
        <w:t>0.8</w:t>
      </w:r>
      <w:r>
        <w:t xml:space="preserve"> </w:t>
      </w:r>
      <w:r>
        <w:t>O</w:t>
      </w:r>
      <w:r>
        <w:rPr>
          <w:vertAlign w:val="subscript"/>
        </w:rPr>
        <w:t>3</w:t>
      </w:r>
      <w:r>
        <w:t>, strain‐induced mixtures of in‐ and out‐of‐plane oriented domain structures are leveraged to achieve the ferroelastic interconversion of in‐plane‐polarized</w:t>
      </w:r>
      <w:r>
        <w:t xml:space="preserve"> </w:t>
      </w:r>
      <w:r>
        <w:t>a</w:t>
      </w:r>
      <w:r>
        <w:t xml:space="preserve"> </w:t>
      </w:r>
      <w:r>
        <w:t>domains to out‐of‐plane‐polarized</w:t>
      </w:r>
      <w:r>
        <w:t xml:space="preserve"> </w:t>
      </w:r>
      <w:r>
        <w:t>c</w:t>
      </w:r>
      <w:r>
        <w:t xml:space="preserve"> </w:t>
      </w:r>
      <w:r>
        <w:t>domains, opening a pathway to enhanced electromechanical response (1.25%, = 170 pm/V).</w:t>
      </w:r>
      <w:r>
        <w:t xml:space="preserve"> </w:t>
      </w:r>
      <w:r>
        <w:t>Operando</w:t>
      </w:r>
      <w:r>
        <w:t xml:space="preserve"> </w:t>
      </w:r>
      <w:r>
        <w:t>second harmonic generation and scanning transmission electron microscopy studies confirm the</w:t>
      </w:r>
      <w:r>
        <w:t xml:space="preserve"> </w:t>
      </w:r>
      <w:r>
        <w:t>a</w:t>
      </w:r>
      <w:r>
        <w:t xml:space="preserve"> </w:t>
      </w:r>
      <w:r>
        <w:t>‐to‐</w:t>
      </w:r>
      <w:r>
        <w:t xml:space="preserve"> </w:t>
      </w:r>
      <w:r>
        <w:t>c</w:t>
      </w:r>
      <w:r>
        <w:t xml:space="preserve"> </w:t>
      </w:r>
      <w:r>
        <w:t>ferroelastic conversion, and establish the switching from</w:t>
      </w:r>
      <w:r>
        <w:t xml:space="preserve"> </w:t>
      </w:r>
      <w:r>
        <w:t>a</w:t>
      </w:r>
      <w:r>
        <w:rPr>
          <w:vertAlign w:val="subscript"/>
        </w:rPr>
        <w:t>1</w:t>
      </w:r>
      <w:r>
        <w:t>/</w:t>
      </w:r>
      <w:r>
        <w:t>a</w:t>
      </w:r>
      <w:r>
        <w:rPr>
          <w:vertAlign w:val="subscript"/>
        </w:rPr>
        <w:t>2</w:t>
      </w:r>
      <w:r>
        <w:t>to</w:t>
      </w:r>
      <w:r>
        <w:t xml:space="preserve"> </w:t>
      </w:r>
      <w:r>
        <w:t>c</w:t>
      </w:r>
      <w:r>
        <w:t xml:space="preserve"> </w:t>
      </w:r>
      <w:r>
        <w:t>/</w:t>
      </w:r>
      <w:r>
        <w:t>a</w:t>
      </w:r>
      <w:r>
        <w:t xml:space="preserve"> </w:t>
      </w:r>
      <w:r>
        <w:t>superdomains as the underlying mechanism for the large response. In turn, PbZr</w:t>
      </w:r>
      <w:r>
        <w:t xml:space="preserve"> </w:t>
      </w:r>
      <w:r>
        <w:t>0.2</w:t>
      </w:r>
      <w:r>
        <w:t xml:space="preserve"> </w:t>
      </w:r>
      <w:r>
        <w:t>Ti</w:t>
      </w:r>
      <w:r>
        <w:t xml:space="preserve"> </w:t>
      </w:r>
      <w:r>
        <w:t>0.8</w:t>
      </w:r>
      <w:r>
        <w:t xml:space="preserve"> </w:t>
      </w:r>
      <w:r>
        <w:t>O</w:t>
      </w:r>
      <w:r>
        <w:rPr>
          <w:vertAlign w:val="subscript"/>
        </w:rPr>
        <w:t>3</w:t>
      </w:r>
      <w:r>
        <w:t>/0.68PbMg</w:t>
      </w:r>
      <w:r>
        <w:t xml:space="preserve"> </w:t>
      </w:r>
      <w:r>
        <w:t>1/3</w:t>
      </w:r>
      <w:r>
        <w:t xml:space="preserve"> </w:t>
      </w:r>
      <w:r>
        <w:t>Nb</w:t>
      </w:r>
      <w:r>
        <w:t xml:space="preserve"> </w:t>
      </w:r>
      <w:r>
        <w:t>2/3</w:t>
      </w:r>
      <w:r>
        <w:t xml:space="preserve"> </w:t>
      </w:r>
      <w:r>
        <w:t>O</w:t>
      </w:r>
      <w:r>
        <w:rPr>
          <w:vertAlign w:val="subscript"/>
        </w:rPr>
        <w:t>3</w:t>
      </w:r>
      <w:r>
        <w:t>‐0.32PbTiO</w:t>
      </w:r>
      <w:r>
        <w:rPr>
          <w:vertAlign w:val="subscript"/>
        </w:rPr>
        <w:t>3</w:t>
      </w:r>
      <w:r>
        <w:t>/PbZr</w:t>
      </w:r>
      <w:r>
        <w:t xml:space="preserve"> </w:t>
      </w:r>
      <w:r>
        <w:t>0.2</w:t>
      </w:r>
      <w:r>
        <w:t xml:space="preserve"> </w:t>
      </w:r>
      <w:r>
        <w:t>Ti</w:t>
      </w:r>
      <w:r>
        <w:t xml:space="preserve"> </w:t>
      </w:r>
      <w:r>
        <w:t>0.8</w:t>
      </w:r>
      <w:r>
        <w:t xml:space="preserve"> </w:t>
      </w:r>
      <w:r>
        <w:t>O</w:t>
      </w:r>
      <w:r>
        <w:rPr>
          <w:vertAlign w:val="subscript"/>
        </w:rPr>
        <w:t>3</w:t>
      </w:r>
      <w:r>
        <w:t>trilayers are fabricated to improve the electrical‐breakdown strength while maintaining the domain‐structure interconversion, resulting in the enhancement of the electromechanical strain to 2.1%. Overall, by combining domain‐structure optimization and multilayer‐heterostructure design, remarkable electromechanical response can be achieved even in sub‐100‐nm thin films normally subject to clamping effects.</w:t>
      </w:r>
    </w:p>
    <w:p>
      <w:pPr>
        <w:spacing w:before="120" w:after="120"/>
      </w:pPr>
      <w:r>
        <w:rPr>
          <w:sz w:val="18"/>
        </w:rPr>
        <w:t>——————————————————————————————————————————————————————————————————————</w:t>
      </w:r>
    </w:p>
    <w:p>
      <w:pPr>
        <w:spacing w:before="160" w:after="40" w:line="240" w:lineRule="auto"/>
      </w:pPr>
      <w:r>
        <w:rPr>
          <w:b/>
        </w:rPr>
        <w:t xml:space="preserve">[444] </w:t>
      </w:r>
      <w:hyperlink r:id="rId714">
        <w:r>
          <w:rPr>
            <w:color w:val="1155CC"/>
            <w:u w:val="single"/>
          </w:rPr>
          <w:t>通过空间隔离设计和共价有机框架中的炭疽式红氧化物航天飞机对H2O2进行高效光电催化合成</w:t>
        </w:r>
      </w:hyperlink>
    </w:p>
    <w:p>
      <w:pPr>
        <w:spacing w:before="0" w:after="80"/>
      </w:pPr>
      <w:r>
        <w:rPr>
          <w:i/>
          <w:sz w:val="20"/>
        </w:rPr>
        <w:t>EN: Efficient Photocatalytic Synthesis of H2O2 via Spatial Separation Design and Anthraquinone Redox Shuttle in Covalent Organic Frameworks</w:t>
      </w:r>
    </w:p>
    <w:p>
      <w:pPr>
        <w:spacing w:before="0" w:after="120"/>
      </w:pPr>
      <w:r>
        <w:rPr>
          <w:b/>
        </w:rPr>
        <w:t xml:space="preserve">Source: </w:t>
      </w:r>
      <w:r>
        <w:t>Wiley: Advanced Materials: Table of Contents</w:t>
      </w:r>
      <w:r>
        <w:t xml:space="preserve">    </w:t>
      </w:r>
      <w:r>
        <w:rPr>
          <w:b/>
        </w:rPr>
        <w:t xml:space="preserve">Pub date: </w:t>
      </w:r>
      <w:r>
        <w:t>2026-01-08 14:39:18+00:00</w:t>
      </w:r>
      <w:r>
        <w:t xml:space="preserve">    </w:t>
      </w:r>
      <w:r>
        <w:rPr>
          <w:b/>
        </w:rPr>
        <w:t xml:space="preserve">DOI: </w:t>
      </w:r>
      <w:hyperlink r:id="rId715">
        <w:r>
          <w:rPr>
            <w:color w:val="1155CC"/>
            <w:u w:val="single"/>
          </w:rPr>
          <w:t>10.1002/adma.202520022</w:t>
        </w:r>
      </w:hyperlink>
    </w:p>
    <w:p>
      <w:pPr>
        <w:spacing w:before="0" w:after="120"/>
      </w:pPr>
      <w:r>
        <w:rPr>
          <w:b/>
        </w:rPr>
        <w:t xml:space="preserve">Notes: </w:t>
      </w:r>
      <w:r>
        <w:t>abstract_source=crossref</w:t>
      </w:r>
    </w:p>
    <w:p>
      <w:pPr>
        <w:spacing w:before="0" w:after="80" w:lineRule="auto" w:line="276"/>
      </w:pPr>
      <w:r>
        <w:rPr>
          <w:b/>
        </w:rPr>
        <w:t xml:space="preserve">摘要（ZH）: </w:t>
      </w:r>
      <w:r>
        <w:t>共价有机框架(COFs) 已成为直接从纯水中直接生产太阳能驱动H2O2的有吸引力的平台,然而,传统综合活性场地结构,将氧减氧反应(ORR)和水氧化反应(WOR)结合起来,往往受到低效率光产生电荷分离和严重再组合的影响。 我们在此提出一个功能化的空间分离战略,将现场隔离的红氧化物领域与炭疽(AQ)红氧化物特性结合起来,例如一个A功能化COF(BTQAQ)。综合实验和理论研究显示,苯三联苯(BTT)多马。</w:t>
      </w:r>
    </w:p>
    <w:p>
      <w:pPr>
        <w:spacing w:before="0" w:after="200" w:lineRule="auto" w:line="276"/>
      </w:pPr>
      <w:r>
        <w:rPr>
          <w:b/>
        </w:rPr>
        <w:t xml:space="preserve">Abstract (EN): </w:t>
      </w:r>
      <w:r>
        <w:t>Covalent organic frameworks (COFs) have emerged as attractive platforms for solar‑driven H</w:t>
      </w:r>
      <w:r>
        <w:rPr>
          <w:vertAlign w:val="subscript"/>
        </w:rPr>
        <w:t>2</w:t>
      </w:r>
      <w:r>
        <w:t>O</w:t>
      </w:r>
      <w:r>
        <w:rPr>
          <w:vertAlign w:val="subscript"/>
        </w:rPr>
        <w:t>2</w:t>
      </w:r>
      <w:r>
        <w:t>production directly from pure water. However, conventional integrated active‑site architectures that couple oxygen reduction reaction (ORR) and water oxidation reaction (WOR) often suffer from inefficient photogenerated charge separation and severe recombination. Here, we propose a functionality‐coupled spatial separation strategy that integrates site‑isolated redox domains with an anthraquinone (AQ) redox‑shuttle characteristics, exemplified by an AQ‑functionalized COF (BTT‑AQ). Combined experimental and theoretical studies reveal that the benzotrithiophene (BTT) domain acts as a selective two‑electron ORR site, while the AQ domain promotes four‑electron WOR via a hydrogen‑bonded carbonyl‐water network, thereby suppressing charge recombination. In situ diffuse reflectance infrared Fourier transform spectroscopy confirms reversible hydrogenation of AQ to H</w:t>
      </w:r>
      <w:r>
        <w:rPr>
          <w:vertAlign w:val="subscript"/>
        </w:rPr>
        <w:t>2</w:t>
      </w:r>
      <w:r>
        <w:t>AQ, which is subsequently oxidized by O</w:t>
      </w:r>
      <w:r>
        <w:rPr>
          <w:vertAlign w:val="subscript"/>
        </w:rPr>
        <w:t>2</w:t>
      </w:r>
      <w:r>
        <w:t>to yield H</w:t>
      </w:r>
      <w:r>
        <w:rPr>
          <w:vertAlign w:val="subscript"/>
        </w:rPr>
        <w:t>2</w:t>
      </w:r>
      <w:r>
        <w:t>O</w:t>
      </w:r>
      <w:r>
        <w:rPr>
          <w:vertAlign w:val="subscript"/>
        </w:rPr>
        <w:t>2</w:t>
      </w:r>
      <w:r>
        <w:t>, establishing a thermodynamically favorable short‑range proton‑transfer pathway for ORR. Without sacrificial agents, BTT‑AQ achieves a remarkable H</w:t>
      </w:r>
      <w:r>
        <w:rPr>
          <w:vertAlign w:val="subscript"/>
        </w:rPr>
        <w:t>2</w:t>
      </w:r>
      <w:r>
        <w:t>O</w:t>
      </w:r>
      <w:r>
        <w:rPr>
          <w:vertAlign w:val="subscript"/>
        </w:rPr>
        <w:t>2</w:t>
      </w:r>
      <w:r>
        <w:t>production rate of 4218 µmol g</w:t>
      </w:r>
      <w:r>
        <w:t xml:space="preserve"> </w:t>
      </w:r>
      <w:r>
        <w:t>−1</w:t>
      </w:r>
      <w:r>
        <w:t xml:space="preserve"> </w:t>
      </w:r>
      <w:r>
        <w:t>h</w:t>
      </w:r>
      <w:r>
        <w:t xml:space="preserve"> </w:t>
      </w:r>
      <w:r>
        <w:t>−1</w:t>
      </w:r>
      <w:r>
        <w:t xml:space="preserve"> </w:t>
      </w:r>
      <w:r>
        <w:t>, outperforming redox‐inert analogues BTT‑FO (1368 µmol g</w:t>
      </w:r>
      <w:r>
        <w:t xml:space="preserve"> </w:t>
      </w:r>
      <w:r>
        <w:t>−1</w:t>
      </w:r>
      <w:r>
        <w:t xml:space="preserve"> </w:t>
      </w:r>
      <w:r>
        <w:t>h</w:t>
      </w:r>
      <w:r>
        <w:t xml:space="preserve"> </w:t>
      </w:r>
      <w:r>
        <w:t>−1</w:t>
      </w:r>
      <w:r>
        <w:t xml:space="preserve"> </w:t>
      </w:r>
      <w:r>
        <w:t>) and BTT‑AD (532 µmol g</w:t>
      </w:r>
      <w:r>
        <w:t xml:space="preserve"> </w:t>
      </w:r>
      <w:r>
        <w:t>−1</w:t>
      </w:r>
      <w:r>
        <w:t xml:space="preserve"> </w:t>
      </w:r>
      <w:r>
        <w:t>h</w:t>
      </w:r>
      <w:r>
        <w:t xml:space="preserve"> </w:t>
      </w:r>
      <w:r>
        <w:t>−1</w:t>
      </w:r>
      <w:r>
        <w:t xml:space="preserve"> </w:t>
      </w:r>
      <w:r>
        <w:t>). This study demonstrates a generalizable design principle that couples spatial charge separation with molecular redox‑shuttle characteristics, paving the way for highly efficient solar H</w:t>
      </w:r>
      <w:r>
        <w:rPr>
          <w:vertAlign w:val="subscript"/>
        </w:rPr>
        <w:t>2</w:t>
      </w:r>
      <w:r>
        <w:t>O</w:t>
      </w:r>
      <w:r>
        <w:rPr>
          <w:vertAlign w:val="subscript"/>
        </w:rPr>
        <w:t>2</w:t>
      </w:r>
      <w:r>
        <w:t>production.</w:t>
      </w:r>
    </w:p>
    <w:p>
      <w:pPr>
        <w:spacing w:before="120" w:after="120"/>
      </w:pPr>
      <w:r>
        <w:rPr>
          <w:sz w:val="18"/>
        </w:rPr>
        <w:t>——————————————————————————————————————————————————————————————————————</w:t>
      </w:r>
    </w:p>
    <w:p>
      <w:pPr>
        <w:spacing w:before="160" w:after="40" w:line="240" w:lineRule="auto"/>
      </w:pPr>
      <w:r>
        <w:rPr>
          <w:b/>
        </w:rPr>
        <w:t xml:space="preserve">[445] </w:t>
      </w:r>
      <w:hyperlink r:id="rId716">
        <w:r>
          <w:rPr>
            <w:color w:val="1155CC"/>
            <w:u w:val="single"/>
          </w:rPr>
          <w:t>Zinc Anode 相互兼容的绿色和高性能固态混合电动器</w:t>
        </w:r>
      </w:hyperlink>
    </w:p>
    <w:p>
      <w:pPr>
        <w:spacing w:before="0" w:after="80"/>
      </w:pPr>
      <w:r>
        <w:rPr>
          <w:i/>
          <w:sz w:val="20"/>
        </w:rPr>
        <w:t>EN: Hierarchical‐Heterogeneous Biogel Electrolytes Regulate Zinc Anode Interfacial Compatibility Towards Green and High‐Performance Solid‐State Hybrid Capacitors</w:t>
      </w:r>
    </w:p>
    <w:p>
      <w:pPr>
        <w:spacing w:before="0" w:after="120"/>
      </w:pPr>
      <w:r>
        <w:rPr>
          <w:b/>
        </w:rPr>
        <w:t xml:space="preserve">Source: </w:t>
      </w:r>
      <w:r>
        <w:t>Wiley: Advanced Materials: Table of Contents</w:t>
      </w:r>
      <w:r>
        <w:t xml:space="preserve">    </w:t>
      </w:r>
      <w:r>
        <w:rPr>
          <w:b/>
        </w:rPr>
        <w:t xml:space="preserve">Pub date: </w:t>
      </w:r>
      <w:r>
        <w:t>2026-01-08 14:40:31+00:00</w:t>
      </w:r>
      <w:r>
        <w:t xml:space="preserve">    </w:t>
      </w:r>
      <w:r>
        <w:rPr>
          <w:b/>
        </w:rPr>
        <w:t xml:space="preserve">DOI: </w:t>
      </w:r>
      <w:hyperlink r:id="rId717">
        <w:r>
          <w:rPr>
            <w:color w:val="1155CC"/>
            <w:u w:val="single"/>
          </w:rPr>
          <w:t>10.1002/adma.202522394</w:t>
        </w:r>
      </w:hyperlink>
    </w:p>
    <w:p>
      <w:pPr>
        <w:spacing w:before="0" w:after="120"/>
      </w:pPr>
      <w:r>
        <w:rPr>
          <w:b/>
        </w:rPr>
        <w:t xml:space="preserve">Notes: </w:t>
      </w:r>
      <w:r>
        <w:t>abstract_source=crossref</w:t>
      </w:r>
    </w:p>
    <w:p>
      <w:pPr>
        <w:spacing w:before="0" w:after="80" w:lineRule="auto" w:line="276"/>
      </w:pPr>
      <w:r>
        <w:rPr>
          <w:b/>
        </w:rPr>
        <w:t xml:space="preserve">摘要（ZH）: </w:t>
      </w:r>
      <w:r>
        <w:t>Gel 电解液是固态 Zn离混合电容器的高度优先材料,其特点是高离子传导性和内在机械灵活性。然而,由于现有的凝胶电解液相对柔软,不与僵硬的 Zn 阳极密切接触,它们与Zn 阳极的交互兼容性较低,导致设备降解。我们在这里通过原地结晶化凝胶三螺旋体组,从悬浮聚合物领域发展出一类生物凝胶电解液,形成一种独特的等级异体结构。生物凝胶电解液显示了高强度、温度-触发的粘合体、高Zn 2+转移数和温合的优势。</w:t>
      </w:r>
    </w:p>
    <w:p>
      <w:pPr>
        <w:spacing w:before="0" w:after="200" w:lineRule="auto" w:line="276"/>
      </w:pPr>
      <w:r>
        <w:rPr>
          <w:b/>
        </w:rPr>
        <w:t xml:space="preserve">Abstract (EN): </w:t>
      </w:r>
      <w:r>
        <w:t>Gel electrolytes are high‐priority materials for solid‐state Zn‐ion hybrid capacitors, characterized by high ionic conductivity and intrinsic mechanical flexibility. However, because the existing gel electrolytes are relatively soft and do not contact intimately with rigid Zn anodes, they have inferior interfacial compatibility with Zn anodes, leading to device degradation. Here we develop a class of biogel electrolytes by in situ crystallizing gelatin triple helix units from the alginate polymer domain to form a unique hierarchical‐heterogeneous structure. The biogel electrolyte demonstrates combined advantages of high toughness, temperature‐triggered adhesion, high Zn</w:t>
      </w:r>
      <w:r>
        <w:t xml:space="preserve"> </w:t>
      </w:r>
      <w:r>
        <w:t>2+</w:t>
      </w:r>
      <w:r>
        <w:t xml:space="preserve"> </w:t>
      </w:r>
      <w:r>
        <w:t>transference number and temperature‐independent ionic conductivity. These notable features favor Zn</w:t>
      </w:r>
      <w:r>
        <w:t xml:space="preserve"> </w:t>
      </w:r>
      <w:r>
        <w:t>2+</w:t>
      </w:r>
      <w:r>
        <w:t xml:space="preserve"> </w:t>
      </w:r>
      <w:r>
        <w:t>3D diffusion and accommodate zinc anode volume changes, thus enabling the symmetric Zn||Zn cell to highlight a balance among high current density, high areal capacity and prolonged cycling life. Moreover, the assembled zinc||activated carbon hybrid capacitor performs exceptional capacitive behavior and stable operation across the temperature range from 25°C to –40°C, delivering competitive energy density of 125.5 Wh kg</w:t>
      </w:r>
      <w:r>
        <w:t xml:space="preserve"> </w:t>
      </w:r>
      <w:r>
        <w:t>−1</w:t>
      </w:r>
      <w:r>
        <w:t xml:space="preserve"> </w:t>
      </w:r>
      <w:r>
        <w:t>with high capacity retention of 97.1% over 10 000 cycles even at −40°C. Finally, system‐level demonstration based on the resulting hybrid capacitors can power portable electronics in a power cable‐free manner, validating applicability for green power sources in outdoor activities.</w:t>
      </w:r>
    </w:p>
    <w:p>
      <w:pPr>
        <w:spacing w:before="120" w:after="120"/>
      </w:pPr>
      <w:r>
        <w:rPr>
          <w:sz w:val="18"/>
        </w:rPr>
        <w:t>——————————————————————————————————————————————————————————————————————</w:t>
      </w:r>
    </w:p>
    <w:p>
      <w:pPr>
        <w:spacing w:before="160" w:after="40" w:line="240" w:lineRule="auto"/>
      </w:pPr>
      <w:r>
        <w:rPr>
          <w:b/>
        </w:rPr>
        <w:t xml:space="preserve">[446] </w:t>
      </w:r>
      <w:hyperlink r:id="rId718">
        <w:r>
          <w:rPr>
            <w:color w:val="1155CC"/>
            <w:u w:val="single"/>
          </w:rPr>
          <w:t>[ASAP] 由钴环环环综合体催化的二氧化碳电解减少自调机制</w:t>
        </w:r>
      </w:hyperlink>
    </w:p>
    <w:p>
      <w:pPr>
        <w:spacing w:before="0" w:after="80"/>
      </w:pPr>
      <w:r>
        <w:rPr>
          <w:i/>
          <w:sz w:val="20"/>
        </w:rPr>
        <w:t>EN: [ASAP] A Self-Moderation Mechanism in CO2 Electroreduction Catalyzed by a Cobalt Macrocyclic Complex</w:t>
      </w:r>
    </w:p>
    <w:p>
      <w:pPr>
        <w:spacing w:before="0" w:after="120"/>
      </w:pPr>
      <w:r>
        <w:rPr>
          <w:b/>
        </w:rPr>
        <w:t xml:space="preserve">Source: </w:t>
      </w:r>
      <w:r>
        <w:t>Journal of the American Chemical Society: Latest Articles (ACS Publications)</w:t>
      </w:r>
      <w:r>
        <w:t xml:space="preserve">    </w:t>
      </w:r>
      <w:r>
        <w:rPr>
          <w:b/>
        </w:rPr>
        <w:t xml:space="preserve">Pub date: </w:t>
      </w:r>
      <w:r>
        <w:t>2026-01-08 14:49:20+00:00</w:t>
      </w:r>
      <w:r>
        <w:t xml:space="preserve">    </w:t>
      </w:r>
      <w:r>
        <w:rPr>
          <w:b/>
        </w:rPr>
        <w:t xml:space="preserve">DOI: </w:t>
      </w:r>
      <w:hyperlink r:id="rId719">
        <w:r>
          <w:rPr>
            <w:color w:val="1155CC"/>
            <w:u w:val="single"/>
          </w:rPr>
          <w:t>10.1021/jacs.5c19804</w:t>
        </w:r>
      </w:hyperlink>
    </w:p>
    <w:p>
      <w:pPr>
        <w:spacing w:before="0" w:after="120"/>
      </w:pPr>
      <w:r>
        <w:rPr>
          <w:b/>
        </w:rPr>
        <w:t xml:space="preserve">Notes: </w:t>
      </w:r>
      <w:r>
        <w:t>abstract_source=pubmed</w:t>
      </w:r>
    </w:p>
    <w:p>
      <w:pPr>
        <w:spacing w:before="0" w:after="80" w:lineRule="auto" w:line="276"/>
      </w:pPr>
      <w:r>
        <w:rPr>
          <w:b/>
        </w:rPr>
        <w:t xml:space="preserve">摘要（ZH）: </w:t>
      </w:r>
      <w:r>
        <w:t>我们提出了对四-亚-亚-海洋环流 Schiff 基钴复合[CoIII(N4H)(Cl)2]+作为将二氧化碳减到湿丙硝基氧化物中COCO的分子电解器的四-亚-亚-亚-亚-亚-亚-亚-亚光化学化学元体进行的详细机械学研究,研究表明,在催化条件下,从[CoI(N4H)]+到碳基[CoI(N4H)(CO)]+和CO大气中的循环电压测量的休息状态变化表明,二氧化碳对正式的CO0物种的约束力更大。 这种行为表明一种自我调节机制,其中CO、反应产品、可逆地与催化作用的正式[Co0(N4H)]复合。</w:t>
      </w:r>
    </w:p>
    <w:p>
      <w:pPr>
        <w:spacing w:before="0" w:after="200" w:lineRule="auto" w:line="276"/>
      </w:pPr>
      <w:r>
        <w:rPr>
          <w:b/>
        </w:rPr>
        <w:t xml:space="preserve">Abstract (EN): </w:t>
      </w:r>
      <w:r>
        <w:t>We present a detailed mechanistic study of the tetra-aza-macrocyclic Schiff base cobalt complex [CoIII(N4H)(Cl)2]+ as a molecular electrocatalyst for the reduction of CO2 to CO in wet acetonitrile. Operando UV-vis spectroelectrochemistry studies show that, under catalytic conditions, the resting state shifts from [CoI(N4H)]+ to the carbonyl-bound species [CoI(N4H)(CO)]+, and cyclic voltammetry under CO atmosphere indicates even stronger binding of CO to the formal Co0 species. This behavior indicates a self-moderation mechanism in which CO, the reaction product, reversibly binds to the catalytically active formal [Co0(N4H)] complex. Kinetic modeling of rotating disk voltammetry supports this interpretation, yielding an intrinsic catalytic rate constant of the order of 105 s-1 under CO2 atmosphere. This reversible CO binding attenuates catalytic activity by product inhibition yet does not induce irreversible deactivation, distinguishing it from classical catalyst poisoning. While this self-regulated behavior lowers the efficiency of CO production, it may favor subsequent activation of CO. These findings highlight [CoIII(N4H)(Cl)2]+ as a useful molecular platform for CO2 reduction and provide design principles for next-generation cobalt catalysts that exploit reversible product binding.</w:t>
      </w:r>
    </w:p>
    <w:p>
      <w:pPr>
        <w:spacing w:before="120" w:after="120"/>
      </w:pPr>
      <w:r>
        <w:rPr>
          <w:sz w:val="18"/>
        </w:rPr>
        <w:t>——————————————————————————————————————————————————————————————————————</w:t>
      </w:r>
    </w:p>
    <w:p>
      <w:pPr>
        <w:spacing w:before="160" w:after="40" w:line="240" w:lineRule="auto"/>
      </w:pPr>
      <w:r>
        <w:rPr>
          <w:b/>
        </w:rPr>
        <w:t xml:space="preserve">[447] </w:t>
      </w:r>
      <w:hyperlink r:id="rId720">
        <w:r>
          <w:rPr>
            <w:color w:val="1155CC"/>
            <w:u w:val="single"/>
          </w:rPr>
          <w:t>含有抗降解剂的Redox-Redgated 阶段可移植可移植的Peptide 滴子</w:t>
        </w:r>
      </w:hyperlink>
    </w:p>
    <w:p>
      <w:pPr>
        <w:spacing w:before="0" w:after="80"/>
      </w:pPr>
      <w:r>
        <w:rPr>
          <w:i/>
          <w:sz w:val="20"/>
        </w:rPr>
        <w:t>EN: Redox‐Regulated Phase Switchable Peptide Droplets with Degradation Resistance for Intravenous Delivery of Biopharmaceuticals</w:t>
      </w:r>
    </w:p>
    <w:p>
      <w:pPr>
        <w:spacing w:before="0" w:after="120"/>
      </w:pPr>
      <w:r>
        <w:rPr>
          <w:b/>
        </w:rPr>
        <w:t xml:space="preserve">Source: </w:t>
      </w:r>
      <w:r>
        <w:t>Wiley: Advanced Materials: Table of Contents</w:t>
      </w:r>
      <w:r>
        <w:t xml:space="preserve">    </w:t>
      </w:r>
      <w:r>
        <w:rPr>
          <w:b/>
        </w:rPr>
        <w:t xml:space="preserve">Pub date: </w:t>
      </w:r>
      <w:r>
        <w:t>2026-01-08 14:49:53+00:00</w:t>
      </w:r>
      <w:r>
        <w:t xml:space="preserve">    </w:t>
      </w:r>
      <w:r>
        <w:rPr>
          <w:b/>
        </w:rPr>
        <w:t xml:space="preserve">DOI: </w:t>
      </w:r>
      <w:hyperlink r:id="rId721">
        <w:r>
          <w:rPr>
            <w:color w:val="1155CC"/>
            <w:u w:val="single"/>
          </w:rPr>
          <w:t>10.1002/adma.202511828</w:t>
        </w:r>
      </w:hyperlink>
    </w:p>
    <w:p>
      <w:pPr>
        <w:spacing w:before="0" w:after="120"/>
      </w:pPr>
      <w:r>
        <w:rPr>
          <w:b/>
        </w:rPr>
        <w:t xml:space="preserve">Notes: </w:t>
      </w:r>
      <w:r>
        <w:t>abstract_source=crossref</w:t>
      </w:r>
    </w:p>
    <w:p>
      <w:pPr>
        <w:spacing w:before="0" w:after="80" w:lineRule="auto" w:line="276"/>
      </w:pPr>
      <w:r>
        <w:rPr>
          <w:b/>
        </w:rPr>
        <w:t xml:space="preserve">摘要（ZH）: </w:t>
      </w:r>
      <w:r>
        <w:t>ABSTACT 液溶性阶段分离(LLPS)在生物分子凝固物形成过程中发挥着普遍和关键的作用,而这些凝固物液体和固体之间可转换的阶段过渡对于一系列动态生化功能至关重要,目前,大量工作的重点是利用合成生物分子建造人工凝固物;然而,这种阶段切换尚未实现。在这里,我们证明,通过设计与活性微环境中特定环境相匹配的peptide序列,使用红氧化反应来控制ptide凝固物的阶段转换是实际可行的。在优化peptide以及pH和温度的化学结构和浓度之后,既可以使相分离,又可以使PH和温度发生转变。</w:t>
      </w:r>
    </w:p>
    <w:p>
      <w:pPr>
        <w:spacing w:before="0" w:after="200" w:lineRule="auto" w:line="276"/>
      </w:pPr>
      <w:r>
        <w:rPr>
          <w:b/>
        </w:rPr>
        <w:t xml:space="preserve">Abstract (EN): </w:t>
      </w:r>
      <w:r>
        <w:t>Liquid‐liquid phase separation (LLPS) plays a ubiquitous and vital role during the formation of biomolecular coacervates, and the switchable phase transition between liquid and solid of these coacervates is crucial for a series of dynamic biochemical functions. Currently, tremendous work has been focused on constructing artificial coacervates using synthetic biomolecules; however, such a phase switch has not been achieved. Here, we demonstrate that by designing peptide sequences to match specific in vivo microenvironments, it is practical to utilize redox reactions to control the phase switch of peptide coacervates. Upon optimizing the chemical structure and concentration of peptide, as well as pH and temperature, both phase‐separation and phase‐transition dynamics could be finely regulated. Cyclically, liquid‐like membraneless coacervates are oxidized into solid‐like semipermeable coacervate vesicles, and return to liquid‐like membraneless coacervates under reductive microenvironments. Furthermore, animal experiments confirmed that oxidized solid‐like coacervate vesicles are able to remain stable against degradation during intravenous administration. Upon arriving at the reductive tumor site, solid‐like coacervate vesicles gradually become liquid‐like coacervate to promote intracellular siRNA delivery with significant inhibition effects against pancreatic tumor, which could pave the way for a new front of manipulating biomolecular LLPS for delivery of biopharmaceuticals.</w:t>
      </w:r>
    </w:p>
    <w:p>
      <w:pPr>
        <w:spacing w:before="120" w:after="120"/>
      </w:pPr>
      <w:r>
        <w:rPr>
          <w:sz w:val="18"/>
        </w:rPr>
        <w:t>——————————————————————————————————————————————————————————————————————</w:t>
      </w:r>
    </w:p>
    <w:p>
      <w:pPr>
        <w:spacing w:before="160" w:after="40" w:line="240" w:lineRule="auto"/>
      </w:pPr>
      <w:r>
        <w:rPr>
          <w:b/>
        </w:rPr>
        <w:t xml:space="preserve">[448] </w:t>
      </w:r>
      <w:hyperlink r:id="rId722">
        <w:r>
          <w:rPr>
            <w:color w:val="1155CC"/>
            <w:u w:val="single"/>
          </w:rPr>
          <w:t>[ASAP] 光电催化非对称性激进化(4+2)临界铁(III)复合体的理性设计(4+2)负载条件和(+)甲型六氯胺胺酯总合成</w:t>
        </w:r>
      </w:hyperlink>
    </w:p>
    <w:p>
      <w:pPr>
        <w:spacing w:before="0" w:after="80"/>
      </w:pPr>
      <w:r>
        <w:rPr>
          <w:i/>
          <w:sz w:val="20"/>
        </w:rPr>
        <w:t>EN: [ASAP] A Rational Design of Chiral Iron(III) Complexes for Photocatalytic Asymmetric Radical Cation (4 + 2) Cycloadditions and the Total Synthesis of (+)-Heitziamide A</w:t>
      </w:r>
    </w:p>
    <w:p>
      <w:pPr>
        <w:spacing w:before="0" w:after="120"/>
      </w:pPr>
      <w:r>
        <w:rPr>
          <w:b/>
        </w:rPr>
        <w:t xml:space="preserve">Source: </w:t>
      </w:r>
      <w:r>
        <w:t>Journal of the American Chemical Society: Latest Articles (ACS Publications)</w:t>
      </w:r>
      <w:r>
        <w:t xml:space="preserve">    </w:t>
      </w:r>
      <w:r>
        <w:rPr>
          <w:b/>
        </w:rPr>
        <w:t xml:space="preserve">Pub date: </w:t>
      </w:r>
      <w:r>
        <w:t>2026-01-08 14:50:39+00:00</w:t>
      </w:r>
      <w:r>
        <w:t xml:space="preserve">    </w:t>
      </w:r>
      <w:r>
        <w:rPr>
          <w:b/>
        </w:rPr>
        <w:t xml:space="preserve">DOI: </w:t>
      </w:r>
      <w:hyperlink r:id="rId723">
        <w:r>
          <w:rPr>
            <w:color w:val="1155CC"/>
            <w:u w:val="single"/>
          </w:rPr>
          <w:t>10.1021/jacs.5c20243</w:t>
        </w:r>
      </w:hyperlink>
    </w:p>
    <w:p>
      <w:pPr>
        <w:spacing w:before="0" w:after="120"/>
      </w:pPr>
      <w:r>
        <w:rPr>
          <w:b/>
        </w:rPr>
        <w:t xml:space="preserve">Notes: </w:t>
      </w:r>
      <w:r>
        <w:t>abstract_source=pubmed</w:t>
      </w:r>
    </w:p>
    <w:p>
      <w:pPr>
        <w:spacing w:before="0" w:after="80" w:lineRule="auto" w:line="276"/>
      </w:pPr>
      <w:r>
        <w:rPr>
          <w:b/>
        </w:rPr>
        <w:t xml:space="preserve">摘要（ZH）: </w:t>
      </w:r>
      <w:r>
        <w:t>这项工作描述了用于非对称激进碳化反应的手动铁(III)光redox催化作用的设计,新开发的催化作用成功地将手动源的使用减少到最低程度,并显示出高度的金枪鱼性,从而能够对铬衍生物进行高度对应选择性(4+2)循环增殖,一项机械研究揭示了作为所观察到的立体选择性原因的循环增加步骤的细节,此外,激进碳化(4+2)循环增殖的独特再生选择性使我们能够完成(+)-乙酰胺A的第一次不对称总合成。</w:t>
      </w:r>
    </w:p>
    <w:p>
      <w:pPr>
        <w:spacing w:before="0" w:after="200" w:lineRule="auto" w:line="276"/>
      </w:pPr>
      <w:r>
        <w:rPr>
          <w:b/>
        </w:rPr>
        <w:t xml:space="preserve">Abstract (EN): </w:t>
      </w:r>
      <w:r>
        <w:t>This work describes the design of chiral iron(III) photoredox catalysis for asymmetric radical cation reactions. The newly developed catalysis successfully minimizes the use of chiral sources and exhibits high tunability, thereby enabling a highly enantioselective (4 + 2) cycloaddition of chalcone derivatives. A mechanistic study revealed the details of the cycloaddition steps that account for the observed stereoselectivity. Furthermore, the unique regioselectivity of the radical cation (4 + 2) cycloaddition enabled us to accomplish the first asymmetric total synthesis of (+)-heitziamide A.</w:t>
      </w:r>
    </w:p>
    <w:p>
      <w:pPr>
        <w:spacing w:before="120" w:after="120"/>
      </w:pPr>
      <w:r>
        <w:rPr>
          <w:sz w:val="18"/>
        </w:rPr>
        <w:t>——————————————————————————————————————————————————————————————————————</w:t>
      </w:r>
    </w:p>
    <w:p>
      <w:pPr>
        <w:spacing w:before="160" w:after="40" w:line="240" w:lineRule="auto"/>
      </w:pPr>
      <w:r>
        <w:rPr>
          <w:b/>
        </w:rPr>
        <w:t xml:space="preserve">[449] </w:t>
      </w:r>
      <w:hyperlink r:id="rId724">
        <w:r>
          <w:rPr>
            <w:color w:val="1155CC"/>
            <w:u w:val="single"/>
          </w:rPr>
          <w:t>通过个人应用各种添加物,同时增强Para-Azaquininodimende-Derived聚合物的电和孔流动能力</w:t>
        </w:r>
      </w:hyperlink>
    </w:p>
    <w:p>
      <w:pPr>
        <w:spacing w:before="0" w:after="80"/>
      </w:pPr>
      <w:r>
        <w:rPr>
          <w:i/>
          <w:sz w:val="20"/>
        </w:rPr>
        <w:t>EN: Simultaneous Enhancement of Electron and Hole Mobility in Para‐Azaquinodimethane‐Derived Polymer by Individually Applying Various Additives</w:t>
      </w:r>
    </w:p>
    <w:p>
      <w:pPr>
        <w:spacing w:before="0" w:after="120"/>
      </w:pPr>
      <w:r>
        <w:rPr>
          <w:b/>
        </w:rPr>
        <w:t xml:space="preserve">Source: </w:t>
      </w:r>
      <w:r>
        <w:t>Wiley: Advanced Materials: Table of Contents</w:t>
      </w:r>
      <w:r>
        <w:t xml:space="preserve">    </w:t>
      </w:r>
      <w:r>
        <w:rPr>
          <w:b/>
        </w:rPr>
        <w:t xml:space="preserve">Pub date: </w:t>
      </w:r>
      <w:r>
        <w:t>2026-01-08 14:54:25+00:00</w:t>
      </w:r>
      <w:r>
        <w:t xml:space="preserve">    </w:t>
      </w:r>
      <w:r>
        <w:rPr>
          <w:b/>
        </w:rPr>
        <w:t xml:space="preserve">DOI: </w:t>
      </w:r>
      <w:hyperlink r:id="rId725">
        <w:r>
          <w:rPr>
            <w:color w:val="1155CC"/>
            <w:u w:val="single"/>
          </w:rPr>
          <w:t>10.1002/adma.202513065</w:t>
        </w:r>
      </w:hyperlink>
    </w:p>
    <w:p>
      <w:pPr>
        <w:spacing w:before="0" w:after="120"/>
      </w:pPr>
      <w:r>
        <w:rPr>
          <w:b/>
        </w:rPr>
        <w:t xml:space="preserve">Notes: </w:t>
      </w:r>
      <w:r>
        <w:t>abstract_source=crossref</w:t>
      </w:r>
    </w:p>
    <w:p>
      <w:pPr>
        <w:spacing w:before="0" w:after="80" w:lineRule="auto" w:line="276"/>
      </w:pPr>
      <w:r>
        <w:rPr>
          <w:b/>
        </w:rPr>
        <w:t xml:space="preserve">摘要（ZH）: </w:t>
      </w:r>
      <w:r>
        <w:t>实现有机半导体(OSCs)使用单一添加剂同时增强电子和孔际流动的ABSTALACT 实现有机半导体(OSCs)使用单一添加剂同时增强电子和孔际流动,这仍然是一个重大挑战。在本研究中,我们提出了一个独特的添加战略,使得既能同时改进N的和p型运输,又能同时改进含有亚甲酰胺乙烷和二硝基双甲状罗梅罗联苯的双极聚合物。我们通过单独应用各种添加剂,包括碘、p型和n型化合物,实现了电子(400%)和洞(100%)的空前增强。通过常规电子转移机制,这种平行的改进是无法实现的。我们将这种效果描述为优化电影形态,减少活性。我们将这种效果描述为优化电影形态,减少活性。</w:t>
      </w:r>
    </w:p>
    <w:p>
      <w:pPr>
        <w:spacing w:before="0" w:after="200" w:lineRule="auto" w:line="276"/>
      </w:pPr>
      <w:r>
        <w:rPr>
          <w:b/>
        </w:rPr>
        <w:t xml:space="preserve">Abstract (EN): </w:t>
      </w:r>
      <w:r>
        <w:t>Achieving simultaneous enhancement of electron and hole mobility in organic semiconductors (OSCs) using a single additive remains a significant challenge. In this study, we present a unique additive strategy that enables concurrent improvement of both n‐ and p‐type transport in an n‐dominant ambipolar polymer incorporating</w:t>
      </w:r>
      <w:r>
        <w:t xml:space="preserve"> </w:t>
      </w:r>
      <w:r>
        <w:t>para</w:t>
      </w:r>
      <w:r>
        <w:t xml:space="preserve"> </w:t>
      </w:r>
      <w:r>
        <w:t>‐azaquinodimethane and diketopyrrolopyrrole. By individually applying various additives including ionic, p‐type, and n‐type compounds, we achieve unprecedented enhancements of both electron (∼400%) and hole (∼100%) mobility. Such parallel improvement is unattainable via conventional electron transfer mechanism. We ascribe this effect to optimized film morphology, reduced activation energy, and lowered contact resistance. To further elucidate additive‐induced variations in electronic structure and guide future molecular design, density functional theory calculations reveal that incorporating</w:t>
      </w:r>
      <w:r>
        <w:t xml:space="preserve"> </w:t>
      </w:r>
      <w:r>
        <w:t>para</w:t>
      </w:r>
      <w:r>
        <w:t xml:space="preserve"> </w:t>
      </w:r>
      <w:r>
        <w:t>‐azaquinodimethane into the polymer backbone facilitates strong orbital coupling with additives. This coupling introduces additional charge transport pathways between polymer segments, enhancing both electron and hole transport along lamellar and π–π stacking directions. Our findings suggest promoting robust orbital coupling between host polymers and additives offers a promising strategy to concurrently boost electron and hole mobility in a single OSC, effectively circumventing traditional limitations associated with separate p‐ and n‐type additives/dopants.</w:t>
      </w:r>
    </w:p>
    <w:p>
      <w:pPr>
        <w:spacing w:before="120" w:after="120"/>
      </w:pPr>
      <w:r>
        <w:rPr>
          <w:sz w:val="18"/>
        </w:rPr>
        <w:t>——————————————————————————————————————————————————————————————————————</w:t>
      </w:r>
    </w:p>
    <w:p>
      <w:pPr>
        <w:spacing w:before="160" w:after="40" w:line="240" w:lineRule="auto"/>
      </w:pPr>
      <w:r>
        <w:rPr>
          <w:b/>
        </w:rPr>
        <w:t xml:space="preserve">[450] </w:t>
      </w:r>
      <w:hyperlink r:id="rId726">
        <w:r>
          <w:rPr>
            <w:color w:val="1155CC"/>
            <w:u w:val="single"/>
          </w:rPr>
          <w:t>[ASAP] 用于对化学品使用CO2的半成像相光合成的相片/生物合环催化分析系统</w:t>
        </w:r>
      </w:hyperlink>
    </w:p>
    <w:p>
      <w:pPr>
        <w:spacing w:before="0" w:after="80"/>
      </w:pPr>
      <w:r>
        <w:rPr>
          <w:i/>
          <w:sz w:val="20"/>
        </w:rPr>
        <w:t>EN: [ASAP] Photo/Biohybrid Catalytic System for Application in Semiartificial Photosynthesis of CO2 to Chemicals</w:t>
      </w:r>
    </w:p>
    <w:p>
      <w:pPr>
        <w:spacing w:before="0" w:after="120"/>
      </w:pPr>
      <w:r>
        <w:rPr>
          <w:b/>
        </w:rPr>
        <w:t xml:space="preserve">Source: </w:t>
      </w:r>
      <w:r>
        <w:t>Chemical Reviews: Latest Articles (ACS Publications)</w:t>
      </w:r>
      <w:r>
        <w:t xml:space="preserve">    </w:t>
      </w:r>
      <w:r>
        <w:rPr>
          <w:b/>
        </w:rPr>
        <w:t xml:space="preserve">Pub date: </w:t>
      </w:r>
      <w:r>
        <w:t>2026-01-08 15:32:17+00:00</w:t>
      </w:r>
      <w:r>
        <w:t xml:space="preserve">    </w:t>
      </w:r>
      <w:r>
        <w:rPr>
          <w:b/>
        </w:rPr>
        <w:t xml:space="preserve">DOI: </w:t>
      </w:r>
      <w:hyperlink r:id="rId727">
        <w:r>
          <w:rPr>
            <w:color w:val="1155CC"/>
            <w:u w:val="single"/>
          </w:rPr>
          <w:t>10.1021/acs.chemrev.5c00754</w:t>
        </w:r>
      </w:hyperlink>
    </w:p>
    <w:p>
      <w:pPr>
        <w:spacing w:before="0" w:after="120"/>
      </w:pPr>
      <w:r>
        <w:rPr>
          <w:b/>
        </w:rPr>
        <w:t xml:space="preserve">Notes: </w:t>
      </w:r>
      <w:r>
        <w:t>abstract_source=pubmed</w:t>
      </w:r>
    </w:p>
    <w:p>
      <w:pPr>
        <w:spacing w:before="0" w:after="80" w:lineRule="auto" w:line="276"/>
      </w:pPr>
      <w:r>
        <w:rPr>
          <w:b/>
        </w:rPr>
        <w:t xml:space="preserve">摘要（ZH）: </w:t>
      </w:r>
      <w:r>
        <w:t>二氧化碳捕获、利用和储存(CCUS)技术预计将是近期实现碳中性社会的关键技术之一。CCCUS技术的一个大有希望的领域是研究模拟自然光合作物的人工光合作用,因为天然光合作用利用太阳能生产来自二氧化碳和水的糖,如淀粉和氧,长期以来一直被视为二氧化碳利用技术中人工光合作用模型。在关于合成光合作用、半成品光合作用技术混合生物催化剂和光催化剂的各种研究中,人们正在关注二氧化碳的利用。半成品光合作用通过合成光敏化剂相结合,克服了自然光合作的局限性。</w:t>
      </w:r>
    </w:p>
    <w:p>
      <w:pPr>
        <w:spacing w:before="0" w:after="200" w:lineRule="auto" w:line="276"/>
      </w:pPr>
      <w:r>
        <w:rPr>
          <w:b/>
        </w:rPr>
        <w:t xml:space="preserve">Abstract (EN): </w:t>
      </w:r>
      <w:r>
        <w:t>Carbon dioxide capture, utilization, and storage (CCUS) technology is expected to be one of the key technologies for achieving a carbon-neutral society in the near future. One promising area of CCUS technology is research into artificial photosynthesis mimicking natural photosynthesis. Since natural photosynthesis uses solar energy to produce sugars such as starch and oxygen from CO2 and water, and has long been regarded as a model for artificial photosynthesis in CO2 utilization technology. Among various studies on artificial photosynthesis, semiartificial photosynthesis technology hybridizing biocatalysts and photocatalysts is attracting attention for CO2 utilization. Semiartificial photosynthesis overcomes the limitations of natural photosynthesis by combining synthetic photosensitizers and biocatalysts to construct reaction systems with unique properties. To develop semiartificial photosynthesis, visible light-driven NADH regeneration, ATP regeneration, and biocatalysts for CO2 utilization are essential components. This review provides a survey of relevant biocatalysts for visible light-driven NADH regeneration, ATP regeneration, and CO2 utilization from the past to the present, and introduces the history of research into semiartificial photosynthesis for CO2 or NH3 fixation derived from these findings.</w:t>
      </w:r>
    </w:p>
    <w:p>
      <w:pPr>
        <w:spacing w:before="120" w:after="120"/>
      </w:pPr>
      <w:r>
        <w:rPr>
          <w:sz w:val="18"/>
        </w:rPr>
        <w:t>——————————————————————————————————————————————————————————————————————</w:t>
      </w:r>
    </w:p>
    <w:p>
      <w:pPr>
        <w:spacing w:before="160" w:after="40" w:line="240" w:lineRule="auto"/>
      </w:pPr>
      <w:r>
        <w:rPr>
          <w:b/>
        </w:rPr>
        <w:t xml:space="preserve">[451] </w:t>
      </w:r>
      <w:hyperlink r:id="rId728">
        <w:r>
          <w:rPr>
            <w:color w:val="1155CC"/>
            <w:u w:val="single"/>
          </w:rPr>
          <w:t>[ASAP] 将高密度破碎的刘易斯对称与可开关的Pt-O-Motifs结合,以打破甲烷光氧化活动-选择交易</w:t>
        </w:r>
      </w:hyperlink>
    </w:p>
    <w:p>
      <w:pPr>
        <w:spacing w:before="0" w:after="80"/>
      </w:pPr>
      <w:r>
        <w:rPr>
          <w:i/>
          <w:sz w:val="20"/>
        </w:rPr>
        <w:t>EN: [ASAP] Integrating High-Density Frustrated Lewis Pairs with Switchable Pt–O–In Motifs to Break the Activity–Selectivity Trade-Off of Methane Photooxidation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2026-01-08 15:46:09+00:00</w:t>
      </w:r>
      <w:r>
        <w:t xml:space="preserve">    </w:t>
      </w:r>
      <w:r>
        <w:rPr>
          <w:b/>
        </w:rPr>
        <w:t xml:space="preserve">DOI: </w:t>
      </w:r>
      <w:hyperlink r:id="rId729">
        <w:r>
          <w:rPr>
            <w:color w:val="1155CC"/>
            <w:u w:val="single"/>
          </w:rPr>
          <w:t>10.1021/jacs.5c15998</w:t>
        </w:r>
      </w:hyperlink>
    </w:p>
    <w:p>
      <w:pPr>
        <w:spacing w:before="0" w:after="120"/>
      </w:pPr>
      <w:r>
        <w:rPr>
          <w:b/>
        </w:rPr>
        <w:t xml:space="preserve">Notes: </w:t>
      </w:r>
      <w:r>
        <w:t>abstract_source=pubmed</w:t>
      </w:r>
    </w:p>
    <w:p>
      <w:pPr>
        <w:spacing w:before="0" w:after="80" w:lineRule="auto" w:line="276"/>
      </w:pPr>
      <w:r>
        <w:rPr>
          <w:b/>
        </w:rPr>
        <w:t xml:space="preserve">摘要（ZH）: </w:t>
      </w:r>
      <w:r>
        <w:t>甲烷直接光氧化成增值产品是利用丰富的天然气资源的一个大有希望的解决办法,但是,由于难以操纵C-H债券启动和替代性激进形成,在生产多种氧化产品和不可避免的过度氧化方面仍然存在巨大的挑战,因为难以操纵C-H债券启动和替代基质形成。</w:t>
      </w:r>
    </w:p>
    <w:p>
      <w:pPr>
        <w:spacing w:before="0" w:after="200" w:lineRule="auto" w:line="276"/>
      </w:pPr>
      <w:r>
        <w:rPr>
          <w:b/>
        </w:rPr>
        <w:t xml:space="preserve">Abstract (EN): </w:t>
      </w:r>
      <w:r>
        <w:t>The direct photooxidation of methane to value-added products presents a promising solution for the utilization of abundant natural gas resources. However, there are still great challenges in the production of multiple oxidation products and inevitable overoxidation owing to the difficult manipulation of C-H bond activation and alternative radical formation. Herein, the high-density In(L)-Ov-In-OH frustrated Lewis pairs (FLPs) with Lewis acidic In(L) and Lewis basic In-OH were constructed on the Pt-mIn2O3-x(OH)y photocatalyst to promote the C-H bond activation in CH4. In situ characterization techniques and theoretical calculations revealed that the electron transfer from the bonding orbitals (σ) of CH4 to the unoccupied orbitals of In(L), coupled with the weak electron donation from the In-OH sites to the antibonding orbitals (σ*) of CH4, cooperatively polarized and stretched the C-H bond, thus significantly lowering its dissociation energy barrier. Meanwhile, the tailored Pt-O-In motifs (either Pt nanoparticles or Pt single atoms) on the Pt-mIn2O3-x(OH)y photocatalyst serving as an electron acceptor could precisely modulate the types of reactive oxygen species by altering the adsorption configuration of O2. Benefiting from the synergy of the In(L)-Ov-In-OH FLPs and Pt motifs, both excellent yield and selectivity were obtained for CH3OH or HCHO. Under optimal conditions, Pt nanoparticles supported on mIn2O3-x(OH)y (PtNPs-mIn2O3-x(OH)y) achieved a high CH3OH production rate of 3970.0 μmol g-1 h-1 with 90.9% selectivity, and Pt single atoms coordinated with mIn2O3-x(OH)y (PtSAs-mIn2O3-x(OH)y) delivered an excellent HCHO yield of 10182.4 μmol g-1 h-1 with 84.9% selectivity. This work demonstrated a promising strategy for designing advanced photocatalysts to disentangle the activity-selectivity trade-off in CH4 photooxidation.</w:t>
      </w:r>
    </w:p>
    <w:p>
      <w:pPr>
        <w:spacing w:before="120" w:after="120"/>
      </w:pPr>
      <w:r>
        <w:rPr>
          <w:sz w:val="18"/>
        </w:rPr>
        <w:t>——————————————————————————————————————————————————————————————————————</w:t>
      </w:r>
    </w:p>
    <w:p>
      <w:pPr>
        <w:spacing w:before="160" w:after="40" w:line="240" w:lineRule="auto"/>
      </w:pPr>
      <w:r>
        <w:rPr>
          <w:b/>
        </w:rPr>
        <w:t xml:space="preserve">[452] </w:t>
      </w:r>
      <w:hyperlink r:id="rId730">
        <w:r>
          <w:rPr>
            <w:color w:val="1155CC"/>
            <w:u w:val="single"/>
          </w:rPr>
          <w:t>[ASAP] 热蒸发的Perovskite太阳电池和轻光光光光二极管的晶化控制</w:t>
        </w:r>
      </w:hyperlink>
    </w:p>
    <w:p>
      <w:pPr>
        <w:spacing w:before="0" w:after="80"/>
      </w:pPr>
      <w:r>
        <w:rPr>
          <w:i/>
          <w:sz w:val="20"/>
        </w:rPr>
        <w:t>EN: [ASAP] Crystallization Control in Thermally Evaporated Perovskite Solar Cells and Light-Emitting Diodes</w:t>
      </w:r>
    </w:p>
    <w:p>
      <w:pPr>
        <w:spacing w:before="0" w:after="120"/>
      </w:pPr>
      <w:r>
        <w:rPr>
          <w:b/>
        </w:rPr>
        <w:t xml:space="preserve">Source: </w:t>
      </w:r>
      <w:r>
        <w:t>ACS Energy Letters: Latest Articles (ACS Publications)</w:t>
      </w:r>
      <w:r>
        <w:t xml:space="preserve">    </w:t>
      </w:r>
      <w:r>
        <w:rPr>
          <w:b/>
        </w:rPr>
        <w:t xml:space="preserve">Pub date: </w:t>
      </w:r>
      <w:r>
        <w:t>2026-01-08 16:22:39+00:00</w:t>
      </w:r>
      <w:r>
        <w:t xml:space="preserve">    </w:t>
      </w:r>
      <w:r>
        <w:rPr>
          <w:b/>
        </w:rPr>
        <w:t xml:space="preserve">DOI: </w:t>
      </w:r>
      <w:hyperlink r:id="rId731">
        <w:r>
          <w:rPr>
            <w:color w:val="1155CC"/>
            <w:u w:val="single"/>
          </w:rPr>
          <w:t>10.1021/acsenergylett.5c03255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[453] </w:t>
      </w:r>
      <w:hyperlink r:id="rId732">
        <w:r>
          <w:rPr>
            <w:color w:val="1155CC"/>
            <w:u w:val="single"/>
          </w:rPr>
          <w:t>[ASAP] 使用氯化二极离子膜进行无处理预处理的直接海水电解</w:t>
        </w:r>
      </w:hyperlink>
    </w:p>
    <w:p>
      <w:pPr>
        <w:spacing w:before="0" w:after="80"/>
      </w:pPr>
      <w:r>
        <w:rPr>
          <w:i/>
          <w:sz w:val="20"/>
        </w:rPr>
        <w:t>EN: [ASAP] Pretreatment-Free Direct Seawater Electrolysis Using Chloride-Blocking Bipolar Membranes</w:t>
      </w:r>
    </w:p>
    <w:p>
      <w:pPr>
        <w:spacing w:before="0" w:after="120"/>
      </w:pPr>
      <w:r>
        <w:rPr>
          <w:b/>
        </w:rPr>
        <w:t xml:space="preserve">Source: </w:t>
      </w:r>
      <w:r>
        <w:t>Journal of the American Chemical Society: Latest Articles (ACS Publications)</w:t>
      </w:r>
      <w:r>
        <w:t xml:space="preserve">    </w:t>
      </w:r>
      <w:r>
        <w:rPr>
          <w:b/>
        </w:rPr>
        <w:t xml:space="preserve">Pub date: </w:t>
      </w:r>
      <w:r>
        <w:t>2026-01-08 16:49:43+00:00</w:t>
      </w:r>
      <w:r>
        <w:t xml:space="preserve">    </w:t>
      </w:r>
      <w:r>
        <w:rPr>
          <w:b/>
        </w:rPr>
        <w:t xml:space="preserve">DOI: </w:t>
      </w:r>
      <w:hyperlink r:id="rId733">
        <w:r>
          <w:rPr>
            <w:color w:val="1155CC"/>
            <w:u w:val="single"/>
          </w:rPr>
          <w:t>10.1021/jacs.5c16414</w:t>
        </w:r>
      </w:hyperlink>
    </w:p>
    <w:p>
      <w:pPr>
        <w:spacing w:before="0" w:after="120"/>
      </w:pPr>
      <w:r>
        <w:rPr>
          <w:b/>
        </w:rPr>
        <w:t xml:space="preserve">Notes: </w:t>
      </w:r>
      <w:r>
        <w:t>abstract_source=pubmed</w:t>
      </w:r>
    </w:p>
    <w:p>
      <w:pPr>
        <w:spacing w:before="0" w:after="80" w:lineRule="auto" w:line="276"/>
      </w:pPr>
      <w:r>
        <w:rPr>
          <w:b/>
        </w:rPr>
        <w:t xml:space="preserve">摘要（ZH）: </w:t>
      </w:r>
      <w:r>
        <w:t>直接海水电解(DSE)是可持续氢生产的一个有吸引力的途径,但受到氯进化反应(CER)和氢氧化物规模的相互竞争的影响,通常需要预先碱化或海水淡化。在这里,我们报告了一个由双极双膜(BPM)(BPM)所启动的无预处理的DSE系统,由超丁交换层(CEL)和催化的MXene@FeOOH纳米表跨层组成。这一结构创造了一个合作的离子观测环境,在这个环境中,电离层被从电离子交换层中排除,纳米表内重叠的电双层以协同方式抑制氯化物交叉,从而在阳极减少寄生性CER。同时,在BPM关口产生的质保持了一种温和酸性催化物,防止了Mg(OH)。</w:t>
      </w:r>
    </w:p>
    <w:p>
      <w:pPr>
        <w:spacing w:before="0" w:after="200" w:lineRule="auto" w:line="276"/>
      </w:pPr>
      <w:r>
        <w:rPr>
          <w:b/>
        </w:rPr>
        <w:t xml:space="preserve">Abstract (EN): </w:t>
      </w:r>
      <w:r>
        <w:t>Direct seawater electrolysis (DSE) is an attractive route to sustainable hydrogen production but suffers from competing chlorine evolution reaction (CER) and hydroxide scaling, typically requiring prealkalization or desalination. Here, we report a pretreatment-free DSE system enabled by a bipolar membrane (BPM) comprising an ultrathin cation-exchange layer (CEL) and a catalytic MXene@FeOOH nanosheet interlayer. This architecture creates a cooperative ion-sieving environment, where electrostatic exclusion from the cation-exchange layer and overlapping electric double layers within the nanosheets synergistically suppress chloride crossover, thereby mitigating parasitic CER at the anode. Simultaneously, protons generated at the BPM junction maintain a mildly acidic catholyte, preventing Mg(OH)2 and Ca(OH)2 deposition. In an asymmetric configuration with real seawater at the cathode and air at the anode, the electrolyzer sustains nearly 100% hydrogen Faradaic efficiency for 80 h at 100 mA cm-2, with negligible chlorine evolution and hydroxide precipitation. This work establishes a practical membrane strategy for efficient, pretreatment-free seawater-to-hydrogen conversion.</w:t>
      </w:r>
    </w:p>
    <w:p>
      <w:pPr>
        <w:spacing w:before="120" w:after="120"/>
      </w:pPr>
      <w:r>
        <w:rPr>
          <w:sz w:val="18"/>
        </w:rPr>
        <w:t>——————————————————————————————————————————————————————————————————————</w:t>
      </w:r>
    </w:p>
    <w:p>
      <w:pPr>
        <w:spacing w:before="160" w:after="40" w:line="240" w:lineRule="auto"/>
      </w:pPr>
      <w:r>
        <w:rPr>
          <w:b/>
        </w:rPr>
        <w:t xml:space="preserve">[454] </w:t>
      </w:r>
      <w:hyperlink r:id="rId734">
        <w:r>
          <w:rPr>
            <w:color w:val="1155CC"/>
            <w:u w:val="single"/>
          </w:rPr>
          <w:t>[ASAP] 土著ADP-Ribosyld-Ribosylated OLonoculotides的化学合成,以利分析DNA ADP-Ribosylsllogulate 流星体特性</w:t>
        </w:r>
      </w:hyperlink>
    </w:p>
    <w:p>
      <w:pPr>
        <w:spacing w:before="0" w:after="80"/>
      </w:pPr>
      <w:r>
        <w:rPr>
          <w:i/>
          <w:sz w:val="20"/>
        </w:rPr>
        <w:t>EN: [ASAP] Chemical Synthesis of Native ADP-Ribosylated Oligonucleotides Enables Analysis of DNA ADP-Ribosylation Hydrolase Specificity</w:t>
      </w:r>
    </w:p>
    <w:p>
      <w:pPr>
        <w:spacing w:before="0" w:after="120"/>
      </w:pPr>
      <w:r>
        <w:rPr>
          <w:b/>
        </w:rPr>
        <w:t xml:space="preserve">Source: </w:t>
      </w:r>
      <w:r>
        <w:t>Journal of the American Chemical Society: Latest Articles (ACS Publications)</w:t>
      </w:r>
      <w:r>
        <w:t xml:space="preserve">    </w:t>
      </w:r>
      <w:r>
        <w:rPr>
          <w:b/>
        </w:rPr>
        <w:t xml:space="preserve">Pub date: </w:t>
      </w:r>
      <w:r>
        <w:t>2026-01-08 17:06:43+00:00</w:t>
      </w:r>
      <w:r>
        <w:t xml:space="preserve">    </w:t>
      </w:r>
      <w:r>
        <w:rPr>
          <w:b/>
        </w:rPr>
        <w:t xml:space="preserve">DOI: </w:t>
      </w:r>
      <w:hyperlink r:id="rId735">
        <w:r>
          <w:rPr>
            <w:color w:val="1155CC"/>
            <w:u w:val="single"/>
          </w:rPr>
          <w:t>10.1021/jacs.5c17532</w:t>
        </w:r>
      </w:hyperlink>
    </w:p>
    <w:p>
      <w:pPr>
        <w:spacing w:before="0" w:after="120"/>
      </w:pPr>
      <w:r>
        <w:rPr>
          <w:b/>
        </w:rPr>
        <w:t xml:space="preserve">Notes: </w:t>
      </w:r>
      <w:r>
        <w:t>abstract_source=pubmed</w:t>
      </w:r>
    </w:p>
    <w:p>
      <w:pPr>
        <w:spacing w:before="0" w:after="80" w:lineRule="auto" w:line="276"/>
      </w:pPr>
      <w:r>
        <w:rPr>
          <w:b/>
        </w:rPr>
        <w:t xml:space="preserve">摘要（ZH）: </w:t>
      </w:r>
      <w:r>
        <w:t>ADP-肋骨变异(ADPr)是一种修改,通过这种修改,ADP-肋骨植入酶与ADP-肋骨转移酶(ARTs)的不同分子混为一谈,以控制所有生命王国生物体中的各种细胞过程,虽然传统上主要被视为蛋白的翻译后变异,但最近证据表明,核酸ADPr(DNA和RNA)已成为一种广泛类型的ADPr,但是,精确的生物作用和基本机制仍然难以捉摸,这主要是由于缺乏ADP-肋骨酸分子工具。在ADP-肋骨变异DNA原地的卵巢改造点的启发下,我们开发了一种合成方法,用于对ADP-肋骨化的胸膜动物(T-ADPr)的原子进行化和立体选择性组装。 我们还进一步开发了一种合成方法。</w:t>
      </w:r>
    </w:p>
    <w:p>
      <w:pPr>
        <w:spacing w:before="0" w:after="200" w:lineRule="auto" w:line="276"/>
      </w:pPr>
      <w:r>
        <w:rPr>
          <w:b/>
        </w:rPr>
        <w:t xml:space="preserve">Abstract (EN): </w:t>
      </w:r>
      <w:r>
        <w:t>ADP-ribosylation (ADPr) is a modification by which an ADP-ribose moiety is conjugated to different molecules by ADP-ribosyltransferases (ARTs) to control various cellular processes in organisms from all kingdoms of life. While traditionally considered primarily as a post-translational modification of proteins, recent evidence has demonstrated that ADPr of nucleic acids (DNA and RNA) has emerged as a widespread type of ADPr. However, the precise biological roles and underlying mechanisms remain elusive, largely due to the lack of ADP-ribosylated nucleic acid molecular tools. Inspired by the native thymidine modification sites of ADP-ribosylated DNA, we developed a synthetic method for the chemo- and stereoselective assembly of both anomers of ADP-ribosylated thymidine (T-ADPr). We further tailored our method to successfully synthesize ADP-ribosylated oligonucleotides with desired sequences via an automatic solid-phase synthesis. We used the synthetic ADPr substrates, including the ADP-ribosylated DNA sequence motif TCTC that is targeted by bacterial ARTs to control DNA replication or antiphage response, and showed the utility of newly developed tools to characterize the specificity and mechanism of action of different hydrolases in ADPr reversal.</w:t>
      </w:r>
    </w:p>
    <w:p>
      <w:pPr>
        <w:spacing w:before="120" w:after="120"/>
      </w:pPr>
      <w:r>
        <w:rPr>
          <w:sz w:val="18"/>
        </w:rPr>
        <w:t>——————————————————————————————————————————————————————————————————————</w:t>
      </w:r>
    </w:p>
    <w:p>
      <w:pPr>
        <w:spacing w:before="160" w:after="40" w:line="240" w:lineRule="auto"/>
      </w:pPr>
      <w:r>
        <w:rPr>
          <w:b/>
        </w:rPr>
        <w:t xml:space="preserve">[455] </w:t>
      </w:r>
      <w:hyperlink r:id="rId736">
        <w:r>
          <w:rPr>
            <w:color w:val="1155CC"/>
            <w:u w:val="single"/>
          </w:rPr>
          <w:t>[ASAP]优化维拉尔纳米粒子的稳定:工程战略、应用和Virophore新概念</w:t>
        </w:r>
      </w:hyperlink>
    </w:p>
    <w:p>
      <w:pPr>
        <w:spacing w:before="0" w:after="80"/>
      </w:pPr>
      <w:r>
        <w:rPr>
          <w:i/>
          <w:sz w:val="20"/>
        </w:rPr>
        <w:t>EN: [ASAP] Optimizing the Stability of Viral Nanoparticles: Engineering Strategies, Applications, and the Emerging Concept of the Virophore</w:t>
      </w:r>
    </w:p>
    <w:p>
      <w:pPr>
        <w:spacing w:before="0" w:after="120"/>
      </w:pPr>
      <w:r>
        <w:rPr>
          <w:b/>
        </w:rPr>
        <w:t xml:space="preserve">Source: </w:t>
      </w:r>
      <w:r>
        <w:t>Journal of the American Chemical Society: Latest Articles (ACS Publications)</w:t>
      </w:r>
      <w:r>
        <w:t xml:space="preserve">    </w:t>
      </w:r>
      <w:r>
        <w:rPr>
          <w:b/>
        </w:rPr>
        <w:t xml:space="preserve">Pub date: </w:t>
      </w:r>
      <w:r>
        <w:t>2026-01-08 17:41:10+00:00</w:t>
      </w:r>
      <w:r>
        <w:t xml:space="preserve">    </w:t>
      </w:r>
      <w:r>
        <w:rPr>
          <w:b/>
        </w:rPr>
        <w:t xml:space="preserve">DOI: </w:t>
      </w:r>
      <w:hyperlink r:id="rId737">
        <w:r>
          <w:rPr>
            <w:color w:val="1155CC"/>
            <w:u w:val="single"/>
          </w:rPr>
          <w:t>10.1021/jacs.5c15092</w:t>
        </w:r>
      </w:hyperlink>
    </w:p>
    <w:p>
      <w:pPr>
        <w:spacing w:before="0" w:after="120"/>
      </w:pPr>
      <w:r>
        <w:rPr>
          <w:b/>
        </w:rPr>
        <w:t xml:space="preserve">Notes: </w:t>
      </w:r>
      <w:r>
        <w:t>abstract_source=pubmed</w:t>
      </w:r>
    </w:p>
    <w:p>
      <w:pPr>
        <w:spacing w:before="0" w:after="80" w:lineRule="auto" w:line="276"/>
      </w:pPr>
      <w:r>
        <w:rPr>
          <w:b/>
        </w:rPr>
        <w:t xml:space="preserve">摘要（ZH）: </w:t>
      </w:r>
      <w:r>
        <w:t>来自植物病毒和细菌的纳米粒子是自组装结构,可以发挥作用,广泛应用于药物交付、疫苗配方和成像以及纳米材料工程和纳米级微量微量试验,它们精确的化学和遗传改变能力使其具有多功能性,但其功能潜力可能因结构稳定性不足或控制不力而受到限制。在本篇文章中,我们评估了稳定优化的最新进展,以改善基于病毒的纳米粒子和衍生材料的功能,同时考虑到针对外部和内部表面的工程战略,以及大衣蛋白分单元之间的界面。我们审视了特定地点b等方法。</w:t>
      </w:r>
    </w:p>
    <w:p>
      <w:pPr>
        <w:spacing w:before="0" w:after="200" w:lineRule="auto" w:line="276"/>
      </w:pPr>
      <w:r>
        <w:rPr>
          <w:b/>
        </w:rPr>
        <w:t xml:space="preserve">Abstract (EN): </w:t>
      </w:r>
      <w:r>
        <w:t>Nanoparticles derived from plant viruses and bacteriophages are self-assembling structures that can be functionalized for broad applications in drug delivery, vaccine formulation, and imaging, as well as the engineering of nanomaterials, and nanoscale templating. Their capacity for precise chemical and genetic modification makes them versatile, but their functional potential may be limited by insufficient or poorly controlled structural stability. In this perspectives article, we assess recent advances in stability optimization to improve the functionality of virus-based nanoparticles and derived materials, considering engineering strategies that target the external and internal surfaces, as well as the interfaces between coat protein subunits. We look at approaches such as site-specific bioconjugation, reversible and permanent cross-linking, polymer endoskeleton reinforcement, metal ion coordination, and protective core-shell architectures, which can be used to tailor particle stability for harsh biological environments, or create particles with responsive stability profiles allowing smart delivery systems to release cargo when exposed to triggers such as pH, redox potential, illumination, or mechanical stress. We propose the concept of the virophore: a genetically or chemically encoded functional unit integrated into the structure of a virus particle that acts as a programmable structural switch, enabling reversible, triggerable reconfiguration in response to defined stimuli. We argue that embracing virophore design will expand the capabilities of virus-based nanomaterials beyond passive durability, facilitating adaptive, intelligent behavior. This will support applications such as programmable drug release, biosensors, and dynamic material systems.</w:t>
      </w:r>
    </w:p>
    <w:p>
      <w:pPr>
        <w:spacing w:before="120" w:after="120"/>
      </w:pPr>
      <w:r>
        <w:rPr>
          <w:sz w:val="18"/>
        </w:rPr>
        <w:t>——————————————————————————————————————————————————————————————————————</w:t>
      </w:r>
    </w:p>
    <w:p>
      <w:pPr>
        <w:spacing w:before="160" w:after="40" w:line="240" w:lineRule="auto"/>
      </w:pPr>
      <w:r>
        <w:rPr>
          <w:b/>
        </w:rPr>
        <w:t xml:space="preserve">[456] </w:t>
      </w:r>
      <w:hyperlink r:id="rId738">
        <w:r>
          <w:rPr>
            <w:color w:val="1155CC"/>
            <w:u w:val="single"/>
          </w:rPr>
          <w:t>[ASAP] 亚吉罗得的局部对称断裂诱导超阳性传导</w:t>
        </w:r>
      </w:hyperlink>
    </w:p>
    <w:p>
      <w:pPr>
        <w:spacing w:before="0" w:after="80"/>
      </w:pPr>
      <w:r>
        <w:rPr>
          <w:i/>
          <w:sz w:val="20"/>
        </w:rPr>
        <w:t>EN: [ASAP] Local Symmetry Breaking Induced Superionic Conductivity in Argyrodites</w:t>
      </w:r>
    </w:p>
    <w:p>
      <w:pPr>
        <w:spacing w:before="0" w:after="120"/>
      </w:pPr>
      <w:r>
        <w:rPr>
          <w:b/>
        </w:rPr>
        <w:t xml:space="preserve">Source: </w:t>
      </w:r>
      <w:r>
        <w:t>Journal of the American Chemical Society: Latest Articles (ACS Publications)</w:t>
      </w:r>
      <w:r>
        <w:t xml:space="preserve">    </w:t>
      </w:r>
      <w:r>
        <w:rPr>
          <w:b/>
        </w:rPr>
        <w:t xml:space="preserve">Pub date: </w:t>
      </w:r>
      <w:r>
        <w:t>2026-01-08 18:12:05+00:00</w:t>
      </w:r>
      <w:r>
        <w:t xml:space="preserve">    </w:t>
      </w:r>
      <w:r>
        <w:rPr>
          <w:b/>
        </w:rPr>
        <w:t xml:space="preserve">DOI: </w:t>
      </w:r>
      <w:hyperlink r:id="rId739">
        <w:r>
          <w:rPr>
            <w:color w:val="1155CC"/>
            <w:u w:val="single"/>
          </w:rPr>
          <w:t>10.1021/jacs.5c17193</w:t>
        </w:r>
      </w:hyperlink>
    </w:p>
    <w:p>
      <w:pPr>
        <w:spacing w:before="0" w:after="120"/>
      </w:pPr>
      <w:r>
        <w:rPr>
          <w:b/>
        </w:rPr>
        <w:t xml:space="preserve">Notes: </w:t>
      </w:r>
      <w:r>
        <w:t>abstract_source=pubmed</w:t>
      </w:r>
    </w:p>
    <w:p>
      <w:pPr>
        <w:spacing w:before="0" w:after="80" w:lineRule="auto" w:line="276"/>
      </w:pPr>
      <w:r>
        <w:rPr>
          <w:b/>
        </w:rPr>
        <w:t xml:space="preserve">摘要（ZH）: </w:t>
      </w:r>
      <w:r>
        <w:t>Argyrodites有复杂的晶体结构,这些晶体结构产生了非常的物理特性,包括超低热导导和超强的电离传导,这些结构对热电材料和可再充电电池引起了广泛的兴趣;虽然对Argyrodites的长距离晶晶体结构特征作了很好的特点,但当地原子规模的结构特征仍然不甚了解;在这项工作中,进行了同步器X射线原子对子分布功能分析,以调查Ag8GeS6 Argyrodites的短距离结构关系及其与温度的结构演变。</w:t>
      </w:r>
    </w:p>
    <w:p>
      <w:pPr>
        <w:spacing w:before="0" w:after="200" w:lineRule="auto" w:line="276"/>
      </w:pPr>
      <w:r>
        <w:rPr>
          <w:b/>
        </w:rPr>
        <w:t xml:space="preserve">Abstract (EN): </w:t>
      </w:r>
      <w:r>
        <w:t>Argyrodites have complex crystal structures that give rise to extraordinary physical properties, including ultralow thermal conductivity and superior ionic conductivity, which have received wide interest in thermoelectric materials and rechargeable batteries. While the long-range crystallographic structures of argyrodites have been well characterized, the local atomic-scale structural features remain poorly understood. In this work, synchrotron X-ray atomic pair distribution function (PDF) analysis has been carried out to investigate the short-range structural correlations in Ag8GeS6 argyrodites and their structure evolution with temperature. Strikingly, the local atomic arrangement shares similarity across the superionic phase transition, and the phenomenon is further validated in other Ag-based argyrodites. Our analysis reveals that the local structural distortion, weak bonding environment, and strong lattice anharmonicity could be the key to understanding the exotic thermal and ion transport behavior. This work explores the critical connection between local structural motifs and macroscopic functionalities in Ag-based argyrodites, proposing a new local-structure-oriented strategy for designing next-generation functional materials.</w:t>
      </w:r>
    </w:p>
    <w:p>
      <w:pPr>
        <w:spacing w:before="120" w:after="120"/>
      </w:pPr>
      <w:r>
        <w:rPr>
          <w:sz w:val="18"/>
        </w:rPr>
        <w:t>——————————————————————————————————————————————————————————————————————</w:t>
      </w:r>
    </w:p>
    <w:p>
      <w:pPr>
        <w:spacing w:before="160" w:after="40" w:line="240" w:lineRule="auto"/>
      </w:pPr>
      <w:r>
        <w:rPr>
          <w:b/>
        </w:rPr>
        <w:t xml:space="preserve">[457] </w:t>
      </w:r>
      <w:hyperlink r:id="rId740">
        <w:r>
          <w:rPr>
            <w:color w:val="1155CC"/>
            <w:u w:val="single"/>
          </w:rPr>
          <w:t>[ASAP] 终端协同化使五氯苯的纳诺波尔静脉定序</w:t>
        </w:r>
      </w:hyperlink>
    </w:p>
    <w:p>
      <w:pPr>
        <w:spacing w:before="0" w:after="80"/>
      </w:pPr>
      <w:r>
        <w:rPr>
          <w:i/>
          <w:sz w:val="20"/>
        </w:rPr>
        <w:t>EN: [ASAP] Terminal Conjugation Enables Nanopore Sequencing of Peptides</w:t>
      </w:r>
    </w:p>
    <w:p>
      <w:pPr>
        <w:spacing w:before="0" w:after="120"/>
      </w:pPr>
      <w:r>
        <w:rPr>
          <w:b/>
        </w:rPr>
        <w:t xml:space="preserve">Source: </w:t>
      </w:r>
      <w:r>
        <w:t>Journal of the American Chemical Society: Latest Articles (ACS Publications)</w:t>
      </w:r>
      <w:r>
        <w:t xml:space="preserve">    </w:t>
      </w:r>
      <w:r>
        <w:rPr>
          <w:b/>
        </w:rPr>
        <w:t xml:space="preserve">Pub date: </w:t>
      </w:r>
      <w:r>
        <w:t>2026-01-08 18:48:56+00:00</w:t>
      </w:r>
      <w:r>
        <w:t xml:space="preserve">    </w:t>
      </w:r>
      <w:r>
        <w:rPr>
          <w:b/>
        </w:rPr>
        <w:t xml:space="preserve">DOI: </w:t>
      </w:r>
      <w:hyperlink r:id="rId741">
        <w:r>
          <w:rPr>
            <w:color w:val="1155CC"/>
            <w:u w:val="single"/>
          </w:rPr>
          <w:t>10.1021/jacs.5c18813</w:t>
        </w:r>
      </w:hyperlink>
    </w:p>
    <w:p>
      <w:pPr>
        <w:spacing w:before="0" w:after="120"/>
      </w:pPr>
      <w:r>
        <w:rPr>
          <w:b/>
        </w:rPr>
        <w:t xml:space="preserve">Notes: </w:t>
      </w:r>
      <w:r>
        <w:t>abstract_source=pubmed</w:t>
      </w:r>
    </w:p>
    <w:p>
      <w:pPr>
        <w:spacing w:before="0" w:after="80" w:lineRule="auto" w:line="276"/>
      </w:pPr>
      <w:r>
        <w:rPr>
          <w:b/>
        </w:rPr>
        <w:t xml:space="preserve">摘要（ZH）: </w:t>
      </w:r>
      <w:r>
        <w:t>Peptids 的纳米粒子测序对于单分子蛋白质组具有巨大的希望,但是尚未制定强有力的同化战略来调整当地peptides以适应运动-酶驱动的转移位置。在这里,我们建立了终极定向的DNA光化同化化学战略,将纳米粒子测序的应用范围从合成模型系统扩大到自然ptides。在N终点,Omniligase催化快速和在温和条件下将DNA处理器捆绑。在Cterinus,光离子解致电离合法引入了生物激素联系器,使CuAAC的DNA介质连接器能够确保短粒子通过纳米粒子适当伸展和转移位。我们的研究显示,长粒子可以在单端锥虫中测序。</w:t>
      </w:r>
    </w:p>
    <w:p>
      <w:pPr>
        <w:spacing w:before="0" w:after="200" w:lineRule="auto" w:line="276"/>
      </w:pPr>
      <w:r>
        <w:rPr>
          <w:b/>
        </w:rPr>
        <w:t xml:space="preserve">Abstract (EN): </w:t>
      </w:r>
      <w:r>
        <w:t>Nanopore sequencing of peptides holds great promise for single-molecule proteomics, but robust conjugation strategies to adapt native peptides for motor-enzyme-driven translocation have yet to be developed. Here, we establish terminally directed DNA-peptide conjugation chemistry strategies that expand the applicability of nanopore sequencing beyond synthetic model systems to natural peptides. At the N terminus, omniligase catalyzes rapid and peptide ligation of a DNA handle under mild conditions. At the C terminus, photoredox decarboxylative ligation introduces a bioorthogonal linker that enables CuAAC-mediated DNA attachment that ensures proper stretching and translocation of short peptides through the nanopore. Our study reveals that long peptides can be sequenced with single-end conjugation, while short or neutral peptides require threading tails. Positively charged peptides cannot be translocated under the same electric field but can be sequenced after charge neutralization. The data demonstrate controlled nanopore readouts of peptides that differ widely in length, charge, and sequence. This framework establishes a versatile chemical foundation for adapting natural peptides to nanopore sequencing, advancing single-molecule proteomic analysis.</w:t>
      </w:r>
    </w:p>
    <w:p>
      <w:pPr>
        <w:spacing w:before="120" w:after="120"/>
      </w:pPr>
      <w:r>
        <w:rPr>
          <w:sz w:val="18"/>
        </w:rPr>
        <w:t>——————————————————————————————————————————————————————————————————————</w:t>
      </w:r>
    </w:p>
    <w:p>
      <w:pPr>
        <w:spacing w:before="160" w:after="40" w:line="240" w:lineRule="auto"/>
      </w:pPr>
      <w:r>
        <w:rPr>
          <w:b/>
        </w:rPr>
        <w:t xml:space="preserve">[458] </w:t>
      </w:r>
      <w:hyperlink r:id="rId742">
        <w:r>
          <w:rPr>
            <w:color w:val="1155CC"/>
            <w:u w:val="single"/>
          </w:rPr>
          <w:t>[ASAP] 以氧化碳为基础的固态电池中可逆和不可逆反应的可视化</w:t>
        </w:r>
      </w:hyperlink>
    </w:p>
    <w:p>
      <w:pPr>
        <w:spacing w:before="0" w:after="80"/>
      </w:pPr>
      <w:r>
        <w:rPr>
          <w:i/>
          <w:sz w:val="20"/>
        </w:rPr>
        <w:t>EN: [ASAP] Operando Time-of-Flight Secondary Ion Mass Spectrometry Visualization of Reversible and Irreversible Reactions in Oxide-Based Solid-State Batteries</w:t>
      </w:r>
    </w:p>
    <w:p>
      <w:pPr>
        <w:spacing w:before="0" w:after="120"/>
      </w:pPr>
      <w:r>
        <w:rPr>
          <w:b/>
        </w:rPr>
        <w:t xml:space="preserve">Source: </w:t>
      </w:r>
      <w:r>
        <w:t>ACS Energy Letters: Latest Articles (ACS Publications)</w:t>
      </w:r>
      <w:r>
        <w:t xml:space="preserve">    </w:t>
      </w:r>
      <w:r>
        <w:rPr>
          <w:b/>
        </w:rPr>
        <w:t xml:space="preserve">Pub date: </w:t>
      </w:r>
      <w:r>
        <w:t>2026-01-08 18:58:40+00:00</w:t>
      </w:r>
      <w:r>
        <w:t xml:space="preserve">    </w:t>
      </w:r>
      <w:r>
        <w:rPr>
          <w:b/>
        </w:rPr>
        <w:t xml:space="preserve">DOI: </w:t>
      </w:r>
      <w:hyperlink r:id="rId743">
        <w:r>
          <w:rPr>
            <w:color w:val="1155CC"/>
            <w:u w:val="single"/>
          </w:rPr>
          <w:t>10.1021/acsenergylett.5c03610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[459] </w:t>
      </w:r>
      <w:hyperlink r:id="rId744">
        <w:r>
          <w:rPr>
            <w:color w:val="1155CC"/>
            <w:u w:val="single"/>
          </w:rPr>
          <w:t>[ASAP] (+)-M-M-M-C-H后档方案功能化使K(C-H)完全合成</w:t>
        </w:r>
      </w:hyperlink>
    </w:p>
    <w:p>
      <w:pPr>
        <w:spacing w:before="0" w:after="80"/>
      </w:pPr>
      <w:r>
        <w:rPr>
          <w:i/>
          <w:sz w:val="20"/>
        </w:rPr>
        <w:t>EN: [ASAP] Total Synthesis of (+)-Melicolone K Enabled by a Late-Stage Programmed C–H Functionalization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2026-01-08 19:09:05+00:00</w:t>
      </w:r>
      <w:r>
        <w:t xml:space="preserve">    </w:t>
      </w:r>
      <w:r>
        <w:rPr>
          <w:b/>
        </w:rPr>
        <w:t xml:space="preserve">DOI: </w:t>
      </w:r>
      <w:hyperlink r:id="rId745">
        <w:r>
          <w:rPr>
            <w:color w:val="1155CC"/>
            <w:u w:val="single"/>
          </w:rPr>
          <w:t>10.1021/jacs.5c20001</w:t>
        </w:r>
      </w:hyperlink>
    </w:p>
    <w:p>
      <w:pPr>
        <w:spacing w:before="0" w:after="120"/>
      </w:pPr>
      <w:r>
        <w:rPr>
          <w:b/>
        </w:rPr>
        <w:t xml:space="preserve">Notes: </w:t>
      </w:r>
      <w:r>
        <w:t>abstract_source=pubmed</w:t>
      </w:r>
    </w:p>
    <w:p>
      <w:pPr>
        <w:spacing w:before="0" w:after="80" w:lineRule="auto" w:line="276"/>
      </w:pPr>
      <w:r>
        <w:rPr>
          <w:b/>
        </w:rPr>
        <w:t xml:space="preserve">摘要（ZH）: </w:t>
      </w:r>
      <w:r>
        <w:t>对(+)-melicolone K 的不对称总合成第一次作了描述。该战略的特点是,后阶段规划的C-H功能化,包括Rh(II)-催化的 γ-C(sp3)-H 授精和新形成的循环肺炎通过正式的(4+2)循环增加/递解环开关过程形成的一种循环肺炎。通过纳入赤裸裸的不对称双氧化、Wolff环收缩和Ti(III)介质的激进循环化,我们的方法简洁而有效地获取这一具有良好的抗逆转录和异形控制的旗舰型前自然产品。在这项工作中制定的直接、单步的预留线性协议为简化前述自然产品的合成工作铺平坦了道路。</w:t>
      </w:r>
    </w:p>
    <w:p>
      <w:pPr>
        <w:spacing w:before="0" w:after="200" w:lineRule="auto" w:line="276"/>
      </w:pPr>
      <w:r>
        <w:rPr>
          <w:b/>
        </w:rPr>
        <w:t xml:space="preserve">Abstract (EN): </w:t>
      </w:r>
      <w:r>
        <w:t>An asymmetric total synthesis of (+)-melicolone K is described for the first time. The strategy features a late-stage programmed C-H functionalization, which comprises a Rh(II)-catalyzed γ-C(sp3)-H amination and a newly formed cyclic sulfamate ester-directed γ-C(sp3)-H prenylation through a formal (4 + 2) cycloaddition/reductive ring-opening process. By incorporation of a Sharpless asymmetric dihydroxylation, a Wolff ring contraction, and a Ti(III)-mediated radical cyclization, our approach rendered concise and efficient access to this flagship prenylated natural product with good enantio- and diastereocontrol. The direct, single-step prenylation protocol developed in this work paves the way for streamlined syntheses of the prenylated natural products.</w:t>
      </w:r>
    </w:p>
    <w:p>
      <w:pPr>
        <w:spacing w:before="120" w:after="120"/>
      </w:pPr>
      <w:r>
        <w:rPr>
          <w:sz w:val="18"/>
        </w:rPr>
        <w:t>——————————————————————————————————————————————————————————————————————</w:t>
      </w:r>
    </w:p>
    <w:p>
      <w:pPr>
        <w:spacing w:before="160" w:after="40" w:line="240" w:lineRule="auto"/>
      </w:pPr>
      <w:r>
        <w:rPr>
          <w:b/>
        </w:rPr>
        <w:t xml:space="preserve">[460] </w:t>
      </w:r>
      <w:hyperlink r:id="rId746">
        <w:r>
          <w:rPr>
            <w:color w:val="1155CC"/>
            <w:u w:val="single"/>
          </w:rPr>
          <w:t>[ASAP] 两维共值有机框架中的地形控制控制压合裂度和自旋选择性</w:t>
        </w:r>
      </w:hyperlink>
    </w:p>
    <w:p>
      <w:pPr>
        <w:spacing w:before="0" w:after="80"/>
      </w:pPr>
      <w:r>
        <w:rPr>
          <w:i/>
          <w:sz w:val="20"/>
        </w:rPr>
        <w:t>EN: [ASAP] Topology-Controlled Chirality and Spin Selectivity in Two-Dimensional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2026-01-08 20:01:59+00:00</w:t>
      </w:r>
      <w:r>
        <w:t xml:space="preserve">    </w:t>
      </w:r>
      <w:r>
        <w:rPr>
          <w:b/>
        </w:rPr>
        <w:t xml:space="preserve">DOI: </w:t>
      </w:r>
      <w:hyperlink r:id="rId747">
        <w:r>
          <w:rPr>
            <w:color w:val="1155CC"/>
            <w:u w:val="single"/>
          </w:rPr>
          <w:t>10.1021/jacs.5c18071</w:t>
        </w:r>
      </w:hyperlink>
    </w:p>
    <w:p>
      <w:pPr>
        <w:spacing w:before="0" w:after="120"/>
      </w:pPr>
      <w:r>
        <w:rPr>
          <w:b/>
        </w:rPr>
        <w:t xml:space="preserve">Notes: </w:t>
      </w:r>
      <w:r>
        <w:t>abstract_source=pubmed</w:t>
      </w:r>
    </w:p>
    <w:p>
      <w:pPr>
        <w:spacing w:before="0" w:after="80" w:lineRule="auto" w:line="276"/>
      </w:pPr>
      <w:r>
        <w:rPr>
          <w:b/>
        </w:rPr>
        <w:t xml:space="preserve">摘要（ZH）: </w:t>
      </w:r>
      <w:r>
        <w:t>控制电子旋是脊柱学的基础,因为手性诱导的螺旋选择性效应(CISS)使无磁性旋转极化运输成为磁性无螺旋极化。然而,在固态材料中实现稳健和金枪鱼易碎的螺旋极化仍然是一个关键的挑战。在这里,我们表明,在二维(2D)共价有机框架(COFs)中,地形异构主义提供了调节手性和旋转选择性的直接战略。 以手性为主的两Zn(saleen)手性COFs(TPE-KGM)和TPE-SQL(TPE-SQL)是用相同的前体合成的,但结晶化成不同的公斤网络和石蜡网络。虽然从构成上看,Kgm COF只显示出当地微弱的几何特征性,而Sql则发展出显著增强脊椎选择性的长程结构性。</w:t>
      </w:r>
    </w:p>
    <w:p>
      <w:pPr>
        <w:spacing w:before="0" w:after="200" w:lineRule="auto" w:line="276"/>
      </w:pPr>
      <w:r>
        <w:rPr>
          <w:b/>
        </w:rPr>
        <w:t xml:space="preserve">Abstract (EN): </w:t>
      </w:r>
      <w:r>
        <w:t>Controlling electron spin is fundamental to spintronics, where the chirality-induced spin selectivity (CISS) effect enables magnet-free spin-polarized transport. However, achieving robust and tunable spin polarization in solid-state materials remains a critical challenge. Here, we show that topological isomerism offers a direct strategy to modulate chirality and spin selectivity in two-dimensional (2D) covalent organic frameworks (COFs). Two Zn(salen)-based chiral COFs, TPE-KGM and TPE-SQL, were synthesized from identical precursors yet crystallized into distinct kgm and sql networks. Although compositionally identical, the kgm COF exhibits only weak local geometrical chirality, whereas the sql develops long-range structural chirality that markedly enhances spin selectivity. Circular dichroism (CD) and circularly polarized luminescence (CPL) reveal stronger chiral amplification in the sql topology, while magnetic conductive atomic force microscopy (mc-AFM) confirms enhanced spin polarization of 83% for TPE-SQL versus 53% for TPE-KGM, in sharp contrast to inorganic kgm crystals, where spin frustration and electronic chirality in kgm lattices typically yield higher spin polarization. Furthermore, both frameworks can be exfoliated into nanosheets and integrated with monolayer WSe2 to form van der Waals heterostructures, achieving spin injection with degrees of circular polarization of 8.1% (TPE-SQL) and 3.9% (TPE-KGM) at 78 K. These findings establish topology as a powerful design principle for governing chirality and spin selectivity in crystalline polymers, advancing the development of chiral optoelectronic and valleytronic materials.</w:t>
      </w:r>
    </w:p>
    <w:p>
      <w:pPr>
        <w:spacing w:before="120" w:after="120"/>
      </w:pPr>
      <w:r>
        <w:rPr>
          <w:sz w:val="18"/>
        </w:rPr>
        <w:t>——————————————————————————————————————————————————————————————————————</w:t>
      </w:r>
    </w:p>
    <w:p>
      <w:pPr>
        <w:spacing w:before="160" w:after="40" w:line="240" w:lineRule="auto"/>
      </w:pPr>
      <w:r>
        <w:rPr>
          <w:b/>
        </w:rPr>
        <w:t xml:space="preserve">[461] </w:t>
      </w:r>
      <w:hyperlink r:id="rId748">
        <w:r>
          <w:rPr>
            <w:color w:val="1155CC"/>
            <w:u w:val="single"/>
          </w:rPr>
          <w:t>[ASAP] 利用光速转换 hBN的节能超长功率越长功率</w:t>
        </w:r>
      </w:hyperlink>
    </w:p>
    <w:p>
      <w:pPr>
        <w:spacing w:before="0" w:after="80"/>
      </w:pPr>
      <w:r>
        <w:rPr>
          <w:i/>
          <w:sz w:val="20"/>
        </w:rPr>
        <w:t>EN: [ASAP] Energy-Efficient Ultrafast van der Waals Floating-Gate Memory Utilizing Memristive Switching of hBN</w:t>
      </w:r>
    </w:p>
    <w:p>
      <w:pPr>
        <w:spacing w:before="0" w:after="120"/>
      </w:pPr>
      <w:r>
        <w:rPr>
          <w:b/>
        </w:rPr>
        <w:t xml:space="preserve">Source: </w:t>
      </w:r>
      <w:r>
        <w:t>ACS Energy Letters: Latest Articles (ACS Publications)</w:t>
      </w:r>
      <w:r>
        <w:t xml:space="preserve">    </w:t>
      </w:r>
      <w:r>
        <w:rPr>
          <w:b/>
        </w:rPr>
        <w:t xml:space="preserve">Pub date: </w:t>
      </w:r>
      <w:r>
        <w:t>2026-01-08 20:16:53+00:00</w:t>
      </w:r>
      <w:r>
        <w:t xml:space="preserve">    </w:t>
      </w:r>
      <w:r>
        <w:rPr>
          <w:b/>
        </w:rPr>
        <w:t xml:space="preserve">DOI: </w:t>
      </w:r>
      <w:hyperlink r:id="rId749">
        <w:r>
          <w:rPr>
            <w:color w:val="1155CC"/>
            <w:u w:val="single"/>
          </w:rPr>
          <w:t>10.1021/acsenergylett.5c03326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[462] </w:t>
      </w:r>
      <w:hyperlink r:id="rId750">
        <w:r>
          <w:rPr>
            <w:color w:val="1155CC"/>
            <w:u w:val="single"/>
          </w:rPr>
          <w:t>[ASAP] Halonthracene调解人中的红ox-可控卤素联结能够提高电催化电效 C-N 组合</w:t>
        </w:r>
      </w:hyperlink>
    </w:p>
    <w:p>
      <w:pPr>
        <w:spacing w:before="0" w:after="80"/>
      </w:pPr>
      <w:r>
        <w:rPr>
          <w:i/>
          <w:sz w:val="20"/>
        </w:rPr>
        <w:t>EN: [ASAP] Redox-Switchable Halogen Bonding in Haloanthracene Mediators Enables Efficient Electrocatalytic C–N Coupling</w:t>
      </w:r>
    </w:p>
    <w:p>
      <w:pPr>
        <w:spacing w:before="0" w:after="120"/>
      </w:pPr>
      <w:r>
        <w:rPr>
          <w:b/>
        </w:rPr>
        <w:t xml:space="preserve">Source: </w:t>
      </w:r>
      <w:r>
        <w:t>Journal of the American Chemical Society: Latest Articles (ACS Publications)</w:t>
      </w:r>
      <w:r>
        <w:t xml:space="preserve">    </w:t>
      </w:r>
      <w:r>
        <w:rPr>
          <w:b/>
        </w:rPr>
        <w:t xml:space="preserve">Pub date: </w:t>
      </w:r>
      <w:r>
        <w:t>2026-01-08 20:51:30+00:00</w:t>
      </w:r>
      <w:r>
        <w:t xml:space="preserve">    </w:t>
      </w:r>
      <w:r>
        <w:rPr>
          <w:b/>
        </w:rPr>
        <w:t xml:space="preserve">DOI: </w:t>
      </w:r>
      <w:hyperlink r:id="rId751">
        <w:r>
          <w:rPr>
            <w:color w:val="1155CC"/>
            <w:u w:val="single"/>
          </w:rPr>
          <w:t>10.1021/jacs.5c18175</w:t>
        </w:r>
      </w:hyperlink>
    </w:p>
    <w:p>
      <w:pPr>
        <w:spacing w:before="0" w:after="120"/>
      </w:pPr>
      <w:r>
        <w:rPr>
          <w:b/>
        </w:rPr>
        <w:t xml:space="preserve">Notes: </w:t>
      </w:r>
      <w:r>
        <w:t>abstract_source=pubmed</w:t>
      </w:r>
    </w:p>
    <w:p>
      <w:pPr>
        <w:spacing w:before="0" w:after="80" w:lineRule="auto" w:line="276"/>
      </w:pPr>
      <w:r>
        <w:rPr>
          <w:b/>
        </w:rPr>
        <w:t xml:space="preserve">摘要（ZH）: </w:t>
      </w:r>
      <w:r>
        <w:t>我们报告在9-Halo-10-arylantharresnes的基础上开发了红氧化物调解员,该调解员仅在单电子氧化作用时使用卤素结合。这种红氧化可开关互动使一个有效的基质预组织得以有效进行,并通过电催化促进分子C-N债券的形成。对N保护的2-氨基联苯基子体中各种卤化调解员(1a-1c)的系统评估显示,硫二甲苯甲醚衍生物1a 表现出很强的催化性性能。在此基础上,我们合成了一系列10-氨代二甲苯丙烯(1d-1h),以进一步优化调解结构。我们通过波脚分析确定了1h,带有3-5之二(三氟甲基)苯基体组的动力分析结果,作为高度活跃的调解人,其明显率固定在一以上。</w:t>
      </w:r>
    </w:p>
    <w:p>
      <w:pPr>
        <w:spacing w:before="0" w:after="200" w:lineRule="auto" w:line="276"/>
      </w:pPr>
      <w:r>
        <w:rPr>
          <w:b/>
        </w:rPr>
        <w:t xml:space="preserve">Abstract (EN): </w:t>
      </w:r>
      <w:r>
        <w:t>We report the development of redox mediators based on 9-halo-10-arylanthracenes that engage in halogen bonding only upon one-electron oxidation. This redox-switchable interaction enables an effective substrate preorganization and promotes intramolecular C-N bond formation via electrocatalysis. Systematic evaluation of halogenated mediators (1a-1c) across various N-protected 2-aminobiphenyl substrates revealed that the iodoanthracene derivative 1a exhibited superior catalytic performance. Building on this, we synthesized a series of 10-aryl-substituted iodoanthracenes (1d-1h) to further optimize the mediator structure. Kinetic analysis by foot-of-the-wave analysis identified 1h, bearing a 3,5-bis(trifluoromethyl)phenyl group, as a highly active mediator with an apparent rate constant over an order of magnitude higher than that of its counterparts. Bulk electrolysis experiments confirmed its remarkable performance, achieving high yields in short reaction times. Computational studies demonstrated that halogen bonding is markedly strengthened in the radical cation state, and that this interaction significantly enhances the acidity of the N-H bond in the substrates, enabling proton-coupled electron transfer (PCET) even with a weak base. Energy diagrams constructed from density functional theory calculations supported a mechanism in which the mediator not only facilitates PCET but also stabilizes cationic intermediates throughout the catalytic cycle. This work establishes a new design paradigm for redox mediators, where redox-induced noncovalent interactions can be harnessed to control both reactivity and selectivity. The concept of halogen-bonding-assisted PCET provides a powerful platform for advancing molecular electrocatalysis.</w:t>
      </w:r>
    </w:p>
    <w:p>
      <w:pPr>
        <w:spacing w:before="120" w:after="120"/>
      </w:pPr>
      <w:r>
        <w:rPr>
          <w:sz w:val="18"/>
        </w:rPr>
        <w:t>——————————————————————————————————————————————————————————————————————</w:t>
      </w:r>
    </w:p>
    <w:p>
      <w:pPr>
        <w:spacing w:before="160" w:after="40" w:line="240" w:lineRule="auto"/>
      </w:pPr>
      <w:r>
        <w:rPr>
          <w:b/>
        </w:rPr>
        <w:t xml:space="preserve">[463] </w:t>
      </w:r>
      <w:hyperlink r:id="rId752">
        <w:r>
          <w:rPr>
            <w:color w:val="1155CC"/>
            <w:u w:val="single"/>
          </w:rPr>
          <w:t>中国核聚变反应堆将等离子推过临界极限:接下来会发生什么?</w:t>
        </w:r>
      </w:hyperlink>
    </w:p>
    <w:p>
      <w:pPr>
        <w:spacing w:before="0" w:after="80"/>
      </w:pPr>
      <w:r>
        <w:rPr>
          <w:i/>
          <w:sz w:val="20"/>
        </w:rPr>
        <w:t>EN: Chinese nuclear fusion reactor pushes plasma past crucial limit: what happens next</w:t>
      </w:r>
    </w:p>
    <w:p>
      <w:pPr>
        <w:spacing w:before="0" w:after="120"/>
      </w:pPr>
      <w:r>
        <w:rPr>
          <w:b/>
        </w:rPr>
        <w:t xml:space="preserve">Source: </w:t>
      </w:r>
      <w:r>
        <w:t>Nature</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[464] </w:t>
      </w:r>
      <w:hyperlink r:id="rId753">
        <w:r>
          <w:rPr>
            <w:color w:val="1155CC"/>
            <w:u w:val="single"/>
          </w:rPr>
          <w:t>无限和超越地球的苍蓝蓝点:简略的书籍</w:t>
        </w:r>
      </w:hyperlink>
    </w:p>
    <w:p>
      <w:pPr>
        <w:spacing w:before="0" w:after="80"/>
      </w:pPr>
      <w:r>
        <w:rPr>
          <w:i/>
          <w:sz w:val="20"/>
        </w:rPr>
        <w:t>EN: To infinity and beyond Earth’s pale blue dot: Books in brief</w:t>
      </w:r>
    </w:p>
    <w:p>
      <w:pPr>
        <w:spacing w:before="0" w:after="120"/>
      </w:pPr>
      <w:r>
        <w:rPr>
          <w:b/>
        </w:rPr>
        <w:t xml:space="preserve">Source: </w:t>
      </w:r>
      <w:r>
        <w:t>Nature</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[465] </w:t>
      </w:r>
      <w:hyperlink r:id="rId754">
        <w:r>
          <w:rPr>
            <w:color w:val="1155CC"/>
            <w:u w:val="single"/>
          </w:rPr>
          <w:t>异血极亚化条例,启动纳超电离导体脱相离离离转换</w:t>
        </w:r>
      </w:hyperlink>
    </w:p>
    <w:p>
      <w:pPr>
        <w:spacing w:before="0" w:after="80"/>
      </w:pPr>
      <w:r>
        <w:rPr>
          <w:i/>
          <w:sz w:val="20"/>
        </w:rPr>
        <w:t>EN: Heteropolyanion regulation activating decoupled ion transition for Na superionic conductors</w:t>
      </w:r>
    </w:p>
    <w:p>
      <w:pPr>
        <w:spacing w:before="0" w:after="120"/>
      </w:pPr>
      <w:r>
        <w:rPr>
          <w:b/>
        </w:rPr>
        <w:t xml:space="preserve">Source: </w:t>
      </w:r>
      <w:r>
        <w:t>ScienceDirect Publication: Materials Today</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[466] </w:t>
      </w:r>
      <w:hyperlink r:id="rId755">
        <w:r>
          <w:rPr>
            <w:color w:val="1155CC"/>
            <w:u w:val="single"/>
          </w:rPr>
          <w:t>这种变形聚合物 是由章鱼皮肤引起的</w:t>
        </w:r>
      </w:hyperlink>
    </w:p>
    <w:p>
      <w:pPr>
        <w:spacing w:before="0" w:after="80"/>
      </w:pPr>
      <w:r>
        <w:rPr>
          <w:i/>
          <w:sz w:val="20"/>
        </w:rPr>
        <w:t>EN: This shapeshifting polymer was inspired by octopus skin</w:t>
      </w:r>
    </w:p>
    <w:p>
      <w:pPr>
        <w:spacing w:before="0" w:after="120"/>
      </w:pPr>
      <w:r>
        <w:rPr>
          <w:b/>
        </w:rPr>
        <w:t xml:space="preserve">Source: </w:t>
      </w:r>
      <w:r>
        <w:t>Nature</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[467] </w:t>
      </w:r>
      <w:hyperlink r:id="rId756">
        <w:r>
          <w:rPr>
            <w:color w:val="1155CC"/>
            <w:u w:val="single"/>
          </w:rPr>
          <w:t>在对称工程界面进行磁力生成和巨型非线性运输</w:t>
        </w:r>
      </w:hyperlink>
    </w:p>
    <w:p>
      <w:pPr>
        <w:spacing w:before="0" w:after="80"/>
      </w:pPr>
      <w:r>
        <w:rPr>
          <w:i/>
          <w:sz w:val="20"/>
        </w:rPr>
        <w:t>EN: Magnetization generation and giant nonlinear transport at symmetry-engineered interfaces</w:t>
      </w:r>
    </w:p>
    <w:p>
      <w:pPr>
        <w:spacing w:before="0" w:after="120"/>
      </w:pPr>
      <w:r>
        <w:rPr>
          <w:b/>
        </w:rPr>
        <w:t xml:space="preserve">Source: </w:t>
      </w:r>
      <w:r>
        <w:t>Nature Communications</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外形结构中的界面具有固有的反向不对称性,并显示各种物理效应,然而,在接口中通常保留组成层的平面反射对称性。这些对称性按需操作仍然具有挑战性。在这里,我们展示了一种战略,通过对异形结构的晶体方向进行工程设计来控制机面镜面对称性。我们设计了一个具有新方向的工作马系统,即LaAlO3/SrTiO3 与(112)平面上的金属界面对称性。这种高指数导向导致除镜子平面外的所有正面镜面对称性断裂,但与“11x00AF”;00."角色表示“演示” [11 =0][1\bar{1}0]方向(M[11\x00AF;0]角色=(M[11\x00AF;0]角色==</w:t>
      </w:r>
    </w:p>
    <w:p>
      <w:pPr>
        <w:spacing w:before="0" w:after="200" w:lineRule="auto" w:line="276"/>
      </w:pPr>
      <w:r>
        <w:rPr>
          <w:b/>
        </w:rPr>
        <w:t xml:space="preserve">Abstract (EN): </w:t>
      </w:r>
      <w:r>
        <w:t>Interfaces in heterostructures possess inherent inversion asymmetry and display diverse physical effects, however, the pristine in-plane mirror symmetries of the constituent layers are usually preserved at the interface. On-demand manipulation of these symmetries remains challenging. Here, we demonstrate a strategy to control the in-plane mirror symmetries of interfaces by engineering the crystallographic orientation of heterostructures. We design a workhorse system with a new orientation, i.e., the LaAlO3/SrTiO3 heterostructure with metallic interfaces in the (112)-plane. Such a high index orientation leads to the breaking of all the pristine mirror symmetries except the mirror plane perpendicular to the [11&amp;#x00AF;0]" role="presentation"&gt;[11¯0][1\bar{1}0] direction (M[11&amp;#x00AF;0]" role="presentation"&gt;M[11¯0]{M}_{[1\bar{1}0]}), resulting in the Cs point symmetry with a metallic conduction. Consequently, this interface exhibits a giant nonlinear Hall effect characterized by a large Berry curvature dipole, a circular photogalvanic effect, and current-induced out-of-plane magnetization, all functional at room temperature. The magnitude of the nonlinear Hall effect rivals the Weyl and Dirac systems. Our work establishes a new strategy in exploring emerging electronic properties with nontrivial quantum geometry by designing the interface symmetry.</w:t>
      </w:r>
    </w:p>
    <w:p>
      <w:pPr>
        <w:spacing w:before="120" w:after="120"/>
      </w:pPr>
      <w:r>
        <w:rPr>
          <w:sz w:val="18"/>
        </w:rPr>
        <w:t>——————————————————————————————————————————————————————————————————————</w:t>
      </w:r>
    </w:p>
    <w:p>
      <w:pPr>
        <w:spacing w:before="160" w:after="40" w:line="240" w:lineRule="auto"/>
      </w:pPr>
      <w:r>
        <w:rPr>
          <w:b/>
        </w:rPr>
        <w:t xml:space="preserve">[468] </w:t>
      </w:r>
      <w:hyperlink r:id="rId757">
        <w:r>
          <w:rPr>
            <w:color w:val="1155CC"/>
            <w:u w:val="single"/>
          </w:rPr>
          <w:t>材料科学,10年后</w:t>
        </w:r>
      </w:hyperlink>
    </w:p>
    <w:p>
      <w:pPr>
        <w:spacing w:before="0" w:after="80"/>
      </w:pPr>
      <w:r>
        <w:rPr>
          <w:i/>
          <w:sz w:val="20"/>
        </w:rPr>
        <w:t>EN: Materials science, 10 years on</w:t>
      </w:r>
    </w:p>
    <w:p>
      <w:pPr>
        <w:spacing w:before="0" w:after="120"/>
      </w:pPr>
      <w:r>
        <w:rPr>
          <w:b/>
        </w:rPr>
        <w:t xml:space="preserve">Source: </w:t>
      </w:r>
      <w:r>
        <w:t>Nature Reviews Materials</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[469] </w:t>
      </w:r>
      <w:hyperlink r:id="rId758">
        <w:r>
          <w:rPr>
            <w:color w:val="1155CC"/>
            <w:u w:val="single"/>
          </w:rPr>
          <w:t>灵活二维神经传感器</w:t>
        </w:r>
      </w:hyperlink>
    </w:p>
    <w:p>
      <w:pPr>
        <w:spacing w:before="0" w:after="80"/>
      </w:pPr>
      <w:r>
        <w:rPr>
          <w:i/>
          <w:sz w:val="20"/>
        </w:rPr>
        <w:t>EN: Flexible two-dimensional neural sensors</w:t>
      </w:r>
    </w:p>
    <w:p>
      <w:pPr>
        <w:spacing w:before="0" w:after="120"/>
      </w:pPr>
      <w:r>
        <w:rPr>
          <w:b/>
        </w:rPr>
        <w:t xml:space="preserve">Source: </w:t>
      </w:r>
      <w:r>
        <w:t>Nature Materials</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[470] </w:t>
      </w:r>
      <w:hyperlink r:id="rId759">
        <w:r>
          <w:rPr>
            <w:color w:val="1155CC"/>
            <w:u w:val="single"/>
          </w:rPr>
          <w:t>用于超高当前密度的正型正型双层MOS2外效晶体管结构门</w:t>
        </w:r>
      </w:hyperlink>
    </w:p>
    <w:p>
      <w:pPr>
        <w:spacing w:before="0" w:after="80"/>
      </w:pPr>
      <w:r>
        <w:rPr>
          <w:i/>
          <w:sz w:val="20"/>
        </w:rPr>
        <w:t>EN: Gate structuring on n-type bilayer MoS2 field-effect transistors for ultrahigh current density</w:t>
      </w:r>
    </w:p>
    <w:p>
      <w:pPr>
        <w:spacing w:before="0" w:after="120"/>
      </w:pPr>
      <w:r>
        <w:rPr>
          <w:b/>
        </w:rPr>
        <w:t xml:space="preserve">Source: </w:t>
      </w:r>
      <w:r>
        <w:t>Nature Materials</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铸造工业和学术界正面临摩尔法律对逻辑晶体管的极限。 硅实地效应晶体管(FETs)现在依赖门形结构(Gateallload)和超导管,即使以降低承运人流动性和复杂的制造过程为代价。 二维(2D)半导体提供了一个很有希望的替代方法,因为它们在原子厚度上保留着晶体质量。 尽管如此,它们是否真正表现出比硅更高的性能仍然值得怀疑。 此处,通过在双层MOS2FETs上实施双基结构,我们减轻了高层接触所创造的环形屏障,并在不增加制造复杂性的情况下实现了高载体密度。 模拟和统计分析证实二元基(ByZg ) 。</w:t>
      </w:r>
    </w:p>
    <w:p>
      <w:pPr>
        <w:spacing w:before="0" w:after="200" w:lineRule="auto" w:line="276"/>
      </w:pPr>
      <w:r>
        <w:rPr>
          <w:b/>
        </w:rPr>
        <w:t xml:space="preserve">Abstract (EN): </w:t>
      </w:r>
      <w:r>
        <w:t>The foundry industry and academia are confronting the limits of Moore’s Law scaling for logic transistors. Silicon field‑effect transistors (FETs) now rely on gate‑all‑around structures and ultrathin channels, even at the cost of decreased carrier mobility and complex fabrication processes. Two‑dimensional (2D) semiconductors offer a promising alternative because they retain their crystalline quality at atomic thicknesses. Nonetheless, whether they truly exhibit higher performance than silicon remains questionable. Here, by implementing a dual‑gate structure on bilayer MoS2 FETs, we mitigate the fringing‑field barrier created by the elevated top contact and achieve high carrier densities without increasing fabrication complexity. Simulations and statistical analysis confirm that the dual‑gate compensates the fringe field, enabling a drain current of 1.55 mA µm−1 even with conventional gold contacts. Quantum‑transport simulation indicates that, with further gate‑length and equivalent‑oxide‑thickness scaling, the on-state current can reach levels comparable to silicon FETs at the 3-nm node, and monolithic 3D integration can extend the applicability of dual‑gate 2D transistors to future logic technologies.</w:t>
      </w:r>
    </w:p>
    <w:p>
      <w:pPr>
        <w:spacing w:before="120" w:after="120"/>
      </w:pPr>
      <w:r>
        <w:rPr>
          <w:sz w:val="18"/>
        </w:rPr>
        <w:t>——————————————————————————————————————————————————————————————————————</w:t>
      </w:r>
    </w:p>
    <w:p>
      <w:pPr>
        <w:spacing w:before="160" w:after="40" w:line="240" w:lineRule="auto"/>
      </w:pPr>
      <w:r>
        <w:rPr>
          <w:b/>
        </w:rPr>
        <w:t xml:space="preserve">[471] </w:t>
      </w:r>
      <w:hyperlink r:id="rId760">
        <w:r>
          <w:rPr>
            <w:color w:val="1155CC"/>
            <w:u w:val="single"/>
          </w:rPr>
          <w:t>使量子内核对准,以探测动力系统中的虚假数据注入攻击</w:t>
        </w:r>
      </w:hyperlink>
    </w:p>
    <w:p>
      <w:pPr>
        <w:spacing w:before="0" w:after="80"/>
      </w:pPr>
      <w:r>
        <w:rPr>
          <w:i/>
          <w:sz w:val="20"/>
        </w:rPr>
        <w:t>EN: Aligning quantum kernels for detecting false data injection attacks in power systems</w:t>
      </w:r>
    </w:p>
    <w:p>
      <w:pPr>
        <w:spacing w:before="0" w:after="120"/>
      </w:pPr>
      <w:r>
        <w:rPr>
          <w:b/>
        </w:rPr>
        <w:t xml:space="preserve">Source: </w:t>
      </w:r>
      <w:r>
        <w:t>ScienceDirect Publication: Applied Energy</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[472] </w:t>
      </w:r>
      <w:hyperlink r:id="rId761">
        <w:r>
          <w:rPr>
            <w:color w:val="1155CC"/>
            <w:u w:val="single"/>
          </w:rPr>
          <w:t>固密度等离子体当前纤维化不稳定的破时解X射线成像</w:t>
        </w:r>
      </w:hyperlink>
    </w:p>
    <w:p>
      <w:pPr>
        <w:spacing w:before="0" w:after="80"/>
      </w:pPr>
      <w:r>
        <w:rPr>
          <w:i/>
          <w:sz w:val="20"/>
        </w:rPr>
        <w:t>EN: Time-resolved X-ray imaging of the current filamentation instability in solid-density plasmas</w:t>
      </w:r>
    </w:p>
    <w:p>
      <w:pPr>
        <w:spacing w:before="0" w:after="120"/>
      </w:pPr>
      <w:r>
        <w:rPr>
          <w:b/>
        </w:rPr>
        <w:t xml:space="preserve">Source: </w:t>
      </w:r>
      <w:r>
        <w:t>Nature Communications</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高能充电粒子流通过目前的丝状不稳定,可以磁化天体物理学和实验室等离子体。尽管这种不稳定性具有重要性,但实验性特征仍然是一项挑战。在这里,我们报告了一项实验,将高强度光学激光与高亮度X射线免费电子激光结合起来,成功地用200纳米的空间和50英尺的时间分辨率来模拟固体密度等离子体的不稳定性。我们描述微米尺度丝状丝状结构的开发及其通过非线性合并过程在数十微分秒之间的演化。测量的等离子体密度调节器和长期合并时间揭示了空间电动效应和离子运动对电动不稳定的至关重要性。</w:t>
      </w:r>
    </w:p>
    <w:p>
      <w:pPr>
        <w:spacing w:before="0" w:after="200" w:lineRule="auto" w:line="276"/>
      </w:pPr>
      <w:r>
        <w:rPr>
          <w:b/>
        </w:rPr>
        <w:t xml:space="preserve">Abstract (EN): </w:t>
      </w:r>
      <w:r>
        <w:t>The streaming of energetic charged particles can magnetize astrophysical and laboratory plasmas via the current filamentation instability. Despite its importance, the experimental characterization of this instability has remained a challenge. Here, we report an experiment combining a high-intensity optical laser with a high-brightness X-ray free electron laser that successfully images the instability in solid-density plasmas with 200 nm spatial and 50 fs temporal resolution. We characterize the development of μm-scale filamentary structures and their evolution over tens of picoseconds through a non-linear merging process. The measured plasma density modulations and long merging time reveal the critical importance of space-charge effects and ion motion on this electron-driven instability. Supporting theoretical analysis and kinetic simulations help distinguish the relative role of space-charge and resistive effects. Our findings indicate that magnetic fields on the order of 10 megagauss are produced, with important implications for transport and radiation emission of energetic particles in plasmas.</w:t>
      </w:r>
    </w:p>
    <w:p>
      <w:pPr>
        <w:spacing w:before="120" w:after="120"/>
      </w:pPr>
      <w:r>
        <w:rPr>
          <w:sz w:val="18"/>
        </w:rPr>
        <w:t>——————————————————————————————————————————————————————————————————————</w:t>
      </w:r>
    </w:p>
    <w:p>
      <w:pPr>
        <w:spacing w:before="160" w:after="40" w:line="240" w:lineRule="auto"/>
      </w:pPr>
      <w:r>
        <w:rPr>
          <w:b/>
        </w:rPr>
        <w:t xml:space="preserve">[473] </w:t>
      </w:r>
      <w:hyperlink r:id="rId762">
        <w:r>
          <w:rPr>
            <w:color w:val="1155CC"/>
            <w:u w:val="single"/>
          </w:rPr>
          <w:t>公正的能源过渡需要仅靠岸的关键材料</w:t>
        </w:r>
      </w:hyperlink>
    </w:p>
    <w:p>
      <w:pPr>
        <w:spacing w:before="0" w:after="80"/>
      </w:pPr>
      <w:r>
        <w:rPr>
          <w:i/>
          <w:sz w:val="20"/>
        </w:rPr>
        <w:t>EN: A just energy transition requires just-shoring critical materials</w:t>
      </w:r>
    </w:p>
    <w:p>
      <w:pPr>
        <w:spacing w:before="0" w:after="120"/>
      </w:pPr>
      <w:r>
        <w:rPr>
          <w:b/>
        </w:rPr>
        <w:t xml:space="preserve">Source: </w:t>
      </w:r>
      <w:r>
        <w:t>Nature Energy</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[474] </w:t>
      </w:r>
      <w:hyperlink r:id="rId763">
        <w:r>
          <w:rPr>
            <w:color w:val="1155CC"/>
            <w:u w:val="single"/>
          </w:rPr>
          <w:t>走向(平方)股市波动的根源</w:t>
        </w:r>
      </w:hyperlink>
    </w:p>
    <w:p>
      <w:pPr>
        <w:spacing w:before="0" w:after="80"/>
      </w:pPr>
      <w:r>
        <w:rPr>
          <w:i/>
          <w:sz w:val="20"/>
        </w:rPr>
        <w:t>EN: Getting to the (square) root of stock-market swings</w:t>
      </w:r>
    </w:p>
    <w:p>
      <w:pPr>
        <w:spacing w:before="0" w:after="120"/>
      </w:pPr>
      <w:r>
        <w:rPr>
          <w:b/>
        </w:rPr>
        <w:t xml:space="preserve">Source: </w:t>
      </w:r>
      <w:r>
        <w:t>Nature</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[475] </w:t>
      </w:r>
      <w:hyperlink r:id="rId764">
        <w:r>
          <w:rPr>
            <w:color w:val="1155CC"/>
            <w:u w:val="single"/>
          </w:rPr>
          <w:t>住宅零售关税和虚拟发电厂的设计取舍</w:t>
        </w:r>
      </w:hyperlink>
    </w:p>
    <w:p>
      <w:pPr>
        <w:spacing w:before="0" w:after="80"/>
      </w:pPr>
      <w:r>
        <w:rPr>
          <w:i/>
          <w:sz w:val="20"/>
        </w:rPr>
        <w:t>EN: Design trade-offs for residential retail tariffs and virtual power plants</w:t>
      </w:r>
    </w:p>
    <w:p>
      <w:pPr>
        <w:spacing w:before="0" w:after="120"/>
      </w:pPr>
      <w:r>
        <w:rPr>
          <w:b/>
        </w:rPr>
        <w:t xml:space="preserve">Source: </w:t>
      </w:r>
      <w:r>
        <w:t>ScienceDirect Publication: Applied Energy</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[476] </w:t>
      </w:r>
      <w:hyperlink r:id="rId765">
        <w:r>
          <w:rPr>
            <w:color w:val="1155CC"/>
            <w:u w:val="single"/>
          </w:rPr>
          <w:t>我们需要谈谈科学的薪水问题</w:t>
        </w:r>
      </w:hyperlink>
    </w:p>
    <w:p>
      <w:pPr>
        <w:spacing w:before="0" w:after="80"/>
      </w:pPr>
      <w:r>
        <w:rPr>
          <w:i/>
          <w:sz w:val="20"/>
        </w:rPr>
        <w:t>EN: We need to talk about salaries in science</w:t>
      </w:r>
    </w:p>
    <w:p>
      <w:pPr>
        <w:spacing w:before="0" w:after="120"/>
      </w:pPr>
      <w:r>
        <w:rPr>
          <w:b/>
        </w:rPr>
        <w:t xml:space="preserve">Source: </w:t>
      </w:r>
      <w:r>
        <w:t>Nature</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[477] </w:t>
      </w:r>
      <w:hyperlink r:id="rId766">
        <w:r>
          <w:rPr>
            <w:color w:val="1155CC"/>
            <w:u w:val="single"/>
          </w:rPr>
          <w:t>针对具体国家的CO2管理推动欧盟碳中和,系统成本增长最小</w:t>
        </w:r>
      </w:hyperlink>
    </w:p>
    <w:p>
      <w:pPr>
        <w:spacing w:before="0" w:after="80"/>
      </w:pPr>
      <w:r>
        <w:rPr>
          <w:i/>
          <w:sz w:val="20"/>
        </w:rPr>
        <w:t>EN: Country-specific CO2 management drives EU carbon neutrality with minimal system cost increases</w:t>
      </w:r>
    </w:p>
    <w:p>
      <w:pPr>
        <w:spacing w:before="0" w:after="120"/>
      </w:pPr>
      <w:r>
        <w:rPr>
          <w:b/>
        </w:rPr>
        <w:t xml:space="preserve">Source: </w:t>
      </w:r>
      <w:r>
        <w:t>One Earth</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[478] </w:t>
      </w:r>
      <w:hyperlink r:id="rId767">
        <w:r>
          <w:rPr>
            <w:color w:val="1155CC"/>
            <w:u w:val="single"/>
          </w:rPr>
          <w:t>利用Issatchenkia 东亚</w:t>
        </w:r>
      </w:hyperlink>
    </w:p>
    <w:p>
      <w:pPr>
        <w:spacing w:before="0" w:after="80"/>
      </w:pPr>
      <w:r>
        <w:rPr>
          <w:i/>
          <w:sz w:val="20"/>
        </w:rPr>
        <w:t>EN: High yield production of 3-hydroxypropionic acid using Issatchenkia orientalis</w:t>
      </w:r>
    </w:p>
    <w:p>
      <w:pPr>
        <w:spacing w:before="0" w:after="120"/>
      </w:pPr>
      <w:r>
        <w:rPr>
          <w:b/>
        </w:rPr>
        <w:t xml:space="preserve">Source: </w:t>
      </w:r>
      <w:r>
        <w:t>Nature Communications</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3-Hydroxyproposionic 酸(3HP)是能源部顶级增值化学品,也是生物塑料的前体,但成本效益高的微生物生产仍然难以实现。在这里,我们建立了耐酸性酵母Isssatchenkia orientalis,作为低pH 3HP生物合成的可靠宿主。基因组规模模型确定β-alaynine路径为最佳途径,提供了最高理论产值和最低氧要求。热动力学分析证实其在酸性条件下的有利性。通过序列相似网络分析,我们发现作为1-decarboxylase(PAND)、β-aynine-pyruvate 氨酸转移酶(BAPAT)和3HP de hygenase(YDFG)的高度活跃,大大改进了该特性。</w:t>
      </w:r>
    </w:p>
    <w:p>
      <w:pPr>
        <w:spacing w:before="0" w:after="200" w:lineRule="auto" w:line="276"/>
      </w:pPr>
      <w:r>
        <w:rPr>
          <w:b/>
        </w:rPr>
        <w:t xml:space="preserve">Abstract (EN): </w:t>
      </w:r>
      <w:r>
        <w:t>Biomanufacturing provides a more sustainable alternative to fossil-based chemical manufacturing. 3-Hydroxypropionic acid (3HP) is a top Department of Energy value-added chemical and precursor to bioplastics, yet cost-effective microbial production remains elusive. Here, we establish the acid-tolerant yeast Issatchenkia orientalis as a robust host for low-pH 3HP biosynthesis. Genome-scale modeling identifies the β-alanine pathway as optimal, offering the highest theoretical yield and lowest oxygen requirement. Thermodynamic analysis confirms its favorability under acidic conditions. Using sequence similarity network analysis, we discover highly active aspartate 1-decarboxylase (PAND), β-alanine-pyruvate aminotransferase (BAPAT), and 3HP dehydrogenase (YDFG), which significantly improve the pathway efficiency. Next, to further elevate the production, pathway optimization through multi-copy PAND integration, byproduct elimination (knockouts of pyruvate decarboxylase and glycerol-3-phosphate dehydrogenase), and reinforcement of aspartate flux by overexpression of pyruvate carboxylase and aspartate amino transferase improves the titer to 29 g/L in shake flasks. Fed-batch fermentation at pH 4 with low-cost corn steep liquor medium further increases the production to 92 g/L with 0.7 g/g yield and 0.55 g/L/h productivity. Techno-economic analysis indicates that such performance could potentially enable a financially viable process for sustainable acrylic acid production. This work establishes I. orientalis as a next-generation platform for cost-effective 3HP production and paves the way toward industrial commercialization.</w:t>
      </w:r>
    </w:p>
    <w:p>
      <w:pPr>
        <w:spacing w:before="120" w:after="120"/>
      </w:pPr>
      <w:r>
        <w:rPr>
          <w:sz w:val="18"/>
        </w:rPr>
        <w:t>——————————————————————————————————————————————————————————————————————</w:t>
      </w:r>
    </w:p>
    <w:p>
      <w:pPr>
        <w:spacing w:before="160" w:after="40" w:line="240" w:lineRule="auto"/>
      </w:pPr>
      <w:r>
        <w:rPr>
          <w:b/>
        </w:rPr>
        <w:t xml:space="preserve">[479] </w:t>
      </w:r>
      <w:hyperlink r:id="rId768">
        <w:r>
          <w:rPr>
            <w:color w:val="1155CC"/>
            <w:u w:val="single"/>
          </w:rPr>
          <w:t>中国低能中型办公大楼被动信封系统技术经济和环境绩效图</w:t>
        </w:r>
      </w:hyperlink>
    </w:p>
    <w:p>
      <w:pPr>
        <w:spacing w:before="0" w:after="80"/>
      </w:pPr>
      <w:r>
        <w:rPr>
          <w:i/>
          <w:sz w:val="20"/>
        </w:rPr>
        <w:t>EN: Machine learning-enabled mapping of techno-economic and environmental performance for passive envelope systems towards low-energy medium office buildings in China</w:t>
      </w:r>
    </w:p>
    <w:p>
      <w:pPr>
        <w:spacing w:before="0" w:after="120"/>
      </w:pPr>
      <w:r>
        <w:rPr>
          <w:b/>
        </w:rPr>
        <w:t xml:space="preserve">Source: </w:t>
      </w:r>
      <w:r>
        <w:t>ScienceDirect Publication: Applied Energy</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[480] </w:t>
      </w:r>
      <w:hyperlink r:id="rId769">
        <w:r>
          <w:rPr>
            <w:color w:val="1155CC"/>
            <w:u w:val="single"/>
          </w:rPr>
          <w:t>能力租赁框架,以共享能源储存能力租赁框架,考虑在有隐私保护的投标人之间进行同行对同行能源交易</w:t>
        </w:r>
      </w:hyperlink>
    </w:p>
    <w:p>
      <w:pPr>
        <w:spacing w:before="0" w:after="80"/>
      </w:pPr>
      <w:r>
        <w:rPr>
          <w:i/>
          <w:sz w:val="20"/>
        </w:rPr>
        <w:t>EN: A capacity renting framework for shared energy storage considering peer-to-peer energy trading among prosumers with privacy protection</w:t>
      </w:r>
    </w:p>
    <w:p>
      <w:pPr>
        <w:spacing w:before="0" w:after="120"/>
      </w:pPr>
      <w:r>
        <w:rPr>
          <w:b/>
        </w:rPr>
        <w:t xml:space="preserve">Source: </w:t>
      </w:r>
      <w:r>
        <w:t>ScienceDirect Publication: Applied Energy</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[481] </w:t>
      </w:r>
      <w:hyperlink r:id="rId770">
        <w:r>
          <w:rPr>
            <w:color w:val="1155CC"/>
            <w:u w:val="single"/>
          </w:rPr>
          <w:t>大规模全部固态电池的关键前景展望</w:t>
        </w:r>
      </w:hyperlink>
    </w:p>
    <w:p>
      <w:pPr>
        <w:spacing w:before="0" w:after="80"/>
      </w:pPr>
      <w:r>
        <w:rPr>
          <w:i/>
          <w:sz w:val="20"/>
        </w:rPr>
        <w:t>EN: A critical outlook for large-scale all-solid-state batteries</w:t>
      </w:r>
    </w:p>
    <w:p>
      <w:pPr>
        <w:spacing w:before="0" w:after="120"/>
      </w:pPr>
      <w:r>
        <w:rPr>
          <w:b/>
        </w:rPr>
        <w:t xml:space="preserve">Source: </w:t>
      </w:r>
      <w:r>
        <w:t>Joule</w:t>
      </w:r>
      <w:r>
        <w:t xml:space="preserve">    </w:t>
      </w:r>
      <w:r>
        <w:rPr>
          <w:b/>
        </w:rPr>
        <w:t xml:space="preserve">Pub date: </w:t>
      </w:r>
      <w:r>
        <w:t>2026-01-09 00:00:00+00:00</w:t>
      </w:r>
    </w:p>
    <w:p>
      <w:pPr>
        <w:spacing w:before="0" w:after="120"/>
      </w:pPr>
      <w:r>
        <w:rPr>
          <w:b/>
        </w:rPr>
        <w:t xml:space="preserve">Notes: </w:t>
      </w:r>
      <w:r>
        <w:t>abstract_source=rss_cell</w:t>
      </w:r>
    </w:p>
    <w:p>
      <w:pPr>
        <w:spacing w:before="0" w:after="80" w:lineRule="auto" w:line="276"/>
      </w:pPr>
      <w:r>
        <w:rPr>
          <w:b/>
        </w:rPr>
        <w:t xml:space="preserve">摘要（ZH）: </w:t>
      </w:r>
      <w:r>
        <w:t>本评注审查了与目前液基电池相比,扩大所有固体电池,包括物理、化学、电化学、机械、安全、与成本有关的限制等的实际挑战。</w:t>
      </w:r>
    </w:p>
    <w:p>
      <w:pPr>
        <w:spacing w:before="0" w:after="200" w:lineRule="auto" w:line="276"/>
      </w:pPr>
      <w:r>
        <w:rPr>
          <w:b/>
        </w:rPr>
        <w:t xml:space="preserve">Abstract (EN): </w:t>
      </w:r>
      <w:r>
        <w:t>This commentary examines the practical challenges of scaling all-solid-state batteries, including physical, chemical, electrochemical, mechanical, safety, and cost-related constraints compared with present liquid-based batteries.</w:t>
      </w:r>
    </w:p>
    <w:p>
      <w:pPr>
        <w:spacing w:before="120" w:after="120"/>
      </w:pPr>
      <w:r>
        <w:rPr>
          <w:sz w:val="18"/>
        </w:rPr>
        <w:t>——————————————————————————————————————————————————————————————————————</w:t>
      </w:r>
    </w:p>
    <w:p>
      <w:pPr>
        <w:spacing w:before="160" w:after="40" w:line="240" w:lineRule="auto"/>
      </w:pPr>
      <w:r>
        <w:rPr>
          <w:b/>
        </w:rPr>
        <w:t xml:space="preserve">[482] </w:t>
      </w:r>
      <w:hyperlink r:id="rId771">
        <w:r>
          <w:rPr>
            <w:color w:val="1155CC"/>
            <w:u w:val="single"/>
          </w:rPr>
          <w:t>单细胞分辨率对人类肠道有机体对特殊特殊因素的反应词典</w:t>
        </w:r>
      </w:hyperlink>
    </w:p>
    <w:p>
      <w:pPr>
        <w:spacing w:before="0" w:after="80"/>
      </w:pPr>
      <w:r>
        <w:rPr>
          <w:i/>
          <w:sz w:val="20"/>
        </w:rPr>
        <w:t>EN: Dictionary of human intestinal organoid responses to secreted niche factors at single cell resolution</w:t>
      </w:r>
    </w:p>
    <w:p>
      <w:pPr>
        <w:spacing w:before="0" w:after="120"/>
      </w:pPr>
      <w:r>
        <w:rPr>
          <w:b/>
        </w:rPr>
        <w:t xml:space="preserve">Source: </w:t>
      </w:r>
      <w:r>
        <w:t>Nature Communications</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肠道上皮囊在健康和疾病方面起着关键作用,然而,在诸如炎症肠道疾病(IBD)等疾病情况下,微环境线索的影响仍然定义不清。为了弥补这一差距,我们首先将人体骨质有机体伤害模型比作IBD组织基准,并用炎症细胞素建立了一种与疾病有关的发炎模式。我们利用这个系统,建立了一个单细胞分辨率79个隐蔽的利基因素的上皮反应词典,通过捐赠者汇集,多氧化单细胞RNA序列。我们地图集的综合性质使我们得以绘制扰动关系图,推算出较不具有特征的离心机的功能,并确定了特定细胞类型的绕动路径。最后,我们确定了单细胞解析的79个隐蔽的利基因素。我们确定了“多氧化单细胞”序列的关联性。</w:t>
      </w:r>
    </w:p>
    <w:p>
      <w:pPr>
        <w:spacing w:before="0" w:after="200" w:lineRule="auto" w:line="276"/>
      </w:pPr>
      <w:r>
        <w:rPr>
          <w:b/>
        </w:rPr>
        <w:t xml:space="preserve">Abstract (EN): </w:t>
      </w:r>
      <w:r>
        <w:t>The intestinal epithelium plays a critical role in health and disease, yet the impact of microenvironmental cues in diseased contexts, such as inflammatory bowel disease (IBD), remains poorly defined. To address this gap, we first benchmarked human colonic organoid injury models against IBD tissue and established a disease-relevant model of inflammation using inflammatory cytokines. Using this system, we built a dictionary of epithelial responses to 79 secreted niche factors at single cell resolution via donor-pooled, multiplexed single cell RNA-sequencing. The comprehensive nature of our atlas allowed us to map relationships between perturbations, infer the function of less characterized ligands, and identify cell type-specific perturbed pathways. Finally, we established the relevance of organoid-derived gene programs by mapping them to single cell and spatial atlases of human IBD tissue. Our resource offers a global view of epithelial responses to microenvironmental cues, offering insights into epithelial homeostasis and repair mechanisms in IBD.</w:t>
      </w:r>
    </w:p>
    <w:p>
      <w:pPr>
        <w:spacing w:before="120" w:after="120"/>
      </w:pPr>
      <w:r>
        <w:rPr>
          <w:sz w:val="18"/>
        </w:rPr>
        <w:t>——————————————————————————————————————————————————————————————————————</w:t>
      </w:r>
    </w:p>
    <w:p>
      <w:pPr>
        <w:spacing w:before="160" w:after="40" w:line="240" w:lineRule="auto"/>
      </w:pPr>
      <w:r>
        <w:rPr>
          <w:b/>
        </w:rPr>
        <w:t xml:space="preserve">[483] </w:t>
      </w:r>
      <w:hyperlink r:id="rId772">
        <w:r>
          <w:rPr>
            <w:color w:val="1155CC"/>
            <w:u w:val="single"/>
          </w:rPr>
          <w:t>在50纳米以下铁电中,AlScN</w:t>
        </w:r>
      </w:hyperlink>
    </w:p>
    <w:p>
      <w:pPr>
        <w:spacing w:before="0" w:after="80"/>
      </w:pPr>
      <w:r>
        <w:rPr>
          <w:i/>
          <w:sz w:val="20"/>
        </w:rPr>
        <w:t>EN: Write cycling endurance exceeding 1010 in sub-50 nm ferroelectric AlScN</w:t>
      </w:r>
    </w:p>
    <w:p>
      <w:pPr>
        <w:spacing w:before="0" w:after="120"/>
      </w:pPr>
      <w:r>
        <w:rPr>
          <w:b/>
        </w:rPr>
        <w:t xml:space="preserve">Source: </w:t>
      </w:r>
      <w:r>
        <w:t>Nature Communications</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Wurtzite铁电,特别是硝酸铝扫描仪(AlScN),已成为充满希望的非挥发性记忆材料平台,极极化值高达100 微克/立方厘米。然而,在前几次报告中,其高威力场( &gt; 3 MV/立方厘米)的循环耐力有限,只有~107个周期。在这里,我们展示了对AlScN两极分化转换的前所未有的控制,实现了超过101010个周期的写作周期周期-比以往沃兹铁电基准改进了一千倍。我们通过45nm-thick Al0.64Sc0.36N电容器的精确电压调节,我们表明,虽然极化完全逆转(2Pr  200 立方厘米/立方厘米2)维持了~108个周期,但部分转换的耐力超过10个周期,同时保持实质性的两极分化(&gt;30)。</w:t>
      </w:r>
    </w:p>
    <w:p>
      <w:pPr>
        <w:spacing w:before="0" w:after="200" w:lineRule="auto" w:line="276"/>
      </w:pPr>
      <w:r>
        <w:rPr>
          <w:b/>
        </w:rPr>
        <w:t xml:space="preserve">Abstract (EN): </w:t>
      </w:r>
      <w:r>
        <w:t>Wurtzite ferroelectrics, particularly aluminum scandium nitride (AlScN), have emerged as a promising material platform for non-volatile memories, offering high polarization values exceeding 100 μC/cm2. However, their high coercive fields (&gt;3 MV/cm) have limited cycling endurance to ~107 cycles in previous reports. Here, we demonstrate unprecedented control of polarization switching in AlScN, achieving write cycling endurance exceeding 1010 cycles—a thousand-fold improvement over previous wurtzite ferroelectric benchmarks. Through precise voltage modulation in 45 nm-thick Al0.64Sc0.36N capacitors, we show that while complete polarization reversal (2Pr ≈ 200 μC/cm2) sustains ~108 cycles, partial switching extends endurance beyond 1010 cycles while maintaining a substantial polarization (&gt;30 μC/cm2 for 2Pr). This exceptional endurance, combined with breakdown fields approaching 10 MV/cm in optimized 10 μm diameter devices, represents the highest reported values for any wurtzite ferroelectric. Our findings establish a new paradigm for reliability in nitride ferroelectrics, demonstrating that controlled partial polarization and size scaling enables both high endurance and energy-efficient operation.</w:t>
      </w:r>
    </w:p>
    <w:p>
      <w:pPr>
        <w:spacing w:before="120" w:after="120"/>
      </w:pPr>
      <w:r>
        <w:rPr>
          <w:sz w:val="18"/>
        </w:rPr>
        <w:t>——————————————————————————————————————————————————————————————————————</w:t>
      </w:r>
    </w:p>
    <w:p>
      <w:pPr>
        <w:spacing w:before="160" w:after="40" w:line="240" w:lineRule="auto"/>
      </w:pPr>
      <w:r>
        <w:rPr>
          <w:b/>
        </w:rPr>
        <w:t xml:space="preserve">[484] </w:t>
      </w:r>
      <w:hyperlink r:id="rId773">
        <w:r>
          <w:rPr>
            <w:color w:val="1155CC"/>
            <w:u w:val="single"/>
          </w:rPr>
          <w:t>全面审查关于太阳能即时预报的深入学习:提高准确性、可靠性和可解释性</w:t>
        </w:r>
      </w:hyperlink>
    </w:p>
    <w:p>
      <w:pPr>
        <w:spacing w:before="0" w:after="80"/>
      </w:pPr>
      <w:r>
        <w:rPr>
          <w:i/>
          <w:sz w:val="20"/>
        </w:rPr>
        <w:t>EN: A comprehensive review of deep learning for solar nowcasting: Enhancing accuracy, reliability, and interpretability</w:t>
      </w:r>
    </w:p>
    <w:p>
      <w:pPr>
        <w:spacing w:before="0" w:after="120"/>
      </w:pPr>
      <w:r>
        <w:rPr>
          <w:b/>
        </w:rPr>
        <w:t xml:space="preserve">Source: </w:t>
      </w:r>
      <w:r>
        <w:t>ScienceDirect Publication: Applied Energy</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[485] </w:t>
      </w:r>
      <w:hyperlink r:id="rId774">
        <w:r>
          <w:rPr>
            <w:color w:val="1155CC"/>
            <w:u w:val="single"/>
          </w:rPr>
          <w:t>钴催化烷基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环状</w:t>
        </w:r>
      </w:hyperlink>
    </w:p>
    <w:p>
      <w:pPr>
        <w:spacing w:before="0" w:after="80"/>
      </w:pPr>
      <w:r>
        <w:rPr>
          <w:i/>
          <w:sz w:val="20"/>
        </w:rPr>
        <w:t>EN: Cobalt-catalyzed alkyne silylamidation unlocks Z-selective unnatural dehydropeptides synthesis</w:t>
      </w:r>
    </w:p>
    <w:p>
      <w:pPr>
        <w:spacing w:before="0" w:after="120"/>
      </w:pPr>
      <w:r>
        <w:rPr>
          <w:b/>
        </w:rPr>
        <w:t xml:space="preserve">Source: </w:t>
      </w:r>
      <w:r>
        <w:t>National Science Review Advance Access</w:t>
      </w:r>
      <w:r>
        <w:t xml:space="preserve">    </w:t>
      </w:r>
      <w:r>
        <w:rPr>
          <w:b/>
        </w:rPr>
        <w:t xml:space="preserve">Pub date: </w:t>
      </w:r>
      <w:r>
        <w:t>2026-01-09 00:00:00+00:00</w:t>
      </w:r>
      <w:r>
        <w:t xml:space="preserve">    </w:t>
      </w:r>
      <w:r>
        <w:rPr>
          <w:b/>
        </w:rPr>
        <w:t xml:space="preserve">DOI: </w:t>
      </w:r>
      <w:hyperlink r:id="rId775">
        <w:r>
          <w:rPr>
            <w:color w:val="1155CC"/>
            <w:u w:val="single"/>
          </w:rPr>
          <w:t>10.1093/nsr/nwag011/8418264</w:t>
        </w:r>
      </w:hyperlink>
    </w:p>
    <w:p>
      <w:pPr>
        <w:spacing w:before="0" w:after="120"/>
      </w:pPr>
      <w:r>
        <w:rPr>
          <w:b/>
        </w:rPr>
        <w:t xml:space="preserve">Notes: </w:t>
      </w:r>
      <w:r>
        <w:t>abstract_source=rss_oup</w:t>
      </w:r>
    </w:p>
    <w:p>
      <w:pPr>
        <w:spacing w:before="0" w:after="80" w:lineRule="auto" w:line="276"/>
      </w:pPr>
      <w:r>
        <w:rPr>
          <w:b/>
        </w:rPr>
        <w:t xml:space="preserve">摘要（ZH）: </w:t>
      </w:r>
      <w:r>
        <w:t>由于独特的顺质特性和活动,脱氢五氯苯在生物和药用化学领域发挥着关键作用,然而,非自然脱氢农药合成在生物和药用化学领域仍然受制于繁琐的步骤,特别是不那么一般的步骤,特别是结构多样性相当有限,特别是结构多样性相当有限。</w:t>
      </w:r>
    </w:p>
    <w:p>
      <w:pPr>
        <w:spacing w:before="0" w:after="200" w:lineRule="auto" w:line="276"/>
      </w:pPr>
      <w:r>
        <w:rPr>
          <w:b/>
        </w:rPr>
        <w:t xml:space="preserve">Abstract (EN): </w:t>
      </w:r>
      <w:r>
        <w:t>Due to the unique conformational properties and activities, dehydropeptides play a pivotal role in the fields of biological and medicinal chemistry. Yet, the synthesis of unnatural dehydropeptides still suffers from cumbersome steps, less generality, in particular, with rather limited structural diversity. Herein, a modular cobalt-catalyzed 1,2-silylamidation of non-conjugated alkynes with dioxazolones and silylzinc pivalates is disclosed, thus affording structurally diverse non-canonical sila-dehydropeptides with complete control of regio- and stereoselectivity. Notably, the reaction enables efficient peptide ligation between peptide-containing dioxazolones and peptide-containing alkynes in a Z</w:t>
      </w:r>
    </w:p>
    <w:p>
      <w:pPr>
        <w:spacing w:before="120" w:after="120"/>
      </w:pPr>
      <w:r>
        <w:rPr>
          <w:sz w:val="18"/>
        </w:rPr>
        <w:t>——————————————————————————————————————————————————————————————————————</w:t>
      </w:r>
    </w:p>
    <w:p>
      <w:pPr>
        <w:spacing w:before="160" w:after="40" w:line="240" w:lineRule="auto"/>
      </w:pPr>
      <w:r>
        <w:rPr>
          <w:b/>
        </w:rPr>
        <w:t xml:space="preserve">[486] </w:t>
      </w:r>
      <w:hyperlink r:id="rId776">
        <w:r>
          <w:rPr>
            <w:color w:val="1155CC"/>
            <w:u w:val="single"/>
          </w:rPr>
          <w:t>电气化热能储存</w:t>
        </w:r>
      </w:hyperlink>
    </w:p>
    <w:p>
      <w:pPr>
        <w:spacing w:before="0" w:after="80"/>
      </w:pPr>
      <w:r>
        <w:rPr>
          <w:i/>
          <w:sz w:val="20"/>
        </w:rPr>
        <w:t>EN: Electrified thermal energy storage</w:t>
      </w:r>
    </w:p>
    <w:p>
      <w:pPr>
        <w:spacing w:before="0" w:after="120"/>
      </w:pPr>
      <w:r>
        <w:rPr>
          <w:b/>
        </w:rPr>
        <w:t xml:space="preserve">Source: </w:t>
      </w:r>
      <w:r>
        <w:t>Nature Reviews Clean Technology</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电气化热能储存(ETES)是一类技术,将电力转换和储存为热能,供日后用于供暖和冷却应用。ETES在充裕时使用低排放可再生电力,可以减少取暖的碳排放。在本审查中,我们调查了ETES系统的进展,审查了不同转换方法与各种热储存媒介结合,如何影响效率、可缩放性、成本和操作灵活性。耐用热与合理或潜在热储存相结合,显示出市场可行性,成本为每千瓦50美元,可用于被动住宅系统和活跃的电网平衡服务。然而,低能源密度和不可忽略的热损失超过这些系统的时限。t</w:t>
      </w:r>
    </w:p>
    <w:p>
      <w:pPr>
        <w:spacing w:before="0" w:after="200" w:lineRule="auto" w:line="276"/>
      </w:pPr>
      <w:r>
        <w:rPr>
          <w:b/>
        </w:rPr>
        <w:t xml:space="preserve">Abstract (EN): </w:t>
      </w:r>
      <w:r>
        <w:t>Electrified thermal energy storage (ETES) is a class of technologies that convert and store electricity as thermal energy for later use in heating and cooling applications. ETES can reduce the carbon emissions of heating by using low-emission renewable electricity when it is abundant. In this Review, we survey advances across ETES systems, examining how different conversion methods paired with various thermal storage media affect efficiency, scalability, cost and operational flexibility. Resistive heating coupled with sensible or latent heat storage has demonstrated market viability with costs of US$50 per kW, and can be used for both passive residential systems and active grid-balancing services. However, low energy density and non-negligible thermal losses over time limit these systems to short-duration applications, typically of days or weeks. By contrast, emerging ETES technologies that combine non-contact and/or volumetric heating technologies with latent or thermochemical heat storage could increase energy densities and storage times. These technologies could broaden ETES applications to high-temperature, long-duration uses. Possible integration routes and key research gaps are highlighted to guide the further advancement of ETES technologies for improved energy grid flexibility and resilience.</w:t>
      </w:r>
    </w:p>
    <w:p>
      <w:pPr>
        <w:spacing w:before="120" w:after="120"/>
      </w:pPr>
      <w:r>
        <w:rPr>
          <w:sz w:val="18"/>
        </w:rPr>
        <w:t>——————————————————————————————————————————————————————————————————————</w:t>
      </w:r>
    </w:p>
    <w:p>
      <w:pPr>
        <w:spacing w:before="160" w:after="40" w:line="240" w:lineRule="auto"/>
      </w:pPr>
      <w:r>
        <w:rPr>
          <w:b/>
        </w:rPr>
        <w:t xml:space="preserve">[487] </w:t>
      </w:r>
      <w:hyperlink r:id="rId777">
        <w:r>
          <w:rPr>
            <w:color w:val="1155CC"/>
            <w:u w:val="single"/>
          </w:rPr>
          <w:t>中性pH改变酶-聚合凝聚物凝聚物中的蒸气形成驱动器</w:t>
        </w:r>
      </w:hyperlink>
    </w:p>
    <w:p>
      <w:pPr>
        <w:spacing w:before="0" w:after="80"/>
      </w:pPr>
      <w:r>
        <w:rPr>
          <w:i/>
          <w:sz w:val="20"/>
        </w:rPr>
        <w:t>EN: Transient pH changes drive vacuole formation in enzyme–polymer condensates</w:t>
      </w:r>
    </w:p>
    <w:p>
      <w:pPr>
        <w:spacing w:before="0" w:after="120"/>
      </w:pPr>
      <w:r>
        <w:rPr>
          <w:b/>
        </w:rPr>
        <w:t xml:space="preserve">Source: </w:t>
      </w:r>
      <w:r>
        <w:t>Nature Chemical Engineering</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无膜有机体对于细胞功能至关重要。 这些生物分子凝聚器往往表现出复杂的形态,以应对生物刺激。 体外凝聚模型有助于解释这些多相组件的形式及其可能的功能。 我们在这里使用这样一个模型来调查凝聚器内空心内部区域或真空的形成情况, 以适应pH值的变化。 pH值下降的速率和更大的滴滴体大小会促进凝聚器内蒸气的开发。 我们显示, 蒸发器形成是一种非平衡过程, 是在快速的pH值变化中由凝聚部件扩散有限交换所驱动的。 我们开发了一个基于物理的模型, 描述联相相相分离系统如何对外部凝聚的迅速变化作出反应。 我们开发了一个基于物理的模型, 描述联相相相相分离系统如何应对外部凝聚的迅速变化。</w:t>
      </w:r>
    </w:p>
    <w:p>
      <w:pPr>
        <w:spacing w:before="0" w:after="200" w:lineRule="auto" w:line="276"/>
      </w:pPr>
      <w:r>
        <w:rPr>
          <w:b/>
        </w:rPr>
        <w:t xml:space="preserve">Abstract (EN): </w:t>
      </w:r>
      <w:r>
        <w:t>Membraneless organelles are essential for cellular function. These biomolecular condensates often exhibit complex morphologies in response to biological stimuli. In vitro condensate models help elucidate how these multiphase assemblies form and their possible functions. Here we use such a model to investigate the formation of hollow internal regions, or vacuoles, within condensates in response to a pH change. Fast rates of pH decrease and larger droplet sizes promote vacuole development within the condensates. We show that vacuole formation is a non-equilibrium process driven by the diffusion-limited exchange of condensate components during a rapid pH change. We develop a physics-based model that describes how associative phase-separating systems respond to rapid changes in external conditions, specifically pH. Our qualitative model agrees with experimental results, showing that rapid pH changes shift the phase boundaries, triggering spinodal decomposition and inducing vacuole formation within the condensates. Our pH-sensitive in vitro model illustrates a mechanism of vacuole formation in associative condensates and provides insights into the regulation of multiphase condensates in vivo.</w:t>
      </w:r>
    </w:p>
    <w:p>
      <w:pPr>
        <w:spacing w:before="120" w:after="120"/>
      </w:pPr>
      <w:r>
        <w:rPr>
          <w:sz w:val="18"/>
        </w:rPr>
        <w:t>——————————————————————————————————————————————————————————————————————</w:t>
      </w:r>
    </w:p>
    <w:p>
      <w:pPr>
        <w:spacing w:before="160" w:after="40" w:line="240" w:lineRule="auto"/>
      </w:pPr>
      <w:r>
        <w:rPr>
          <w:b/>
        </w:rPr>
        <w:t xml:space="preserve">[488] </w:t>
      </w:r>
      <w:hyperlink r:id="rId778">
        <w:r>
          <w:rPr>
            <w:color w:val="1155CC"/>
            <w:u w:val="single"/>
          </w:rPr>
          <w:t>建立在记忆体基础上的一等原则异血集成的Fourier变异系统</w:t>
        </w:r>
      </w:hyperlink>
    </w:p>
    <w:p>
      <w:pPr>
        <w:spacing w:before="0" w:after="80"/>
      </w:pPr>
      <w:r>
        <w:rPr>
          <w:i/>
          <w:sz w:val="20"/>
        </w:rPr>
        <w:t>EN: A first-principles hetero-integrated Fourier transform system based on memristors</w:t>
      </w:r>
    </w:p>
    <w:p>
      <w:pPr>
        <w:spacing w:before="0" w:after="120"/>
      </w:pPr>
      <w:r>
        <w:rPr>
          <w:b/>
        </w:rPr>
        <w:t xml:space="preserve">Source: </w:t>
      </w:r>
      <w:r>
        <w:t>Nature Electronics</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Fourier变换是分析信号频率特性的强大工具。 分立器 Fourier变换硬件通常采用Cooley-Tukey的算法来降低操作复杂性。 然而,这样的计划带来了一个连续的窗口时间表和分别的真实和想象的计算,以及它们的硬件实施过程在支持运行时任意的射线和不统一的离离离Fourier变换方面挣扎。 我们在这里报告一个基于挥发性和非挥发性 memirists 的一等原则的赫特罗集成的Fourier变换系统。 统一的战地氧化物挥发性弥漫式混合阵列为任意的射线轴提供了血管波,并且与紧凑的成形和相级校准电路一起,可以生成可运行的时间-calable频率光谱,记录最大值。</w:t>
      </w:r>
    </w:p>
    <w:p>
      <w:pPr>
        <w:spacing w:before="0" w:after="200" w:lineRule="auto" w:line="276"/>
      </w:pPr>
      <w:r>
        <w:rPr>
          <w:b/>
        </w:rPr>
        <w:t xml:space="preserve">Abstract (EN): </w:t>
      </w:r>
      <w:r>
        <w:t>The Fourier transform is a powerful tool to analyse the frequency characteristics of signals. Discrete Fourier transform hardware typically implements Cooley–Tukey-based algorithms for reduced operational complexity. However, such schemes bring a sequential window schedule and separate real and imaginary computations, and their hardware implementations struggle to support runtime arbitrary radix and non-uniform discrete Fourier transform. Here we report a first-principles hetero-integrated Fourier transform system based on volatile and non-volatile memristors. Uniform vanadium oxide volatile memristor arrays provide oscillatory waves for arbitrary radix, and together with compact shaping and phase alignment circuits, runtime-calibratable frequency spectra can be generated, recording a maximum frequency of up to 1.74 MHz and a resolution down to 50 Hz. Non-volatile multilevel tantalum oxide/hafnium oxide memristor arrays are incorporated with bipolar differential conductance mapping for parallel signed discrete Fourier transform in-memory computing. Our hetero-integrated Fourier transform system can support arbitrary radix values up to 2,048, uniform or non-uniform 1D/2D discrete Fourier transform with cross-window parallelism, as well as unified real and imaginary computations, with a discrete Fourier transform accuracy up to 99.2% and O(N) operational complexity. The system can reach a throughput of 504.3 GS s−1, outperforming existing hardware by up to 96.98 times and reduce memory cost.</w:t>
      </w:r>
    </w:p>
    <w:p>
      <w:pPr>
        <w:spacing w:before="120" w:after="120"/>
      </w:pPr>
      <w:r>
        <w:rPr>
          <w:sz w:val="18"/>
        </w:rPr>
        <w:t>——————————————————————————————————————————————————————————————————————</w:t>
      </w:r>
    </w:p>
    <w:p>
      <w:pPr>
        <w:spacing w:before="160" w:after="40" w:line="240" w:lineRule="auto"/>
      </w:pPr>
      <w:r>
        <w:rPr>
          <w:b/>
        </w:rPr>
        <w:t xml:space="preserve">[489] </w:t>
      </w:r>
      <w:hyperlink r:id="rId779">
        <w:r>
          <w:rPr>
            <w:color w:val="1155CC"/>
            <w:u w:val="single"/>
          </w:rPr>
          <w:t>全球生境热点和全球生境热点以及陆地脊椎动物的灭绝脆弱性</w:t>
        </w:r>
      </w:hyperlink>
    </w:p>
    <w:p>
      <w:pPr>
        <w:spacing w:before="0" w:after="80"/>
      </w:pPr>
      <w:r>
        <w:rPr>
          <w:i/>
          <w:sz w:val="20"/>
        </w:rPr>
        <w:t>EN: Global habitat hotspots and extinction vulnerability of terrestrial vertebrates</w:t>
      </w:r>
    </w:p>
    <w:p>
      <w:pPr>
        <w:spacing w:before="0" w:after="120"/>
      </w:pPr>
      <w:r>
        <w:rPr>
          <w:b/>
        </w:rPr>
        <w:t xml:space="preserve">Source: </w:t>
      </w:r>
      <w:r>
        <w:t>Nature Sustainability</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保护全球重要生境对于缓冲受威胁物种因人为压力而灭绝至关重要。然而,对受威胁陆地脊椎动物及其相关生境热点生境的全球分布模式认识有限,妨碍了评估生物多样性脆弱性和制定有针对性的保护战略的努力。 在这项研究中,我们把国际自然保护联盟受威胁物种红名单中的空间数据与深层次学习方法结合起来,以评价4,851种受威胁物种的生境分布,并建立一个全球独特互动网络。这些生境热点仅覆盖了陆地表面的4%,但覆盖了所有被分析物种的67.9%。</w:t>
      </w:r>
    </w:p>
    <w:p>
      <w:pPr>
        <w:spacing w:before="0" w:after="200" w:lineRule="auto" w:line="276"/>
      </w:pPr>
      <w:r>
        <w:rPr>
          <w:b/>
        </w:rPr>
        <w:t xml:space="preserve">Abstract (EN): </w:t>
      </w:r>
      <w:r>
        <w:t>Protecting critical habitats globally is essential to buffer threatened species from extinction due to anthropogenic stressors. However, a limited understanding of the global distribution patterns of habitats for threatened terrestrial vertebrates and their associated habitat hotspots hinders efforts aimed at assessing biodiversity vulnerability and developing targeted conservation strategies. In this study, we integrated spatial data from the International Union for Conservation of Nature’s Red List of Threatened Species with a deep learning approach to evaluate the habitat distribution for 4,851 threatened species and construct a global niche interaction network. These habitat hotspots cover only 4% of the terrestrial surface but encompass 67.9% of all analysed species. While vast unoccupied habitats exist, 76.8% of them remain geographically isolated by continental or oceanic barriers and are significantly affected by human pressures. Species at higher risk of extinction often have a larger proportion of unoccupied habitats, but geographic isolation limits these ecological opportunities. We identified regions where unoccupied habitats are concentrated and have long-term persistence potential. Furthermore, the continued loss of native habitats for species inhabiting islands or continental margins due to human pressures may accelerate the widespread homogenization of global niches, underscoring the rarity and irreplaceability of these fragile habitats. Our global assessment provides useful perspectives on sustainable conservation planning.</w:t>
      </w:r>
    </w:p>
    <w:p>
      <w:pPr>
        <w:spacing w:before="120" w:after="120"/>
      </w:pPr>
      <w:r>
        <w:rPr>
          <w:sz w:val="18"/>
        </w:rPr>
        <w:t>——————————————————————————————————————————————————————————————————————</w:t>
      </w:r>
    </w:p>
    <w:p>
      <w:pPr>
        <w:spacing w:before="160" w:after="40" w:line="240" w:lineRule="auto"/>
      </w:pPr>
      <w:r>
        <w:rPr>
          <w:b/>
        </w:rPr>
        <w:t xml:space="preserve">[490] </w:t>
      </w:r>
      <w:hyperlink r:id="rId780">
        <w:r>
          <w:rPr>
            <w:color w:val="1155CC"/>
            <w:u w:val="single"/>
          </w:rPr>
          <w:t>成为一名变性科学家, 使我成为有史以来最好的老师。</w:t>
        </w:r>
      </w:hyperlink>
    </w:p>
    <w:p>
      <w:pPr>
        <w:spacing w:before="0" w:after="80"/>
      </w:pPr>
      <w:r>
        <w:rPr>
          <w:i/>
          <w:sz w:val="20"/>
        </w:rPr>
        <w:t>EN: ‘Coming out as a transgender scientist made me the best teacher I’ve ever been’</w:t>
      </w:r>
    </w:p>
    <w:p>
      <w:pPr>
        <w:spacing w:before="0" w:after="120"/>
      </w:pPr>
      <w:r>
        <w:rPr>
          <w:b/>
        </w:rPr>
        <w:t xml:space="preserve">Source: </w:t>
      </w:r>
      <w:r>
        <w:t>Nature</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[491] </w:t>
      </w:r>
      <w:hyperlink r:id="rId781">
        <w:r>
          <w:rPr>
            <w:color w:val="1155CC"/>
            <w:u w:val="single"/>
          </w:rPr>
          <w:t>肿瘤微环境研究中的核糖酸纳米技术:从照明到干预强化免疫疗法</w:t>
        </w:r>
      </w:hyperlink>
    </w:p>
    <w:p>
      <w:pPr>
        <w:spacing w:before="0" w:after="80"/>
      </w:pPr>
      <w:r>
        <w:rPr>
          <w:i/>
          <w:sz w:val="20"/>
        </w:rPr>
        <w:t>EN: Nucleic acid nanotechnology in tumor microenvironment research: from illumination to intervention for enhanced immunotherapy</w:t>
      </w:r>
    </w:p>
    <w:p>
      <w:pPr>
        <w:spacing w:before="0" w:after="120"/>
      </w:pPr>
      <w:r>
        <w:rPr>
          <w:b/>
        </w:rPr>
        <w:t xml:space="preserve">Source: </w:t>
      </w:r>
      <w:r>
        <w:t>RSC - Chem. Soc. Rev. latest articles</w:t>
      </w:r>
      <w:r>
        <w:t xml:space="preserve">    </w:t>
      </w:r>
      <w:r>
        <w:rPr>
          <w:b/>
        </w:rPr>
        <w:t xml:space="preserve">Pub date: </w:t>
      </w:r>
      <w:r>
        <w:t>2026-01-09 00:00:00+00:00</w:t>
      </w:r>
    </w:p>
    <w:p>
      <w:pPr>
        <w:spacing w:before="0" w:after="120"/>
      </w:pPr>
      <w:r>
        <w:rPr>
          <w:b/>
        </w:rPr>
        <w:t xml:space="preserve">Notes: </w:t>
      </w:r>
      <w:r>
        <w:t>abstract_source=rsc_html</w:t>
      </w:r>
    </w:p>
    <w:p>
      <w:pPr>
        <w:spacing w:before="0" w:after="80" w:lineRule="auto" w:line="276"/>
      </w:pPr>
      <w:r>
        <w:rPr>
          <w:b/>
        </w:rPr>
        <w:t xml:space="preserve">摘要（ZH）: </w:t>
      </w:r>
      <w:r>
        <w:t>由于包括特殊可编程性和生物兼容性在内的一些独特特性,核酸纳米技术已成为肿瘤研究的一个变革工具,这些技术的合成和化学改造简便,其作为核酸和非核酸目标的探测器的多功能性,及其与信号放大战略的兼容性,使核酸纳米结构成为生物遥感应用的理想条件。迄今为止,核酸纳米技术成功地用于在多种生物尺度精确探测和监测肿瘤生物标记。此外,感官和可调制核酸纳米结构的工程工程促进了单细胞一级在发光和重新规划肿瘤微生物环境方面的突破。</w:t>
      </w:r>
    </w:p>
    <w:p>
      <w:pPr>
        <w:spacing w:before="0" w:after="200" w:lineRule="auto" w:line="276"/>
      </w:pPr>
      <w:r>
        <w:rPr>
          <w:b/>
        </w:rPr>
        <w:t xml:space="preserve">Abstract (EN): </w:t>
      </w:r>
      <w:r>
        <w:t>Nucleic acid nanotechnology has emerged as a transformative tool in tumor research due to several unique properties including exceptional programmability and biocompatibility. The simplicity of their synthesis and chemical modification, their versatility as probes for both nucleic acid and non-nucleic acid targets, and their compatibility with signal amplification strategies make nucleic acid nanostructures ideal for biosensing applications. To date, nucleic acid nanotechnology has been successfully used in the precise detection and monitoring of tumor biomarkers at multiple biological scales. Furthermore, the engineering of sensory and modulable nucleic acid nanostructures has facilitated breakthroughs at the single-cell level in illuminating and reprogramming the tumor microenvironment (TME), thereby advancing tumor diagnostics and therapeutic decision-making. Framework nucleic acids (FNAs) have also shown promise in immunomodulation, offering novel strategies for fine-tuning immune responses in cancer immunotherapy. This review highlights the role of nucleic acid nanotechnology in non-invasive imaging and biomarker profiling of the TME, with a focus on innovative approaches that enhance detection sensitivity and real-time monitoring. Furthermore, the advantages and potential applications of nucleic acid nanotechnology in cancer immunotherapy are discussed. Through a detailed exploration of these advances, this review aims to provide insights into the pivotal role of nucleic acid nanotechnology in deciphering and modulating the TME for enhanced therapeutic outcomes in oncology.</w:t>
      </w:r>
    </w:p>
    <w:p>
      <w:pPr>
        <w:spacing w:before="120" w:after="120"/>
      </w:pPr>
      <w:r>
        <w:rPr>
          <w:sz w:val="18"/>
        </w:rPr>
        <w:t>——————————————————————————————————————————————————————————————————————</w:t>
      </w:r>
    </w:p>
    <w:p>
      <w:pPr>
        <w:spacing w:before="160" w:after="40" w:line="240" w:lineRule="auto"/>
      </w:pPr>
      <w:r>
        <w:rPr>
          <w:b/>
        </w:rPr>
        <w:t xml:space="preserve">[492] </w:t>
      </w:r>
      <w:hyperlink r:id="rId782">
        <w:r>
          <w:rPr>
            <w:color w:val="1155CC"/>
            <w:u w:val="single"/>
          </w:rPr>
          <w:t>及时对视网膜-抗生素结合疗法,以治疗骨折性肺炎和血管移植感染</w:t>
        </w:r>
      </w:hyperlink>
    </w:p>
    <w:p>
      <w:pPr>
        <w:spacing w:before="0" w:after="80"/>
      </w:pPr>
      <w:r>
        <w:rPr>
          <w:i/>
          <w:sz w:val="20"/>
        </w:rPr>
        <w:t>EN: Timely bespoke phage-antibiotic combination to treat refractory Pseudomonas aeruginosa mediastinitis and vascular graft infection</w:t>
      </w:r>
    </w:p>
    <w:p>
      <w:pPr>
        <w:spacing w:before="0" w:after="120"/>
      </w:pPr>
      <w:r>
        <w:rPr>
          <w:b/>
        </w:rPr>
        <w:t xml:space="preserve">Source: </w:t>
      </w:r>
      <w:r>
        <w:t>Nature Communications</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由于常住在保留移植物中的持久性抗抗生抗药性抗药性细菌,与生物胶片有关的血管移植感染(VGIs)构成重大治疗挑战,因为常住在保留移植物中的抗生抗菌菌细菌具有持久性和抗生素抗药性。如18F-FDG PET/CT追踪器在移植物周围摄入量减少所显示的那样,药物治疗是一种有希望的替代治疗战略,尽管其使用仍然主要是临时性的,通常被认为是最后的干预措施。我们在此报告使用系统、协同、有计划、协同的phage-抗生素结合方法,对耐腐蚀性血管移植物感染(VGIGs)的治疗。</w:t>
      </w:r>
    </w:p>
    <w:p>
      <w:pPr>
        <w:spacing w:before="0" w:after="200" w:lineRule="auto" w:line="276"/>
      </w:pPr>
      <w:r>
        <w:rPr>
          <w:b/>
        </w:rPr>
        <w:t xml:space="preserve">Abstract (EN): </w:t>
      </w:r>
      <w:r>
        <w:t>Biofilm-related vascular graft infections (VGIs) pose major therapeutic challenges due to persistent, antibiotic-resistant bacteria often residing in retained grafts. Phage therapy offers a promising alternative treatment strategy against biofilm-associated infections, though its use remains mostly ad hoc and typically considered a last-resort intervention. We report here the treatment of a refractory, fluoroquinolone non-susceptible Pseudomonas aeruginosa VGI using a systematically planned and synergistic phage-antibiotic combination approach. Adjunctive phage therapy led to radiological improvement, as seen by reduced 18F-FDG PET/CT tracer uptake around the graft. The patient was transitioned to oral fluoroquinolone suppression therapy with no recurrence of bacteremia to-date, after a year. Our workflow led to the selection of phages that sensitized Pseudomonas aeruginosa to killing by levofloxacin and piperacillin-tazobactam. We established that this phage-driven antibiotic sensitization was due to the ability of our phages to use the MexAB-OprM efflux pump as a receptor. We also showed that our phages had potent anti-biofilm activity. We advocate a systematic, multi-pronged management strategy for refractory VGIs, including early therapeutic drug monitoring (TDM), in vitro antibiotic combination testing (iACT), and timely adjunctive phage therapy. This case illustrates the utility of individualized, strategic approaches and highlights adjunctive phage therapy’s potential in treating complex biofilm-related infections.</w:t>
      </w:r>
    </w:p>
    <w:p>
      <w:pPr>
        <w:spacing w:before="120" w:after="120"/>
      </w:pPr>
      <w:r>
        <w:rPr>
          <w:sz w:val="18"/>
        </w:rPr>
        <w:t>——————————————————————————————————————————————————————————————————————</w:t>
      </w:r>
    </w:p>
    <w:p>
      <w:pPr>
        <w:spacing w:before="160" w:after="40" w:line="240" w:lineRule="auto"/>
      </w:pPr>
      <w:r>
        <w:rPr>
          <w:b/>
        </w:rPr>
        <w:t xml:space="preserve">[493] </w:t>
      </w:r>
      <w:hyperlink r:id="rId783">
        <w:r>
          <w:rPr>
            <w:color w:val="1155CC"/>
            <w:u w:val="single"/>
          </w:rPr>
          <w:t>美国航天局不会把火星样品带回地球:这就是将失去的科学</w:t>
        </w:r>
      </w:hyperlink>
    </w:p>
    <w:p>
      <w:pPr>
        <w:spacing w:before="0" w:after="80"/>
      </w:pPr>
      <w:r>
        <w:rPr>
          <w:i/>
          <w:sz w:val="20"/>
        </w:rPr>
        <w:t>EN: NASA won’t bring Mars samples back to Earth: this is the science that will be lost</w:t>
      </w:r>
    </w:p>
    <w:p>
      <w:pPr>
        <w:spacing w:before="0" w:after="120"/>
      </w:pPr>
      <w:r>
        <w:rPr>
          <w:b/>
        </w:rPr>
        <w:t xml:space="preserve">Source: </w:t>
      </w:r>
      <w:r>
        <w:t>Nature</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[494] </w:t>
      </w:r>
      <w:hyperlink r:id="rId784">
        <w:r>
          <w:rPr>
            <w:color w:val="1155CC"/>
            <w:u w:val="single"/>
          </w:rPr>
          <w:t>有了新颖有机层间有机层的光层</w:t>
        </w:r>
      </w:hyperlink>
    </w:p>
    <w:p>
      <w:pPr>
        <w:spacing w:before="0" w:after="80"/>
      </w:pPr>
      <w:r>
        <w:rPr>
          <w:i/>
          <w:sz w:val="20"/>
        </w:rPr>
        <w:t>EN: Much improved thin-film photodiodes with novel organic interlayer</w:t>
      </w:r>
    </w:p>
    <w:p>
      <w:pPr>
        <w:spacing w:before="0" w:after="120"/>
      </w:pPr>
      <w:r>
        <w:rPr>
          <w:b/>
        </w:rPr>
        <w:t xml:space="preserve">Source: </w:t>
      </w:r>
      <w:r>
        <w:t>National Science Review Advance Access</w:t>
      </w:r>
      <w:r>
        <w:t xml:space="preserve">    </w:t>
      </w:r>
      <w:r>
        <w:rPr>
          <w:b/>
        </w:rPr>
        <w:t xml:space="preserve">Pub date: </w:t>
      </w:r>
      <w:r>
        <w:t>2026-01-09 00:00:00+00:00</w:t>
      </w:r>
      <w:r>
        <w:t xml:space="preserve">    </w:t>
      </w:r>
      <w:r>
        <w:rPr>
          <w:b/>
        </w:rPr>
        <w:t xml:space="preserve">DOI: </w:t>
      </w:r>
      <w:hyperlink r:id="rId785">
        <w:r>
          <w:rPr>
            <w:color w:val="1155CC"/>
            <w:u w:val="single"/>
          </w:rPr>
          <w:t>10.1093/nsr/nwag013/8418254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[495] </w:t>
      </w:r>
      <w:hyperlink r:id="rId786">
        <w:r>
          <w:rPr>
            <w:color w:val="1155CC"/>
            <w:u w:val="single"/>
          </w:rPr>
          <w:t>保护、加强和扩大对自然和人民的河流保护</w:t>
        </w:r>
      </w:hyperlink>
    </w:p>
    <w:p>
      <w:pPr>
        <w:spacing w:before="0" w:after="80"/>
      </w:pPr>
      <w:r>
        <w:rPr>
          <w:i/>
          <w:sz w:val="20"/>
        </w:rPr>
        <w:t>EN: Safeguarding, strengthening and expanding river protections for nature and people</w:t>
      </w:r>
    </w:p>
    <w:p>
      <w:pPr>
        <w:spacing w:before="0" w:after="120"/>
      </w:pPr>
      <w:r>
        <w:rPr>
          <w:b/>
        </w:rPr>
        <w:t xml:space="preserve">Source: </w:t>
      </w:r>
      <w:r>
        <w:t>Nature Sustainability</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[496] </w:t>
      </w:r>
      <w:hyperlink r:id="rId787">
        <w:r>
          <w:rPr>
            <w:color w:val="1155CC"/>
            <w:u w:val="single"/>
          </w:rPr>
          <w:t>太阳系的动荡时期</w:t>
        </w:r>
      </w:hyperlink>
    </w:p>
    <w:p>
      <w:pPr>
        <w:spacing w:before="0" w:after="80"/>
      </w:pPr>
      <w:r>
        <w:rPr>
          <w:i/>
          <w:sz w:val="20"/>
        </w:rPr>
        <w:t>EN: Disappearing ‘planet’ reveals a solar system’s turbulent times</w:t>
      </w:r>
    </w:p>
    <w:p>
      <w:pPr>
        <w:spacing w:before="0" w:after="120"/>
      </w:pPr>
      <w:r>
        <w:rPr>
          <w:b/>
        </w:rPr>
        <w:t xml:space="preserve">Source: </w:t>
      </w:r>
      <w:r>
        <w:t>Nature</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[497] </w:t>
      </w:r>
      <w:hyperlink r:id="rId788">
        <w:r>
          <w:rPr>
            <w:color w:val="1155CC"/>
            <w:u w:val="single"/>
          </w:rPr>
          <w:t>脑电路也许可以解释原因, 并且可以被关掉。</w:t>
        </w:r>
      </w:hyperlink>
    </w:p>
    <w:p>
      <w:pPr>
        <w:spacing w:before="0" w:after="80"/>
      </w:pPr>
      <w:r>
        <w:rPr>
          <w:i/>
          <w:sz w:val="20"/>
        </w:rPr>
        <w:t>EN: Can’t get motivated? This brain circuit might explain why — and it can be turned off</w:t>
      </w:r>
    </w:p>
    <w:p>
      <w:pPr>
        <w:spacing w:before="0" w:after="120"/>
      </w:pPr>
      <w:r>
        <w:rPr>
          <w:b/>
        </w:rPr>
        <w:t xml:space="preserve">Source: </w:t>
      </w:r>
      <w:r>
        <w:t>Nature</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[498] </w:t>
      </w:r>
      <w:hyperlink r:id="rId789">
        <w:r>
          <w:rPr>
            <w:color w:val="1155CC"/>
            <w:u w:val="single"/>
          </w:rPr>
          <w:t>Hepatokine Fibringenc 类似蛋白质1 驱动肝-孩子交叉交谈,促进肾纤维化</w:t>
        </w:r>
      </w:hyperlink>
    </w:p>
    <w:p>
      <w:pPr>
        <w:spacing w:before="0" w:after="80"/>
      </w:pPr>
      <w:r>
        <w:rPr>
          <w:i/>
          <w:sz w:val="20"/>
        </w:rPr>
        <w:t>EN: Hepatokine fibrinogen-like protein 1 drives liver-kidney crosstalk to promote renal fibrosis</w:t>
      </w:r>
    </w:p>
    <w:p>
      <w:pPr>
        <w:spacing w:before="0" w:after="120"/>
      </w:pPr>
      <w:r>
        <w:rPr>
          <w:b/>
        </w:rPr>
        <w:t xml:space="preserve">Source: </w:t>
      </w:r>
      <w:r>
        <w:t>Nature Communications</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系统性疾病中的器官-器官交流概念已获得显著的牵引力。尽管积累了肝-婴儿交叉交谈的证据,但基本监管机制仍然不甚为人理解。在这里,我们确定肝虫基子类纤维素蛋白质1(FGL1)是推动肾纤维化中肝-器官交流的关键调解人。综合RNA测序和临床分析显示FGL1对肝后肾损伤的调控,随后有选择性地积累了纤维性肾脏。针对肝细胞细胞对FGL1的淘汰改善了肾型态学,强化了凝固凝固的凝固岩沉积,以及单体尿阻塞和腺诱发鼠模型中的抑制纤维化标记。相反,FGL1过度表态加剧了肾纤维化。机械学,FGL1 b b 机械学,FGL1 b 机械学,FGL1 机械学。</w:t>
      </w:r>
    </w:p>
    <w:p>
      <w:pPr>
        <w:spacing w:before="0" w:after="200" w:lineRule="auto" w:line="276"/>
      </w:pPr>
      <w:r>
        <w:rPr>
          <w:b/>
        </w:rPr>
        <w:t xml:space="preserve">Abstract (EN): </w:t>
      </w:r>
      <w:r>
        <w:t>The concept of organ-organ communication in systemic diseases has gained significant traction. Despite accumulating evidence of liver-kidney crosstalk, the underlying regulatory mechanisms remain poorly understood. Here, we identify hepatokine fibrinogen-like protein 1 (FGL1) as a pivotal mediator driving liver-kidney communication in renal fibrosis. Integrative RNA sequencing and clinical analyses revealed FGL1 upregulation in the liver post-renal injury, with subsequent selective accumulation in fibrotic kidneys. Hepatocyte-specific knockout of FGL1 improved renal morphology, attenuated collagen deposition, and inhibited fibrosis markers in unilateral ureteral obstruction and adenine-induced mouse models. Conversely, FGL1 overexpression exacerbated renal fibrosis. Mechanistically, FGL1 binds to TGF-β receptor ALK5 and blocks its interaction with K48-linked polyubiquitin. Structural analyses identified critical residues in FGL1-ALK5 interaction. Hepatic FGL1 is transcriptionally regulated by STAT3, and activated by inflammatory cytokines (IL-6, IL-1β and TNF-α). Pharmacological inhibition by p-hydroxybenzaldehyde (screened out from 4080 compounds) or an anti-FGL1 monoclonal antibody significantly reduced renal fibrosis without hepatotoxicity. These findings establish FGL1 as a key mediator of pathogenic liver-kidney crosstalk and highlights therapeutic strategies to targeting organ-organ networks in renal fibrosis.</w:t>
      </w:r>
    </w:p>
    <w:p>
      <w:pPr>
        <w:spacing w:before="120" w:after="120"/>
      </w:pPr>
      <w:r>
        <w:rPr>
          <w:sz w:val="18"/>
        </w:rPr>
        <w:t>——————————————————————————————————————————————————————————————————————</w:t>
      </w:r>
    </w:p>
    <w:p>
      <w:pPr>
        <w:spacing w:before="160" w:after="40" w:line="240" w:lineRule="auto"/>
      </w:pPr>
      <w:r>
        <w:rPr>
          <w:b/>
        </w:rPr>
        <w:t xml:space="preserve">[499] </w:t>
      </w:r>
      <w:hyperlink r:id="rId790">
        <w:r>
          <w:rPr>
            <w:color w:val="1155CC"/>
            <w:u w:val="single"/>
          </w:rPr>
          <w:t>高通量开发弹性无定型材料,通过自动针线和热电成像显示大型异常神经效应</w:t>
        </w:r>
      </w:hyperlink>
    </w:p>
    <w:p>
      <w:pPr>
        <w:spacing w:before="0" w:after="80"/>
      </w:pPr>
      <w:r>
        <w:rPr>
          <w:i/>
          <w:sz w:val="20"/>
        </w:rPr>
        <w:t>EN: High-throughput development of flexible amorphous materials showing large anomalous Nernst effect via automatic annealing and thermoelectric imaging</w:t>
      </w:r>
    </w:p>
    <w:p>
      <w:pPr>
        <w:spacing w:before="0" w:after="120"/>
      </w:pPr>
      <w:r>
        <w:rPr>
          <w:b/>
        </w:rPr>
        <w:t xml:space="preserve">Source: </w:t>
      </w:r>
      <w:r>
        <w:t>ScienceDirect Publication: Materials Today</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[500] </w:t>
      </w:r>
      <w:hyperlink r:id="rId791">
        <w:r>
          <w:rPr>
            <w:color w:val="1155CC"/>
            <w:u w:val="single"/>
          </w:rPr>
          <w:t>谷物边界工程使(002)在超高当前密度下具有较高可逆性且具有超高当前密度的湿润锌金属阳极</w:t>
        </w:r>
      </w:hyperlink>
    </w:p>
    <w:p>
      <w:pPr>
        <w:spacing w:before="0" w:after="80"/>
      </w:pPr>
      <w:r>
        <w:rPr>
          <w:i/>
          <w:sz w:val="20"/>
        </w:rPr>
        <w:t>EN: Grain boundary engineering enables (002)-textured zinc metal anodes with superior reversibility under ultra-high current density</w:t>
      </w:r>
    </w:p>
    <w:p>
      <w:pPr>
        <w:spacing w:before="0" w:after="120"/>
      </w:pPr>
      <w:r>
        <w:rPr>
          <w:b/>
        </w:rPr>
        <w:t xml:space="preserve">Source: </w:t>
      </w:r>
      <w:r>
        <w:t>RSC - Energy Environ. Sci. latest articles</w:t>
      </w:r>
      <w:r>
        <w:t xml:space="preserve">    </w:t>
      </w:r>
      <w:r>
        <w:rPr>
          <w:b/>
        </w:rPr>
        <w:t xml:space="preserve">Pub date: </w:t>
      </w:r>
      <w:r>
        <w:t>2026-01-09 00:00:00+00:00</w:t>
      </w:r>
    </w:p>
    <w:p>
      <w:pPr>
        <w:spacing w:before="0" w:after="120"/>
      </w:pPr>
      <w:r>
        <w:rPr>
          <w:b/>
        </w:rPr>
        <w:t xml:space="preserve">Notes: </w:t>
      </w:r>
      <w:r>
        <w:t>abstract_source=rsc_html</w:t>
      </w:r>
    </w:p>
    <w:p>
      <w:pPr>
        <w:spacing w:before="0" w:after="80" w:lineRule="auto" w:line="276"/>
      </w:pPr>
      <w:r>
        <w:rPr>
          <w:b/>
        </w:rPr>
        <w:t xml:space="preserve">摘要（ZH）: </w:t>
      </w:r>
      <w:r>
        <w:t>水氧化锌离子电池(AZIBs)由于其固有的安全和可靠性,对可再生能源储存很有希望,然而,锌阳极受到寄生虫反应的困扰,特别是在高时密度条件下,这阻碍了它们的进一步发展。 虽然(002)湿锌阳极一般能够促进可逆性和稳定性,但其间带的高度回动会加剧寄生虫的反应。因此,解决部门间问题对于提高(002)透化锌阳极的电化学性能至关重要。因此,建议采用热处理战略,在推动Bi公司填补粮食边界的同时,诱导一个单一(002)透化的阶段,从而有效抑制气相腐蚀。</w:t>
      </w:r>
    </w:p>
    <w:p>
      <w:pPr>
        <w:spacing w:before="0" w:after="200" w:lineRule="auto" w:line="276"/>
      </w:pPr>
      <w:r>
        <w:rPr>
          <w:b/>
        </w:rPr>
        <w:t xml:space="preserve">Abstract (EN): </w:t>
      </w:r>
      <w:r>
        <w:t>Aqueous zinc ion batteries (AZIBs) are promising for renewable energy storage due to their inherent safety and reliability. However, zinc anodes are plagued by parasitic reactions, particularly under high-current-density conditions, which impede their further development.Although a (002)-textured zinc anode generally enables promoted reversibility and stability, the high reactivity of its intergranular regions exacerbates parasitic reactions. Therefore, addressing intergranular issues is crucial for boosting the electrochemical performance of (002)-textured zinc anodes. Herein, a heat treatment strategy is proposed to induce a single (002)-textured phase while driving Bi to fill grain boundaries, thereby effectively suppressing intergranular corrosion.Benefiting from the synergistic effects of the highly stable (002) crystal facet and the grain boundary pinning induced by Bi, the resulting Zn(002)/Bi anode demonstrates exceptional cycling stability, achieving an ultra-long lifespan of 4800 h (~ 96,000 cycles) under a ultra-high current density of 40 mA cm -2 with a cumulative capacity of 96 Ah cm -2 . This work not only provides fundamental insights into the interfacial protection of zinc anodes but also paves the way for their practical application under high-current-density conditions.</w:t>
      </w:r>
    </w:p>
    <w:p>
      <w:pPr>
        <w:spacing w:before="120" w:after="120"/>
      </w:pPr>
      <w:r>
        <w:rPr>
          <w:sz w:val="18"/>
        </w:rPr>
        <w:t>——————————————————————————————————————————————————————————————————————</w:t>
      </w:r>
    </w:p>
    <w:p>
      <w:pPr>
        <w:spacing w:before="160" w:after="40" w:line="240" w:lineRule="auto"/>
      </w:pPr>
      <w:r>
        <w:rPr>
          <w:b/>
        </w:rPr>
        <w:t xml:space="preserve">[501] </w:t>
      </w:r>
      <w:hyperlink r:id="rId792">
        <w:r>
          <w:rPr>
            <w:color w:val="1155CC"/>
            <w:u w:val="single"/>
          </w:rPr>
          <w:t>用于超耐用锌-碘电池的引信-环星表层管弦管弦结晶控制与聚碘化物固存</w:t>
        </w:r>
      </w:hyperlink>
    </w:p>
    <w:p>
      <w:pPr>
        <w:spacing w:before="0" w:after="80"/>
      </w:pPr>
      <w:r>
        <w:rPr>
          <w:i/>
          <w:sz w:val="20"/>
        </w:rPr>
        <w:t>EN: Fused-ring topology orchestrates crystallographic control and polyiodide sequestration for ultra-durable zinc-iodine batteries</w:t>
      </w:r>
    </w:p>
    <w:p>
      <w:pPr>
        <w:spacing w:before="0" w:after="120"/>
      </w:pPr>
      <w:r>
        <w:rPr>
          <w:b/>
        </w:rPr>
        <w:t xml:space="preserve">Source: </w:t>
      </w:r>
      <w:r>
        <w:t>RSC - Energy Environ. Sci. latest articles</w:t>
      </w:r>
      <w:r>
        <w:t xml:space="preserve">    </w:t>
      </w:r>
      <w:r>
        <w:rPr>
          <w:b/>
        </w:rPr>
        <w:t xml:space="preserve">Pub date: </w:t>
      </w:r>
      <w:r>
        <w:t>2026-01-09 00:00:00+00:00</w:t>
      </w:r>
    </w:p>
    <w:p>
      <w:pPr>
        <w:spacing w:before="0" w:after="120"/>
      </w:pPr>
      <w:r>
        <w:rPr>
          <w:b/>
        </w:rPr>
        <w:t xml:space="preserve">Notes: </w:t>
      </w:r>
      <w:r>
        <w:t>abstract_source=rsc_html</w:t>
      </w:r>
    </w:p>
    <w:p>
      <w:pPr>
        <w:spacing w:before="0" w:after="80" w:lineRule="auto" w:line="276"/>
      </w:pPr>
      <w:r>
        <w:rPr>
          <w:b/>
        </w:rPr>
        <w:t xml:space="preserve">摘要（ZH）: </w:t>
      </w:r>
      <w:r>
        <w:t>水态锌-碘电池是可持续的能源储存的一条迫切路线,但受到无节制的登地生长和寄生虫多硫化物穿梭效应的阻碍。在这里,我们通过引入双功能电解电解调节器(imidazo[1-2b]pyridazine (IP))来克服这些挑战,其特点是以氮富集的熔化环状芳香地形学为特征,对阳极和阴极界面进行协同调控。在阳极,IP部分将Zn2+溶液层和自组装的水分子分离成一个由强烈的堆叠互动驱动的密集、动态吸附相。这种相互调整使离子通量和直接的锌沉积在动能上优先得到偏好(100架晶体平面,产生效果iv)。</w:t>
      </w:r>
    </w:p>
    <w:p>
      <w:pPr>
        <w:spacing w:before="0" w:after="200" w:lineRule="auto" w:line="276"/>
      </w:pPr>
      <w:r>
        <w:rPr>
          <w:b/>
        </w:rPr>
        <w:t xml:space="preserve">Abstract (EN): </w:t>
      </w:r>
      <w:r>
        <w:t>Aqueous zinc-iodine batteries present a compelling route for sustainable energy storage yet remain hindered by uncontrolled dendritic growth and the parasitic polyiodide shuttle effect. Here, we surmount these challenges by introducing a bifunctional electrolyte modulator, imidazo[1,2-b]pyridazine (IP), characterized by a nitrogen-rich fused-ring aromatic topology, to orchestrate synergistic regulation of both anode and cathode interfaces. At the anode, IP partially displaces water molecules from the Zn2+ solvation sheath and self-assembles into a dense, dynamic adsorption interphase driven by strong π-π stacking interactions. This interfacial restructuring homogenizes ion flux and directs zinc deposition preferentially along the kinetically favorable (100) crystallographic plane, effectively inhibiting dendrite formation. Concurrently at the cathode, the electron-rich nitrogen centers of IP function as Lewis base sites to chemically immobilize soluble polyiodide species. This confinement mechanism mitigates the shuttle effect without compromising intrinsic redox kinetics. Translating this synergistic modulation into electrochemical performance, symmetric cells achieve an ultralong lifespan exceeding 8500 hours at a current density of 1 mA cm-2. Moreover, full Zn||I2 batteries demonstrate robust cyclability, retaining 89.36% of their initial capacity after 2000 cycles. Collectively, this work establishes a dual-site functional coordination strategy that opens a viable avenue for developing highly durable aqueous energy storage systems.</w:t>
      </w:r>
    </w:p>
    <w:p>
      <w:pPr>
        <w:spacing w:before="120" w:after="120"/>
      </w:pPr>
      <w:r>
        <w:rPr>
          <w:sz w:val="18"/>
        </w:rPr>
        <w:t>——————————————————————————————————————————————————————————————————————</w:t>
      </w:r>
    </w:p>
    <w:p>
      <w:pPr>
        <w:spacing w:before="160" w:after="40" w:line="240" w:lineRule="auto"/>
      </w:pPr>
      <w:r>
        <w:rPr>
          <w:b/>
        </w:rPr>
        <w:t xml:space="preserve">[502] </w:t>
      </w:r>
      <w:hyperlink r:id="rId793">
        <w:r>
          <w:rPr>
            <w:color w:val="1155CC"/>
            <w:u w:val="single"/>
          </w:rPr>
          <w:t>使用光学元数控制光力符号</w:t>
        </w:r>
      </w:hyperlink>
    </w:p>
    <w:p>
      <w:pPr>
        <w:spacing w:before="0" w:after="80"/>
      </w:pPr>
      <w:r>
        <w:rPr>
          <w:i/>
          <w:sz w:val="20"/>
        </w:rPr>
        <w:t>EN: Controlling the sign of optical forces using metaoptics</w:t>
      </w:r>
    </w:p>
    <w:p>
      <w:pPr>
        <w:spacing w:before="0" w:after="120"/>
      </w:pPr>
      <w:r>
        <w:rPr>
          <w:b/>
        </w:rPr>
        <w:t xml:space="preserve">Source: </w:t>
      </w:r>
      <w:r>
        <w:t>Nature Communications</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对使用光光的小型物体进行精密操纵,在各个领域都具有变革潜力。虽然光学捕捉和操纵的研究主要依靠固体物质对光强度峰值的吸引,但这里我们证明,元光学可以改变这种公认的行为。具体地说,我们对在悬浮的硅纳米模子上集成的元表层上产生的光力信号进行确定控制。我们通过调整组成元原子的几何测量,设计出其多极模式的连贯叠加,并因此设计出在级控光学常态波中由元表层经历的净光学力量。我们非常同意3D数字模拟,我们实验地实现了b。</w:t>
      </w:r>
    </w:p>
    <w:p>
      <w:pPr>
        <w:spacing w:before="0" w:after="200" w:lineRule="auto" w:line="276"/>
      </w:pPr>
      <w:r>
        <w:rPr>
          <w:b/>
        </w:rPr>
        <w:t xml:space="preserve">Abstract (EN): </w:t>
      </w:r>
      <w:r>
        <w:t>Precise manipulation of small objects using light holds transformative potential across diverse fields. While research in optical trapping and manipulation predominantly relies on the attraction of solid matter to light intensity maxima, here we demonstrate that meta-optics enables a departure from this accepted behavior. Specifically, we present deterministic control over the sign of optical forces exerted on a metasurface integrated on a suspended silicon nanomembrane. By tailoring the geometry of the constituent meta-atoms, we engineer the coherent superposition of their multipolar modes, and consequently, the net optical force experienced by the metasurface within a phase-controlled optical standing wave. In excellent agreement with 3D numerical simulations, we experimentally realize both attractive and repulsive forces on distinct metasurface designs, directly mirroring the behavior of two-level systems interacting with optical fields. This work establishes a versatile platform for the optical control of nanoscale mechanical systems, opening alternative avenues for both fundamental research and engineering.</w:t>
      </w:r>
    </w:p>
    <w:p>
      <w:pPr>
        <w:spacing w:before="120" w:after="120"/>
      </w:pPr>
      <w:r>
        <w:rPr>
          <w:sz w:val="18"/>
        </w:rPr>
        <w:t>——————————————————————————————————————————————————————————————————————</w:t>
      </w:r>
    </w:p>
    <w:p>
      <w:pPr>
        <w:spacing w:before="160" w:after="40" w:line="240" w:lineRule="auto"/>
      </w:pPr>
      <w:r>
        <w:rPr>
          <w:b/>
        </w:rPr>
        <w:t xml:space="preserve">[503] </w:t>
      </w:r>
      <w:hyperlink r:id="rId794">
        <w:r>
          <w:rPr>
            <w:color w:val="1155CC"/>
            <w:u w:val="single"/>
          </w:rPr>
          <w:t>AI模式得到为期四周的治疗:结果令研究人员担心</w:t>
        </w:r>
      </w:hyperlink>
    </w:p>
    <w:p>
      <w:pPr>
        <w:spacing w:before="0" w:after="80"/>
      </w:pPr>
      <w:r>
        <w:rPr>
          <w:i/>
          <w:sz w:val="20"/>
        </w:rPr>
        <w:t>EN: AI models were given four weeks of therapy: the results worried researchers</w:t>
      </w:r>
    </w:p>
    <w:p>
      <w:pPr>
        <w:spacing w:before="0" w:after="120"/>
      </w:pPr>
      <w:r>
        <w:rPr>
          <w:b/>
        </w:rPr>
        <w:t xml:space="preserve">Source: </w:t>
      </w:r>
      <w:r>
        <w:t>Nature</w:t>
      </w:r>
      <w:r>
        <w:t xml:space="preserve">    </w:t>
      </w:r>
      <w:r>
        <w:rPr>
          <w:b/>
        </w:rPr>
        <w:t xml:space="preserve">Pub date: </w:t>
      </w:r>
      <w:r>
        <w:t>2026-01-09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[504] </w:t>
      </w:r>
      <w:hyperlink r:id="rId795">
        <w:r>
          <w:rPr>
            <w:color w:val="1155CC"/>
            <w:u w:val="single"/>
          </w:rPr>
          <w:t>美国国家河流保护评估</w:t>
        </w:r>
      </w:hyperlink>
    </w:p>
    <w:p>
      <w:pPr>
        <w:spacing w:before="0" w:after="80"/>
      </w:pPr>
      <w:r>
        <w:rPr>
          <w:i/>
          <w:sz w:val="20"/>
        </w:rPr>
        <w:t>EN: National assessment of river protection in the United States</w:t>
      </w:r>
    </w:p>
    <w:p>
      <w:pPr>
        <w:spacing w:before="0" w:after="120"/>
      </w:pPr>
      <w:r>
        <w:rPr>
          <w:b/>
        </w:rPr>
        <w:t xml:space="preserve">Source: </w:t>
      </w:r>
      <w:r>
        <w:t>Nature Sustainability</w:t>
      </w:r>
      <w:r>
        <w:t xml:space="preserve">    </w:t>
      </w:r>
      <w:r>
        <w:rPr>
          <w:b/>
        </w:rPr>
        <w:t xml:space="preserve">Pub date: </w:t>
      </w:r>
      <w:r>
        <w:t>2026-01-09 00:00:00+00:00</w:t>
      </w:r>
    </w:p>
    <w:p>
      <w:pPr>
        <w:spacing w:before="0" w:after="120"/>
      </w:pPr>
      <w:r>
        <w:rPr>
          <w:b/>
        </w:rPr>
        <w:t xml:space="preserve">Notes: </w:t>
      </w:r>
      <w:r>
        <w:t>abstract_source=nature_html</w:t>
      </w:r>
    </w:p>
    <w:p>
      <w:pPr>
        <w:spacing w:before="0" w:after="80" w:lineRule="auto" w:line="276"/>
      </w:pPr>
      <w:r>
        <w:rPr>
          <w:b/>
        </w:rPr>
        <w:t xml:space="preserve">摘要（ZH）: </w:t>
      </w:r>
      <w:r>
        <w:t>为解决淡水面临的持久和深化的危机,许多国家最近制定了大胆的淡水保护目标,然而,由于缺乏综合数据库和综合框架,无法对目前的淡水保护工作进行有力的评估,无法确定今后实现这些目标的机会的轻重缓急,因此无法对美国河流保护工作进行全面评估,将联邦、州、部落和私人主要保护机制的不同组合统一为一个多层面的指数。</w:t>
      </w:r>
    </w:p>
    <w:p>
      <w:pPr>
        <w:spacing w:before="0" w:after="200" w:lineRule="auto" w:line="276"/>
      </w:pPr>
      <w:r>
        <w:rPr>
          <w:b/>
        </w:rPr>
        <w:t xml:space="preserve">Abstract (EN): </w:t>
      </w:r>
      <w:r>
        <w:t>To address the enduring and deepening crisis facing fresh waters, many nations have recently set bold targets for freshwater protection. However, the lack of comprehensive databases and integrative frameworks hampers a robust evaluation of current freshwater protections and prioritization of future opportunities to meet these goals. This study provides a comprehensive assessment of river protection for the USA by reconciling the disparate array of major federal, state, tribal and private protection mechanisms into a single, multifaceted index. We report that just over one tenth of the river length of the contiguous USA and less than one fifth of rivers nationwide are currently protected at a level deemed viable. Lowland headwater streams and intermittent watercourses are consistently underprotected. Protection is also often spatially misaligned with other conservation objectives, where only a small fraction of watersheds with high biodiversity, habitat intactness and importance to drinking water supply are adequately (30% of river length) protected. Our assessment of river protection highlights the urgency to increase new and fortify existing protections for rivers in the years to come if we are to meet ambitious conservation targets, reverse the curve of biodiversity loss and ensure that healthy rivers benefit everyone.</w:t>
      </w:r>
    </w:p>
    <w:p>
      <w:pPr>
        <w:spacing w:before="120" w:after="120"/>
      </w:pPr>
      <w:r>
        <w:rPr>
          <w:sz w:val="18"/>
        </w:rPr>
        <w:t>——————————————————————————————————————————————————————————————————————</w:t>
      </w:r>
    </w:p>
    <w:p>
      <w:pPr>
        <w:spacing w:before="160" w:after="40" w:line="240" w:lineRule="auto"/>
      </w:pPr>
      <w:r>
        <w:rPr>
          <w:b/>
        </w:rPr>
        <w:t xml:space="preserve">[505] </w:t>
      </w:r>
      <w:hyperlink r:id="rId796">
        <w:r>
          <w:rPr>
            <w:color w:val="1155CC"/>
            <w:u w:val="single"/>
          </w:rPr>
          <w:t>用于光盘和电子信息安全的“水驱动可交换材料:电磁防护和光盘加密”</w:t>
        </w:r>
      </w:hyperlink>
    </w:p>
    <w:p>
      <w:pPr>
        <w:spacing w:before="0" w:after="80"/>
      </w:pPr>
      <w:r>
        <w:rPr>
          <w:i/>
          <w:sz w:val="20"/>
        </w:rPr>
        <w:t>EN: A Water‐Driven Switchable Material for Optical and Electronic Information Security: Electromagnetic Shielding and Optical Encryption</w:t>
      </w:r>
    </w:p>
    <w:p>
      <w:pPr>
        <w:spacing w:before="0" w:after="120"/>
      </w:pPr>
      <w:r>
        <w:rPr>
          <w:b/>
        </w:rPr>
        <w:t xml:space="preserve">Source: </w:t>
      </w:r>
      <w:r>
        <w:t>Wiley: Advanced Materials: Table of Contents</w:t>
      </w:r>
      <w:r>
        <w:t xml:space="preserve">    </w:t>
      </w:r>
      <w:r>
        <w:rPr>
          <w:b/>
        </w:rPr>
        <w:t xml:space="preserve">Pub date: </w:t>
      </w:r>
      <w:r>
        <w:t>2026-01-09 05:22:23+00:00</w:t>
      </w:r>
      <w:r>
        <w:t xml:space="preserve">    </w:t>
      </w:r>
      <w:r>
        <w:rPr>
          <w:b/>
        </w:rPr>
        <w:t xml:space="preserve">DOI: </w:t>
      </w:r>
      <w:hyperlink r:id="rId797">
        <w:r>
          <w:rPr>
            <w:color w:val="1155CC"/>
            <w:u w:val="single"/>
          </w:rPr>
          <w:t>10.1002/adma.202521481</w:t>
        </w:r>
      </w:hyperlink>
    </w:p>
    <w:p>
      <w:pPr>
        <w:spacing w:before="0" w:after="120"/>
      </w:pPr>
      <w:r>
        <w:rPr>
          <w:b/>
        </w:rPr>
        <w:t xml:space="preserve">Notes: </w:t>
      </w:r>
      <w:r>
        <w:t>abstract_source=crossref</w:t>
      </w:r>
    </w:p>
    <w:p>
      <w:pPr>
        <w:spacing w:before="0" w:after="80" w:lineRule="auto" w:line="276"/>
      </w:pPr>
      <w:r>
        <w:rPr>
          <w:b/>
        </w:rPr>
        <w:t xml:space="preserve">摘要（ZH）: </w:t>
      </w:r>
      <w:r>
        <w:t>将碳点(Cu x CDs)纳入聚丙烯酰胺/碳基甲基纤维素(PAM/CMC)网络,可以协同调控电磁和光学行为。 聚合剂量有效地调节了氢氮氮基网络和水体,促进了电荷迁移和两极分化,从而大大提高了电离和吸收效率。 优化的水文凝胶显示2-18千兆赫范围内最小反射损失为-62.67 dB,有效吸收带宽为5.94 GHz。 密度功能理论(DFT)</w:t>
      </w:r>
    </w:p>
    <w:p>
      <w:pPr>
        <w:spacing w:before="0" w:after="200" w:lineRule="auto" w:line="276"/>
      </w:pPr>
      <w:r>
        <w:rPr>
          <w:b/>
        </w:rPr>
        <w:t xml:space="preserve">Abstract (EN): </w:t>
      </w:r>
      <w:r>
        <w:t>A multifunctional hydrogel capable of both wet‐state microwave absorption and dry‐state phosphorescence is designed. Incorporating Cu‐doped carbon dots (Cu</w:t>
      </w:r>
      <w:r>
        <w:t xml:space="preserve"> </w:t>
      </w:r>
      <w:r>
        <w:t>x</w:t>
      </w:r>
      <w:r>
        <w:t xml:space="preserve"> </w:t>
      </w:r>
      <w:r>
        <w:t>‐CDs) into a polyacrylamide/carboxymethyl cellulose (PAM/CMC) network enables synergistic modulation of electromagnetic and optical behaviors. Cu doping effectively regulates the hydrogen‐bond network and water state within the hydrogel, promoting charge migration and dipolar polarization, thereby significantly enhancing dielectric loss and absorption efficiency. The optimized hydrogel exhibits a minimum reflection loss of −62.67 dB and an effective absorption bandwidth of 5.94 GHz within the 2–18 GHz range. Density functional theory (DFT) calculations reveal that Cu‐N coordination reduces the energy gap and enhances electronic delocalization, facilitating charge transfer. Upon dehydration, the polymer network reconstructs into a dense and rigid framework that suppresses nonradiative transitions, yielding stable blue and green room‐temperature phosphorescence. Such a transition from wet‐state absorption to dry‐state emission, driven by Cu doping and hydrogen‐bond engineering, provides a new paradigm for constructing stimuli‐responsive hydrogels. This work offers a versatile strategy for designing multifunctional materials with potential applications in electromagnetic protection, information encryption, and optical anti‐counterfeiting.</w:t>
      </w:r>
    </w:p>
    <w:p>
      <w:pPr>
        <w:spacing w:before="120" w:after="120"/>
      </w:pPr>
      <w:r>
        <w:rPr>
          <w:sz w:val="18"/>
        </w:rPr>
        <w:t>——————————————————————————————————————————————————————————————————————</w:t>
      </w:r>
    </w:p>
    <w:p>
      <w:pPr>
        <w:spacing w:before="160" w:after="40" w:line="240" w:lineRule="auto"/>
      </w:pPr>
      <w:r>
        <w:rPr>
          <w:b/>
        </w:rPr>
        <w:t xml:space="preserve">[506] </w:t>
      </w:r>
      <w:hyperlink r:id="rId798">
        <w:r>
          <w:rPr>
            <w:color w:val="1155CC"/>
            <w:u w:val="single"/>
          </w:rPr>
          <w:t>通过Al-Solidá State Li金属电池中的Situ Litited Sn Interlaylayer实现界面稳定:通向Pellete-Type 细胞到 Pouch-Type 细胞</w:t>
        </w:r>
      </w:hyperlink>
    </w:p>
    <w:p>
      <w:pPr>
        <w:spacing w:before="0" w:after="80"/>
      </w:pPr>
      <w:r>
        <w:rPr>
          <w:i/>
          <w:sz w:val="20"/>
        </w:rPr>
        <w:t>EN: Interface Stabilization via In Situ Lithiated Sn Interlayer in All‐Solid‐State Li‐Metal Batteries: Toward Pellet‐Type Cell to Pouch‐Type Cell</w:t>
      </w:r>
    </w:p>
    <w:p>
      <w:pPr>
        <w:spacing w:before="0" w:after="120"/>
      </w:pPr>
      <w:r>
        <w:rPr>
          <w:b/>
        </w:rPr>
        <w:t xml:space="preserve">Source: </w:t>
      </w:r>
      <w:r>
        <w:t>Wiley: Advanced Energy Materials: Table of Contents</w:t>
      </w:r>
      <w:r>
        <w:t xml:space="preserve">    </w:t>
      </w:r>
      <w:r>
        <w:rPr>
          <w:b/>
        </w:rPr>
        <w:t xml:space="preserve">Pub date: </w:t>
      </w:r>
      <w:r>
        <w:t>2026-01-09 05:28:16+00:00</w:t>
      </w:r>
      <w:r>
        <w:t xml:space="preserve">    </w:t>
      </w:r>
      <w:r>
        <w:rPr>
          <w:b/>
        </w:rPr>
        <w:t xml:space="preserve">DOI: </w:t>
      </w:r>
      <w:hyperlink r:id="rId799">
        <w:r>
          <w:rPr>
            <w:color w:val="1155CC"/>
            <w:u w:val="single"/>
          </w:rPr>
          <w:t>10.1002/aenm.202505910</w:t>
        </w:r>
      </w:hyperlink>
    </w:p>
    <w:p>
      <w:pPr>
        <w:spacing w:before="0" w:after="120"/>
      </w:pPr>
      <w:r>
        <w:rPr>
          <w:b/>
        </w:rPr>
        <w:t xml:space="preserve">Notes: </w:t>
      </w:r>
      <w:r>
        <w:t>abstract_source=crossref</w:t>
      </w:r>
    </w:p>
    <w:p>
      <w:pPr>
        <w:spacing w:before="0" w:after="80" w:lineRule="auto" w:line="276"/>
      </w:pPr>
      <w:r>
        <w:rPr>
          <w:b/>
        </w:rPr>
        <w:t xml:space="preserve">摘要（ZH）: </w:t>
      </w:r>
      <w:r>
        <w:t>ABSTALCT All-Solid-Solidone 电池(ASSBs)由于其高能量密度和内在安全性,是下一代能源储存最有前景的候选能源之一。 但是,ASSBs中锂金属阳极的实际使用仍然受到内部不稳定和丁地利增长的限制,特别是在温和的堆积压力下。 我们在这里报告一个纳米级锡(nSn)间层,它通过自发现场点光,形成高度可逆的利-Sn合金界面,提供了利金属和硫化固态电解介质之间的坚固、利硫化和电导介质界面。 由此产生的利xSn层促进了统一的利奥运输,抑制了德兰特的形成,并增强了利奥运的稳定性。</w:t>
      </w:r>
    </w:p>
    <w:p>
      <w:pPr>
        <w:spacing w:before="0" w:after="200" w:lineRule="auto" w:line="276"/>
      </w:pPr>
      <w:r>
        <w:rPr>
          <w:b/>
        </w:rPr>
        <w:t xml:space="preserve">Abstract (EN): </w:t>
      </w:r>
      <w:r>
        <w:t>All‐solid‐state batteries (ASSBs) are among the most promising candidates for next‐generation energy storage due to their high energy density and intrinsic safety. However, the practical use of lithium metal anodes in ASSBs remains limited by interfacial instability and dendritic Li growth, particularly under moderate stack pressures. Here, we report a nano‐sized tin (nSn) interlayer that forms a highly reversible Li–Sn alloy interface via spontaneous in situ lithiation, offering a robust, lithiophilic, and electronically conductive interface between the Li metal and sulfide‐based solid electrolyte. The resulting Li</w:t>
      </w:r>
      <w:r>
        <w:t xml:space="preserve"> </w:t>
      </w:r>
      <w:r>
        <w:t>x</w:t>
      </w:r>
      <w:r>
        <w:t xml:space="preserve"> </w:t>
      </w:r>
      <w:r>
        <w:t>Sn layer promotes uniform Li‐ion transport, suppresses dendrite formation, and enhances interfacial charge transfer. Symmetric cell measurements demonstrate markedly improved critical current densities and stable cycling, while full‐cell tests reveal high Coulombic efficiency, improved rate performance, and excellent capacity retention. The nSn interlayer was further scaled into a sheet‐type architecture using a warm isostatic press (WIP) process for integration into pouch‐type cells. The pouch cell exhibited high areal capacity, retaining 81% after 500 cycles, and delivered energy densities of 351 Wh kg</w:t>
      </w:r>
      <w:r>
        <w:t xml:space="preserve"> </w:t>
      </w:r>
      <w:r>
        <w:t>−1</w:t>
      </w:r>
      <w:r>
        <w:t xml:space="preserve"> </w:t>
      </w:r>
      <w:r>
        <w:t>and 918 Wh L</w:t>
      </w:r>
      <w:r>
        <w:t xml:space="preserve"> </w:t>
      </w:r>
      <w:r>
        <w:t>−1</w:t>
      </w:r>
      <w:r>
        <w:t xml:space="preserve"> </w:t>
      </w:r>
      <w:r>
        <w:t>under a low external pressure of 2 MPa. This work introduces a simple and scalable alloying‐based interfacial engineering strategy that enables high‐performance, fast‐charging ASSBs with practical viability.</w:t>
      </w:r>
    </w:p>
    <w:p>
      <w:pPr>
        <w:spacing w:before="120" w:after="120"/>
      </w:pPr>
      <w:r>
        <w:rPr>
          <w:sz w:val="18"/>
        </w:rPr>
        <w:t>——————————————————————————————————————————————————————————————————————</w:t>
      </w:r>
    </w:p>
    <w:p>
      <w:pPr>
        <w:spacing w:before="160" w:after="40" w:line="240" w:lineRule="auto"/>
      </w:pPr>
      <w:r>
        <w:rPr>
          <w:b/>
        </w:rPr>
        <w:t xml:space="preserve">[507] </w:t>
      </w:r>
      <w:hyperlink r:id="rId800">
        <w:r>
          <w:rPr>
            <w:color w:val="1155CC"/>
            <w:u w:val="single"/>
          </w:rPr>
          <w:t>向Aza和Oxo-hetrocycil 和Oxo-hetroccyclent</w:t>
        </w:r>
      </w:hyperlink>
    </w:p>
    <w:p>
      <w:pPr>
        <w:spacing w:before="0" w:after="80"/>
      </w:pPr>
      <w:r>
        <w:rPr>
          <w:i/>
          <w:sz w:val="20"/>
        </w:rPr>
        <w:t>EN: Redox‐Neutral Cu‐Catalyzed Cyclative γ‐C–H Functionalization Enroute to Aza‐ and Oxo‐heterocycles</w:t>
      </w:r>
    </w:p>
    <w:p>
      <w:pPr>
        <w:spacing w:before="0" w:after="120"/>
      </w:pPr>
      <w:r>
        <w:rPr>
          <w:b/>
        </w:rPr>
        <w:t xml:space="preserve">Source: </w:t>
      </w:r>
      <w:r>
        <w:t>Wiley: Angewandte Chemie International Edition: Table of Contents</w:t>
      </w:r>
      <w:r>
        <w:t xml:space="preserve">    </w:t>
      </w:r>
      <w:r>
        <w:rPr>
          <w:b/>
        </w:rPr>
        <w:t xml:space="preserve">Pub date: </w:t>
      </w:r>
      <w:r>
        <w:t>2026-01-09 05:28:26+00:00</w:t>
      </w:r>
      <w:r>
        <w:t xml:space="preserve">    </w:t>
      </w:r>
      <w:r>
        <w:rPr>
          <w:b/>
        </w:rPr>
        <w:t xml:space="preserve">DOI: </w:t>
      </w:r>
      <w:hyperlink r:id="rId801">
        <w:r>
          <w:rPr>
            <w:color w:val="1155CC"/>
            <w:u w:val="single"/>
          </w:rPr>
          <w:t>10.1002/anie.202521635</w:t>
        </w:r>
      </w:hyperlink>
    </w:p>
    <w:p>
      <w:pPr>
        <w:spacing w:before="0" w:after="120"/>
      </w:pPr>
      <w:r>
        <w:rPr>
          <w:b/>
        </w:rPr>
        <w:t xml:space="preserve">Notes: </w:t>
      </w:r>
      <w:r>
        <w:t>abstract_source=crossref</w:t>
      </w:r>
    </w:p>
    <w:p>
      <w:pPr>
        <w:spacing w:before="0" w:after="80" w:lineRule="auto" w:line="276"/>
      </w:pPr>
      <w:r>
        <w:rPr>
          <w:b/>
        </w:rPr>
        <w:t xml:space="preserve">摘要（ZH）: </w:t>
      </w:r>
      <w:r>
        <w:t>C(sp 3)-H 抽象C-C(Sp 3)-H(C-H)-C-H(C-H)与异氧原子的未活性C-H联系的功能化,是构建饱和的aza 和ox-hetro循环周期的一个直截了当的方法,这种循环在药物设计中继续表现出日益流行。 根据我们最近报告的使用简单的N 苯氧基胺作为激进前体的铜催化解,我们报告了一种获取多种丙基和氧化乙基循环的方法,包括循环磺胺、循环醚和不同大小的乳腺。</w:t>
      </w:r>
    </w:p>
    <w:p>
      <w:pPr>
        <w:spacing w:before="0" w:after="200" w:lineRule="auto" w:line="276"/>
      </w:pPr>
      <w:r>
        <w:rPr>
          <w:b/>
        </w:rPr>
        <w:t xml:space="preserve">Abstract (EN): </w:t>
      </w:r>
      <w:r>
        <w:t>Cyclative C(sp</w:t>
      </w:r>
      <w:r>
        <w:rPr>
          <w:vertAlign w:val="subscript"/>
        </w:rPr>
        <w:t>3</w:t>
      </w:r>
      <w:r>
        <w:t>)–H functionalization of unactivated C─H bonds with heteroatoms is a straightforward way to construct saturated aza‐ and oxo‐heterocycles, which continues to display ever‐increasing prevalence in drug design. Building upon our recently reported copper catalysis that used simple</w:t>
      </w:r>
      <w:r>
        <w:t xml:space="preserve"> </w:t>
      </w:r>
      <w:r>
        <w:t>N</w:t>
      </w:r>
      <w:r>
        <w:t xml:space="preserve"> </w:t>
      </w:r>
      <w:r>
        <w:t>‐methoxyamides as radical precursors, we report a method to access diverse aza‐ and oxo‐heterocycles, including cyclic sulfonamides, cyclic ethers, and lactones of different ring sizes. By placing a heteroatom in the</w:t>
      </w:r>
      <w:r>
        <w:t xml:space="preserve"> </w:t>
      </w:r>
      <w:r>
        <w:t>N</w:t>
      </w:r>
      <w:r>
        <w:t xml:space="preserve"> </w:t>
      </w:r>
      <w:r>
        <w:t>‐methoxyamide substrate, the carbon radical formed at the γ‐position from the intramolecular H‐abstraction by the amidyl radical could be trapped with the pendant heteroatom, leading to a redox‐neutral Cu‐catalyzed cyclative γ‐C(sp</w:t>
      </w:r>
      <w:r>
        <w:rPr>
          <w:vertAlign w:val="subscript"/>
        </w:rPr>
        <w:t>3</w:t>
      </w:r>
      <w:r>
        <w:t>)–H functionalization. The syntheses of a wide range of saturated aza‐ and oxo‐heterocycles demonstrate the versatility of this method.</w:t>
      </w:r>
    </w:p>
    <w:p>
      <w:pPr>
        <w:spacing w:before="120" w:after="120"/>
      </w:pPr>
      <w:r>
        <w:rPr>
          <w:sz w:val="18"/>
        </w:rPr>
        <w:t>——————————————————————————————————————————————————————————————————————</w:t>
      </w:r>
    </w:p>
    <w:p>
      <w:pPr>
        <w:spacing w:before="160" w:after="40" w:line="240" w:lineRule="auto"/>
      </w:pPr>
      <w:r>
        <w:rPr>
          <w:b/>
        </w:rPr>
        <w:t xml:space="preserve">[508] </w:t>
      </w:r>
      <w:hyperlink r:id="rId802">
        <w:r>
          <w:rPr>
            <w:color w:val="1155CC"/>
            <w:u w:val="single"/>
          </w:rPr>
          <w:t>操纵纳/TM 操纵的O3-NaNi1/3Fe1/3Mn1/3O2高压聚电池电解层</w:t>
        </w:r>
      </w:hyperlink>
    </w:p>
    <w:p>
      <w:pPr>
        <w:spacing w:before="0" w:after="80"/>
      </w:pPr>
      <w:r>
        <w:rPr>
          <w:i/>
          <w:sz w:val="20"/>
        </w:rPr>
        <w:t>EN: Manipulating Na/TM Ratio‐Driven Structural Heterogeneity of O3‐NaNi1/3Fe1/3Mn1/3O2 Cathode for High‐Voltage Sodium‐Ion Batteries</w:t>
      </w:r>
    </w:p>
    <w:p>
      <w:pPr>
        <w:spacing w:before="0" w:after="120"/>
      </w:pPr>
      <w:r>
        <w:rPr>
          <w:b/>
        </w:rPr>
        <w:t xml:space="preserve">Source: </w:t>
      </w:r>
      <w:r>
        <w:t>Wiley: Advanced Energy Materials: Table of Contents</w:t>
      </w:r>
      <w:r>
        <w:t xml:space="preserve">    </w:t>
      </w:r>
      <w:r>
        <w:rPr>
          <w:b/>
        </w:rPr>
        <w:t xml:space="preserve">Pub date: </w:t>
      </w:r>
      <w:r>
        <w:t>2026-01-09 05:29:02+00:00</w:t>
      </w:r>
      <w:r>
        <w:t xml:space="preserve">    </w:t>
      </w:r>
      <w:r>
        <w:rPr>
          <w:b/>
        </w:rPr>
        <w:t xml:space="preserve">DOI: </w:t>
      </w:r>
      <w:hyperlink r:id="rId803">
        <w:r>
          <w:rPr>
            <w:color w:val="1155CC"/>
            <w:u w:val="single"/>
          </w:rPr>
          <w:t>10.1002/aenm.202505343</w:t>
        </w:r>
      </w:hyperlink>
    </w:p>
    <w:p>
      <w:pPr>
        <w:spacing w:before="0" w:after="120"/>
      </w:pPr>
      <w:r>
        <w:rPr>
          <w:b/>
        </w:rPr>
        <w:t xml:space="preserve">Notes: </w:t>
      </w:r>
      <w:r>
        <w:t>abstract_source=crossref</w:t>
      </w:r>
    </w:p>
    <w:p>
      <w:pPr>
        <w:spacing w:before="0" w:after="80" w:lineRule="auto" w:line="276"/>
      </w:pPr>
      <w:r>
        <w:rPr>
          <w:b/>
        </w:rPr>
        <w:t xml:space="preserve">摘要（ZH）: </w:t>
      </w:r>
      <w:r>
        <w:t>ABSTACT ABSTACT 高压自行车下O3型的稳定性取决于合成编码 lattico 菌株和红氧化异异质如何合成。在这里,通过在固态合成过程中对 NaOH:前体比进行调整,可以系统地解决纳:TM 蒸气测量法的作用。测量条件(Na:TM=1.00)将微吸质减到最小,使O3-P3级的进化和同质多金属红氧化物与保留八面色对称法得以实现统一。相反,纳异体成分继承了引发突然多阶段过渡和促进局部电荷再分配的无序中间体和多异扭曲场。在原 XRD 捕捉到阶段过渡路径的差异,TXM 解决了粒子级红氧化物的异性,XANES则证实了XANS。</w:t>
      </w:r>
    </w:p>
    <w:p>
      <w:pPr>
        <w:spacing w:before="0" w:after="200" w:lineRule="auto" w:line="276"/>
      </w:pPr>
      <w:r>
        <w:rPr>
          <w:b/>
        </w:rPr>
        <w:t xml:space="preserve">Abstract (EN): </w:t>
      </w:r>
      <w:r>
        <w:t>The stability of O3‐type  under high‐voltage cycling is dictated by how synthesis encodes lattice strain and redox heterogeneity. Here, the role of Na:TM stoichiometry is systematically resolved by tuning the NaOH:precursor ratio during solid‐state synthesis. The stoichiometric condition (Na:TM = 1.00) yields minimized microstrain, enabling uniform O3–P3 phase evolution and homogeneous multi‐metal redox with preserved octahedral symmetry. In contrast, Na‐excess compositions inherit disordered intermediates and heterogeneous distortion fields that trigger abrupt multiphase transitions and promote localized charge redistribution. In situ XRD captures the divergence in phase‐transition pathways, TXM resolves particle‐level redox heterogeneity, and XANES corroborates a stronger and more reversible Fe redox contribution at stoichiometry, shifting to diminished Fe participation and spatially inhomogeneous redox at higher Na content. These results establish Na:TM stoichiometry as a critical synthesis parameter controlling both structural coherence and redox stability. Electrochemically, the stoichiometric composition exhibits smooth voltage profiles with minimal polarization growth and retains nearly 80% of its initial capacity after 100 cycles even at an extended 4.2 V cutoff, whereas Na‐excess compositions show significantly reduced initial coulombic efficiency and rapid voltage fade. Precise stoichiometric tuning provides a scalable route to defect‐suppressed O3 frameworks, enabling structurally resilient, high‐voltage sodium‐layered cathodes.</w:t>
      </w:r>
    </w:p>
    <w:p>
      <w:pPr>
        <w:spacing w:before="120" w:after="120"/>
      </w:pPr>
      <w:r>
        <w:rPr>
          <w:sz w:val="18"/>
        </w:rPr>
        <w:t>——————————————————————————————————————————————————————————————————————</w:t>
      </w:r>
    </w:p>
    <w:p>
      <w:pPr>
        <w:spacing w:before="160" w:after="40" w:line="240" w:lineRule="auto"/>
      </w:pPr>
      <w:r>
        <w:rPr>
          <w:b/>
        </w:rPr>
        <w:t xml:space="preserve">[509] </w:t>
      </w:r>
      <w:hyperlink r:id="rId804">
        <w:r>
          <w:rPr>
            <w:color w:val="1155CC"/>
            <w:u w:val="single"/>
          </w:rPr>
          <w:t>甲氧乙二氧基甲酸甲酸甲酸乙基乙基乙基苯丙基苯丙基乙酰氨基乙酰酯基化合物的化学酶合成和抗原性评估</w:t>
        </w:r>
      </w:hyperlink>
    </w:p>
    <w:p>
      <w:pPr>
        <w:spacing w:before="0" w:after="80"/>
      </w:pPr>
      <w:r>
        <w:rPr>
          <w:i/>
          <w:sz w:val="20"/>
        </w:rPr>
        <w:t>EN: Chemoenzymatic Synthesis and Antigenicity Evaluation of an O‐Antigen Octadecasaccharide from Helicobacter pylori</w:t>
      </w:r>
    </w:p>
    <w:p>
      <w:pPr>
        <w:spacing w:before="0" w:after="120"/>
      </w:pPr>
      <w:r>
        <w:rPr>
          <w:b/>
        </w:rPr>
        <w:t xml:space="preserve">Source: </w:t>
      </w:r>
      <w:r>
        <w:t>Wiley: Angewandte Chemie International Edition: Table of Contents</w:t>
      </w:r>
      <w:r>
        <w:t xml:space="preserve">    </w:t>
      </w:r>
      <w:r>
        <w:rPr>
          <w:b/>
        </w:rPr>
        <w:t xml:space="preserve">Pub date: </w:t>
      </w:r>
      <w:r>
        <w:t>2026-01-09 05:30:21+00:00</w:t>
      </w:r>
      <w:r>
        <w:t xml:space="preserve">    </w:t>
      </w:r>
      <w:r>
        <w:rPr>
          <w:b/>
        </w:rPr>
        <w:t xml:space="preserve">DOI: </w:t>
      </w:r>
      <w:hyperlink r:id="rId805">
        <w:r>
          <w:rPr>
            <w:color w:val="1155CC"/>
            <w:u w:val="single"/>
          </w:rPr>
          <w:t>10.1002/anie.202523768</w:t>
        </w:r>
      </w:hyperlink>
    </w:p>
    <w:p>
      <w:pPr>
        <w:spacing w:before="0" w:after="120"/>
      </w:pPr>
      <w:r>
        <w:rPr>
          <w:b/>
        </w:rPr>
        <w:t xml:space="preserve">Notes: </w:t>
      </w:r>
      <w:r>
        <w:t>abstract_source=crossref</w:t>
      </w:r>
    </w:p>
    <w:p>
      <w:pPr>
        <w:spacing w:before="0" w:after="80" w:lineRule="auto" w:line="276"/>
      </w:pPr>
      <w:r>
        <w:rPr>
          <w:b/>
        </w:rPr>
        <w:t xml:space="preserve">摘要（ZH）: </w:t>
      </w:r>
      <w:r>
        <w:t>碳水化合物基疫苗针对脂质沙焦里德(LPS)的O-antigen(LPS),是常规抗微生物疗法的有希望的替代方法。为了探索临床孤立H. pylori SS1的LPS Oantigen的免疫性,我们报告了一种综合的化酶战略,以首次合成其八氧二氮恰里德(Oäantigen)和相关的碎片,用于抗生素评估。我们的战略是将含有高碳糖的脱甲酸前体组合成化学合成。</w:t>
      </w:r>
    </w:p>
    <w:p>
      <w:pPr>
        <w:spacing w:before="0" w:after="200" w:lineRule="auto" w:line="276"/>
      </w:pPr>
      <w:r>
        <w:rPr>
          <w:b/>
        </w:rPr>
        <w:t xml:space="preserve">Abstract (EN): </w:t>
      </w:r>
      <w:r>
        <w:t>Helicobacter pylori</w:t>
      </w:r>
      <w:r>
        <w:t xml:space="preserve"> </w:t>
      </w:r>
      <w:r>
        <w:t>infection represents a major global health challenge, characterized by high prevalence, significant association with gastric cancer, and rising antibiotic resistance. Carbohydrate‐based vaccines targeting the O‐antigen of lipopolysaccharide (LPS) present a promising alternative to conventional antimicrobial therapies. To explore the immunogenicity of LPS O‐antigen from clinical isolate</w:t>
      </w:r>
      <w:r>
        <w:t xml:space="preserve"> </w:t>
      </w:r>
      <w:r>
        <w:t>H. pylori</w:t>
      </w:r>
      <w:r>
        <w:t xml:space="preserve"> </w:t>
      </w:r>
      <w:r>
        <w:t>SS1, we report an integrated chemoenzymatic strategy for the first synthesis of its octadecasaccharide O‐antigen and related fragments for antigenicity evaluation. Our strategy features modular chemical synthesis of a decasaccharide precursor containing a high‐carbon sugar (D,D‐Hep) residue, a unique oligomeric β1,2‐linked ribofuranosyl tetrasaccharide motif and a switchable glucosamine (GlcNH</w:t>
      </w:r>
      <w:r>
        <w:rPr>
          <w:vertAlign w:val="subscript"/>
        </w:rPr>
        <w:t>2</w:t>
      </w:r>
      <w:r>
        <w:t>) residue through stereoconvergent [6 + 4] assembly, followed by protecting‐group‐controlled enzymatic elongation to precisely install hybrid Lewis antigen moiety (Le</w:t>
      </w:r>
      <w:r>
        <w:t xml:space="preserve"> </w:t>
      </w:r>
      <w:r>
        <w:t>y</w:t>
      </w:r>
      <w:r>
        <w:t xml:space="preserve"> </w:t>
      </w:r>
      <w:r>
        <w:t>‐Le</w:t>
      </w:r>
      <w:r>
        <w:t xml:space="preserve"> </w:t>
      </w:r>
      <w:r>
        <w:t>x</w:t>
      </w:r>
      <w:r>
        <w:t xml:space="preserve"> </w:t>
      </w:r>
      <w:r>
        <w:t>) in a site‐specific fucosylation manner to afford the target octadecasaccharide bearing five challenging 1,2‐</w:t>
      </w:r>
      <w:r>
        <w:t xml:space="preserve"> </w:t>
      </w:r>
      <w:r>
        <w:t>cis</w:t>
      </w:r>
      <w:r>
        <w:t xml:space="preserve"> </w:t>
      </w:r>
      <w:r>
        <w:t>‐glycosidic linkages. Chemical stereoselective construction of 1,2‐</w:t>
      </w:r>
      <w:r>
        <w:t xml:space="preserve"> </w:t>
      </w:r>
      <w:r>
        <w:t>cis</w:t>
      </w:r>
      <w:r>
        <w:t xml:space="preserve"> </w:t>
      </w:r>
      <w:r>
        <w:t>‐glucosidic and 1,2‐</w:t>
      </w:r>
      <w:r>
        <w:t xml:space="preserve"> </w:t>
      </w:r>
      <w:r>
        <w:t>cis</w:t>
      </w:r>
      <w:r>
        <w:t xml:space="preserve"> </w:t>
      </w:r>
      <w:r>
        <w:t>‐fucosidic linkages was accomplished by reagent‐controlled glycosylation and 4‐</w:t>
      </w:r>
      <w:r>
        <w:t xml:space="preserve"> </w:t>
      </w:r>
      <w:r>
        <w:t>O</w:t>
      </w:r>
      <w:r>
        <w:t xml:space="preserve"> </w:t>
      </w:r>
      <w:r>
        <w:t>‐acyl remote participation, respectively. Enzymatic site‐specific installation of the remaining three 1,2‐</w:t>
      </w:r>
      <w:r>
        <w:t xml:space="preserve"> </w:t>
      </w:r>
      <w:r>
        <w:t>cis</w:t>
      </w:r>
      <w:r>
        <w:t xml:space="preserve"> </w:t>
      </w:r>
      <w:r>
        <w:t>‐fucosidic linkages was achieved using two robust fucosyltransferases and a strategically designed GlcNH</w:t>
      </w:r>
      <w:r>
        <w:rPr>
          <w:vertAlign w:val="subscript"/>
        </w:rPr>
        <w:t>2</w:t>
      </w:r>
      <w:r>
        <w:t>residue. Glycan microarray‐based screening of the synthetic O‐antigen and its subunits with</w:t>
      </w:r>
      <w:r>
        <w:t xml:space="preserve"> </w:t>
      </w:r>
      <w:r>
        <w:t>H. pylori</w:t>
      </w:r>
      <w:r>
        <w:t xml:space="preserve"> </w:t>
      </w:r>
      <w:r>
        <w:t>‐infected patient sera identified an undecasaccharide as a simpler and key epitope for vaccine development.</w:t>
      </w:r>
    </w:p>
    <w:p>
      <w:pPr>
        <w:spacing w:before="120" w:after="120"/>
      </w:pPr>
      <w:r>
        <w:rPr>
          <w:sz w:val="18"/>
        </w:rPr>
        <w:t>——————————————————————————————————————————————————————————————————————</w:t>
      </w:r>
    </w:p>
    <w:p>
      <w:pPr>
        <w:spacing w:before="160" w:after="40" w:line="240" w:lineRule="auto"/>
      </w:pPr>
      <w:r>
        <w:rPr>
          <w:b/>
        </w:rPr>
        <w:t xml:space="preserve">[510] </w:t>
      </w:r>
      <w:hyperlink r:id="rId806">
        <w:r>
          <w:rPr>
            <w:color w:val="1155CC"/>
            <w:u w:val="single"/>
          </w:rPr>
          <w:t>具有记录能力和特殊动能的工业放射性碘捕获活动</w:t>
        </w:r>
      </w:hyperlink>
    </w:p>
    <w:p>
      <w:pPr>
        <w:spacing w:before="0" w:after="80"/>
      </w:pPr>
      <w:r>
        <w:rPr>
          <w:i/>
          <w:sz w:val="20"/>
        </w:rPr>
        <w:t>EN: Pore Space Multi‐Layer Functionalization Boosting Industrial Radioactive Iodine Capture with Record Capacity and Exceptional Kinetics</w:t>
      </w:r>
    </w:p>
    <w:p>
      <w:pPr>
        <w:spacing w:before="0" w:after="120"/>
      </w:pPr>
      <w:r>
        <w:rPr>
          <w:b/>
        </w:rPr>
        <w:t xml:space="preserve">Source: </w:t>
      </w:r>
      <w:r>
        <w:t>Wiley: Angewandte Chemie International Edition: Table of Contents</w:t>
      </w:r>
      <w:r>
        <w:t xml:space="preserve">    </w:t>
      </w:r>
      <w:r>
        <w:rPr>
          <w:b/>
        </w:rPr>
        <w:t xml:space="preserve">Pub date: </w:t>
      </w:r>
      <w:r>
        <w:t>2026-01-09 05:36:56+00:00</w:t>
      </w:r>
      <w:r>
        <w:t xml:space="preserve">    </w:t>
      </w:r>
      <w:r>
        <w:rPr>
          <w:b/>
        </w:rPr>
        <w:t xml:space="preserve">DOI: </w:t>
      </w:r>
      <w:hyperlink r:id="rId807">
        <w:r>
          <w:rPr>
            <w:color w:val="1155CC"/>
            <w:u w:val="single"/>
          </w:rPr>
          <w:t>10.1002/anie.202521492</w:t>
        </w:r>
      </w:hyperlink>
    </w:p>
    <w:p>
      <w:pPr>
        <w:spacing w:before="0" w:after="120"/>
      </w:pPr>
      <w:r>
        <w:rPr>
          <w:b/>
        </w:rPr>
        <w:t xml:space="preserve">Notes: </w:t>
      </w:r>
      <w:r>
        <w:t>abstract_source=crossref</w:t>
      </w:r>
    </w:p>
    <w:p>
      <w:pPr>
        <w:spacing w:before="0" w:after="80" w:lineRule="auto" w:line="276"/>
      </w:pPr>
      <w:r>
        <w:rPr>
          <w:b/>
        </w:rPr>
        <w:t xml:space="preserve">摘要（ZH）: </w:t>
      </w:r>
      <w:r>
        <w:t>工业条件下核废料产生的放射性分子碘(I 2)摘要获取在工业条件下产生的放射性分子碘(I 2)仍是一个相当大的挑战。 在这里,我们首次制定了一个孔隙空间多层功能化(PSMLF)战略,通过优化孔隙空间的利用,得以在大孔隙空间的多层区域向性分布功能场点,从而通过优化孔隙空间利用提高I 2的吸附能力。 利用这一方法,优化吸附剂PAF1NTM在模拟工业条件下实现了创纪录的I2在88.58 wt%(150°C和150 ppmv I 2)的高度吸收率。</w:t>
      </w:r>
    </w:p>
    <w:p>
      <w:pPr>
        <w:spacing w:before="0" w:after="200" w:lineRule="auto" w:line="276"/>
      </w:pPr>
      <w:r>
        <w:rPr>
          <w:b/>
        </w:rPr>
        <w:t xml:space="preserve">Abstract (EN): </w:t>
      </w:r>
      <w:r>
        <w:t>Capturing radioactive molecular iodine (I</w:t>
      </w:r>
      <w:r>
        <w:rPr>
          <w:vertAlign w:val="subscript"/>
        </w:rPr>
        <w:t>2</w:t>
      </w:r>
      <w:r>
        <w:t>) from nuclear waste under industrial conditions remains a considerable challenge. Herein, we developed for the first time a pore space multiple‐layer functionalization (PSMLF) strategy, which enables directionally distribute functional sites across the multi‐layer regions of large pore space, thereby enhancing the I</w:t>
      </w:r>
      <w:r>
        <w:rPr>
          <w:vertAlign w:val="subscript"/>
        </w:rPr>
        <w:t>2</w:t>
      </w:r>
      <w:r>
        <w:t>adsorption ability by optimizing pore space utilization. Utilizing this approach, the optimized adsorbent PAF‐1‐NTM achieves a record‐high I</w:t>
      </w:r>
      <w:r>
        <w:rPr>
          <w:vertAlign w:val="subscript"/>
        </w:rPr>
        <w:t>2</w:t>
      </w:r>
      <w:r>
        <w:t>uptake of 88.58 wt% under simulated industrial conditions (150 °C and 150 ppmv I</w:t>
      </w:r>
      <w:r>
        <w:rPr>
          <w:vertAlign w:val="subscript"/>
        </w:rPr>
        <w:t>2</w:t>
      </w:r>
      <w:r>
        <w:t>), a 108‐fold improvement over its parent material, PAF‐1. This performance significantly surpasses that of industrial Ag@MOR and all previously benchmarked adsorbents under the same conditions. Furthermore, adsorption kinetic of PAF‐1‐NTM (</w:t>
      </w:r>
      <w:r>
        <w:t xml:space="preserve"> </w:t>
      </w:r>
      <w:r>
        <w:t>k</w:t>
      </w:r>
      <w:r>
        <w:rPr>
          <w:vertAlign w:val="subscript"/>
        </w:rPr>
        <w:t>1</w:t>
      </w:r>
      <w:r>
        <w:t>= 0.025 min</w:t>
      </w:r>
      <w:r>
        <w:t xml:space="preserve"> </w:t>
      </w:r>
      <w:r>
        <w:t>−1</w:t>
      </w:r>
      <w:r>
        <w:t xml:space="preserve"> </w:t>
      </w:r>
      <w:r>
        <w:t>) are significantly higher than those of all other porous adsorbents reported to date. These results thus establish PAF‐1‐NTM as a new benchmark for high‐temperature I</w:t>
      </w:r>
      <w:r>
        <w:rPr>
          <w:vertAlign w:val="subscript"/>
        </w:rPr>
        <w:t>2</w:t>
      </w:r>
      <w:r>
        <w:t>adsorbents. Mechanism investigation reveals a new insight that the I</w:t>
      </w:r>
      <w:r>
        <w:rPr>
          <w:vertAlign w:val="subscript"/>
        </w:rPr>
        <w:t>2</w:t>
      </w:r>
      <w:r>
        <w:t>adsorption capacity is positively correlated with the pore space utilization rate. Our work not only develops a promising adsorbent for industrial radioactive I</w:t>
      </w:r>
      <w:r>
        <w:rPr>
          <w:vertAlign w:val="subscript"/>
        </w:rPr>
        <w:t>2</w:t>
      </w:r>
      <w:r>
        <w:t>capture but also establishes a general design principle for creating high‐temperature I</w:t>
      </w:r>
      <w:r>
        <w:rPr>
          <w:vertAlign w:val="subscript"/>
        </w:rPr>
        <w:t>2</w:t>
      </w:r>
      <w:r>
        <w:t>adsorbents suitable for practical applications.</w:t>
      </w:r>
    </w:p>
    <w:p>
      <w:pPr>
        <w:spacing w:before="120" w:after="120"/>
      </w:pPr>
      <w:r>
        <w:rPr>
          <w:sz w:val="18"/>
        </w:rPr>
        <w:t>——————————————————————————————————————————————————————————————————————</w:t>
      </w:r>
    </w:p>
    <w:p>
      <w:pPr>
        <w:spacing w:before="160" w:after="40" w:line="240" w:lineRule="auto"/>
      </w:pPr>
      <w:r>
        <w:rPr>
          <w:b/>
        </w:rPr>
        <w:t xml:space="preserve">[511] </w:t>
      </w:r>
      <w:hyperlink r:id="rId808">
        <w:r>
          <w:rPr>
            <w:color w:val="1155CC"/>
            <w:u w:val="single"/>
          </w:rPr>
          <w:t>具有Sií-Basic Anode的以硫化为基地的所有国家电池的热失灵机制</w:t>
        </w:r>
      </w:hyperlink>
    </w:p>
    <w:p>
      <w:pPr>
        <w:spacing w:before="0" w:after="80"/>
      </w:pPr>
      <w:r>
        <w:rPr>
          <w:i/>
          <w:sz w:val="20"/>
        </w:rPr>
        <w:t>EN: Thermal Failure Mechanism of Sulfide‐Based All‐Solid‐State Battery with Si‐Based Anode</w:t>
      </w:r>
    </w:p>
    <w:p>
      <w:pPr>
        <w:spacing w:before="0" w:after="120"/>
      </w:pPr>
      <w:r>
        <w:rPr>
          <w:b/>
        </w:rPr>
        <w:t xml:space="preserve">Source: </w:t>
      </w:r>
      <w:r>
        <w:t>Wiley: Advanced Energy Materials: Table of Contents</w:t>
      </w:r>
      <w:r>
        <w:t xml:space="preserve">    </w:t>
      </w:r>
      <w:r>
        <w:rPr>
          <w:b/>
        </w:rPr>
        <w:t xml:space="preserve">Pub date: </w:t>
      </w:r>
      <w:r>
        <w:t>2026-01-09 05:37:59+00:00</w:t>
      </w:r>
      <w:r>
        <w:t xml:space="preserve">    </w:t>
      </w:r>
      <w:r>
        <w:rPr>
          <w:b/>
        </w:rPr>
        <w:t xml:space="preserve">DOI: </w:t>
      </w:r>
      <w:hyperlink r:id="rId809">
        <w:r>
          <w:rPr>
            <w:color w:val="1155CC"/>
            <w:u w:val="single"/>
          </w:rPr>
          <w:t>10.1002/aenm.202505623</w:t>
        </w:r>
      </w:hyperlink>
    </w:p>
    <w:p>
      <w:pPr>
        <w:spacing w:before="0" w:after="120"/>
      </w:pPr>
      <w:r>
        <w:rPr>
          <w:b/>
        </w:rPr>
        <w:t xml:space="preserve">Notes: </w:t>
      </w:r>
      <w:r>
        <w:t>abstract_source=crossref</w:t>
      </w:r>
    </w:p>
    <w:p>
      <w:pPr>
        <w:spacing w:before="0" w:after="80" w:lineRule="auto" w:line="276"/>
      </w:pPr>
      <w:r>
        <w:rPr>
          <w:b/>
        </w:rPr>
        <w:t xml:space="preserve">摘要（ZH）: </w:t>
      </w:r>
      <w:r>
        <w:t>以硫化硫化碳为基础的所有固体电池(ASSBs)目前是下一代发电电池中最有希望的候选电池,但是,热逃离的内在风险仍然是ASSB的一个重大安全关切,敦促彻底探索其热故障机制,值得注意的是,Si基阳极和硫化固态固态电解酸电池(SSES)之间的热稳定性和基本故障机制仍未开发。在此,我们系统调查四种具有代表性的硫化硫化硫化物SESE与Si/C阳极的异常行为。虽然硫化硫化物SESSE与液态电解酸电池相比,其热稳定性和潜在故障机制都比较强,但很少出现明显的外热反应。</w:t>
      </w:r>
    </w:p>
    <w:p>
      <w:pPr>
        <w:spacing w:before="0" w:after="200" w:lineRule="auto" w:line="276"/>
      </w:pPr>
      <w:r>
        <w:rPr>
          <w:b/>
        </w:rPr>
        <w:t xml:space="preserve">Abstract (EN): </w:t>
      </w:r>
      <w:r>
        <w:t>Sulfide‐based all‐solid‐state batteries (ASSBs) with high‐capacity cathodes/anodes are currently the most promising candidates among next‐generation power batteries. However, the intrinsic risk of thermal runaway remains a significant safety concern for ASSBs, urging a thorough exploration of their thermal failure mechanisms. Notably, the thermal stability and underlying failure mechanisms between the Si‐based anode and sulfide solid‐state electrolytes (SSEs) remain unexplored. Herein, we systematically investigate the exothermic behavior of four representative sulfide SSEs with a Si/C anode. Although the sulfide SSEs exhibit superior thermal stability towards Si/C anode compared to liquid electrolytes, with few significant exothermic reactions below 350°C, they do undergo intense exothermic reactions at higher temperatures. In‐depth characterizations identify Li</w:t>
      </w:r>
      <w:r>
        <w:rPr>
          <w:vertAlign w:val="subscript"/>
        </w:rPr>
        <w:t>2</w:t>
      </w:r>
      <w:r>
        <w:t>S, P</w:t>
      </w:r>
      <w:r>
        <w:rPr>
          <w:vertAlign w:val="subscript"/>
        </w:rPr>
        <w:t>2</w:t>
      </w:r>
      <w:r>
        <w:t>S</w:t>
      </w:r>
      <w:r>
        <w:t xml:space="preserve"> </w:t>
      </w:r>
      <w:r>
        <w:t>x</w:t>
      </w:r>
      <w:r>
        <w:t xml:space="preserve"> </w:t>
      </w:r>
      <w:r>
        <w:t>, and PO</w:t>
      </w:r>
      <w:r>
        <w:t xml:space="preserve"> </w:t>
      </w:r>
      <w:r>
        <w:t>x</w:t>
      </w:r>
      <w:r>
        <w:t xml:space="preserve"> </w:t>
      </w:r>
      <w:r>
        <w:t>species as the key reaction products, along with a significant amount of heat generation. Furthermore, by integrating reaction mechanisms from both composite anode and cathode, we propose a three‐stage thermal failure mechanism of LiNi</w:t>
      </w:r>
      <w:r>
        <w:t xml:space="preserve"> </w:t>
      </w:r>
      <w:r>
        <w:t>x</w:t>
      </w:r>
      <w:r>
        <w:t xml:space="preserve"> </w:t>
      </w:r>
      <w:r>
        <w:t>Co</w:t>
      </w:r>
      <w:r>
        <w:t xml:space="preserve"> </w:t>
      </w:r>
      <w:r>
        <w:t>y</w:t>
      </w:r>
      <w:r>
        <w:t xml:space="preserve"> </w:t>
      </w:r>
      <w:r>
        <w:t>Mn</w:t>
      </w:r>
      <w:r>
        <w:t xml:space="preserve"> </w:t>
      </w:r>
      <w:r>
        <w:t>z</w:t>
      </w:r>
      <w:r>
        <w:t xml:space="preserve"> </w:t>
      </w:r>
      <w:r>
        <w:t>O</w:t>
      </w:r>
      <w:r>
        <w:rPr>
          <w:vertAlign w:val="subscript"/>
        </w:rPr>
        <w:t>2</w:t>
      </w:r>
      <w:r>
        <w:t>| sulfide SSE | Si/C ASSB. The thermal failure of ASSB is initiated by the release of oxygen from the cathode, followed by solid–solid reactions between the cathode and sulfide SSEs. The final stage involves the Si/C anode, which participates in a complex chain of exothermic reactions, culminating in catastrophic thermal failure of ASSB.</w:t>
      </w:r>
    </w:p>
    <w:p>
      <w:pPr>
        <w:spacing w:before="120" w:after="120"/>
      </w:pPr>
      <w:r>
        <w:rPr>
          <w:sz w:val="18"/>
        </w:rPr>
        <w:t>——————————————————————————————————————————————————————————————————————</w:t>
      </w:r>
    </w:p>
    <w:p>
      <w:pPr>
        <w:spacing w:before="160" w:after="40" w:line="240" w:lineRule="auto"/>
      </w:pPr>
      <w:r>
        <w:rPr>
          <w:b/>
        </w:rPr>
        <w:t xml:space="preserve">[512] </w:t>
      </w:r>
      <w:hyperlink r:id="rId810">
        <w:r>
          <w:rPr>
            <w:color w:val="1155CC"/>
            <w:u w:val="single"/>
          </w:rPr>
          <w:t>用于可配置电子设备的液体金属可编程连续电湿(Adv. 板板板2/2026)</w:t>
        </w:r>
      </w:hyperlink>
    </w:p>
    <w:p>
      <w:pPr>
        <w:spacing w:before="0" w:after="80"/>
      </w:pPr>
      <w:r>
        <w:rPr>
          <w:i/>
          <w:sz w:val="20"/>
        </w:rPr>
        <w:t>EN: Programmable Continuous Electrowetting of Liquid Metal for Reconfigurable Electronics (Adv. Mater. 2/2026)</w:t>
      </w:r>
    </w:p>
    <w:p>
      <w:pPr>
        <w:spacing w:before="0" w:after="120"/>
      </w:pPr>
      <w:r>
        <w:rPr>
          <w:b/>
        </w:rPr>
        <w:t xml:space="preserve">Source: </w:t>
      </w:r>
      <w:r>
        <w:t>Wiley: Advanced Materials: Table of Contents</w:t>
      </w:r>
      <w:r>
        <w:t xml:space="preserve">    </w:t>
      </w:r>
      <w:r>
        <w:rPr>
          <w:b/>
        </w:rPr>
        <w:t xml:space="preserve">Pub date: </w:t>
      </w:r>
      <w:r>
        <w:t>2026-01-09 05:51:06+00:00</w:t>
      </w:r>
      <w:r>
        <w:t xml:space="preserve">    </w:t>
      </w:r>
      <w:r>
        <w:rPr>
          <w:b/>
        </w:rPr>
        <w:t xml:space="preserve">DOI: </w:t>
      </w:r>
      <w:hyperlink r:id="rId811">
        <w:r>
          <w:rPr>
            <w:color w:val="1155CC"/>
            <w:u w:val="single"/>
          </w:rPr>
          <w:t>10.1002/adma.71896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[513] </w:t>
      </w:r>
      <w:hyperlink r:id="rId812">
        <w:r>
          <w:rPr>
            <w:color w:val="1155CC"/>
            <w:u w:val="single"/>
          </w:rPr>
          <w:t>用于双向远端信号传输的液晶 Elastomer 液晶 Elastomer 的人工合成体(Adv. Mater. 2/2026)</w:t>
        </w:r>
      </w:hyperlink>
    </w:p>
    <w:p>
      <w:pPr>
        <w:spacing w:before="0" w:after="80"/>
      </w:pPr>
      <w:r>
        <w:rPr>
          <w:i/>
          <w:sz w:val="20"/>
        </w:rPr>
        <w:t>EN: Bio‐Inspired Artificial Muscle‐Tendon Complex of Liquid Crystal Elastomer for Bidirectional Afferent‐Efferent Signaling (Adv. Mater. 2/2026)</w:t>
      </w:r>
    </w:p>
    <w:p>
      <w:pPr>
        <w:spacing w:before="0" w:after="120"/>
      </w:pPr>
      <w:r>
        <w:rPr>
          <w:b/>
        </w:rPr>
        <w:t xml:space="preserve">Source: </w:t>
      </w:r>
      <w:r>
        <w:t>Wiley: Advanced Materials: Table of Contents</w:t>
      </w:r>
      <w:r>
        <w:t xml:space="preserve">    </w:t>
      </w:r>
      <w:r>
        <w:rPr>
          <w:b/>
        </w:rPr>
        <w:t xml:space="preserve">Pub date: </w:t>
      </w:r>
      <w:r>
        <w:t>2026-01-09 05:51:06+00:00</w:t>
      </w:r>
      <w:r>
        <w:t xml:space="preserve">    </w:t>
      </w:r>
      <w:r>
        <w:rPr>
          <w:b/>
        </w:rPr>
        <w:t xml:space="preserve">DOI: </w:t>
      </w:r>
      <w:hyperlink r:id="rId813">
        <w:r>
          <w:rPr>
            <w:color w:val="1155CC"/>
            <w:u w:val="single"/>
          </w:rPr>
          <w:t>10.1002/adma.71898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[514] </w:t>
      </w:r>
      <w:hyperlink r:id="rId814">
        <w:r>
          <w:rPr>
            <w:color w:val="1155CC"/>
            <w:u w:val="single"/>
          </w:rPr>
          <w:t>用于低挥动性周边神经调制的相匹配氢凝胶生物电子(Adv. Mater. 2/2026)</w:t>
        </w:r>
      </w:hyperlink>
    </w:p>
    <w:p>
      <w:pPr>
        <w:spacing w:before="0" w:after="80"/>
      </w:pPr>
      <w:r>
        <w:rPr>
          <w:i/>
          <w:sz w:val="20"/>
        </w:rPr>
        <w:t>EN: Mechanically Compliant and Impedance Matching Hydrogel Bioelectronics for Low‐Voltage Peripheral Neuromodulation (Adv. Mater. 2/2026)</w:t>
      </w:r>
    </w:p>
    <w:p>
      <w:pPr>
        <w:spacing w:before="0" w:after="120"/>
      </w:pPr>
      <w:r>
        <w:rPr>
          <w:b/>
        </w:rPr>
        <w:t xml:space="preserve">Source: </w:t>
      </w:r>
      <w:r>
        <w:t>Wiley: Advanced Materials: Table of Contents</w:t>
      </w:r>
      <w:r>
        <w:t xml:space="preserve">    </w:t>
      </w:r>
      <w:r>
        <w:rPr>
          <w:b/>
        </w:rPr>
        <w:t xml:space="preserve">Pub date: </w:t>
      </w:r>
      <w:r>
        <w:t>2026-01-09 05:51:06+00:00</w:t>
      </w:r>
      <w:r>
        <w:t xml:space="preserve">    </w:t>
      </w:r>
      <w:r>
        <w:rPr>
          <w:b/>
        </w:rPr>
        <w:t xml:space="preserve">DOI: </w:t>
      </w:r>
      <w:hyperlink r:id="rId815">
        <w:r>
          <w:rPr>
            <w:color w:val="1155CC"/>
            <w:u w:val="single"/>
          </w:rPr>
          <w:t>10.1002/adma.71901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[515] </w:t>
      </w:r>
      <w:hyperlink r:id="rId816">
        <w:r>
          <w:rPr>
            <w:color w:val="1155CC"/>
            <w:u w:val="single"/>
          </w:rPr>
          <w:t>MXene 授权Terahertz元材料,作为Vivo Thronombus监测的实时生物遥感平台(Adv. Mater. 2/2026)</w:t>
        </w:r>
      </w:hyperlink>
    </w:p>
    <w:p>
      <w:pPr>
        <w:spacing w:before="0" w:after="80"/>
      </w:pPr>
      <w:r>
        <w:rPr>
          <w:i/>
          <w:sz w:val="20"/>
        </w:rPr>
        <w:t>EN: MXene‐Powered Terahertz Metamaterials as a Real‐Time Biosensing Platform for In Vivo Thrombus Monitoring (Adv. Mater. 2/2026)</w:t>
      </w:r>
    </w:p>
    <w:p>
      <w:pPr>
        <w:spacing w:before="0" w:after="120"/>
      </w:pPr>
      <w:r>
        <w:rPr>
          <w:b/>
        </w:rPr>
        <w:t xml:space="preserve">Source: </w:t>
      </w:r>
      <w:r>
        <w:t>Wiley: Advanced Materials: Table of Contents</w:t>
      </w:r>
      <w:r>
        <w:t xml:space="preserve">    </w:t>
      </w:r>
      <w:r>
        <w:rPr>
          <w:b/>
        </w:rPr>
        <w:t xml:space="preserve">Pub date: </w:t>
      </w:r>
      <w:r>
        <w:t>2026-01-09 05:51:06+00:00</w:t>
      </w:r>
      <w:r>
        <w:t xml:space="preserve">    </w:t>
      </w:r>
      <w:r>
        <w:rPr>
          <w:b/>
        </w:rPr>
        <w:t xml:space="preserve">DOI: </w:t>
      </w:r>
      <w:hyperlink r:id="rId817">
        <w:r>
          <w:rPr>
            <w:color w:val="1155CC"/>
            <w:u w:val="single"/>
          </w:rPr>
          <w:t>10.1002/adma.71900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[516] </w:t>
      </w:r>
      <w:hyperlink r:id="rId818">
        <w:r>
          <w:rPr>
            <w:color w:val="1155CC"/>
            <w:u w:val="single"/>
          </w:rPr>
          <w:t>被动超超冷却补丁,使高高效能能水产生(Adv. Mater. 2/2026)</w:t>
        </w:r>
      </w:hyperlink>
    </w:p>
    <w:p>
      <w:pPr>
        <w:spacing w:before="0" w:after="80"/>
      </w:pPr>
      <w:r>
        <w:rPr>
          <w:i/>
          <w:sz w:val="20"/>
        </w:rPr>
        <w:t>EN: Passively Ultra Cooling Patch Enabling High‐Efficiency Power‐Water Cogeneration (Adv. Mater. 2/2026)</w:t>
      </w:r>
    </w:p>
    <w:p>
      <w:pPr>
        <w:spacing w:before="0" w:after="120"/>
      </w:pPr>
      <w:r>
        <w:rPr>
          <w:b/>
        </w:rPr>
        <w:t xml:space="preserve">Source: </w:t>
      </w:r>
      <w:r>
        <w:t>Wiley: Advanced Materials: Table of Contents</w:t>
      </w:r>
      <w:r>
        <w:t xml:space="preserve">    </w:t>
      </w:r>
      <w:r>
        <w:rPr>
          <w:b/>
        </w:rPr>
        <w:t xml:space="preserve">Pub date: </w:t>
      </w:r>
      <w:r>
        <w:t>2026-01-09 05:51:06+00:00</w:t>
      </w:r>
      <w:r>
        <w:t xml:space="preserve">    </w:t>
      </w:r>
      <w:r>
        <w:rPr>
          <w:b/>
        </w:rPr>
        <w:t xml:space="preserve">DOI: </w:t>
      </w:r>
      <w:hyperlink r:id="rId819">
        <w:r>
          <w:rPr>
            <w:color w:val="1155CC"/>
            <w:u w:val="single"/>
          </w:rPr>
          <w:t>10.1002/adma.71903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[517] </w:t>
      </w:r>
      <w:hyperlink r:id="rId820">
        <w:r>
          <w:rPr>
            <w:color w:val="1155CC"/>
            <w:u w:val="single"/>
          </w:rPr>
          <w:t>大规模灭绝引发了下巴脊椎动物及其无下巴亲属早期辐射。</w:t>
        </w:r>
      </w:hyperlink>
    </w:p>
    <w:p>
      <w:pPr>
        <w:spacing w:before="0" w:after="80"/>
      </w:pPr>
      <w:r>
        <w:rPr>
          <w:i/>
          <w:sz w:val="20"/>
        </w:rPr>
        <w:t>EN: Mass extinction triggered the early radiations of jawed vertebrates and their jawless relatives (gnathostomes)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21">
        <w:r>
          <w:rPr>
            <w:color w:val="1155CC"/>
            <w:u w:val="single"/>
          </w:rPr>
          <w:t>10.1126/sciadv.aeb2297</w:t>
        </w:r>
      </w:hyperlink>
    </w:p>
    <w:p>
      <w:pPr>
        <w:spacing w:before="0" w:after="120"/>
      </w:pPr>
      <w:r>
        <w:rPr>
          <w:b/>
        </w:rPr>
        <w:t xml:space="preserve">Notes: </w:t>
      </w:r>
      <w:r>
        <w:t>abstract_source=crossref</w:t>
      </w:r>
    </w:p>
    <w:p>
      <w:pPr>
        <w:spacing w:before="0" w:after="80" w:lineRule="auto" w:line="276"/>
      </w:pPr>
      <w:r>
        <w:rPr>
          <w:b/>
        </w:rPr>
        <w:t xml:space="preserve">摘要（ZH）: </w:t>
      </w:r>
      <w:r>
        <w:t>大部分脊椎生物系系最早记录在Paleozoic中脊椎系中,远早于其Cambrian起源地和Ordovic无脊椎生物多样化事件之后,最早记录在Paleozoic脊椎斑点、生物地理学和生态系统等新编数据库中,我们分析了新编的Paleozoic脊椎斑点、生物地理学和生态系统数据库,发现已故Ordovician大规模灭绝(445万至4.43亿年前~445万至4.43亿年前)在孤立的复古中引发了下巴和相关无下巴脊椎动物的平行地方性辐射。</w:t>
      </w:r>
    </w:p>
    <w:p>
      <w:pPr>
        <w:spacing w:before="0" w:after="200" w:lineRule="auto" w:line="276"/>
      </w:pPr>
      <w:r>
        <w:rPr>
          <w:b/>
        </w:rPr>
        <w:t xml:space="preserve">Abstract (EN): </w:t>
      </w:r>
      <w:r>
        <w:t>Most vertebrate lineages are first recorded from the mid-Paleozoic, well after their Cambrian origin and Ordovician invertebrate biodiversification events. This delay has been poorly understood and is usually attributed to sampling and long ghost lineages. We analyzed newly compiled databases of Paleozoic vertebrate occurrences, biogeography, and ecosystems, revealing that the Late Ordovician Mass Extinction (~445 to 443 million years ago) triggered parallel, endemic radiations of jawed and related jawless vertebrates (gnathostomes) in isolated refugia. Postextinction ecosystems hosted the first definitive appearances of most major vertebrate lineages of the Paleozoic “Age of Fishes” (and today), following the loss of ubiquitous stem-cyclostome conodonts, nascent faunas of other gnathostomes, and pelagic invertebrates. Turnover and recovery patterns matched those following climatically similar events like the end-Devonian mass extinction, including a postextinction “gap” with low biodiversity. The prolonged Silurian recovery, and the challenges of oceanic dispersal, likely further delayed the dominance of jawed gnathostomes for millions of years after the first fossil jaws.</w:t>
      </w:r>
    </w:p>
    <w:p>
      <w:pPr>
        <w:spacing w:before="120" w:after="120"/>
      </w:pPr>
      <w:r>
        <w:rPr>
          <w:sz w:val="18"/>
        </w:rPr>
        <w:t>——————————————————————————————————————————————————————————————————————</w:t>
      </w:r>
    </w:p>
    <w:p>
      <w:pPr>
        <w:spacing w:before="160" w:after="40" w:line="240" w:lineRule="auto"/>
      </w:pPr>
      <w:r>
        <w:rPr>
          <w:b/>
        </w:rPr>
        <w:t xml:space="preserve">[518] </w:t>
      </w:r>
      <w:hyperlink r:id="rId822">
        <w:r>
          <w:rPr>
            <w:color w:val="1155CC"/>
            <w:u w:val="single"/>
          </w:rPr>
          <w:t>使用SH2同性替代,从简单的 alkkenes通过SH2 合成的β-thio 三级艾氏碱合成物</w:t>
        </w:r>
      </w:hyperlink>
    </w:p>
    <w:p>
      <w:pPr>
        <w:spacing w:before="0" w:after="80"/>
      </w:pPr>
      <w:r>
        <w:rPr>
          <w:i/>
          <w:sz w:val="20"/>
        </w:rPr>
        <w:t>EN: Three-component synthesis of β-thio tertiary alkylamines from simple alkenes via SH2 homolytic substitution</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23">
        <w:r>
          <w:rPr>
            <w:color w:val="1155CC"/>
            <w:u w:val="single"/>
          </w:rPr>
          <w:t>10.1126/sciadv.adz1874</w:t>
        </w:r>
      </w:hyperlink>
    </w:p>
    <w:p>
      <w:pPr>
        <w:spacing w:before="0" w:after="120"/>
      </w:pPr>
      <w:r>
        <w:rPr>
          <w:b/>
        </w:rPr>
        <w:t xml:space="preserve">Notes: </w:t>
      </w:r>
      <w:r>
        <w:t>abstract_source=crossref</w:t>
      </w:r>
    </w:p>
    <w:p>
      <w:pPr>
        <w:spacing w:before="0" w:after="80" w:lineRule="auto" w:line="276"/>
      </w:pPr>
      <w:r>
        <w:rPr>
          <w:b/>
        </w:rPr>
        <w:t xml:space="preserve">摘要（ZH）: </w:t>
      </w:r>
      <w:r>
        <w:t>由于在酸性条件下捕获中转C(sp 3)以中枢C(sp 3)为中枢基基体中间体方面存在挑战,因此迄今只引进了有限的第三种反应成分,而且通常需要结构上特定的藻类。</w:t>
      </w:r>
    </w:p>
    <w:p>
      <w:pPr>
        <w:spacing w:before="0" w:after="200" w:lineRule="auto" w:line="276"/>
      </w:pPr>
      <w:r>
        <w:rPr>
          <w:b/>
        </w:rPr>
        <w:t xml:space="preserve">Abstract (EN): </w:t>
      </w:r>
      <w:r>
        <w:t>Alkene difunctionalization via electrophilic aminyl radical cations offers a straightforward route to complex tertiary alkylamines widely occurring in biologically active molecules. However, only a limited variety of third reaction components have been hitherto introduced because of the challenges in capturing transient C(sp</w:t>
      </w:r>
      <w:r>
        <w:rPr>
          <w:vertAlign w:val="subscript"/>
        </w:rPr>
        <w:t>3</w:t>
      </w:r>
      <w:r>
        <w:t>)-centered radical intermediates under acidic conditions, and structurally specific alkenes are usually required. Herein, we report a copper-catalyzed three-component aminothiolation reaction, enabling the first incorporation of S-based functionalities across simple alkenes to synthesize β-thio tertiary alkylamines. This protocol works well for both aryl and unactivated alkenes with a broad functional group compatibility and is applicable to ─SCF</w:t>
      </w:r>
      <w:r>
        <w:rPr>
          <w:vertAlign w:val="subscript"/>
        </w:rPr>
        <w:t>3</w:t>
      </w:r>
      <w:r>
        <w:t>, ─SCN, and ─SBz groups. Mechanistic investigations reveal a key bimolecular homolytic (S</w:t>
      </w:r>
      <w:r>
        <w:t xml:space="preserve"> </w:t>
      </w:r>
      <w:r>
        <w:t>H</w:t>
      </w:r>
      <w:r>
        <w:t xml:space="preserve"> </w:t>
      </w:r>
      <w:r>
        <w:t>2) substitution process that efficiently traps the nascent C(sp</w:t>
      </w:r>
      <w:r>
        <w:rPr>
          <w:vertAlign w:val="subscript"/>
        </w:rPr>
        <w:t>3</w:t>
      </w:r>
      <w:r>
        <w:t>)-centered radical intermediates in acidic media and facilitates the C─S bond formation with high regioselectivity and even primary enantiocontrol. The introduced S-based functionality can improve the performance of pharmaceuticals such as Fentora.</w:t>
      </w:r>
    </w:p>
    <w:p>
      <w:pPr>
        <w:spacing w:before="120" w:after="120"/>
      </w:pPr>
      <w:r>
        <w:rPr>
          <w:sz w:val="18"/>
        </w:rPr>
        <w:t>——————————————————————————————————————————————————————————————————————</w:t>
      </w:r>
    </w:p>
    <w:p>
      <w:pPr>
        <w:spacing w:before="160" w:after="40" w:line="240" w:lineRule="auto"/>
      </w:pPr>
      <w:r>
        <w:rPr>
          <w:b/>
        </w:rPr>
        <w:t xml:space="preserve">[519] </w:t>
      </w:r>
      <w:hyperlink r:id="rId824">
        <w:r>
          <w:rPr>
            <w:color w:val="1155CC"/>
            <w:u w:val="single"/>
          </w:rPr>
          <w:t>自可自我配置的机器人鱼群:集体完成各种运动和具有挑战性的水生任务</w:t>
        </w:r>
      </w:hyperlink>
    </w:p>
    <w:p>
      <w:pPr>
        <w:spacing w:before="0" w:after="80"/>
      </w:pPr>
      <w:r>
        <w:rPr>
          <w:i/>
          <w:sz w:val="20"/>
        </w:rPr>
        <w:t>EN: Self-reconfigurable robotic fish swarms: Collective achievement of diverse locomotion and challenging aquatic tasks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25">
        <w:r>
          <w:rPr>
            <w:color w:val="1155CC"/>
            <w:u w:val="single"/>
          </w:rPr>
          <w:t>10.1126/sciadv.adz2458</w:t>
        </w:r>
      </w:hyperlink>
    </w:p>
    <w:p>
      <w:pPr>
        <w:spacing w:before="0" w:after="120"/>
      </w:pPr>
      <w:r>
        <w:rPr>
          <w:b/>
        </w:rPr>
        <w:t xml:space="preserve">Notes: </w:t>
      </w:r>
      <w:r>
        <w:t>abstract_source=crossref</w:t>
      </w:r>
    </w:p>
    <w:p>
      <w:pPr>
        <w:spacing w:before="0" w:after="80" w:lineRule="auto" w:line="276"/>
      </w:pPr>
      <w:r>
        <w:rPr>
          <w:b/>
        </w:rPr>
        <w:t xml:space="preserve">摘要（ZH）: </w:t>
      </w:r>
      <w:r>
        <w:t>常规水生机器人通常受到固定形态和单体运动的制约,限制了对无结构环境的适应性。在自然鱼类多种有鳍驱动的移动策略的启发下,我们提出了一个可自我再配置的机器人鱼群系统,能够在广泛的水生条件和任务范围内运作。每个机器人鱼体都具有自主物理组装和电源永久磁体拆散能力,使电源连接和模块间通信都能够使群群群能够动态地重新配置其形态。系统评估显示,在各种移动性能(包括稳定性、可操作性、游泳速度、能量精度)中,群装配置大大优于单个单元。系统评估显示,在各种移动性性能(包括稳定性、可移动性、游泳速度、能量精度)中,各组装的组合大大优于单个单元。</w:t>
      </w:r>
    </w:p>
    <w:p>
      <w:pPr>
        <w:spacing w:before="0" w:after="200" w:lineRule="auto" w:line="276"/>
      </w:pPr>
      <w:r>
        <w:rPr>
          <w:b/>
        </w:rPr>
        <w:t xml:space="preserve">Abstract (EN): </w:t>
      </w:r>
      <w:r>
        <w:t>Conventional aquatic robots are typically constrained by fixed morphology and single-mode locomotion, limiting adaptability to unstructured environments. Inspired by the diverse fin-driven locomotion strategies of natural fish, we present a self-reconfigurable robotic fish swarm system capable of operating across a wide range of aquatic conditions and tasks. Each robotic fish unit features autonomous physical assembly and disassembly capabilities by electropermanent magnets, enabling both connection and intermodule communication, allowing the swarm to dynamically reconfigure its morphology. Systematic evaluation reveals that swarm configurations substantially outperform individual units in various locomotion performance, including stability, maneuverability, swimming speed, energy efficiency, and multimodal locomotion ability. The swarm also demonstrates collaborative capabilities in navigating through complex environments, manipulating obstacles, and transporting objects, both in laboratory and outdoor aquatic settings. This work provides a framework for aquatic robots to adapt to unstructured environments and complex tasks, contributing to the advancement of multifunctional, reconfigurable robotic systems.</w:t>
      </w:r>
    </w:p>
    <w:p>
      <w:pPr>
        <w:spacing w:before="120" w:after="120"/>
      </w:pPr>
      <w:r>
        <w:rPr>
          <w:sz w:val="18"/>
        </w:rPr>
        <w:t>——————————————————————————————————————————————————————————————————————</w:t>
      </w:r>
    </w:p>
    <w:p>
      <w:pPr>
        <w:spacing w:before="160" w:after="40" w:line="240" w:lineRule="auto"/>
      </w:pPr>
      <w:r>
        <w:rPr>
          <w:b/>
        </w:rPr>
        <w:t xml:space="preserve">[520] </w:t>
      </w:r>
      <w:hyperlink r:id="rId826">
        <w:r>
          <w:rPr>
            <w:color w:val="1155CC"/>
            <w:u w:val="single"/>
          </w:rPr>
          <w:t>可编程的电动电动涡冲器</w:t>
        </w:r>
      </w:hyperlink>
    </w:p>
    <w:p>
      <w:pPr>
        <w:spacing w:before="0" w:after="80"/>
      </w:pPr>
      <w:r>
        <w:rPr>
          <w:i/>
          <w:sz w:val="20"/>
        </w:rPr>
        <w:t>EN: Programmable electric tweezers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27">
        <w:r>
          <w:rPr>
            <w:color w:val="1155CC"/>
            <w:u w:val="single"/>
          </w:rPr>
          <w:t>10.1126/sciadv.aec3443</w:t>
        </w:r>
      </w:hyperlink>
    </w:p>
    <w:p>
      <w:pPr>
        <w:spacing w:before="0" w:after="120"/>
      </w:pPr>
      <w:r>
        <w:rPr>
          <w:b/>
        </w:rPr>
        <w:t xml:space="preserve">Notes: </w:t>
      </w:r>
      <w:r>
        <w:t>abstract_source=crossref</w:t>
      </w:r>
    </w:p>
    <w:p>
      <w:pPr>
        <w:spacing w:before="0" w:after="80" w:lineRule="auto" w:line="276"/>
      </w:pPr>
      <w:r>
        <w:rPr>
          <w:b/>
        </w:rPr>
        <w:t xml:space="preserve">摘要（ZH）: </w:t>
      </w:r>
      <w:r>
        <w:t>单微显微物体(如细胞或分子或电磁场)之间的相互作用是光学陷阱和磁陷阱等单一物体操作的基础。 功能随需、单物体操作要求对电磁场进行局部的高度自由控制,这仍然具有挑战性。 我们在此提出一个操纵概念:根据多位电极系统中的电磁场编程,在可编程的多位电极系统中实现的电磁场,有四个单独处理的电极。 它的探测集成电极阵列支持空间选择性操作,而可调适的电极缺口则能够操纵多尺度目标。</w:t>
      </w:r>
    </w:p>
    <w:p>
      <w:pPr>
        <w:spacing w:before="0" w:after="200" w:lineRule="auto" w:line="276"/>
      </w:pPr>
      <w:r>
        <w:rPr>
          <w:b/>
        </w:rPr>
        <w:t xml:space="preserve">Abstract (EN): </w:t>
      </w:r>
      <w:r>
        <w:t>The interaction between a single microscopic object such as a cell or a molecule and electromagnetic field is fundamental in single-object manipulation such as optical trap and magnetic trap. Function-on-demand, single-object manipulation requires local high-freedom control of electromagnetic field, which remains challenging. Here, we propose a manipulation concept: programmable single-object manipulation, based on programming the electromagnetic field in a multibit electrode system realized on a programmable electric tweezer (PET) with four individually addressed electrodes. Its probe-integrated electrode array supports spatial-selective manipulation, while the adjustable electrode gaps enable manipulating multiscale targets. The independent programming of the electrical signals of each electrode further allows using multiple electric principles to achieve multiscale and spatiotemporal programmable control and in situ measurements, marking a transition from function-fixed single-object manipulation to function-on-demand single-object manipulation. Last, with integrated functions of PET, we demonstrate multistep manipulation to measure the spontaneous relaxation of DNA supercoiling, highlighting the versatility of PET in uncovering stochastic biophysical phenomena at the single-molecule level.</w:t>
      </w:r>
    </w:p>
    <w:p>
      <w:pPr>
        <w:spacing w:before="120" w:after="120"/>
      </w:pPr>
      <w:r>
        <w:rPr>
          <w:sz w:val="18"/>
        </w:rPr>
        <w:t>——————————————————————————————————————————————————————————————————————</w:t>
      </w:r>
    </w:p>
    <w:p>
      <w:pPr>
        <w:spacing w:before="160" w:after="40" w:line="240" w:lineRule="auto"/>
      </w:pPr>
      <w:r>
        <w:rPr>
          <w:b/>
        </w:rPr>
        <w:t xml:space="preserve">[521] </w:t>
      </w:r>
      <w:hyperlink r:id="rId828">
        <w:r>
          <w:rPr>
            <w:color w:val="1155CC"/>
            <w:u w:val="single"/>
          </w:rPr>
          <w:t>NIR经NIR开关的DNAtweezer 能够用活体连续成像的可消除信号进行可逆 MiRNA识别</w:t>
        </w:r>
      </w:hyperlink>
    </w:p>
    <w:p>
      <w:pPr>
        <w:spacing w:before="0" w:after="80"/>
      </w:pPr>
      <w:r>
        <w:rPr>
          <w:i/>
          <w:sz w:val="20"/>
        </w:rPr>
        <w:t>EN: NIR-switched DNA tweezer enables reversible miRNA recognition with erasable signal for in vivo continuous imaging</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29">
        <w:r>
          <w:rPr>
            <w:color w:val="1155CC"/>
            <w:u w:val="single"/>
          </w:rPr>
          <w:t>10.1126/sciadv.adz3560</w:t>
        </w:r>
      </w:hyperlink>
    </w:p>
    <w:p>
      <w:pPr>
        <w:spacing w:before="0" w:after="120"/>
      </w:pPr>
      <w:r>
        <w:rPr>
          <w:b/>
        </w:rPr>
        <w:t xml:space="preserve">Notes: </w:t>
      </w:r>
      <w:r>
        <w:t>abstract_source=crossref</w:t>
      </w:r>
    </w:p>
    <w:p>
      <w:pPr>
        <w:spacing w:before="0" w:after="80" w:lineRule="auto" w:line="276"/>
      </w:pPr>
      <w:r>
        <w:rPr>
          <w:b/>
        </w:rPr>
        <w:t xml:space="preserve">摘要（ZH）: </w:t>
      </w:r>
      <w:r>
        <w:t>然而,目前的MIRNA成像探测器受到不可逆转的响应,损害其实时跟踪浓度波动的能力。这里,我们展示了近红外调控DNAtweezer(NIR-DNA tweezer),对准MIRNA。自封DNAtweezer由BHQ3标记的MIRNA识别线和Cy5标记的竞争线组成,而竞争线则与azenzene(Azo)嵌入,以对DNAtweezer的混合区进行光交换,以便进行可逆的 MIRNA识别。NIR-DNA tweezer是通过将DNAtweezer连接到Napetrophines,在高功率808-nmi上转换为“透明”状态获得的。</w:t>
      </w:r>
    </w:p>
    <w:p>
      <w:pPr>
        <w:spacing w:before="0" w:after="200" w:lineRule="auto" w:line="276"/>
      </w:pPr>
      <w:r>
        <w:rPr>
          <w:b/>
        </w:rPr>
        <w:t xml:space="preserve">Abstract (EN): </w:t>
      </w:r>
      <w:r>
        <w:t>Continuous monitoring of miRNA expression in vivo is crucial for understanding complex biological processes. However, current miRNA imaging probes suffer from irreversible responses, impairing their capabilities for real-time tracking concentration fluctuations. Here, we present a near-infrared regulated DNA tweezer (NIR-DNA tweezer) with reversible binding affinities to target miRNA. Self-quenched DNA tweezer is composed of BHQ3-labeled miRNA recognition strand and Cy5-labeled competitive strand, while competitive strand is embedded with azobenzene (Azo) to photo-switch the hybridization zones of DNA tweezer for reversible miRNA recognitions. NIR-DNA tweezer is obtained by conjugating DNA tweezer to upconversion nanoparticles, which is switched to “transit” status upon high-power 808-nm irradiation with</w:t>
      </w:r>
      <w:r>
        <w:t xml:space="preserve"> </w:t>
      </w:r>
      <w:r>
        <w:t>cis</w:t>
      </w:r>
      <w:r>
        <w:t xml:space="preserve"> </w:t>
      </w:r>
      <w:r>
        <w:t>-Azo to allow miRNA recognition with Cy5 fluorescence recovery. Upon low-power 808-nm irradiation, NIR-DNA tweezer is switched to “closed” status with</w:t>
      </w:r>
      <w:r>
        <w:t xml:space="preserve"> </w:t>
      </w:r>
      <w:r>
        <w:t>trans</w:t>
      </w:r>
      <w:r>
        <w:t xml:space="preserve"> </w:t>
      </w:r>
      <w:r>
        <w:t>-Azo to release miRNA and erase signal. The as-presented NIR-DNA tweezer achieves real-time in vivo tracing of miRNA expression fluctuations upon continuous chemotherapeutic drug and inhibitor treatments.</w:t>
      </w:r>
    </w:p>
    <w:p>
      <w:pPr>
        <w:spacing w:before="120" w:after="120"/>
      </w:pPr>
      <w:r>
        <w:rPr>
          <w:sz w:val="18"/>
        </w:rPr>
        <w:t>——————————————————————————————————————————————————————————————————————</w:t>
      </w:r>
    </w:p>
    <w:p>
      <w:pPr>
        <w:spacing w:before="160" w:after="40" w:line="240" w:lineRule="auto"/>
      </w:pPr>
      <w:r>
        <w:rPr>
          <w:b/>
        </w:rPr>
        <w:t xml:space="preserve">[522] </w:t>
      </w:r>
      <w:hyperlink r:id="rId830">
        <w:r>
          <w:rPr>
            <w:color w:val="1155CC"/>
            <w:u w:val="single"/>
          </w:rPr>
          <w:t>3D有机皮肤模型总结了自主抗体驱动的幼虫病原体和有针对性的治疗对策。</w:t>
        </w:r>
      </w:hyperlink>
    </w:p>
    <w:p>
      <w:pPr>
        <w:spacing w:before="0" w:after="80"/>
      </w:pPr>
      <w:r>
        <w:rPr>
          <w:i/>
          <w:sz w:val="20"/>
        </w:rPr>
        <w:t>EN: 3D organotypic skin models recapitulate autoantibody-driven pemphigus pathomechanisms and targeted therapeutic response</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31">
        <w:r>
          <w:rPr>
            <w:color w:val="1155CC"/>
            <w:u w:val="single"/>
          </w:rPr>
          <w:t>10.1126/sciadv.adz5003</w:t>
        </w:r>
      </w:hyperlink>
    </w:p>
    <w:p>
      <w:pPr>
        <w:spacing w:before="0" w:after="120"/>
      </w:pPr>
      <w:r>
        <w:rPr>
          <w:b/>
        </w:rPr>
        <w:t xml:space="preserve">Notes: </w:t>
      </w:r>
      <w:r>
        <w:t>abstract_source=crossref</w:t>
      </w:r>
    </w:p>
    <w:p>
      <w:pPr>
        <w:spacing w:before="0" w:after="80" w:lineRule="auto" w:line="276"/>
      </w:pPr>
      <w:r>
        <w:rPr>
          <w:b/>
        </w:rPr>
        <w:t xml:space="preserve">摘要（ZH）: </w:t>
      </w:r>
      <w:r>
        <w:t>三维(三维)(D)组织模型,重新总结自动免疫性疾病进化的高级三维(3D)组织模型,可以进行机械研究和加速发展有针对性的疗法,同时减少对系统免疫抑制的依赖。 在这里,我们提出了一个动态生物制造战略,将三维生物印刷和细胞自我组织结合起来,以创造多层皮肤结构,在血管外形上形成一个分层的粘膜状状状状体,纤维纤维体经过改造的皮质。这个平台重建了本地皮肤结构,以模拟自体驱动的细胞性粗俗,一种自动抗体驱动的细胞性紊乱症。</w:t>
      </w:r>
    </w:p>
    <w:p>
      <w:pPr>
        <w:spacing w:before="0" w:after="200" w:lineRule="auto" w:line="276"/>
      </w:pPr>
      <w:r>
        <w:rPr>
          <w:b/>
        </w:rPr>
        <w:t xml:space="preserve">Abstract (EN): </w:t>
      </w:r>
      <w:r>
        <w:t>Advanced three-dimensional (3D) tissue models that recapitulate autoimmune disease progression can enable mechanistic studies and accelerate the development of targeted therapies with reduced reliance on systemic immunosuppression. Here, we present a dynamic biofabrication strategy combining 3D bioprinting and cell self-organization to create multilayered skin constructs with a stratified epidermis atop a vascularized, fibroblast-remodeled dermis. This platform reconstitutes native skin architecture to model pemphigus vulgaris, an autoantibody-driven blistering disorder. Tightly reassembled keratinocytes form cell-cell adhesions that replicate pathogenic antibody–induced disruption of the epidermal barrier, while embedded vasculature and fibroblasts shape dermal barriers that regulate molecular diffusion. We demonstrate that these tissue barriers define disease phenotypes and therapeutic responses by modulating antibody and drug penetration. As proof of concept, we quantitatively evaluate epidermal growth factor receptor–targeted inhibitors by measuring individual cell-cell junction integrity and applying machine learning–assisted image texture analysis. This organotypic skin model provides a physiomimetic testbed for precise investigation of autoimmune pathogenesis and high-throughput screening of targeted therapeutic agents.</w:t>
      </w:r>
    </w:p>
    <w:p>
      <w:pPr>
        <w:spacing w:before="120" w:after="120"/>
      </w:pPr>
      <w:r>
        <w:rPr>
          <w:sz w:val="18"/>
        </w:rPr>
        <w:t>——————————————————————————————————————————————————————————————————————</w:t>
      </w:r>
    </w:p>
    <w:p>
      <w:pPr>
        <w:spacing w:before="160" w:after="40" w:line="240" w:lineRule="auto"/>
      </w:pPr>
      <w:r>
        <w:rPr>
          <w:b/>
        </w:rPr>
        <w:t xml:space="preserve">[523] </w:t>
      </w:r>
      <w:hyperlink r:id="rId832">
        <w:r>
          <w:rPr>
            <w:color w:val="1155CC"/>
            <w:u w:val="single"/>
          </w:rPr>
          <w:t>自我转化水凝胶,模拟三级淋巴节点,以激活用于强化抗突扰性免疫疗法的CGAS-STIT途径</w:t>
        </w:r>
      </w:hyperlink>
    </w:p>
    <w:p>
      <w:pPr>
        <w:spacing w:before="0" w:after="80"/>
      </w:pPr>
      <w:r>
        <w:rPr>
          <w:i/>
          <w:sz w:val="20"/>
        </w:rPr>
        <w:t>EN: Self-transforming hydrogel mimicking tertiary lymph nodes to activate cGAS-STING pathway for enhanced antitumor immunotherapy</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33">
        <w:r>
          <w:rPr>
            <w:color w:val="1155CC"/>
            <w:u w:val="single"/>
          </w:rPr>
          <w:t>10.1126/sciadv.adz5078</w:t>
        </w:r>
      </w:hyperlink>
    </w:p>
    <w:p>
      <w:pPr>
        <w:spacing w:before="0" w:after="120"/>
      </w:pPr>
      <w:r>
        <w:rPr>
          <w:b/>
        </w:rPr>
        <w:t xml:space="preserve">Notes: </w:t>
      </w:r>
      <w:r>
        <w:t>abstract_source=crossref</w:t>
      </w:r>
    </w:p>
    <w:p>
      <w:pPr>
        <w:spacing w:before="0" w:after="80" w:lineRule="auto" w:line="276"/>
      </w:pPr>
      <w:r>
        <w:rPr>
          <w:b/>
        </w:rPr>
        <w:t xml:space="preserve">摘要（ZH）: </w:t>
      </w:r>
      <w:r>
        <w:t>第三级淋巴结(TLS)的非特定分布 — 诱导药物可能会引发自动免疫疾病。 我们开发了一种自我转化的千人体液凝胶,作为生物模拟TLS。 千人体液凝胶溶液在小鼠的细菌结肠肿瘤中间接注射,随后迅速就地凝化。 在通过多克菌素和排卵法杀死肿瘤细胞和宫内细菌后,水凝胶高效吸附细菌-相关分子模式、肿瘤细胞-衍生损害相关分子模式和肿瘤相关抗生素。 这些危险信号通过吸收的DNA中介氯酸盐(CGAS-Siteting)激活,将强力免疫细胞吸收入水凝胶并充分激活密度的红感细胞(DCs ) 。 活跃的DC将T细胞转换为T细胞。</w:t>
      </w:r>
    </w:p>
    <w:p>
      <w:pPr>
        <w:spacing w:before="0" w:after="200" w:lineRule="auto" w:line="276"/>
      </w:pPr>
      <w:r>
        <w:rPr>
          <w:b/>
        </w:rPr>
        <w:t xml:space="preserve">Abstract (EN): </w:t>
      </w:r>
      <w:r>
        <w:t>The nonspecific distribution of tertiary lymph node (TLS)–inducing drugs may trigger autoimmune diseases. We developed a self-transforming chitosan hydrogel to act as a biomimetic TLS. The chitosan hydrogel solution was peritumorally injected in bacteria-colonized tumors in mice followed by the rapid in situ gelation. After killing tumor cells and intratumoral bacteria by doxorubicin and cefotaxime, the hydrogel efficiently adsorbed bacterial pathogen-associated molecular patterns, tumor cell–derived damage-associated molecular patterns, and tumor-associated antigens. These danger signals greatly potentiated immune cell recruitment into the hydrogel and sufficiently activated dendritic cells (DCs) by the absorbed DNA-mediated cGAS-STING activation. The activated DCs converted T cells into cytotoxic T cells, and these activated immune cells migrated through the pores of hydrogels into the tumor tissues, effectively remodeling the immunosuppressive microenvironment, thereby inhibiting the tumor growth and metastasis. These findings demonstrate a previously unidentified method to establish a safe, easy-to-control, and effective biomimetic TLS that offers a promising strategy for updating current combined immunotherapy against various tumors.</w:t>
      </w:r>
    </w:p>
    <w:p>
      <w:pPr>
        <w:spacing w:before="120" w:after="120"/>
      </w:pPr>
      <w:r>
        <w:rPr>
          <w:sz w:val="18"/>
        </w:rPr>
        <w:t>——————————————————————————————————————————————————————————————————————</w:t>
      </w:r>
    </w:p>
    <w:p>
      <w:pPr>
        <w:spacing w:before="160" w:after="40" w:line="240" w:lineRule="auto"/>
      </w:pPr>
      <w:r>
        <w:rPr>
          <w:b/>
        </w:rPr>
        <w:t xml:space="preserve">[524] </w:t>
      </w:r>
      <w:hyperlink r:id="rId834">
        <w:r>
          <w:rPr>
            <w:color w:val="1155CC"/>
            <w:u w:val="single"/>
          </w:rPr>
          <w:t>高效无铅无铅的卤化 卤化 光释放二极管,通过二进制宿主-访客结构,以22%的外部量量子效率</w:t>
        </w:r>
      </w:hyperlink>
    </w:p>
    <w:p>
      <w:pPr>
        <w:spacing w:before="0" w:after="80"/>
      </w:pPr>
      <w:r>
        <w:rPr>
          <w:i/>
          <w:sz w:val="20"/>
        </w:rPr>
        <w:t>EN: Efficient lead-free antimony halide light-emitting diodes with 22% external quantum efficiency via a binary host-guest architecture</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35">
        <w:r>
          <w:rPr>
            <w:color w:val="1155CC"/>
            <w:u w:val="single"/>
          </w:rPr>
          <w:t>10.1126/sciadv.adz5689</w:t>
        </w:r>
      </w:hyperlink>
    </w:p>
    <w:p>
      <w:pPr>
        <w:spacing w:before="0" w:after="120"/>
      </w:pPr>
      <w:r>
        <w:rPr>
          <w:b/>
        </w:rPr>
        <w:t xml:space="preserve">Notes: </w:t>
      </w:r>
      <w:r>
        <w:t>abstract_source=crossref</w:t>
      </w:r>
    </w:p>
    <w:p>
      <w:pPr>
        <w:spacing w:before="0" w:after="80" w:lineRule="auto" w:line="276"/>
      </w:pPr>
      <w:r>
        <w:rPr>
          <w:b/>
        </w:rPr>
        <w:t xml:space="preserve">摘要（ZH）: </w:t>
      </w:r>
      <w:r>
        <w:t>铅卤化物排放物对下一代发光二极管(LED)有着巨大的希望,但是它们的重金属毒性对商业化构成了重大障碍。 因此,开发高效的无铅金属卤化物(Halide LED)是非常可取的,但仍然是一个巨大的挑战。 在这里,我们报告溶液处理的无铅卤化物(Halide)-基于LED的LED,其外部量量子效率为22%,当前效率为55.84千兆德。 特殊装置性能是通过使用零维有机无机反宁(III)卤化物的二元宿主-访客结构实现的,该结构展示出以近乎统一光光光度量产量释放的亮度。 光学和光物理研究与理论计算相结合,揭示了其高度有效机制的基础。</w:t>
      </w:r>
    </w:p>
    <w:p>
      <w:pPr>
        <w:spacing w:before="0" w:after="200" w:lineRule="auto" w:line="276"/>
      </w:pPr>
      <w:r>
        <w:rPr>
          <w:b/>
        </w:rPr>
        <w:t xml:space="preserve">Abstract (EN): </w:t>
      </w:r>
      <w:r>
        <w:t>Lead halide emitters hold great promise for next-generation light-emitting diodes (LEDs), but their heavy metal toxicity poses major barriers to commercialization. Therefore, developing efficient lead-free metal halide LEDs is highly desirable but remains a big challenge. Here, we report solution-processed lead-free antimony halide–based LEDs with an external quantum efficiency of 22% and a current efficiency of 55.84 candelas per ampere. The exceptional device performance is achieved through a binary host-guest architecture using a zero-dimensional organic-inorganic antimony(III) halide, which exhibits bright emission with a near-unity photoluminescence quantum yield. Optical and photophysical studies combined with theoretical calculations reveal the mechanism underlying its highly efficient self-trapped exciton emission. Efficient LEDs were achieved by doping (AylPPh</w:t>
      </w:r>
      <w:r>
        <w:rPr>
          <w:vertAlign w:val="subscript"/>
        </w:rPr>
        <w:t>3</w:t>
      </w:r>
      <w:r>
        <w:t>)</w:t>
      </w:r>
      <w:r>
        <w:rPr>
          <w:vertAlign w:val="subscript"/>
        </w:rPr>
        <w:t>2</w:t>
      </w:r>
      <w:r>
        <w:t>SbCl</w:t>
      </w:r>
      <w:r>
        <w:rPr>
          <w:vertAlign w:val="subscript"/>
        </w:rPr>
        <w:t>5</w:t>
      </w:r>
      <w:r>
        <w:t>into a binary host system, which improved film morphology, enhanced charge carrier mobility, and achieved better carrier balance. These enhancements resulted in substantially superior device performance compared to nondoped LEDs with (AylPPh</w:t>
      </w:r>
      <w:r>
        <w:rPr>
          <w:vertAlign w:val="subscript"/>
        </w:rPr>
        <w:t>3</w:t>
      </w:r>
      <w:r>
        <w:t>)</w:t>
      </w:r>
      <w:r>
        <w:rPr>
          <w:vertAlign w:val="subscript"/>
        </w:rPr>
        <w:t>2</w:t>
      </w:r>
      <w:r>
        <w:t>SbCl</w:t>
      </w:r>
      <w:r>
        <w:rPr>
          <w:vertAlign w:val="subscript"/>
        </w:rPr>
        <w:t>5</w:t>
      </w:r>
      <w:r>
        <w:t>as a neat emissive layer.</w:t>
      </w:r>
    </w:p>
    <w:p>
      <w:pPr>
        <w:spacing w:before="120" w:after="120"/>
      </w:pPr>
      <w:r>
        <w:rPr>
          <w:sz w:val="18"/>
        </w:rPr>
        <w:t>——————————————————————————————————————————————————————————————————————</w:t>
      </w:r>
    </w:p>
    <w:p>
      <w:pPr>
        <w:spacing w:before="160" w:after="40" w:line="240" w:lineRule="auto"/>
      </w:pPr>
      <w:r>
        <w:rPr>
          <w:b/>
        </w:rPr>
        <w:t xml:space="preserve">[525] </w:t>
      </w:r>
      <w:hyperlink r:id="rId836">
        <w:r>
          <w:rPr>
            <w:color w:val="1155CC"/>
            <w:u w:val="single"/>
          </w:rPr>
          <w:t>针对不同受压迫的染色体国家的线-确定线-确定线-先驱性因素的依据</w:t>
        </w:r>
      </w:hyperlink>
    </w:p>
    <w:p>
      <w:pPr>
        <w:spacing w:before="0" w:after="80"/>
      </w:pPr>
      <w:r>
        <w:rPr>
          <w:i/>
          <w:sz w:val="20"/>
        </w:rPr>
        <w:t>EN: Basis for lineage-determining pioneer factors targeting distinct repressed chromatin states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37">
        <w:r>
          <w:rPr>
            <w:color w:val="1155CC"/>
            <w:u w:val="single"/>
          </w:rPr>
          <w:t>10.1126/sciadv.adz7409</w:t>
        </w:r>
      </w:hyperlink>
    </w:p>
    <w:p>
      <w:pPr>
        <w:spacing w:before="0" w:after="120"/>
      </w:pPr>
      <w:r>
        <w:rPr>
          <w:b/>
        </w:rPr>
        <w:t xml:space="preserve">Notes: </w:t>
      </w:r>
      <w:r>
        <w:t>abstract_source=crossref</w:t>
      </w:r>
    </w:p>
    <w:p>
      <w:pPr>
        <w:spacing w:before="0" w:after="80" w:lineRule="auto" w:line="276"/>
      </w:pPr>
      <w:r>
        <w:rPr>
          <w:b/>
        </w:rPr>
        <w:t xml:space="preserve">摘要（ZH）: </w:t>
      </w:r>
      <w:r>
        <w:t>最初的笔录因素针对的是转录无声染色素,从而能够在开发、再生和细胞重新编程过程中激活基因,然而,静态染色素是多种多样的,在核核素稳定性、核核素粘结和抑制性脊椎修改方面各不相同,而且先驱因素如何可以不同地克服这些不同的染色素屏障,目前还不清楚。我们系统地比较了13个胚胎转录因的染色素目标,发现DNA约束域(DBD)类型预测了先导因素是针对紧凑的染色素、紧凑染色素的动态核素,还是针对易获取的染色素的非诱因因素。相比之下,非DBD域使得能够针对被抑制的染色素。</w:t>
      </w:r>
    </w:p>
    <w:p>
      <w:pPr>
        <w:spacing w:before="0" w:after="200" w:lineRule="auto" w:line="276"/>
      </w:pPr>
      <w:r>
        <w:rPr>
          <w:b/>
        </w:rPr>
        <w:t xml:space="preserve">Abstract (EN): </w:t>
      </w:r>
      <w:r>
        <w:t>Pioneer transcription factors target transcriptionally silent chromatin, thereby enabling gene activation in development, regeneration, and cell reprogramming. However, silent chromatin is heterogeneous, varying in nucleosome stability, nucleosome compaction, and repressive histone modifications, and how pioneer factors may differentially overcome these different chromatin barriers is unknown. We systematically compared the chromatin targeting of 13 embryonic transcription factors and found that the DNA binding domain (DBD) type predicts whether a pioneer factor targets low-turnover nucleosomes in compact chromatin, dynamic nucleosomes in compact chromatin or functions as a nonpioneer factor targeting accessible chromatin. By contrast, non-DBD domains enable targeting of repressed chromatin marked by H3K9me3 or H3K27me3</w:t>
      </w:r>
      <w:r>
        <w:t xml:space="preserve"> </w:t>
      </w:r>
      <w:r>
        <w:t>.</w:t>
      </w:r>
      <w:r>
        <w:t xml:space="preserve"> </w:t>
      </w:r>
      <w:r>
        <w:t>Fusions of different non-DBD segments of heterochromatin-targeting pioneer factors to the transcription factor SOX2 can expand binding of SOX2 target motifs within heterochromatin and improve cellular reprogramming. Our study unveils how different forms of silent chromatin are coordinately targeted by lineage-specifying factors.</w:t>
      </w:r>
    </w:p>
    <w:p>
      <w:pPr>
        <w:spacing w:before="120" w:after="120"/>
      </w:pPr>
      <w:r>
        <w:rPr>
          <w:sz w:val="18"/>
        </w:rPr>
        <w:t>——————————————————————————————————————————————————————————————————————</w:t>
      </w:r>
    </w:p>
    <w:p>
      <w:pPr>
        <w:spacing w:before="160" w:after="40" w:line="240" w:lineRule="auto"/>
      </w:pPr>
      <w:r>
        <w:rPr>
          <w:b/>
        </w:rPr>
        <w:t xml:space="preserve">[526] </w:t>
      </w:r>
      <w:hyperlink r:id="rId838">
        <w:r>
          <w:rPr>
            <w:color w:val="1155CC"/>
            <w:u w:val="single"/>
          </w:rPr>
          <w:t>在可重建的元表层中可编程的极地化</w:t>
        </w:r>
      </w:hyperlink>
    </w:p>
    <w:p>
      <w:pPr>
        <w:spacing w:before="0" w:after="80"/>
      </w:pPr>
      <w:r>
        <w:rPr>
          <w:i/>
          <w:sz w:val="20"/>
        </w:rPr>
        <w:t>EN: Programmable polariton canalization in reconfigurable metasurfaces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39">
        <w:r>
          <w:rPr>
            <w:color w:val="1155CC"/>
            <w:u w:val="single"/>
          </w:rPr>
          <w:t>10.1126/sciadv.aea0072</w:t>
        </w:r>
      </w:hyperlink>
    </w:p>
    <w:p>
      <w:pPr>
        <w:spacing w:before="0" w:after="120"/>
      </w:pPr>
      <w:r>
        <w:rPr>
          <w:b/>
        </w:rPr>
        <w:t xml:space="preserve">Notes: </w:t>
      </w:r>
      <w:r>
        <w:t>abstract_source=crossref</w:t>
      </w:r>
    </w:p>
    <w:p>
      <w:pPr>
        <w:spacing w:before="0" w:after="80" w:lineRule="auto" w:line="276"/>
      </w:pPr>
      <w:r>
        <w:rPr>
          <w:b/>
        </w:rPr>
        <w:t xml:space="preserve">摘要（ZH）: </w:t>
      </w:r>
      <w:r>
        <w:t>光度魔法角度扭曲的范德华岩层的极地球散变的地形变化导致无折射和叠合的传播状态,称为运河制度,这种极地(即极地运河)的稳健运输为能量流动的亚波长控制带来了希望,但是,由于制成装置中固定了运河方向,运河极地球在原地缺乏动态金枪鱼特性,因此这种控制受到阻碍。在这里,我们克服了这一限制,在可重新配置的单层元表层中演示可编程的极地运河化。通过设计元表单元单元的定向,运河化磁极地球的方向可以沿着任何平面方向(即动态)规划(即,动态)方案。</w:t>
      </w:r>
    </w:p>
    <w:p>
      <w:pPr>
        <w:spacing w:before="0" w:after="200" w:lineRule="auto" w:line="276"/>
      </w:pPr>
      <w:r>
        <w:rPr>
          <w:b/>
        </w:rPr>
        <w:t xml:space="preserve">Abstract (EN): </w:t>
      </w:r>
      <w:r>
        <w:t>The topological transition of polariton dispersion in twisted van der Waals layers at the photonic magic angle results in the diffraction-less and collimated propagation state, termed canalization regime. This type of robust transport of polaritons (i.e., polariton canalization) holds promise for subwavelength control of energy flows. However, the lack of in situ dynamic tunability of canalized polaritons hinders such control because the canalization direction is fixed in the fabricated device. Here, we overcome this limitation by demonstrating programmable polariton canalization in a reconfigurable single-layer metasurface. By engineering the orientation of metasurface unit cells, the direction of canalized magnetic polaritons can be programmed along any in-plane direction (i.e., dynamic all-angle tunability). On-demand steering of canalized polaritons allows customized near-field patterns to be obtained at any desired location—a proof of concept for canalization-based information display applications. These findings offer opportunities to transcend conventional diffraction constraints for integrated photonic devices, thus opening the door for photonic applications where on-demand control is crucial.</w:t>
      </w:r>
    </w:p>
    <w:p>
      <w:pPr>
        <w:spacing w:before="120" w:after="120"/>
      </w:pPr>
      <w:r>
        <w:rPr>
          <w:sz w:val="18"/>
        </w:rPr>
        <w:t>——————————————————————————————————————————————————————————————————————</w:t>
      </w:r>
    </w:p>
    <w:p>
      <w:pPr>
        <w:spacing w:before="160" w:after="40" w:line="240" w:lineRule="auto"/>
      </w:pPr>
      <w:r>
        <w:rPr>
          <w:b/>
        </w:rPr>
        <w:t xml:space="preserve">[527] </w:t>
      </w:r>
      <w:hyperlink r:id="rId840">
        <w:r>
          <w:rPr>
            <w:color w:val="1155CC"/>
            <w:u w:val="single"/>
          </w:rPr>
          <w:t>Korararchaeota地区生境转换基因组适应战略</w:t>
        </w:r>
      </w:hyperlink>
    </w:p>
    <w:p>
      <w:pPr>
        <w:spacing w:before="0" w:after="80"/>
      </w:pPr>
      <w:r>
        <w:rPr>
          <w:i/>
          <w:sz w:val="20"/>
        </w:rPr>
        <w:t>EN: Genomic adaptation strategies to habitat switching in Korarchaeota</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41">
        <w:r>
          <w:rPr>
            <w:color w:val="1155CC"/>
            <w:u w:val="single"/>
          </w:rPr>
          <w:t>10.1126/sciadv.aea1035</w:t>
        </w:r>
      </w:hyperlink>
    </w:p>
    <w:p>
      <w:pPr>
        <w:spacing w:before="0" w:after="120"/>
      </w:pPr>
      <w:r>
        <w:rPr>
          <w:b/>
        </w:rPr>
        <w:t xml:space="preserve">Notes: </w:t>
      </w:r>
      <w:r>
        <w:t>abstract_source=crossref</w:t>
      </w:r>
    </w:p>
    <w:p>
      <w:pPr>
        <w:spacing w:before="0" w:after="80" w:lineRule="auto" w:line="276"/>
      </w:pPr>
      <w:r>
        <w:rPr>
          <w:b/>
        </w:rPr>
        <w:t xml:space="preserve">摘要（ZH）: </w:t>
      </w:r>
      <w:r>
        <w:t>古代考古系古代古系的Koranchaeota, 长期以来在考古和水文学演变的讨论中被忽略, 其生理学和进化史因其在自然环境中的罕见性, 仍然具有细化性。 在这里,我们收集了来自不同海底热液喷口和陆地温泉的101个Koranchaeota基因组, 表明Korarchaeota系经历了海洋生境和陆地生境之间的多重转变。 这些转变伴随着基因变化,反映了对生境特定物理化学条件的适应,包括营养供应、潜在能源、表面条件和病毒预发压力的变化。分子约会表明,Koranchaeota系起源于28.4亿年前(加亚)年。</w:t>
      </w:r>
    </w:p>
    <w:p>
      <w:pPr>
        <w:spacing w:before="0" w:after="200" w:lineRule="auto" w:line="276"/>
      </w:pPr>
      <w:r>
        <w:rPr>
          <w:b/>
        </w:rPr>
        <w:t xml:space="preserve">Abstract (EN): </w:t>
      </w:r>
      <w:r>
        <w:t>Korarchaeota, an ancient lineage of archaea, has long been overlooked in discussions of archaeal and eukaryotic evolution. Their physiology and evolutionary history have remained enigmatic due to their rarity in natural environments. Here, we assembled 101 Korarchaeota genomes from different seafloor hydrothermal vents and terrestrial hot springs, revealing that Korarchaeota lineages have undergone multiple transitions between marine and terrestrial habitats. These transitions were accompanied by genomic shifts reflecting adaptations to habitat-specific physicochemical conditions, including variations in nutrient availability, potential energy sources, osmotic conditions, and viral predation stresses. Molecular dating suggests that Korarchaeota originated ~2.84 billion years (Ga) ago, with three subsequent diversification events occurring around 2.42, 1.52, and 1.29 Ga ago. These major diversifications coincide with key geological events such as the Great Oxidation Event and the breakup and formation of supercontinents. Our findings provide insights into the evolutionary trajectory and ecological adaptations of Korarchaeota, thereby enhancing our understanding of microbial coevolution with Earth’s dynamic surface environments.</w:t>
      </w:r>
    </w:p>
    <w:p>
      <w:pPr>
        <w:spacing w:before="120" w:after="120"/>
      </w:pPr>
      <w:r>
        <w:rPr>
          <w:sz w:val="18"/>
        </w:rPr>
        <w:t>——————————————————————————————————————————————————————————————————————</w:t>
      </w:r>
    </w:p>
    <w:p>
      <w:pPr>
        <w:spacing w:before="160" w:after="40" w:line="240" w:lineRule="auto"/>
      </w:pPr>
      <w:r>
        <w:rPr>
          <w:b/>
        </w:rPr>
        <w:t xml:space="preserve">[528] </w:t>
      </w:r>
      <w:hyperlink r:id="rId842">
        <w:r>
          <w:rPr>
            <w:color w:val="1155CC"/>
            <w:u w:val="single"/>
          </w:rPr>
          <w:t>清洁氮氮废物促进肝细胞癌</w:t>
        </w:r>
      </w:hyperlink>
    </w:p>
    <w:p>
      <w:pPr>
        <w:spacing w:before="0" w:after="80"/>
      </w:pPr>
      <w:r>
        <w:rPr>
          <w:i/>
          <w:sz w:val="20"/>
        </w:rPr>
        <w:t>EN: Impaired nitrogenous waste clearance promotes hepatocellular carcinoma</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43">
        <w:r>
          <w:rPr>
            <w:color w:val="1155CC"/>
            <w:u w:val="single"/>
          </w:rPr>
          <w:t>10.1126/sciadv.aec0766</w:t>
        </w:r>
      </w:hyperlink>
    </w:p>
    <w:p>
      <w:pPr>
        <w:spacing w:before="0" w:after="120"/>
      </w:pPr>
      <w:r>
        <w:rPr>
          <w:b/>
        </w:rPr>
        <w:t xml:space="preserve">Notes: </w:t>
      </w:r>
      <w:r>
        <w:t>abstract_source=crossref</w:t>
      </w:r>
    </w:p>
    <w:p>
      <w:pPr>
        <w:spacing w:before="0" w:after="80" w:lineRule="auto" w:line="276"/>
      </w:pPr>
      <w:r>
        <w:rPr>
          <w:b/>
        </w:rPr>
        <w:t xml:space="preserve">摘要（ZH）: </w:t>
      </w:r>
      <w:r>
        <w:t>在哺乳动物中,肝尿素循环酶(UCEs)将有毒氮氮废物氨(氨)转化成排泄尿素。在肝细胞细胞癌(HCC)中,UCE的表达方式往往受到不同程度的压抑,但是其在肿瘤产生中的作用还不清楚。我们表明,与病人一样,在多种HCC鼠模型中,UCE的表达方式明显下降,包括由诱因的c-MET/β-Catninin(CUC)驱动的模型,导致氨清除受损,氨酸新陈代谢改变,并增加pyrimidine合成。相比之下,C-MET/sgAxin1肿瘤在很大程度上保留了UCE的表达方式,从而能够评估UCE损失的后果。</w:t>
      </w:r>
    </w:p>
    <w:p>
      <w:pPr>
        <w:spacing w:before="0" w:after="200" w:lineRule="auto" w:line="276"/>
      </w:pPr>
      <w:r>
        <w:rPr>
          <w:b/>
        </w:rPr>
        <w:t xml:space="preserve">Abstract (EN): </w:t>
      </w:r>
      <w:r>
        <w:t>In mammals, hepatic urea cycle enzymes (UCEs) convert ammonia, the toxic nitrogenous waste, into urea for excretion. In hepatocellular carcinoma (HCC), UCE expression is often heterogeneously repressed, but its role in tumorigenesis is unclear. We show that, as in patients, UCE expression is markedly reduced in multiple HCC mouse models, including those driven by oncogenic c-MET/β-catenin, leading to impaired ammonia clearance, altered amino acid metabolism, and increased pyrimidine synthesis. In contrast, UCE expression is largely preserved in c-MET/sgAxin1 tumors, allowing assessment of the consequences of UCE loss. Silencing individual UCEs increases ammonia burden and accelerates HCC with reprogrammed amino acid and pyrimidine metabolism, supporting a causal role for defective ammonia detoxification in oncogenesis. Notably, dietary protein restriction lowers hepatic ammonia and slows tumor growth. These findings establish a mechanistic link between nitrogen overload and hepatocarcinogenesis and highlight protein restriction as a feasible therapeutic strategy for patients with impaired nitrogenous waste handling.</w:t>
      </w:r>
    </w:p>
    <w:p>
      <w:pPr>
        <w:spacing w:before="120" w:after="120"/>
      </w:pPr>
      <w:r>
        <w:rPr>
          <w:sz w:val="18"/>
        </w:rPr>
        <w:t>——————————————————————————————————————————————————————————————————————</w:t>
      </w:r>
    </w:p>
    <w:p>
      <w:pPr>
        <w:spacing w:before="160" w:after="40" w:line="240" w:lineRule="auto"/>
      </w:pPr>
      <w:r>
        <w:rPr>
          <w:b/>
        </w:rPr>
        <w:t xml:space="preserve">[529] </w:t>
      </w:r>
      <w:hyperlink r:id="rId844">
        <w:r>
          <w:rPr>
            <w:color w:val="1155CC"/>
            <w:u w:val="single"/>
          </w:rPr>
          <w:t>Anode 诱发甲酰胺 -- -- 胺交叉组合:获取硫胺化物的非传统战略</w:t>
        </w:r>
      </w:hyperlink>
    </w:p>
    <w:p>
      <w:pPr>
        <w:spacing w:before="0" w:after="80"/>
      </w:pPr>
      <w:r>
        <w:rPr>
          <w:i/>
          <w:sz w:val="20"/>
        </w:rPr>
        <w:t>EN: Anode-induced arylthiol-amine cross-coupling: A nontraditional strategy to access sulfinamides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45">
        <w:r>
          <w:rPr>
            <w:color w:val="1155CC"/>
            <w:u w:val="single"/>
          </w:rPr>
          <w:t>10.1126/sciadv.aeb6913</w:t>
        </w:r>
      </w:hyperlink>
    </w:p>
    <w:p>
      <w:pPr>
        <w:spacing w:before="0" w:after="120"/>
      </w:pPr>
      <w:r>
        <w:rPr>
          <w:b/>
        </w:rPr>
        <w:t xml:space="preserve">Notes: </w:t>
      </w:r>
      <w:r>
        <w:t>abstract_source=crossref</w:t>
      </w:r>
    </w:p>
    <w:p>
      <w:pPr>
        <w:spacing w:before="0" w:after="80" w:lineRule="auto" w:line="276"/>
      </w:pPr>
      <w:r>
        <w:rPr>
          <w:b/>
        </w:rPr>
        <w:t xml:space="preserve">摘要（ZH）: </w:t>
      </w:r>
      <w:r>
        <w:t>硫化物是天然产品和生物活性化合物之间无处不在的结构结构。硫化物的通用合成方法仍然难以找到,因为生产硫化物前体极为困难。直接建造S-N债券是获取硫化物的一种非常高效的经济方法。然而,合成这些债券的最常用技术仍然是使用氨酸盐的硫化物前体的非激进方法,在这种方法中,准备亚基质、反应条件苛刻和限制的亚基体范围在本质上限制了合成范围。 我们利用了一种实用和简化的电催化剂战略来实现硫化物合成,这涉及到对随时使用的碳分子氧化交叉组合。</w:t>
      </w:r>
    </w:p>
    <w:p>
      <w:pPr>
        <w:spacing w:before="0" w:after="200" w:lineRule="auto" w:line="276"/>
      </w:pPr>
      <w:r>
        <w:rPr>
          <w:b/>
        </w:rPr>
        <w:t xml:space="preserve">Abstract (EN): </w:t>
      </w:r>
      <w:r>
        <w:t>Sulfinamides are ubiquitous structures among natural products and biologically active compounds. Generic synthetic methods for sulfinamides remain elusive because the preparation of sulfoxide precursors is notoriously difficult. Direct construction of S─N bonds represents a highly efficient economical method to access these sulfinamides. However, the most prevalent techniques for their synthesis are still the nonradical approaches of sulfoxide precursors with amines, where prepreparation of substrates, harsh reaction conditions, and restricted substrate ranges have intrinsically limited the synthetic scope. Herein, we leveraged a practical and streamlined electrocatalytic strategy to achieve sulfinamide synthesis, which involves the intermolecular oxidative cross-coupling of readily available arylthiols and aliphatic amines. Mechanistic investigations indicate that four successive oxidations at the anode play a crucial role in radical generation, S─N bond formation, and further oxidation of intermediates.</w:t>
      </w:r>
    </w:p>
    <w:p>
      <w:pPr>
        <w:spacing w:before="120" w:after="120"/>
      </w:pPr>
      <w:r>
        <w:rPr>
          <w:sz w:val="18"/>
        </w:rPr>
        <w:t>——————————————————————————————————————————————————————————————————————</w:t>
      </w:r>
    </w:p>
    <w:p>
      <w:pPr>
        <w:spacing w:before="160" w:after="40" w:line="240" w:lineRule="auto"/>
      </w:pPr>
      <w:r>
        <w:rPr>
          <w:b/>
        </w:rPr>
        <w:t xml:space="preserve">[530] </w:t>
      </w:r>
      <w:hyperlink r:id="rId846">
        <w:r>
          <w:rPr>
            <w:color w:val="1155CC"/>
            <w:u w:val="single"/>
          </w:rPr>
          <w:t>使用速速速 7-T MRI在活人中使用的全脑中线成像成像</w:t>
        </w:r>
      </w:hyperlink>
    </w:p>
    <w:p>
      <w:pPr>
        <w:spacing w:before="0" w:after="80"/>
      </w:pPr>
      <w:r>
        <w:rPr>
          <w:i/>
          <w:sz w:val="20"/>
        </w:rPr>
        <w:t>EN: Whole-brain meso-vein imaging in living humans using fast 7-T MRI</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47">
        <w:r>
          <w:rPr>
            <w:color w:val="1155CC"/>
            <w:u w:val="single"/>
          </w:rPr>
          <w:t>10.1126/sciadv.aea4540</w:t>
        </w:r>
      </w:hyperlink>
    </w:p>
    <w:p>
      <w:pPr>
        <w:spacing w:before="0" w:after="120"/>
      </w:pPr>
      <w:r>
        <w:rPr>
          <w:b/>
        </w:rPr>
        <w:t xml:space="preserve">Notes: </w:t>
      </w:r>
      <w:r>
        <w:t>abstract_source=crossref</w:t>
      </w:r>
    </w:p>
    <w:p>
      <w:pPr>
        <w:spacing w:before="0" w:after="80" w:lineRule="auto" w:line="276"/>
      </w:pPr>
      <w:r>
        <w:rPr>
          <w:b/>
        </w:rPr>
        <w:t xml:space="preserve">摘要（ZH）: </w:t>
      </w:r>
      <w:r>
        <w:t>对人体大脑血管造影术的非侵入性测量对于理解功能性神经成像信号、诊断脑血管疾病和跟踪神经衰变至关重要。 超高地MRI现在能够进行中观成像( &amp; lt; 0. 5毫米), 揭示以前在体内无法获取的血管细节。 然而,当前的方法面临两个障碍: 扫描次数经常超过40分钟,常规直观方法在穿透血管方面仍然有限。 在这里,我们提出了一个快速的全脑MRI协议,在7分钟内以0.35毫米的速度解决静脉网络。 我们还引入了区分船只类型和更直觉地浏览血管的处理和直观化技术。 这些进步使得血管的生殖得以实现。</w:t>
      </w:r>
    </w:p>
    <w:p>
      <w:pPr>
        <w:spacing w:before="0" w:after="200" w:lineRule="auto" w:line="276"/>
      </w:pPr>
      <w:r>
        <w:rPr>
          <w:b/>
        </w:rPr>
        <w:t xml:space="preserve">Abstract (EN): </w:t>
      </w:r>
      <w:r>
        <w:t>Noninvasive measurement of the human brain’s angioarchitecture is essential for understanding functional neuroimaging signals, diagnosing cerebrovascular diseases, and tracking neurodegeneration. Ultrahigh-field MRI now enables mesoscopic (&amp;lt;0.5 millimeters) imaging, revealing vascular details previously inaccessible in vivo. Yet current approaches face two barriers: Scan times often exceed 40 minutes, and the conventional visualization methods remain limited for navigating the vasculature. Here, we present a fast whole-brain MRI protocol that resolves the venous network at 0.35 millimeters in under 7 minutes. We also introduce processing and visualization techniques that distinguish vessel types and more intuitively navigate the vasculature. These advances allow in vivo reproduction of the seminal vasculature images of Henri M. Duvernoy and provide whole-brain intracortical meso-vein maps in humans. Our methods lay the groundwork for detailed examination of vascular organization across individuals, brain regions, and cortical layers. More generally, these methods make mesoscopic imaging of angioarchitecture viable for broad neuroscientific and clinical applications.</w:t>
      </w:r>
    </w:p>
    <w:p>
      <w:pPr>
        <w:spacing w:before="120" w:after="120"/>
      </w:pPr>
      <w:r>
        <w:rPr>
          <w:sz w:val="18"/>
        </w:rPr>
        <w:t>——————————————————————————————————————————————————————————————————————</w:t>
      </w:r>
    </w:p>
    <w:p>
      <w:pPr>
        <w:spacing w:before="160" w:after="40" w:line="240" w:lineRule="auto"/>
      </w:pPr>
      <w:r>
        <w:rPr>
          <w:b/>
        </w:rPr>
        <w:t xml:space="preserve">[531] </w:t>
      </w:r>
      <w:hyperlink r:id="rId848">
        <w:r>
          <w:rPr>
            <w:color w:val="1155CC"/>
            <w:u w:val="single"/>
          </w:rPr>
          <w:t>Nyquist-Hilbert-nonlinear Schrödinger Solitons:非线性小波的连续组合</w:t>
        </w:r>
      </w:hyperlink>
    </w:p>
    <w:p>
      <w:pPr>
        <w:spacing w:before="0" w:after="80"/>
      </w:pPr>
      <w:r>
        <w:rPr>
          <w:i/>
          <w:sz w:val="20"/>
        </w:rPr>
        <w:t>EN: Nyquist–Hilbert–nonlinear Schrödinger solitons: A continuous family of fractional nonlinear waves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49">
        <w:r>
          <w:rPr>
            <w:color w:val="1155CC"/>
            <w:u w:val="single"/>
          </w:rPr>
          <w:t>10.1126/sciadv.aea5872</w:t>
        </w:r>
      </w:hyperlink>
    </w:p>
    <w:p>
      <w:pPr>
        <w:spacing w:before="0" w:after="120"/>
      </w:pPr>
      <w:r>
        <w:rPr>
          <w:b/>
        </w:rPr>
        <w:t xml:space="preserve">Notes: </w:t>
      </w:r>
      <w:r>
        <w:t>abstract_source=crossref</w:t>
      </w:r>
    </w:p>
    <w:p>
      <w:pPr>
        <w:spacing w:before="0" w:after="80" w:lineRule="auto" w:line="276"/>
      </w:pPr>
      <w:r>
        <w:rPr>
          <w:b/>
        </w:rPr>
        <w:t xml:space="preserve">摘要（ZH）: </w:t>
      </w:r>
      <w:r>
        <w:t>数学和物理学中分光衍生物的应用是早已确定的,然而,对受分光衍生物支配的波浪的实验观测仅限于特殊条件下的光学系统。 在这里,我们报告了一项理论、数字和实验性研究,研究的是一组连续的分光非线性光波,它平衡了Kerr非线性和分波的分散性。 我们表明,在这一组中,脉冲宽度和脉冲能量之间的关系可以自由调整,它连接了以前分别调查过的Nyquist solitons和Hilbert-nonlinear Schrödinger solitons。 这些结果扩大了对分光性衍生物和索利通物的基本理解,并引入了工程创新Ult的渠道。</w:t>
      </w:r>
    </w:p>
    <w:p>
      <w:pPr>
        <w:spacing w:before="0" w:after="200" w:lineRule="auto" w:line="276"/>
      </w:pPr>
      <w:r>
        <w:rPr>
          <w:b/>
        </w:rPr>
        <w:t xml:space="preserve">Abstract (EN): </w:t>
      </w:r>
      <w:r>
        <w:t>The applications of fractional derivatives in mathematics and physics are well established. However, experimental observations of waves governed by fractional derivatives have been limited to optical systems under special conditions. Here, we report a theoretical, numerical, and experimental study of a continuous family of fractional nonlinear optical waves that balance Kerr nonlinearity and dispersion of fractional order. We show that within this family, the relationship between pulse width and pulse energy can be freely adjusted and that it connects Nyquist solitons and Hilbert–nonlinear Schrödinger solitons, which were previously investigated separately. These results broaden the fundamental understanding of fractional derivatives and solitons and introduce avenues to engineer novel ultrafast pulses in nonlinear optics and its applications.</w:t>
      </w:r>
    </w:p>
    <w:p>
      <w:pPr>
        <w:spacing w:before="120" w:after="120"/>
      </w:pPr>
      <w:r>
        <w:rPr>
          <w:sz w:val="18"/>
        </w:rPr>
        <w:t>——————————————————————————————————————————————————————————————————————</w:t>
      </w:r>
    </w:p>
    <w:p>
      <w:pPr>
        <w:spacing w:before="160" w:after="40" w:line="240" w:lineRule="auto"/>
      </w:pPr>
      <w:r>
        <w:rPr>
          <w:b/>
        </w:rPr>
        <w:t xml:space="preserve">[532] </w:t>
      </w:r>
      <w:hyperlink r:id="rId850">
        <w:r>
          <w:rPr>
            <w:color w:val="1155CC"/>
            <w:u w:val="single"/>
          </w:rPr>
          <w:t>β-碳碳氢通过α-氨基铜-碳苯对阿米松进行功能化</w:t>
        </w:r>
      </w:hyperlink>
    </w:p>
    <w:p>
      <w:pPr>
        <w:spacing w:before="0" w:after="80"/>
      </w:pPr>
      <w:r>
        <w:rPr>
          <w:i/>
          <w:sz w:val="20"/>
        </w:rPr>
        <w:t>EN: β-Carbon functionalization of amines via α-amino Cu-carbenes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51">
        <w:r>
          <w:rPr>
            <w:color w:val="1155CC"/>
            <w:u w:val="single"/>
          </w:rPr>
          <w:t>10.1126/sciadv.aea9900</w:t>
        </w:r>
      </w:hyperlink>
    </w:p>
    <w:p>
      <w:pPr>
        <w:spacing w:before="0" w:after="120"/>
      </w:pPr>
      <w:r>
        <w:rPr>
          <w:b/>
        </w:rPr>
        <w:t xml:space="preserve">Notes: </w:t>
      </w:r>
      <w:r>
        <w:t>abstract_source=crossref</w:t>
      </w:r>
    </w:p>
    <w:p>
      <w:pPr>
        <w:spacing w:before="0" w:after="80" w:lineRule="auto" w:line="276"/>
      </w:pPr>
      <w:r>
        <w:rPr>
          <w:b/>
        </w:rPr>
        <w:t xml:space="preserve">摘要（ZH）: </w:t>
      </w:r>
      <w:r>
        <w:t>由金属碳氢化学和现有碳质前体中的铜催化作用所显示的微弱 d-p 回调能力所限制的d-p 回调能力所限制的,建造α-氨铜碳苯的α-氨铜碳苯仍未实现。 在这里,我们报告了一个左组 — — 驱动碳苯前体设计,其基础是中分子法,从而能够生成和不同地转化火球型α-氨基铜碳苯。 这一战略成功地逆转了电子富含醋胺的复合体的既定质子化路径,有效地扭转了矿物质在β位置的常规极性,其形式是火球型的α-氨铜碳苯。 此外,通过利用铜催化法中广泛的离子图书馆,我们实现了精密、可转换的立体和再生素。</w:t>
      </w:r>
    </w:p>
    <w:p>
      <w:pPr>
        <w:spacing w:before="0" w:after="200" w:lineRule="auto" w:line="276"/>
      </w:pPr>
      <w:r>
        <w:rPr>
          <w:b/>
        </w:rPr>
        <w:t xml:space="preserve">Abstract (EN): </w:t>
      </w:r>
      <w:r>
        <w:t>Limited by the weaker d-p π-backdonation capacity exhibited by copper catalysis in metal carbene chemistry and the available carbene precursors, the construction of α-amino copper carbenes had remained unrealized. Here, we report a leaving group–driven carbene precursor design based on an intermolecular approach, enabling the generation and divergent transformations of pyrrole-type α-amino copper carbenes. This strategy successfully reversed the established protonation pathway of electron-rich enamine-copper complexes, effectively inverting the conventional polarity at the β position of the amine in the form of a pyrrole-type α-amino copper carbene. Furthermore, by leveraging the extensive library of ligands in copper catalysis, we have achieved fine-tuned, switchable stereo- and regioselective divergent synthesis. Through multiple classical carbene insertion reactions, as well as carbene oxidation and metathesis reactions, this approach enables the functionalization of the β position of amines with diverse nucleophilic groups.</w:t>
      </w:r>
    </w:p>
    <w:p>
      <w:pPr>
        <w:spacing w:before="120" w:after="120"/>
      </w:pPr>
      <w:r>
        <w:rPr>
          <w:sz w:val="18"/>
        </w:rPr>
        <w:t>——————————————————————————————————————————————————————————————————————</w:t>
      </w:r>
    </w:p>
    <w:p>
      <w:pPr>
        <w:spacing w:before="160" w:after="40" w:line="240" w:lineRule="auto"/>
      </w:pPr>
      <w:r>
        <w:rPr>
          <w:b/>
        </w:rPr>
        <w:t xml:space="preserve">[533] </w:t>
      </w:r>
      <w:hyperlink r:id="rId852">
        <w:r>
          <w:rPr>
            <w:color w:val="1155CC"/>
            <w:u w:val="single"/>
          </w:rPr>
          <w:t>与正正对-(1-苯基乙烯基)苯甲酸酯高度高效的α-与正正对-(1-苯基乙烯基)苯化苯化物作为离子组:α-西亚可粉剂的一锅组装</w:t>
        </w:r>
      </w:hyperlink>
    </w:p>
    <w:p>
      <w:pPr>
        <w:spacing w:before="0" w:after="80"/>
      </w:pPr>
      <w:r>
        <w:rPr>
          <w:i/>
          <w:sz w:val="20"/>
        </w:rPr>
        <w:t>EN: Highly efficient α-sialylation with ortho-(1-phenylvinyl)benzoates as leaving groups: One-pot assembly of α-sialoglycans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53">
        <w:r>
          <w:rPr>
            <w:color w:val="1155CC"/>
            <w:u w:val="single"/>
          </w:rPr>
          <w:t>10.1126/sciadv.aeb0711</w:t>
        </w:r>
      </w:hyperlink>
    </w:p>
    <w:p>
      <w:pPr>
        <w:spacing w:before="0" w:after="120"/>
      </w:pPr>
      <w:r>
        <w:rPr>
          <w:b/>
        </w:rPr>
        <w:t xml:space="preserve">Notes: </w:t>
      </w:r>
      <w:r>
        <w:t>abstract_source=crossref</w:t>
      </w:r>
    </w:p>
    <w:p>
      <w:pPr>
        <w:spacing w:before="0" w:after="80" w:lineRule="auto" w:line="276"/>
      </w:pPr>
      <w:r>
        <w:rPr>
          <w:b/>
        </w:rPr>
        <w:t xml:space="preserve">摘要（ZH）: </w:t>
      </w:r>
      <w:r>
        <w:t>硅酸是哺乳动物中最重要的单细胞类动物之一,然而,由于在甲基和碳酸基组群的亚美体中心周围有亚美酸的独特结构,高效合成地接触硅酸仍然是一项艰巨的任务,从而阻碍了深入的生物研究。在这里,我们报告用硅醇-(1-苯乙烯基)苯甲酸(PVB)作为捐赠者,高效合成各种α-亚氏体(α-亚氏体)的单粒子-亚氏体规程。这一α-亚氏体方法具有广泛的基底范围和高产量。特别是,这一α-亚氏体规程已成功地应用于若干α-亚氏体的一粒子合成中,包括生物活性交织边Hp-s1和ST N抗原。</w:t>
      </w:r>
    </w:p>
    <w:p>
      <w:pPr>
        <w:spacing w:before="0" w:after="200" w:lineRule="auto" w:line="276"/>
      </w:pPr>
      <w:r>
        <w:rPr>
          <w:b/>
        </w:rPr>
        <w:t xml:space="preserve">Abstract (EN): </w:t>
      </w:r>
      <w:r>
        <w:t>Sialic acid represents one of the most important monosaccharides in mammals. However, because of the unique structure of sialic acid with the anomeric center flanked by methylene and carboxyl groups, efficient synthetic access to sialoglycans remains a difficult task, thus hindering in-depth biological studies. Here, we report one-pot α-sialylation protocol for efficient synthesis of various α-sialoglycans, using sialyl</w:t>
      </w:r>
      <w:r>
        <w:t xml:space="preserve"> </w:t>
      </w:r>
      <w:r>
        <w:t>ortho</w:t>
      </w:r>
      <w:r>
        <w:t xml:space="preserve"> </w:t>
      </w:r>
      <w:r>
        <w:t>-(1-phenylvinyl)benzoates (PVB) as donors. This α-sialylation method enjoys broad substrate scope and high yields. In particular, this α-sialylation protocol has been successfully applied in one-pot synthesis of several α-sialoglycans, including bioactive ganglioside Hp-s1 and ST</w:t>
      </w:r>
      <w:r>
        <w:t xml:space="preserve"> </w:t>
      </w:r>
      <w:r>
        <w:t>N</w:t>
      </w:r>
      <w:r>
        <w:t xml:space="preserve"> </w:t>
      </w:r>
      <w:r>
        <w:t>antigen with reduced steps and improved efficiency. Furthermore, density functional theory calculations provide the mechanistic insights of much higher reactivity of sialyl PVB donors than the corresponding thiosialoside donors in the presence of</w:t>
      </w:r>
      <w:r>
        <w:t xml:space="preserve"> </w:t>
      </w:r>
      <w:r>
        <w:t>N</w:t>
      </w:r>
      <w:r>
        <w:t xml:space="preserve"> </w:t>
      </w:r>
      <w:r>
        <w:t>-iodosuccinimide (NIS) and trifluoromethanesulfonic acid (TfOH). The enhanced reactivity arises from favorable noncovalent interactions and effective stabilization of the carbocation intermediate by the two phenyl groups within the PVB moieties.</w:t>
      </w:r>
    </w:p>
    <w:p>
      <w:pPr>
        <w:spacing w:before="120" w:after="120"/>
      </w:pPr>
      <w:r>
        <w:rPr>
          <w:sz w:val="18"/>
        </w:rPr>
        <w:t>——————————————————————————————————————————————————————————————————————</w:t>
      </w:r>
    </w:p>
    <w:p>
      <w:pPr>
        <w:spacing w:before="160" w:after="40" w:line="240" w:lineRule="auto"/>
      </w:pPr>
      <w:r>
        <w:rPr>
          <w:b/>
        </w:rPr>
        <w:t xml:space="preserve">[534] </w:t>
      </w:r>
      <w:hyperlink r:id="rId854">
        <w:r>
          <w:rPr>
            <w:color w:val="1155CC"/>
            <w:u w:val="single"/>
          </w:rPr>
          <w:t>通过相继-催化剂-催化剂-aza-Heck循环结合反应,对双乙型热循环周期进行对抗选择性选择性快速组合</w:t>
        </w:r>
      </w:hyperlink>
    </w:p>
    <w:p>
      <w:pPr>
        <w:spacing w:before="0" w:after="80"/>
      </w:pPr>
      <w:r>
        <w:rPr>
          <w:i/>
          <w:sz w:val="20"/>
        </w:rPr>
        <w:t>EN: Enantioselective rapid assembly of bis-heterocycles by sequential palladium-catalyzed aza-Heck cyclization coupling reaction</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55">
        <w:r>
          <w:rPr>
            <w:color w:val="1155CC"/>
            <w:u w:val="single"/>
          </w:rPr>
          <w:t>10.1126/sciadv.aec1048</w:t>
        </w:r>
      </w:hyperlink>
    </w:p>
    <w:p>
      <w:pPr>
        <w:spacing w:before="0" w:after="120"/>
      </w:pPr>
      <w:r>
        <w:rPr>
          <w:b/>
        </w:rPr>
        <w:t xml:space="preserve">Notes: </w:t>
      </w:r>
      <w:r>
        <w:t>abstract_source=crossref</w:t>
      </w:r>
    </w:p>
    <w:p>
      <w:pPr>
        <w:spacing w:before="0" w:after="80" w:lineRule="auto" w:line="276"/>
      </w:pPr>
      <w:r>
        <w:rPr>
          <w:b/>
        </w:rPr>
        <w:t xml:space="preserve">摘要（ZH）: </w:t>
      </w:r>
      <w:r>
        <w:t>据报道,这是一个高效的催催化对准选择性丙酸乙烷-甲壳类 — — 催化的环化循环结合反应。 该协议允许多种途径接触与乙酰苯丙胺酮(Benofuran)和乙酰乙酰乙酰环化衍生物(Indole bit-heterocycle)相连的手淫异丁酮(Circal international commondization),这些衍生物具有高抗异性,产量高。 一种要求严格、电子含量丰富的(S-+)-1、1-Bi-2-Nathol(BINOL)-衍生磷酸酯(BINOL)对化学选择性和对应选择性都提供了极好的控制。 多种功能理论计算用于阐明反应机制和对等选择性的起源。 此外,这些双电子循环(S-hetrocycy)周期展示了有希望的抗微生物活动。</w:t>
      </w:r>
    </w:p>
    <w:p>
      <w:pPr>
        <w:spacing w:before="0" w:after="200" w:lineRule="auto" w:line="276"/>
      </w:pPr>
      <w:r>
        <w:rPr>
          <w:b/>
        </w:rPr>
        <w:t xml:space="preserve">Abstract (EN): </w:t>
      </w:r>
      <w:r>
        <w:t>A highly efficient palladium-catalyzed enantioselective aza-Heck–catalyzed cyclization coupling reaction of alkyne-tethered oxygen- and nitrogen-centered nucleophiles is reported. This protocol enables versatile access to chiral isoindolinone–linked benzofuran and indole bis-heterocyclic derivatives bearing a quaternary stereogenic center in good yields with high enantioselectivities. A sterically demanding, electron-rich (S)-(+)-1,1’-Bi-2-naphthol (BINOL)-derived phosphoramidite ligand provides excellent control over both chemoselectivity and enantioselectivity. Density functional theory calculations were used to elucidate the reaction mechanism and the origin of enantioselectivity. Moreover, these bis-heterocycles exhibited promising antimicrobial activity.</w:t>
      </w:r>
    </w:p>
    <w:p>
      <w:pPr>
        <w:spacing w:before="120" w:after="120"/>
      </w:pPr>
      <w:r>
        <w:rPr>
          <w:sz w:val="18"/>
        </w:rPr>
        <w:t>——————————————————————————————————————————————————————————————————————</w:t>
      </w:r>
    </w:p>
    <w:p>
      <w:pPr>
        <w:spacing w:before="160" w:after="40" w:line="240" w:lineRule="auto"/>
      </w:pPr>
      <w:r>
        <w:rPr>
          <w:b/>
        </w:rPr>
        <w:t xml:space="preserve">[535] </w:t>
      </w:r>
      <w:hyperlink r:id="rId856">
        <w:r>
          <w:rPr>
            <w:color w:val="1155CC"/>
            <w:u w:val="single"/>
          </w:rPr>
          <w:t>改进航帆船测量得出的空气-海洋二氧化碳通量估计数</w:t>
        </w:r>
      </w:hyperlink>
    </w:p>
    <w:p>
      <w:pPr>
        <w:spacing w:before="0" w:after="80"/>
      </w:pPr>
      <w:r>
        <w:rPr>
          <w:i/>
          <w:sz w:val="20"/>
        </w:rPr>
        <w:t>EN: Improved air-sea CO2 flux estimates from sailboat measurements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57">
        <w:r>
          <w:rPr>
            <w:color w:val="1155CC"/>
            <w:u w:val="single"/>
          </w:rPr>
          <w:t>10.1126/sciadv.adz1502</w:t>
        </w:r>
      </w:hyperlink>
    </w:p>
    <w:p>
      <w:pPr>
        <w:spacing w:before="0" w:after="120"/>
      </w:pPr>
      <w:r>
        <w:rPr>
          <w:b/>
        </w:rPr>
        <w:t xml:space="preserve">Notes: </w:t>
      </w:r>
      <w:r>
        <w:t>abstract_source=crossref</w:t>
      </w:r>
    </w:p>
    <w:p>
      <w:pPr>
        <w:spacing w:before="0" w:after="80" w:lineRule="auto" w:line="276"/>
      </w:pPr>
      <w:r>
        <w:rPr>
          <w:b/>
        </w:rPr>
        <w:t xml:space="preserve">摘要（ZH）: </w:t>
      </w:r>
      <w:r>
        <w:t>尽管在气候系统中十分重要,但偏远海洋区域及其吸收人为二氧化碳(CO2)的能力仍然极不确定。为解决这一问题,公民科学举措,包括帆船,扩大了观测网络。我们利用观测系统模拟和新颖的帆船轨道,展示了整合帆船数据如何改善海洋碳吸收估计。我们模仿现实世界取样时低估海洋碳汇,但增加现有帆船数据并不能大大改善重建。然而,增加的取样表明碳吸收汇较强,特别是40°S至60°S。改进始终存在假设的测量不确定性,但基本存在不确定性。</w:t>
      </w:r>
    </w:p>
    <w:p>
      <w:pPr>
        <w:spacing w:before="0" w:after="200" w:lineRule="auto" w:line="276"/>
      </w:pPr>
      <w:r>
        <w:rPr>
          <w:b/>
        </w:rPr>
        <w:t xml:space="preserve">Abstract (EN): </w:t>
      </w:r>
      <w:r>
        <w:t>Despite their importance in the climate system, remote ocean regions and their ability to absorb anthropogenic carbon dioxide (CO</w:t>
      </w:r>
      <w:r>
        <w:rPr>
          <w:vertAlign w:val="subscript"/>
        </w:rPr>
        <w:t>2</w:t>
      </w:r>
      <w:r>
        <w:t>) remain highly uncertain. To address this issue, citizen science initiatives, including sailboats, expand the observational network. Using observing system simulations and novel sailboat tracks, we demonstrate how integrating sailboat data improves estimates of ocean carbon uptake. While we underestimate the ocean carbon sink when mimicking real-world sampling, adding available sailboat data does not substantially improve reconstructions. Nevertheless, increased sampling reveals a stronger carbon sink, particularly between 40°S and 60°S. The improvement persists with hypothetical measurement uncertainties, but substantial differences arise depending on whether positive or negative biases are applied to the race track data. While we show that two additional circumnavigations already improve the ocean mean sink estimate, we further highlight the finding that the additional data remain insufficient to correct the overestimated CO</w:t>
      </w:r>
      <w:r>
        <w:rPr>
          <w:vertAlign w:val="subscript"/>
        </w:rPr>
        <w:t>2</w:t>
      </w:r>
      <w:r>
        <w:t>sink trend, calling for continuation of the ongoing data collection.</w:t>
      </w:r>
    </w:p>
    <w:p>
      <w:pPr>
        <w:spacing w:before="120" w:after="120"/>
      </w:pPr>
      <w:r>
        <w:rPr>
          <w:sz w:val="18"/>
        </w:rPr>
        <w:t>——————————————————————————————————————————————————————————————————————</w:t>
      </w:r>
    </w:p>
    <w:p>
      <w:pPr>
        <w:spacing w:before="160" w:after="40" w:line="240" w:lineRule="auto"/>
      </w:pPr>
      <w:r>
        <w:rPr>
          <w:b/>
        </w:rPr>
        <w:t xml:space="preserve">[536] </w:t>
      </w:r>
      <w:hyperlink r:id="rId858">
        <w:r>
          <w:rPr>
            <w:color w:val="1155CC"/>
            <w:u w:val="single"/>
          </w:rPr>
          <w:t>CSCl水力减少和增加机制的粘性减少和增加机制</w:t>
        </w:r>
      </w:hyperlink>
    </w:p>
    <w:p>
      <w:pPr>
        <w:spacing w:before="0" w:after="80"/>
      </w:pPr>
      <w:r>
        <w:rPr>
          <w:i/>
          <w:sz w:val="20"/>
        </w:rPr>
        <w:t>EN: Mechanisms of the viscosity decrease and increase of aqueous CsCl</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59">
        <w:r>
          <w:rPr>
            <w:color w:val="1155CC"/>
            <w:u w:val="single"/>
          </w:rPr>
          <w:t>10.1073/pnas.2531278123</w:t>
        </w:r>
      </w:hyperlink>
    </w:p>
    <w:p>
      <w:pPr>
        <w:spacing w:before="0" w:after="120"/>
      </w:pPr>
      <w:r>
        <w:rPr>
          <w:b/>
        </w:rPr>
        <w:t xml:space="preserve">Notes: </w:t>
      </w:r>
      <w:r>
        <w:t>abstract_source=crossref</w:t>
      </w:r>
    </w:p>
    <w:p>
      <w:pPr>
        <w:spacing w:before="0" w:after="80" w:lineRule="auto" w:line="276"/>
      </w:pPr>
      <w:r>
        <w:rPr>
          <w:b/>
        </w:rPr>
        <w:t xml:space="preserve">摘要（ZH）: </w:t>
      </w:r>
      <w:r>
        <w:t>水盐溶液在化学、生物学和地质学的许多方面都有水盐溶液。 水盐溶液的浓度增加会增加粘度。 相反,在水中添加碳化碳(Cscl)会降低粘度,但在中等浓度时会进一步增加。 虽然这一现象是众所周知的,但减少和增加的分子机制还没有得到阐明。 我们使用了超快光学超快光学异体外球(OHD-OKE)和IR泵-probe实验(OHD-OKE)和IR泵-probe实验(IR 泵-probe实验)以及密度功能理论来调查Cs + 离子对水动态、相互作用和结构的影响。 OHD-OKE实验表明,水氢联(H-bond)网络的动态支撑着面。</w:t>
      </w:r>
    </w:p>
    <w:p>
      <w:pPr>
        <w:spacing w:before="0" w:after="200" w:lineRule="auto" w:line="276"/>
      </w:pPr>
      <w:r>
        <w:rPr>
          <w:b/>
        </w:rPr>
        <w:t xml:space="preserve">Abstract (EN): </w:t>
      </w:r>
      <w:r>
        <w:t>Aqueous salt solutions occur in many aspects of chemistry, biology, and geology. Increasing the concentration of most aqueous salt solutions increases the viscosities. In contrast, adding CsCl to water initially decreases the viscosity, but at moderate concentration further addition increases it. While this phenomenon is well known, the molecular mechanisms for the reduction and increase have not been elucidated. We used ultrafast optical heterodyne–detected optical Kerr effect (OHD-OKE) and IR pump–probe experiments, as well as density functional theory to investigate the impact of Cs</w:t>
      </w:r>
      <w:r>
        <w:t xml:space="preserve"> </w:t>
      </w:r>
      <w:r>
        <w:t>+</w:t>
      </w:r>
      <w:r>
        <w:t xml:space="preserve"> </w:t>
      </w:r>
      <w:r>
        <w:t>ions on water dynamics, interactions, and structure. OHD-OKE experiments demonstrated that the dynamics of the water hydrogen bond (H-bond) network underpin the viscosity of CsCl solutions. Transient IR spectra of HOD in H</w:t>
      </w:r>
      <w:r>
        <w:rPr>
          <w:vertAlign w:val="subscript"/>
        </w:rPr>
        <w:t>2</w:t>
      </w:r>
      <w:r>
        <w:t>O interacting with Cs</w:t>
      </w:r>
      <w:r>
        <w:t xml:space="preserve"> </w:t>
      </w:r>
      <w:r>
        <w:t>+</w:t>
      </w:r>
      <w:r>
        <w:t xml:space="preserve"> </w:t>
      </w:r>
      <w:r>
        <w:t>showed a significant blue shift, a hallmark of hydrogen bonds weaker than those of pure water. Due to its low charge density, Cs</w:t>
      </w:r>
      <w:r>
        <w:t xml:space="preserve"> </w:t>
      </w:r>
      <w:r>
        <w:t>+</w:t>
      </w:r>
      <w:r>
        <w:t xml:space="preserve"> </w:t>
      </w:r>
      <w:r>
        <w:t>is distinct from high charge density cations, e.g., Na</w:t>
      </w:r>
      <w:r>
        <w:t xml:space="preserve"> </w:t>
      </w:r>
      <w:r>
        <w:t>+</w:t>
      </w:r>
      <w:r>
        <w:t xml:space="preserve"> </w:t>
      </w:r>
      <w:r>
        <w:t>and Li</w:t>
      </w:r>
      <w:r>
        <w:t xml:space="preserve"> </w:t>
      </w:r>
      <w:r>
        <w:t>+</w:t>
      </w:r>
      <w:r>
        <w:t xml:space="preserve"> </w:t>
      </w:r>
      <w:r>
        <w:t>, which have been observed to strengthen water hydrogen bonds and drive a large, monotonic increase in viscosity with concentration. The results showed that water hydrogen bonds in the Cs</w:t>
      </w:r>
      <w:r>
        <w:t xml:space="preserve"> </w:t>
      </w:r>
      <w:r>
        <w:t>+</w:t>
      </w:r>
      <w:r>
        <w:t xml:space="preserve"> </w:t>
      </w:r>
      <w:r>
        <w:t>second solvation shell are weaker than typical water–water hydrogen bonds, and these weak hydrogen bonds give rise to faster collective structural dynamics, leading to reduced viscosity. However, at sufficiently high salt concentrations, the low number of water molecules per ion pair leads to water clusters. Water confined in small clusters slows H-bond rearrangement, leading to an increase in viscosity.</w:t>
      </w:r>
    </w:p>
    <w:p>
      <w:pPr>
        <w:spacing w:before="120" w:after="120"/>
      </w:pPr>
      <w:r>
        <w:rPr>
          <w:sz w:val="18"/>
        </w:rPr>
        <w:t>——————————————————————————————————————————————————————————————————————</w:t>
      </w:r>
    </w:p>
    <w:p>
      <w:pPr>
        <w:spacing w:before="160" w:after="40" w:line="240" w:lineRule="auto"/>
      </w:pPr>
      <w:r>
        <w:rPr>
          <w:b/>
        </w:rPr>
        <w:t xml:space="preserve">[537] </w:t>
      </w:r>
      <w:hyperlink r:id="rId860">
        <w:r>
          <w:rPr>
            <w:color w:val="1155CC"/>
            <w:u w:val="single"/>
          </w:rPr>
          <w:t>M细胞依赖的同化吸收在Peyer的补丁中的T17细胞上产生脑膜诱导苯型。</w:t>
        </w:r>
      </w:hyperlink>
    </w:p>
    <w:p>
      <w:pPr>
        <w:spacing w:before="0" w:after="80"/>
      </w:pPr>
      <w:r>
        <w:rPr>
          <w:i/>
          <w:sz w:val="20"/>
        </w:rPr>
        <w:t>EN: M cell–dependent commensal uptake confers encephalitogenic phenotypes on γδT17 cells in Peyer’s patches</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61">
        <w:r>
          <w:rPr>
            <w:color w:val="1155CC"/>
            <w:u w:val="single"/>
          </w:rPr>
          <w:t>10.1073/pnas.2506550123</w:t>
        </w:r>
      </w:hyperlink>
    </w:p>
    <w:p>
      <w:pPr>
        <w:spacing w:before="0" w:after="120"/>
      </w:pPr>
      <w:r>
        <w:rPr>
          <w:b/>
        </w:rPr>
        <w:t xml:space="preserve">Notes: </w:t>
      </w:r>
      <w:r>
        <w:t>abstract_source=crossref</w:t>
      </w:r>
    </w:p>
    <w:p>
      <w:pPr>
        <w:spacing w:before="0" w:after="80" w:lineRule="auto" w:line="276"/>
      </w:pPr>
      <w:r>
        <w:rPr>
          <w:b/>
        </w:rPr>
        <w:t xml:space="preserve">摘要（ZH）: </w:t>
      </w:r>
      <w:r>
        <w:t>Interleukin-17生成的T细胞(T17细胞)在免疫调控中起着双重作用,既保护各种组织中的组织,又是自体免疫疾病(包括实验性自体免疫性脑脑炎(EAE),一种多发性硬质病的鼠用模型)的发炎反应管。然而,诱发脑硬化细胞的肿瘤学和累记(T17细胞)仍然不清楚。在本研究中,我们证明,T17细胞的细胞因微子细胞(M细胞)在皮耶尔的补丁中依赖吸收热细菌而形成。具体地说,CXCR6 hi VGQ6 + V1+ variant T17细胞被特定的切菌细菌(例如:CXCR6 hi VGQ6 + V1 + invariant T17细胞)激活。</w:t>
      </w:r>
    </w:p>
    <w:p>
      <w:pPr>
        <w:spacing w:before="0" w:after="200" w:lineRule="auto" w:line="276"/>
      </w:pPr>
      <w:r>
        <w:rPr>
          <w:b/>
        </w:rPr>
        <w:t xml:space="preserve">Abstract (EN): </w:t>
      </w:r>
      <w:r>
        <w:t>Interleukin-17-producing γδT cells (γδT17 cells) play a dual role in immune regulation, serving as both protectors in various tissues and orchestrators of inflammatory responses in autoimmune diseases, including experimental autoimmune encephalomyelitis (EAE), a rodent model of multiple sclerosis. However, the ontology and repertoires of encephalitogenic γδT17 cells remain unclear. In this study, we demonstrate that the encephalitogenicity of γδT17 cells is conferred through microfold cell (M cell)-dependent uptake of commensal bacteria in Peyer’s patches. Specifically, CXCR6</w:t>
      </w:r>
      <w:r>
        <w:t xml:space="preserve"> </w:t>
      </w:r>
      <w:r>
        <w:t>hi</w:t>
      </w:r>
      <w:r>
        <w:t xml:space="preserve"> </w:t>
      </w:r>
      <w:r>
        <w:t>Vγ6</w:t>
      </w:r>
      <w:r>
        <w:t xml:space="preserve"> </w:t>
      </w:r>
      <w:r>
        <w:t>+</w:t>
      </w:r>
      <w:r>
        <w:t xml:space="preserve"> </w:t>
      </w:r>
      <w:r>
        <w:t>Vδ1</w:t>
      </w:r>
      <w:r>
        <w:t xml:space="preserve"> </w:t>
      </w:r>
      <w:r>
        <w:t>+</w:t>
      </w:r>
      <w:r>
        <w:t xml:space="preserve"> </w:t>
      </w:r>
      <w:r>
        <w:t>invariant γδT17 cells are activated by specific commensal bacteria such as</w:t>
      </w:r>
      <w:r>
        <w:t xml:space="preserve"> </w:t>
      </w:r>
      <w:r>
        <w:t>Lactobacillus</w:t>
      </w:r>
      <w:r>
        <w:t xml:space="preserve"> </w:t>
      </w:r>
      <w:r>
        <w:t>spp., which stimulate TCR of CXCR6</w:t>
      </w:r>
      <w:r>
        <w:t xml:space="preserve"> </w:t>
      </w:r>
      <w:r>
        <w:t>hi</w:t>
      </w:r>
      <w:r>
        <w:t xml:space="preserve"> </w:t>
      </w:r>
      <w:r>
        <w:t>Vγ6</w:t>
      </w:r>
      <w:r>
        <w:t xml:space="preserve"> </w:t>
      </w:r>
      <w:r>
        <w:t>+</w:t>
      </w:r>
      <w:r>
        <w:t xml:space="preserve"> </w:t>
      </w:r>
      <w:r>
        <w:t>Vδ1</w:t>
      </w:r>
      <w:r>
        <w:t xml:space="preserve"> </w:t>
      </w:r>
      <w:r>
        <w:t>+</w:t>
      </w:r>
      <w:r>
        <w:t xml:space="preserve"> </w:t>
      </w:r>
      <w:r>
        <w:t>invariant γδT17 cells. During the early stages of EAE, γδT17 cells infiltrate the central nervous system (CNS), initiating a type 17 inflammatory response. Our findings illustrate that Peyer’s patch M cells serve as a critical bridge, linking the pathological association between commensal bacteria and the onset of CNS inflammation.</w:t>
      </w:r>
    </w:p>
    <w:p>
      <w:pPr>
        <w:spacing w:before="120" w:after="120"/>
      </w:pPr>
      <w:r>
        <w:rPr>
          <w:sz w:val="18"/>
        </w:rPr>
        <w:t>——————————————————————————————————————————————————————————————————————</w:t>
      </w:r>
    </w:p>
    <w:p>
      <w:pPr>
        <w:spacing w:before="160" w:after="40" w:line="240" w:lineRule="auto"/>
      </w:pPr>
      <w:r>
        <w:rPr>
          <w:b/>
        </w:rPr>
        <w:t xml:space="preserve">[538] </w:t>
      </w:r>
      <w:hyperlink r:id="rId862">
        <w:r>
          <w:rPr>
            <w:color w:val="1155CC"/>
            <w:u w:val="single"/>
          </w:rPr>
          <w:t>神经降解模型中错叠蛋白质的高度敏感染色光成像</w:t>
        </w:r>
      </w:hyperlink>
    </w:p>
    <w:p>
      <w:pPr>
        <w:spacing w:before="0" w:after="80"/>
      </w:pPr>
      <w:r>
        <w:rPr>
          <w:i/>
          <w:sz w:val="20"/>
        </w:rPr>
        <w:t>EN: Highly sensitive chemiluminescence imaging of misfolded proteins in neurodegenerative models</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63">
        <w:r>
          <w:rPr>
            <w:color w:val="1155CC"/>
            <w:u w:val="single"/>
          </w:rPr>
          <w:t>10.1073/pnas.2513311123</w:t>
        </w:r>
      </w:hyperlink>
    </w:p>
    <w:p>
      <w:pPr>
        <w:spacing w:before="0" w:after="120"/>
      </w:pPr>
      <w:r>
        <w:rPr>
          <w:b/>
        </w:rPr>
        <w:t xml:space="preserve">Notes: </w:t>
      </w:r>
      <w:r>
        <w:t>abstract_source=crossref</w:t>
      </w:r>
    </w:p>
    <w:p>
      <w:pPr>
        <w:spacing w:before="0" w:after="80" w:lineRule="auto" w:line="276"/>
      </w:pPr>
      <w:r>
        <w:rPr>
          <w:b/>
        </w:rPr>
        <w:t xml:space="preserve">摘要（ZH）: </w:t>
      </w:r>
      <w:r>
        <w:t>脑中的蛋白质分解错误是神经降解性疾病的一个重要病理特征。疾病模型中错叠蛋白质的光学成像对于解析病理学和早期诊断至关重要。然而,为每个错叠蛋白质开发特定的光成像探测器既耗时又具有挑战性,使许多病理目标没有有效的检测工具,特别是在活体成像中。在这里,我们提出了一个双模色染色光化战略,能够使用单一的检测平台对错叠蛋白进行普通和特定检测。在通用模式中,我们证明ADLumin-1,一个彩色发光探测器,能够非常敏感地探测体外的各种错叠蛋白,比Thioflavi达到128倍的信号增强度。</w:t>
      </w:r>
    </w:p>
    <w:p>
      <w:pPr>
        <w:spacing w:before="0" w:after="200" w:lineRule="auto" w:line="276"/>
      </w:pPr>
      <w:r>
        <w:rPr>
          <w:b/>
        </w:rPr>
        <w:t xml:space="preserve">Abstract (EN): </w:t>
      </w:r>
      <w:r>
        <w:t>Protein misfolding in the brain is a key pathological hallmark of neurodegenerative diseases. Optical imaging of misfolded proteins in disease models is essential for elucidating etiology and early diagnosis. However, developing specific optical imaging probes for each misfolded protein is time-consuming and challenging, leaving many pathological targets without effective detection tools, especially for in vivo imaging. Here, we present a dual-mode chemiluminescence strategy that enables both generic and specific detection of misfolded proteins using a single probe platform. In the generic mode, we demonstrate that ADLumin-1, a chemiluminescent probe, enables highly sensitive detection of diverse misfolded proteins in vitro, achieving up to 128-fold higher signal enhancement than Thioflavin T, and allows noninvasive imaging in mice models of Parkinson’s disease, Alzheimer’s disease, and amyotrophic lateral sclerosis. In the specific mode, ADLumin-1 combined with protein misfolding cyclic amplification allows femtomolar-level detection of α-synuclein in cerebrospinal fluid, while integration with a bio-orthogonal chemiluminescence resonance energy transfer technique enables in vivo discrimination of α-synuclein from Aβ. This dual-mode, modular approach offers a practical solution to the current probe limitations, with potential preclinical and clinical applications in neurodegenerative disorders.</w:t>
      </w:r>
    </w:p>
    <w:p>
      <w:pPr>
        <w:spacing w:before="120" w:after="120"/>
      </w:pPr>
      <w:r>
        <w:rPr>
          <w:sz w:val="18"/>
        </w:rPr>
        <w:t>——————————————————————————————————————————————————————————————————————</w:t>
      </w:r>
    </w:p>
    <w:p>
      <w:pPr>
        <w:spacing w:before="160" w:after="40" w:line="240" w:lineRule="auto"/>
      </w:pPr>
      <w:r>
        <w:rPr>
          <w:b/>
        </w:rPr>
        <w:t xml:space="preserve">[539] </w:t>
      </w:r>
      <w:hyperlink r:id="rId864">
        <w:r>
          <w:rPr>
            <w:color w:val="1155CC"/>
            <w:u w:val="single"/>
          </w:rPr>
          <w:t>极端火灾天气对二氧化碳减排和基本机制的反应</w:t>
        </w:r>
      </w:hyperlink>
    </w:p>
    <w:p>
      <w:pPr>
        <w:spacing w:before="0" w:after="80"/>
      </w:pPr>
      <w:r>
        <w:rPr>
          <w:i/>
          <w:sz w:val="20"/>
        </w:rPr>
        <w:t>EN: Responses of extreme fire weather to CO2 emission reductions and underlying mechanisms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65">
        <w:r>
          <w:rPr>
            <w:color w:val="1155CC"/>
            <w:u w:val="single"/>
          </w:rPr>
          <w:t>10.1126/sciadv.adw4705</w:t>
        </w:r>
      </w:hyperlink>
    </w:p>
    <w:p>
      <w:pPr>
        <w:spacing w:before="0" w:after="120"/>
      </w:pPr>
      <w:r>
        <w:rPr>
          <w:b/>
        </w:rPr>
        <w:t xml:space="preserve">Notes: </w:t>
      </w:r>
      <w:r>
        <w:t>abstract_source=crossref</w:t>
      </w:r>
    </w:p>
    <w:p>
      <w:pPr>
        <w:spacing w:before="0" w:after="80" w:lineRule="auto" w:line="276"/>
      </w:pPr>
      <w:r>
        <w:rPr>
          <w:b/>
        </w:rPr>
        <w:t xml:space="preserve">摘要（ZH）: </w:t>
      </w:r>
      <w:r>
        <w:t>虽然先前的研究报告说,在全球变暖假设情景下,未来火灾天气有所增加,但对于在减缓设想情景下如何演变仍然认识有限,使用理想化的排放驱动气候模拟,本分析审查了净零排放(零排放)和净负负排放(净负排放)假设情景下极端火灾天气条件的变化。与二氧化碳峰值水平相比,NegE假设情景在减少火灾危险方面取得了显著进展,特别是在气候高度火灾危险区域,因为气温较低,相对湿度增加。相比之下,零排放假设情景在全球,特别是在北部低纬度区域,造成火灾危险增加。</w:t>
      </w:r>
    </w:p>
    <w:p>
      <w:pPr>
        <w:spacing w:before="0" w:after="200" w:lineRule="auto" w:line="276"/>
      </w:pPr>
      <w:r>
        <w:rPr>
          <w:b/>
        </w:rPr>
        <w:t xml:space="preserve">Abstract (EN): </w:t>
      </w:r>
      <w:r>
        <w:t>While previous studies have reported an increase in future fire weather under global warming scenarios, there is still a limited understanding on how it may evolve under mitigation scenarios. Using idealized emission-driven climate simulations, this analysis examines changes in the extreme fire weather conditions under net-zero emission (ZeroE) and net-negative emission (NegE) scenarios. Compared to peak CO</w:t>
      </w:r>
      <w:r>
        <w:rPr>
          <w:vertAlign w:val="subscript"/>
        </w:rPr>
        <w:t>2</w:t>
      </w:r>
      <w:r>
        <w:t>levels, the NegE scenario achieves substantially greater fire danger mitigation, particularly in climatologically high-fire-danger regions, because of lower temperatures and increased relative humidity. In contrast, the ZeroE scenario leaves fire danger elevated globally, especially in Northern low-latitude regions. Regional responses are shaped by differences in atmospheric moisture supply, influenced by changes in the strength of the Atlantic meridional overturning circulation and the latitudinal position of the intertropical convergence zone. These findings highlight the crucial role of aggressive CO</w:t>
      </w:r>
      <w:r>
        <w:rPr>
          <w:vertAlign w:val="subscript"/>
        </w:rPr>
        <w:t>2</w:t>
      </w:r>
      <w:r>
        <w:t>removal strategies in mitigating fire weather dangers and underscore the limitations of ZeroEs alone in addressing global wildfire challenges.</w:t>
      </w:r>
    </w:p>
    <w:p>
      <w:pPr>
        <w:spacing w:before="120" w:after="120"/>
      </w:pPr>
      <w:r>
        <w:rPr>
          <w:sz w:val="18"/>
        </w:rPr>
        <w:t>——————————————————————————————————————————————————————————————————————</w:t>
      </w:r>
    </w:p>
    <w:p>
      <w:pPr>
        <w:spacing w:before="160" w:after="40" w:line="240" w:lineRule="auto"/>
      </w:pPr>
      <w:r>
        <w:rPr>
          <w:b/>
        </w:rPr>
        <w:t xml:space="preserve">[540] </w:t>
      </w:r>
      <w:hyperlink r:id="rId866">
        <w:r>
          <w:rPr>
            <w:color w:val="1155CC"/>
            <w:u w:val="single"/>
          </w:rPr>
          <w:t>序列选择性动态债券类似阶段过渡的行为</w:t>
        </w:r>
      </w:hyperlink>
    </w:p>
    <w:p>
      <w:pPr>
        <w:spacing w:before="0" w:after="80"/>
      </w:pPr>
      <w:r>
        <w:rPr>
          <w:i/>
          <w:sz w:val="20"/>
        </w:rPr>
        <w:t>EN: Phase-transition-like behaviors of sequence-selective dynamic bonds</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67">
        <w:r>
          <w:rPr>
            <w:color w:val="1155CC"/>
            <w:u w:val="single"/>
          </w:rPr>
          <w:t>10.1073/pnas.2514117123</w:t>
        </w:r>
      </w:hyperlink>
    </w:p>
    <w:p>
      <w:pPr>
        <w:spacing w:before="0" w:after="120"/>
      </w:pPr>
      <w:r>
        <w:rPr>
          <w:b/>
        </w:rPr>
        <w:t xml:space="preserve">Notes: </w:t>
      </w:r>
      <w:r>
        <w:t>abstract_source=crossref</w:t>
      </w:r>
    </w:p>
    <w:p>
      <w:pPr>
        <w:spacing w:before="0" w:after="80" w:lineRule="auto" w:line="276"/>
      </w:pPr>
      <w:r>
        <w:rPr>
          <w:b/>
        </w:rPr>
        <w:t xml:space="preserve">摘要（ZH）: </w:t>
      </w:r>
      <w:r>
        <w:t>序列选择性动态债券(SSDBs)在DNA、蛋白质和合成序列定义的寡头动物等各种自然和人造系统中是无处不在的,无处不在。这种债券类别的具体和动态性质使得编码链接者能够自行编程范围广泛的构件。然而,由于实验性的挑战,多个SSDB以可编程的自组形式产生的集体行为仍然难以捉摸。在这里,我们通过分析理论支持的模拟分析SSDB混合的热动力特性和动能路径,处理广泛适用的序列选择相互作用案例。我们的结果显示,SSDB连接者与某些旋转自由的混合可能会导致阶段过渡式的行为,</w:t>
      </w:r>
    </w:p>
    <w:p>
      <w:pPr>
        <w:spacing w:before="0" w:after="200" w:lineRule="auto" w:line="276"/>
      </w:pPr>
      <w:r>
        <w:rPr>
          <w:b/>
        </w:rPr>
        <w:t xml:space="preserve">Abstract (EN): </w:t>
      </w:r>
      <w:r>
        <w:t>Sequence-selective dynamic bonds (SSDBs) are ubiquitous in nature and man-made systems as diverse as DNA, proteins, and synthetic sequence-defined oligomers. The specific and dynamic nature of this class of bonds enables encoded linkers to program the self-assembly of a broad range of building blocks. However, the possible collective behavior emerging from multiple SSDBs in programmable self-assembly remains elusive, due to experimental challenges. Here, we analyze the thermodynamic properties and kinetic pathways of SSDB hybridization through simulations supported by analytical theories, treating widely applicable cases of sequence-selective interactions. Our results reveal that the hybridization of SSDB linkers with certain rotational freedom can result in phase-transition-like behavior, which dictates the stability and the spontaneous transitions of typical states. In particular, there exists a metastable intermediate that plays a critical role in the thermally active hybridization facilitated by entropy, in contrast to normal dynamic bonds. We demonstrate that such a unique characteristic of thermodynamics causes stepwise kinetics of SSDB hybridization and hence anomalous diffusion of particles functionalized with SSDB linkers. Our work suggests that the presence of collective effect and phase-transition-like behavior may well be the crucial feature that guides larger scale ordering and dynamics in diverse systems of multiple SSDBs.</w:t>
      </w:r>
    </w:p>
    <w:p>
      <w:pPr>
        <w:spacing w:before="120" w:after="120"/>
      </w:pPr>
      <w:r>
        <w:rPr>
          <w:sz w:val="18"/>
        </w:rPr>
        <w:t>——————————————————————————————————————————————————————————————————————</w:t>
      </w:r>
    </w:p>
    <w:p>
      <w:pPr>
        <w:spacing w:before="160" w:after="40" w:line="240" w:lineRule="auto"/>
      </w:pPr>
      <w:r>
        <w:rPr>
          <w:b/>
        </w:rPr>
        <w:t xml:space="preserve">[541] </w:t>
      </w:r>
      <w:hyperlink r:id="rId868">
        <w:r>
          <w:rPr>
            <w:color w:val="1155CC"/>
            <w:u w:val="single"/>
          </w:rPr>
          <w:t>系统识别驱动细胞和组织恢复活力的单一转录因子扰动</w:t>
        </w:r>
      </w:hyperlink>
    </w:p>
    <w:p>
      <w:pPr>
        <w:spacing w:before="0" w:after="80"/>
      </w:pPr>
      <w:r>
        <w:rPr>
          <w:i/>
          <w:sz w:val="20"/>
        </w:rPr>
        <w:t>EN: Systematic identification of single transcription factor perturbations that drive cellular and tissue rejuvenation</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69">
        <w:r>
          <w:rPr>
            <w:color w:val="1155CC"/>
            <w:u w:val="single"/>
          </w:rPr>
          <w:t>10.1073/pnas.2515183123</w:t>
        </w:r>
      </w:hyperlink>
    </w:p>
    <w:p>
      <w:pPr>
        <w:spacing w:before="0" w:after="120"/>
      </w:pPr>
      <w:r>
        <w:rPr>
          <w:b/>
        </w:rPr>
        <w:t xml:space="preserve">Notes: </w:t>
      </w:r>
      <w:r>
        <w:t>abstract_source=crossref</w:t>
      </w:r>
    </w:p>
    <w:p>
      <w:pPr>
        <w:spacing w:before="0" w:after="80" w:lineRule="auto" w:line="276"/>
      </w:pPr>
      <w:r>
        <w:rPr>
          <w:b/>
        </w:rPr>
        <w:t xml:space="preserve">摘要（ZH）: </w:t>
      </w:r>
      <w:r>
        <w:t>通过转录重新编程进行细胞再生是一种令人振奋的应对老龄化的方法。我们利用基于纤维的人类细胞衰老和周期性等值筛查模式,开发了一种系统化的方法,以识别单一转录因(TF)扰动因素,促进无差别的再生。过分表情E2F3 或 EZH2,压制STAT3 或 ZFX, 不断老化扩散、蛋白stacis 和 mitochondrial 活动的反向细胞标志,同时减少异性反应。在老老鼠体内恢复肝脏的 EZH2 过度表情,扭转与老化相关的基因表达特征,减少胃硬化和纤维化,改善葡萄糖的耐受性。机械性、单一的TF突扰动导致下游转录成方案趋同。</w:t>
      </w:r>
    </w:p>
    <w:p>
      <w:pPr>
        <w:spacing w:before="0" w:after="200" w:lineRule="auto" w:line="276"/>
      </w:pPr>
      <w:r>
        <w:rPr>
          <w:b/>
        </w:rPr>
        <w:t xml:space="preserve">Abstract (EN): </w:t>
      </w:r>
      <w:r>
        <w:t>Cellular rejuvenation through transcriptional reprogramming is an exciting approach to counter aging. Using a fibroblast-based model of human cell aging and Perturb-seq screening, we developed a systematic approach to identify single transcription factor (TF) perturbations that promote rejuvenation without dedifferentiation. Overexpressing E2F3 or EZH2, and repressing STAT3 or ZFX, reversed cellular hallmarks of aging—increasing proliferation, proteostasis, and mitochondrial activity, while decreasing senescence. EZH2 overexpression in vivo rejuvenated livers in aged mice, reversing aging-associated gene expression profiles, decreasing steatosis and fibrosis, and improving glucose tolerance. Mechanistically, single TF perturbations led to convergent downstream transcriptional programs conserved in different aging and rejuvenation models. These results suggest a shared set of molecular requirements for cellular and tissue rejuvenation across species.</w:t>
      </w:r>
    </w:p>
    <w:p>
      <w:pPr>
        <w:spacing w:before="120" w:after="120"/>
      </w:pPr>
      <w:r>
        <w:rPr>
          <w:sz w:val="18"/>
        </w:rPr>
        <w:t>——————————————————————————————————————————————————————————————————————</w:t>
      </w:r>
    </w:p>
    <w:p>
      <w:pPr>
        <w:spacing w:before="160" w:after="40" w:line="240" w:lineRule="auto"/>
      </w:pPr>
      <w:r>
        <w:rPr>
          <w:b/>
        </w:rPr>
        <w:t xml:space="preserve">[542] </w:t>
      </w:r>
      <w:hyperlink r:id="rId870">
        <w:r>
          <w:rPr>
            <w:color w:val="1155CC"/>
            <w:u w:val="single"/>
          </w:rPr>
          <w:t>发展调节Erk 信号通过天线动脉的信号</w:t>
        </w:r>
      </w:hyperlink>
    </w:p>
    <w:p>
      <w:pPr>
        <w:spacing w:before="0" w:after="80"/>
      </w:pPr>
      <w:r>
        <w:rPr>
          <w:i/>
          <w:sz w:val="20"/>
        </w:rPr>
        <w:t>EN: Developmental regulation of Erk signaling by mitotic kinases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71">
        <w:r>
          <w:rPr>
            <w:color w:val="1155CC"/>
            <w:u w:val="single"/>
          </w:rPr>
          <w:t>10.1126/sciadv.adq7469</w:t>
        </w:r>
      </w:hyperlink>
    </w:p>
    <w:p>
      <w:pPr>
        <w:spacing w:before="0" w:after="120"/>
      </w:pPr>
      <w:r>
        <w:rPr>
          <w:b/>
        </w:rPr>
        <w:t xml:space="preserve">Notes: </w:t>
      </w:r>
      <w:r>
        <w:t>abstract_source=crossref</w:t>
      </w:r>
    </w:p>
    <w:p>
      <w:pPr>
        <w:spacing w:before="0" w:after="80" w:lineRule="auto" w:line="276"/>
      </w:pPr>
      <w:r>
        <w:rPr>
          <w:b/>
        </w:rPr>
        <w:t xml:space="preserve">摘要（ZH）: </w:t>
      </w:r>
      <w:r>
        <w:t>在微粒胚胎生长的边缘植入阶段,癫痫迅速扩散,并进行缩进。与此同时,植入前多功能状态转变为更发达的预加固状态。虽然广泛的研究已经揭示了细胞外源信号,这些信号可以引导发展,如Fgf/Mek/Erk路径,但内在细胞暗示的潜在相互作用基本上仍未探索。为了解决这个问题,我们利用一个突变体体外模型进行了全面的眼部屏幕。我们确定极光A是细胞内分泌因素,有助于Erk的激活和转录反应。因此,抑制极光拉动能活动延缓了天体外线的退出。</w:t>
      </w:r>
    </w:p>
    <w:p>
      <w:pPr>
        <w:spacing w:before="0" w:after="200" w:lineRule="auto" w:line="276"/>
      </w:pPr>
      <w:r>
        <w:rPr>
          <w:b/>
        </w:rPr>
        <w:t xml:space="preserve">Abstract (EN): </w:t>
      </w:r>
      <w:r>
        <w:t>During the peri-implantation phase of murine embryogenesis, the epiblast proliferates rapidly and undergoes epithelialization. At the same time, the preimplantation pluripotent state transforms into a more developmentally advanced, pregastrulation state. While extensive research has elucidated cell-extrinsic signals that direct the developmental progression, such as the Fgf/Mek/Erk pathway, the potential interplay of intrinsic cellular cues remains largely unexplored. To address this, we conducted a comprehensive phenotypic screen using an in vitro model of epiblast development. We identified aurora kinase A as a cell-intrinsic factor contributing to Erk activation and transcriptional response. Consequently, suppressing aurora kinase A activity delayed exit from naïve pluripotency. Moreover, our results show that upon entry into mitosis, Erk relocates to the cell division machinery. We found that in dividing cells, a fraction of Erk, with yet elusive functions, localizes on the centrosomes, where its phosphorylation depends on polo-like kinase 1.</w:t>
      </w:r>
    </w:p>
    <w:p>
      <w:pPr>
        <w:spacing w:before="120" w:after="120"/>
      </w:pPr>
      <w:r>
        <w:rPr>
          <w:sz w:val="18"/>
        </w:rPr>
        <w:t>——————————————————————————————————————————————————————————————————————</w:t>
      </w:r>
    </w:p>
    <w:p>
      <w:pPr>
        <w:spacing w:before="160" w:after="40" w:line="240" w:lineRule="auto"/>
      </w:pPr>
      <w:r>
        <w:rPr>
          <w:b/>
        </w:rPr>
        <w:t xml:space="preserve">[543] </w:t>
      </w:r>
      <w:hyperlink r:id="rId872">
        <w:r>
          <w:rPr>
            <w:color w:val="1155CC"/>
            <w:u w:val="single"/>
          </w:rPr>
          <w:t>Freitas等人的更正,Baleen鲸鱼在整个空间和时间对海洋初级生产的影响</w:t>
        </w:r>
      </w:hyperlink>
    </w:p>
    <w:p>
      <w:pPr>
        <w:spacing w:before="0" w:after="80"/>
      </w:pPr>
      <w:r>
        <w:rPr>
          <w:i/>
          <w:sz w:val="20"/>
        </w:rPr>
        <w:t>EN: Correction for Freitas et al., Impact of baleen whales on ocean primary production across space and time</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73">
        <w:r>
          <w:rPr>
            <w:color w:val="1155CC"/>
            <w:u w:val="single"/>
          </w:rPr>
          <w:t>10.1073/pnas.2537419123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[544] </w:t>
      </w:r>
      <w:hyperlink r:id="rId874">
        <w:r>
          <w:rPr>
            <w:color w:val="1155CC"/>
            <w:u w:val="single"/>
          </w:rPr>
          <w:t>静静和动态的粗能景观 可能导致相同的差异性</w:t>
        </w:r>
      </w:hyperlink>
    </w:p>
    <w:p>
      <w:pPr>
        <w:spacing w:before="0" w:after="80"/>
      </w:pPr>
      <w:r>
        <w:rPr>
          <w:i/>
          <w:sz w:val="20"/>
        </w:rPr>
        <w:t>EN: Static and dynamic rough energy landscapes can lead to identical diffusivity</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75">
        <w:r>
          <w:rPr>
            <w:color w:val="1155CC"/>
            <w:u w:val="single"/>
          </w:rPr>
          <w:t>10.1073/pnas.2516241123</w:t>
        </w:r>
      </w:hyperlink>
    </w:p>
    <w:p>
      <w:pPr>
        <w:spacing w:before="0" w:after="120"/>
      </w:pPr>
      <w:r>
        <w:rPr>
          <w:b/>
        </w:rPr>
        <w:t xml:space="preserve">Notes: </w:t>
      </w:r>
      <w:r>
        <w:t>abstract_source=crossref</w:t>
      </w:r>
    </w:p>
    <w:p>
      <w:pPr>
        <w:spacing w:before="0" w:after="80" w:lineRule="auto" w:line="276"/>
      </w:pPr>
      <w:r>
        <w:rPr>
          <w:b/>
        </w:rPr>
        <w:t xml:space="preserve">摘要（ZH）: </w:t>
      </w:r>
      <w:r>
        <w:t>生物细胞等稠密环境中的分子受到时间和空间上波动的力量的影响。 尽管Lifson-Jackson-Zwanzig的“潜在扩散粗可能性”模型捕捉了空间波动,但时间波动往往被视为导致额外的摩擦效应,目前缺乏一种环境在时间和空间上波动的统一观点。在这里,我们引入了一种在时间和空间上波动的地貌的离散状态模型。 重要的是,模型说明了挥发粒子与地貌的相互作用,从而改变了地貌动态。 令人惊讶的是,我们发现观测动态的许多特征并不取决于时间波动的时间尺度和时间尺度。</w:t>
      </w:r>
    </w:p>
    <w:p>
      <w:pPr>
        <w:spacing w:before="0" w:after="200" w:lineRule="auto" w:line="276"/>
      </w:pPr>
      <w:r>
        <w:rPr>
          <w:b/>
        </w:rPr>
        <w:t xml:space="preserve">Abstract (EN): </w:t>
      </w:r>
      <w:r>
        <w:t>Molecules in dense environments, such as biological cells, are subjected to forces that fluctuate both in time and in space. While spatial fluctuations are captured by Lifson-Jackson-Zwanzig’s model of “diffusion in a rough potential,” and temporal fluctuations are often viewed as leading to additional friction effects, a unified view where the environment fluctuates both in time and in space is currently lacking. Here, we introduce a discrete-state model of a landscape fluctuating both in time and in space. Importantly, the model accounts for the reciprocal interaction of the diffusing particle with the landscape, which alters the landscape dynamics. As a result we find, surprisingly, that many features of the observable dynamics do not depend on the temporal fluctuation timescales and are already captured by the model of diffusion in a rough potential, even though this assumes a static energy landscape. Using this model, we reevaluate results of several experimental studies of protein dynamics and propose more accurate bounds on the inferred energetic roughness scales, which account for landscape dynamics.</w:t>
      </w:r>
    </w:p>
    <w:p>
      <w:pPr>
        <w:spacing w:before="120" w:after="120"/>
      </w:pPr>
      <w:r>
        <w:rPr>
          <w:sz w:val="18"/>
        </w:rPr>
        <w:t>——————————————————————————————————————————————————————————————————————</w:t>
      </w:r>
    </w:p>
    <w:p>
      <w:pPr>
        <w:spacing w:before="160" w:after="40" w:line="240" w:lineRule="auto"/>
      </w:pPr>
      <w:r>
        <w:rPr>
          <w:b/>
        </w:rPr>
        <w:t xml:space="preserve">[545] </w:t>
      </w:r>
      <w:hyperlink r:id="rId876">
        <w:r>
          <w:rPr>
            <w:color w:val="1155CC"/>
            <w:u w:val="single"/>
          </w:rPr>
          <w:t>人类小脑的中尺度成像显示,其形态学、血管学和细胞结构学的区域专业化正在趋于一致。</w:t>
        </w:r>
      </w:hyperlink>
    </w:p>
    <w:p>
      <w:pPr>
        <w:spacing w:before="0" w:after="80"/>
      </w:pPr>
      <w:r>
        <w:rPr>
          <w:i/>
          <w:sz w:val="20"/>
        </w:rPr>
        <w:t>EN: Mesoscale imaging of the human cerebellum reveals converging regional specialization of its morphology, vasculature, and cytoarchitecture</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77">
        <w:r>
          <w:rPr>
            <w:color w:val="1155CC"/>
            <w:u w:val="single"/>
          </w:rPr>
          <w:t>10.1073/pnas.2516608123</w:t>
        </w:r>
      </w:hyperlink>
    </w:p>
    <w:p>
      <w:pPr>
        <w:spacing w:before="0" w:after="120"/>
      </w:pPr>
      <w:r>
        <w:rPr>
          <w:b/>
        </w:rPr>
        <w:t xml:space="preserve">Notes: </w:t>
      </w:r>
      <w:r>
        <w:t>abstract_source=crossref</w:t>
      </w:r>
    </w:p>
    <w:p>
      <w:pPr>
        <w:spacing w:before="0" w:after="80" w:lineRule="auto" w:line="276"/>
      </w:pPr>
      <w:r>
        <w:rPr>
          <w:b/>
        </w:rPr>
        <w:t xml:space="preserve">摘要（ZH）: </w:t>
      </w:r>
      <w:r>
        <w:t>尽管大脑大部分神经元都包含着骨骼心脑皮层,但由于大脑的极折和细薄的拉米纳结构结构,大脑体内的特征仍然很差。在这里,我们展示了一个基于平行传输、运动修正、超高场(7T)MRI的高分辨率成像框架,该成像框架与一个自动的、解剖上忠实的宫内分解管道相配。这样就可以对活体中以前无法进入的尺度上的小脑形态和血管结构进行详细量化,并经过尸检数据的验证。我们运用这个框架,在皮层厚度和血管分层中发现了一致的地表层间异质。这些空间梯度与3D-历史数据中的颗粒层差异有关。我们的调查结果表明,这些空间梯度与3D-历史数据之间存在差异。</w:t>
      </w:r>
    </w:p>
    <w:p>
      <w:pPr>
        <w:spacing w:before="0" w:after="200" w:lineRule="auto" w:line="276"/>
      </w:pPr>
      <w:r>
        <w:rPr>
          <w:b/>
        </w:rPr>
        <w:t xml:space="preserve">Abstract (EN): </w:t>
      </w:r>
      <w:r>
        <w:t>The human cerebellar cortex, despite containing the majority of the brain’s neurons, remains poorly characterized in vivo due to its extreme folding and thin laminar architecture. Here, we present a high-resolution imaging framework based on parallel-transmit, motion-corrected, ultra-high-field (7T) MRI paired with an automated, anatomically faithful cerebellar segmentation pipeline. This enables detailed quantification of cerebellar morphology and vascular architecture at scales previously inaccessible in living humans, as validated with postmortem data. Applying this framework, we uncover consistent interlobular heterogeneity in both cortical thickness and vascularization. These spatial gradients relate to differences in the granular layer from 3D-histology data. Our findings suggest that the cerebellar granular layer may act as a structural determinant of vascular density, linking anatomical features with metabolic load. These findings align cerebellar structure–function relationships with similar findings in the neocortex, where morphology reflects functional specialization and energy consumption. Our results also suggest that the in vivo imaging biomarkers we derive may offer broad avenues to monitor cerebellar involvement in neurological diseases such as multiple sclerosis, where granular layer pathology is prominent. Our study provides both insights into cerebellar organization and a toolset for studying cerebellar contributions to cognition and pathology.</w:t>
      </w:r>
    </w:p>
    <w:p>
      <w:pPr>
        <w:spacing w:before="120" w:after="120"/>
      </w:pPr>
      <w:r>
        <w:rPr>
          <w:sz w:val="18"/>
        </w:rPr>
        <w:t>——————————————————————————————————————————————————————————————————————</w:t>
      </w:r>
    </w:p>
    <w:p>
      <w:pPr>
        <w:spacing w:before="160" w:after="40" w:line="240" w:lineRule="auto"/>
      </w:pPr>
      <w:r>
        <w:rPr>
          <w:b/>
        </w:rPr>
        <w:t xml:space="preserve">[546] </w:t>
      </w:r>
      <w:hyperlink r:id="rId878">
        <w:r>
          <w:rPr>
            <w:color w:val="1155CC"/>
            <w:u w:val="single"/>
          </w:rPr>
          <w:t>生态系统重大转型的催化和抑制因素</w:t>
        </w:r>
      </w:hyperlink>
    </w:p>
    <w:p>
      <w:pPr>
        <w:spacing w:before="0" w:after="80"/>
      </w:pPr>
      <w:r>
        <w:rPr>
          <w:i/>
          <w:sz w:val="20"/>
        </w:rPr>
        <w:t>EN: Catalysts and inhibitors of critical transitions in ecological systems</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79">
        <w:r>
          <w:rPr>
            <w:color w:val="1155CC"/>
            <w:u w:val="single"/>
          </w:rPr>
          <w:t>10.1073/pnas.2516856122</w:t>
        </w:r>
      </w:hyperlink>
    </w:p>
    <w:p>
      <w:pPr>
        <w:spacing w:before="0" w:after="120"/>
      </w:pPr>
      <w:r>
        <w:rPr>
          <w:b/>
        </w:rPr>
        <w:t xml:space="preserve">Notes: </w:t>
      </w:r>
      <w:r>
        <w:t>abstract_source=crossref</w:t>
      </w:r>
    </w:p>
    <w:p>
      <w:pPr>
        <w:spacing w:before="0" w:after="80" w:lineRule="auto" w:line="276"/>
      </w:pPr>
      <w:r>
        <w:rPr>
          <w:b/>
        </w:rPr>
        <w:t xml:space="preserve">摘要（ZH）: </w:t>
      </w:r>
      <w:r>
        <w:t>生态系统可能经历突如其来的、往往是不可逆转的制度变化,也称为关键的过渡,其重大后果如荒漠化、蝗虫爆发和珊瑚礁崩溃。预测这些转变是一个中心挑战,特别是在加速气候变化的情况下。虽然已经广泛研究了重大过渡的预警信号,但驱动或防止这些转变的机制仍然不太为人所熟知。在这里,我们根据时间滞后的动态发展了一个理论框架,使我们能够确定作为生态系统重大过渡的催化剂或抑制因素的各种进程。我们表明,将过时物种与物种丰富性相互作用结合起来的综合措施是关键过渡的关键调控器。</w:t>
      </w:r>
    </w:p>
    <w:p>
      <w:pPr>
        <w:spacing w:before="0" w:after="200" w:lineRule="auto" w:line="276"/>
      </w:pPr>
      <w:r>
        <w:rPr>
          <w:b/>
        </w:rPr>
        <w:t xml:space="preserve">Abstract (EN): </w:t>
      </w:r>
      <w:r>
        <w:t>Ecological systems can experience sudden and often irreversible regime shifts, also known as critical transitions, with major consequences such as desertification, locust outbreaks, and coral reef collapse. Anticipating these shifts is a central challenge, particularly under accelerating climate change. Although early warning signals of critical transitions have been widely studied, the mechanisms that drive or prevent them remain less well understood. Here, we develop a theoretical framework based on time-delayed dynamics that allows us to identify processes acting as catalysts or inhibitors of critical transitions in ecological systems. We show that a composite measure combining time-delayed species interactions with species abundances is a key modulator of critical transitions. Beyond the critical point, systems exhibit persistent abundance oscillations, substantially increasing the risk of large-scale destabilization and species extinctions. Additionally, we show that a high diversity of species interaction types can act as a buffer of critical transitions. Instead, strong species self-regulation effects can act as catalysts of such transitions, contrary to common expectations. We illustrate the framework with empirical data from microbial systems. Together, these results provide a formal platform for exploring and understanding the drivers of critical transitions in complex living systems.</w:t>
      </w:r>
    </w:p>
    <w:p>
      <w:pPr>
        <w:spacing w:before="120" w:after="120"/>
      </w:pPr>
      <w:r>
        <w:rPr>
          <w:sz w:val="18"/>
        </w:rPr>
        <w:t>——————————————————————————————————————————————————————————————————————</w:t>
      </w:r>
    </w:p>
    <w:p>
      <w:pPr>
        <w:spacing w:before="160" w:after="40" w:line="240" w:lineRule="auto"/>
      </w:pPr>
      <w:r>
        <w:rPr>
          <w:b/>
        </w:rPr>
        <w:t xml:space="preserve">[547] </w:t>
      </w:r>
      <w:hyperlink r:id="rId880">
        <w:r>
          <w:rPr>
            <w:color w:val="1155CC"/>
            <w:u w:val="single"/>
          </w:rPr>
          <w:t>由于印度北部上空的气溶胶造成大雾振动</w:t>
        </w:r>
      </w:hyperlink>
    </w:p>
    <w:p>
      <w:pPr>
        <w:spacing w:before="0" w:after="80"/>
      </w:pPr>
      <w:r>
        <w:rPr>
          <w:i/>
          <w:sz w:val="20"/>
        </w:rPr>
        <w:t>EN: Widespread fog invigoration due to aerosols over Northern India</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881">
        <w:r>
          <w:rPr>
            <w:color w:val="1155CC"/>
            <w:u w:val="single"/>
          </w:rPr>
          <w:t>10.1126/sciadv.adx1662</w:t>
        </w:r>
      </w:hyperlink>
    </w:p>
    <w:p>
      <w:pPr>
        <w:spacing w:before="0" w:after="120"/>
      </w:pPr>
      <w:r>
        <w:rPr>
          <w:b/>
        </w:rPr>
        <w:t xml:space="preserve">Notes: </w:t>
      </w:r>
      <w:r>
        <w:t>abstract_source=crossref</w:t>
      </w:r>
    </w:p>
    <w:p>
      <w:pPr>
        <w:spacing w:before="0" w:after="80" w:lineRule="auto" w:line="276"/>
      </w:pPr>
      <w:r>
        <w:rPr>
          <w:b/>
        </w:rPr>
        <w:t xml:space="preserve">摘要（ZH）: </w:t>
      </w:r>
      <w:r>
        <w:t>印度北部严重污染的大气边界层经常发生厚雾事件,这些事件往往持续时间较长,造成广泛的社会经济混乱。通过在印度北部进行长期卫星观测,我们发现高气溶胶浓度与浓雾和雾顶附近的大滴子有关。然而,观察到的这种关系的基本机制仍然不清楚。高分辨率气溶胶混合的雾模拟表明,浮雾增加会增加雾滴数的浓度,从而导致更大的潜在热释放。这反过来又导致雾中浮力引起的垂直混合。与此同时,水含量的增加使雾顶的长波辐射冷却更加强化,促进了冷却。</w:t>
      </w:r>
    </w:p>
    <w:p>
      <w:pPr>
        <w:spacing w:before="0" w:after="200" w:lineRule="auto" w:line="276"/>
      </w:pPr>
      <w:r>
        <w:rPr>
          <w:b/>
        </w:rPr>
        <w:t xml:space="preserve">Abstract (EN): </w:t>
      </w:r>
      <w:r>
        <w:t>Thick fog events frequently occur in heavily polluted atmospheric boundary layers of Northern India. These events tend to persist longer, causing widespread socioeconomic disruption. Using long-term satellite observations across North India, we find that elevated aerosol concentrations are associated with thicker fog and larger droplets near the fog top. However, the underlying mechanism of this observed relationship remains unclear. High-resolution aerosol-coupled fog simulations suggest that increased aerosol loading enhances fog droplet number concentrations, leading to greater latent heat release. This, in turn, results in buoyancy-induced vertical mixing within the fog. Simultaneously, the increased water content intensifies longwave radiative cooling at the fog top, promoting cool-saturated conditions that further favor the formation of condensate and larger droplets. Together, the aerosol-induced vertical mixing—driven by thermodynamic uplift and radiative cooling—amplifies condensational processes, causing fog invigoration. We find that this phenomenon is especially pronounced during nighttime. Overall, our findings indicate a mechanistic pathway by which aerosols increase fog thickness over Northern India.</w:t>
      </w:r>
    </w:p>
    <w:p>
      <w:pPr>
        <w:spacing w:before="120" w:after="120"/>
      </w:pPr>
      <w:r>
        <w:rPr>
          <w:sz w:val="18"/>
        </w:rPr>
        <w:t>——————————————————————————————————————————————————————————————————————</w:t>
      </w:r>
    </w:p>
    <w:p>
      <w:pPr>
        <w:spacing w:before="160" w:after="40" w:line="240" w:lineRule="auto"/>
      </w:pPr>
      <w:r>
        <w:rPr>
          <w:b/>
        </w:rPr>
        <w:t xml:space="preserve">[548] </w:t>
      </w:r>
      <w:hyperlink r:id="rId882">
        <w:r>
          <w:rPr>
            <w:color w:val="1155CC"/>
            <w:u w:val="single"/>
          </w:rPr>
          <w:t>Hypergemia提倡SIMRT3通过SARM1的SIM3代导脱氧,以加剧小鼠的糖尿病外围神经病。</w:t>
        </w:r>
      </w:hyperlink>
    </w:p>
    <w:p>
      <w:pPr>
        <w:spacing w:before="0" w:after="80"/>
      </w:pPr>
      <w:r>
        <w:rPr>
          <w:i/>
          <w:sz w:val="20"/>
        </w:rPr>
        <w:t>EN: Hyperglycemia promotes SIRT3-mediated deacetylation of SARM1 to exacerbate diabetic peripheral neuropathy in mice</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83">
        <w:r>
          <w:rPr>
            <w:color w:val="1155CC"/>
            <w:u w:val="single"/>
          </w:rPr>
          <w:t>10.1073/pnas.2517110123</w:t>
        </w:r>
      </w:hyperlink>
    </w:p>
    <w:p>
      <w:pPr>
        <w:spacing w:before="0" w:after="120"/>
      </w:pPr>
      <w:r>
        <w:rPr>
          <w:b/>
        </w:rPr>
        <w:t xml:space="preserve">Notes: </w:t>
      </w:r>
      <w:r>
        <w:t>abstract_source=crossref</w:t>
      </w:r>
    </w:p>
    <w:p>
      <w:pPr>
        <w:spacing w:before="0" w:after="80" w:lineRule="auto" w:line="276"/>
      </w:pPr>
      <w:r>
        <w:rPr>
          <w:b/>
        </w:rPr>
        <w:t xml:space="preserve">摘要（ZH）: </w:t>
      </w:r>
      <w:r>
        <w:t>糖尿病最常见的并发症 -- -- 糖尿病最常见的并发症 -- -- 糖尿病缺乏有效的治疗,其特点是早期轴衰变,通过无菌阿尔法和托尔/内红基因受体含有蛋白质1(SARM1)。 在此,我们确定了SARSM1的NAD+ - 通过淋巴641(K641)。 在高血糖条件下,SIRT3 deacepterate SARM1在K641, 强化其NAD+分裂活动并加剧斧头损伤。在2型糖尿病(T2DM)老鼠中,K641(K641Ac)或Sirt3击倒SARM1的催化作用减轻了高血球性、脚板皮肤的内皮细胞神经纤维流失和胃发育迟缓剂。</w:t>
      </w:r>
    </w:p>
    <w:p>
      <w:pPr>
        <w:spacing w:before="0" w:after="200" w:lineRule="auto" w:line="276"/>
      </w:pPr>
      <w:r>
        <w:rPr>
          <w:b/>
        </w:rPr>
        <w:t xml:space="preserve">Abstract (EN): </w:t>
      </w:r>
      <w:r>
        <w:t>Diabetic peripheral neuropathy (DPN), the most common complication of diabetes, lacks effective treatments and is characterized by early axonal degeneration mediated by sterile alpha and Toll/interleukin receptor motif-containing protein 1 (SARM1). Here, we identify a regulatory mechanism of SARM1’s NAD</w:t>
      </w:r>
      <w:r>
        <w:t xml:space="preserve"> </w:t>
      </w:r>
      <w:r>
        <w:t>+</w:t>
      </w:r>
      <w:r>
        <w:t xml:space="preserve"> </w:t>
      </w:r>
      <w:r>
        <w:t>-cleaving activity via acetylation at lysine 641 (K641). In high-glucose conditions, SIRT3 deacetylates SARM1 at K641, enhancing its NAD</w:t>
      </w:r>
      <w:r>
        <w:t xml:space="preserve"> </w:t>
      </w:r>
      <w:r>
        <w:t>+</w:t>
      </w:r>
      <w:r>
        <w:t xml:space="preserve"> </w:t>
      </w:r>
      <w:r>
        <w:t>cleavage activity and exacerbating axonal damage. In type 2 diabetic (T2DM) mice, acetylation of SARM1 at K641 (K641Ac) or</w:t>
      </w:r>
      <w:r>
        <w:t xml:space="preserve"> </w:t>
      </w:r>
      <w:r>
        <w:t>Sirt3</w:t>
      </w:r>
      <w:r>
        <w:t xml:space="preserve"> </w:t>
      </w:r>
      <w:r>
        <w:t>knockout mitigates hypoalgesia, intraepidermal nerve fiber loss in footpad skin, and axonal growth retardation in dorsal root ganglia. These interventions also attenuate ROS accumulation, ATP depletion, and NAD</w:t>
      </w:r>
      <w:r>
        <w:t xml:space="preserve"> </w:t>
      </w:r>
      <w:r>
        <w:t>+</w:t>
      </w:r>
      <w:r>
        <w:t xml:space="preserve"> </w:t>
      </w:r>
      <w:r>
        <w:t>decline, conferring protection against DPN pathology. Notably, wild-type SARM1 expression reverses the protective effects of</w:t>
      </w:r>
      <w:r>
        <w:t xml:space="preserve"> </w:t>
      </w:r>
      <w:r>
        <w:t>Sirt3</w:t>
      </w:r>
      <w:r>
        <w:t xml:space="preserve"> </w:t>
      </w:r>
      <w:r>
        <w:t>ablation in T2DM mice, whereas SARM1 K641Q does not. Our findings establish that SIRT3-mediated deacetylation of SARM1 at K641 drives axonal degeneration in DPN, and enhancing K641 acetylation mitigates disease progression. This study uncovers a critical posttranslational regulation of SARM1 and suggests that targeting the SIRT3–SARM1 axis may offer therapeutic potential for DPN and related neurodegenerative conditions.</w:t>
      </w:r>
    </w:p>
    <w:p>
      <w:pPr>
        <w:spacing w:before="120" w:after="120"/>
      </w:pPr>
      <w:r>
        <w:rPr>
          <w:sz w:val="18"/>
        </w:rPr>
        <w:t>——————————————————————————————————————————————————————————————————————</w:t>
      </w:r>
    </w:p>
    <w:p>
      <w:pPr>
        <w:spacing w:before="160" w:after="40" w:line="240" w:lineRule="auto"/>
      </w:pPr>
      <w:r>
        <w:rPr>
          <w:b/>
        </w:rPr>
        <w:t xml:space="preserve">[549] </w:t>
      </w:r>
      <w:hyperlink r:id="rId884">
        <w:r>
          <w:rPr>
            <w:color w:val="1155CC"/>
            <w:u w:val="single"/>
          </w:rPr>
          <w:t>ADAR-GPT:预测A-I RNA编辑网站的持续微调语言模型</w:t>
        </w:r>
      </w:hyperlink>
    </w:p>
    <w:p>
      <w:pPr>
        <w:spacing w:before="0" w:after="80"/>
      </w:pPr>
      <w:r>
        <w:rPr>
          <w:i/>
          <w:sz w:val="20"/>
        </w:rPr>
        <w:t>EN: ADAR-GPT: A continually fine-tuned language model for predicting A-to-I RNA editing sites</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85">
        <w:r>
          <w:rPr>
            <w:color w:val="1155CC"/>
            <w:u w:val="single"/>
          </w:rPr>
          <w:t>10.1073/pnas.2529073123</w:t>
        </w:r>
      </w:hyperlink>
    </w:p>
    <w:p>
      <w:pPr>
        <w:spacing w:before="0" w:after="120"/>
      </w:pPr>
      <w:r>
        <w:rPr>
          <w:b/>
        </w:rPr>
        <w:t xml:space="preserve">Notes: </w:t>
      </w:r>
      <w:r>
        <w:t>abstract_source=crossref</w:t>
      </w:r>
    </w:p>
    <w:p>
      <w:pPr>
        <w:spacing w:before="0" w:after="80" w:lineRule="auto" w:line="276"/>
      </w:pPr>
      <w:r>
        <w:rPr>
          <w:b/>
        </w:rPr>
        <w:t xml:space="preserve">摘要（ZH）: </w:t>
      </w:r>
      <w:r>
        <w:t>ADAR酶编辑的Adenosine-to-I(A-to-I) RNA 由ADAR酶编辑的Adenosine-to-inosine(A-to-I) RNA 编辑塑造了RNA的转录命运,并支撑了正在形成的RNA编辑治疗方法,然而,预测哪些腺素仍然难以编辑。我们引入了ADAR-GPT,这是一个示范性、不可知性微调框架,它采用GPT类语言模式,利用标准化的201个单向窗口的序列来分类候选网站的编辑,目标为adenosine 明确标记。我们用两阶段的连接线,在临床相关15%的编辑阈值下,对GTEx肝数据(n=131个样本)进行训练和评估。</w:t>
      </w:r>
    </w:p>
    <w:p>
      <w:pPr>
        <w:spacing w:before="0" w:after="200" w:lineRule="auto" w:line="276"/>
      </w:pPr>
      <w:r>
        <w:rPr>
          <w:b/>
        </w:rPr>
        <w:t xml:space="preserve">Abstract (EN): </w:t>
      </w:r>
      <w:r>
        <w:t>Adenosine-to-inosine (A-to-I) RNA editing by ADAR enzymes shapes transcript fate and underpins emerging RNA editing therapeutics, yet predicting which adenosines are edited remains difficult. We introduce ADAR-GPT, a model-agnostic fine-tuning framework that adapts a GPT-class language model to classify editing at candidate sites using sequence context in standardized 201 nt windows with the target adenosine explicitly marked. We train and evaluate on GTEx liver data (</w:t>
      </w:r>
      <w:r>
        <w:t xml:space="preserve"> </w:t>
      </w:r>
      <w:r>
        <w:t>n</w:t>
      </w:r>
      <w:r>
        <w:t xml:space="preserve"> </w:t>
      </w:r>
      <w:r>
        <w:t>=</w:t>
      </w:r>
      <w:r>
        <w:rPr>
          <w:vertAlign w:val="subscript"/>
        </w:rPr>
        <w:t>131</w:t>
      </w:r>
      <w:r>
        <w:t xml:space="preserve"> </w:t>
      </w:r>
      <w:r>
        <w:t>samples) at a clinically relevant 15% editing threshold, using a two-stage continual fine-tuning approach where lower thresholds serve as curriculum data to progressively sharpen decision boundaries. Using sequence data, ADAR-GPT demonstrates competitive or superior performance when benchmarked against established computational approaches, including convolutional and foundation model architectures, achieving a better balance of recall, precision, and specificity alongside stronger operating-curve metrics. The approach is reproducible and portable across GPT backbones without architectural changes. Beyond accurate site classification, ADAR-GPT provides practical adenosine scoring to prioritize experimental targets and inform guide RNA design, with a framework adaptable to new datasets and model architectures.</w:t>
      </w:r>
    </w:p>
    <w:p>
      <w:pPr>
        <w:spacing w:before="120" w:after="120"/>
      </w:pPr>
      <w:r>
        <w:rPr>
          <w:sz w:val="18"/>
        </w:rPr>
        <w:t>——————————————————————————————————————————————————————————————————————</w:t>
      </w:r>
    </w:p>
    <w:p>
      <w:pPr>
        <w:spacing w:before="160" w:after="40" w:line="240" w:lineRule="auto"/>
      </w:pPr>
      <w:r>
        <w:rPr>
          <w:b/>
        </w:rPr>
        <w:t xml:space="preserve">[550] </w:t>
      </w:r>
      <w:hyperlink r:id="rId886">
        <w:r>
          <w:rPr>
            <w:color w:val="1155CC"/>
            <w:u w:val="single"/>
          </w:rPr>
          <w:t>为在河马庄园进行联合学习提供有条件的刺激措施的神经基质</w:t>
        </w:r>
      </w:hyperlink>
    </w:p>
    <w:p>
      <w:pPr>
        <w:spacing w:before="0" w:after="80"/>
      </w:pPr>
      <w:r>
        <w:rPr>
          <w:i/>
          <w:sz w:val="20"/>
        </w:rPr>
        <w:t>EN: Neural substrate of conditioned stimulus for associative learning in the hippocampus</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87">
        <w:r>
          <w:rPr>
            <w:color w:val="1155CC"/>
            <w:u w:val="single"/>
          </w:rPr>
          <w:t>10.1073/pnas.2519161123</w:t>
        </w:r>
      </w:hyperlink>
    </w:p>
    <w:p>
      <w:pPr>
        <w:spacing w:before="0" w:after="120"/>
      </w:pPr>
      <w:r>
        <w:rPr>
          <w:b/>
        </w:rPr>
        <w:t xml:space="preserve">Notes: </w:t>
      </w:r>
      <w:r>
        <w:t>abstract_source=crossref</w:t>
      </w:r>
    </w:p>
    <w:p>
      <w:pPr>
        <w:spacing w:before="0" w:after="80" w:lineRule="auto" w:line="276"/>
      </w:pPr>
      <w:r>
        <w:rPr>
          <w:b/>
        </w:rPr>
        <w:t xml:space="preserve">摘要（ZH）: </w:t>
      </w:r>
      <w:r>
        <w:t>关联性学习使动物能够了解各种事件之间的预测关系。 在不附加条件的刺激(US)的短间隔内,在这些活动的短间隔内介绍一种有条件刺激(CS)之前的有附加条件的刺激(CS),但对于代表 CS 的神经基体却知之甚少。 通过将活体钙成像与对Dorsal hippocampal CA1 神经元的追溯识别结合起来,在小鼠的背景恐惧调节期间,CA1 神经元被引出信息,我们发现未来的cfo(+)神经元在新的环境接触时被激活。重要的是,其中一部分在美国受到冲击之前以及记忆检索期间被瞬间重新启动了1到2秒,而这些活动也非常隐蔽。</w:t>
      </w:r>
    </w:p>
    <w:p>
      <w:pPr>
        <w:spacing w:before="0" w:after="200" w:lineRule="auto" w:line="276"/>
      </w:pPr>
      <w:r>
        <w:rPr>
          <w:b/>
        </w:rPr>
        <w:t xml:space="preserve">Abstract (EN): </w:t>
      </w:r>
      <w:r>
        <w:t>Associative learning allows animals to learn the predictive relationships between events. Presentation of a conditioned stimulus (CS) preceding an unconditioned stimulus (US) within a short interval associates these events. However, little is known about the neural substrates that represent CSs. By combining in vivo calcium imaging with retrospective identification of dorsal hippocampal CA1 neurons, in which</w:t>
      </w:r>
      <w:r>
        <w:t xml:space="preserve"> </w:t>
      </w:r>
      <w:r>
        <w:t>c-fos</w:t>
      </w:r>
      <w:r>
        <w:t xml:space="preserve"> </w:t>
      </w:r>
      <w:r>
        <w:t>is induced during contextual fear conditioning in mice, we found that prospective</w:t>
      </w:r>
      <w:r>
        <w:t xml:space="preserve"> </w:t>
      </w:r>
      <w:r>
        <w:t>c-fos</w:t>
      </w:r>
      <w:r>
        <w:t xml:space="preserve"> </w:t>
      </w:r>
      <w:r>
        <w:t>(+) neurons were activated upon novel environmental exposure. Importantly, a part of them was transiently reactivated 1 to 2 s before the shock US as well as during memory retrieval, and these activities were correlated with memory expressions. Optogenetic silencing demonstrated that timing-dependent neuronal activity is crucial for memory formation. Our study identifies a cellular substrate for the CS that underlies the CS–US temporal contiguity rule under physiological conditions and suggests how the internal representation of context serves as a CS, demonstrating the role of prospective engram cells at the moment of conditioned learning.</w:t>
      </w:r>
    </w:p>
    <w:p>
      <w:pPr>
        <w:spacing w:before="120" w:after="120"/>
      </w:pPr>
      <w:r>
        <w:rPr>
          <w:sz w:val="18"/>
        </w:rPr>
        <w:t>——————————————————————————————————————————————————————————————————————</w:t>
      </w:r>
    </w:p>
    <w:p>
      <w:pPr>
        <w:spacing w:before="160" w:after="40" w:line="240" w:lineRule="auto"/>
      </w:pPr>
      <w:r>
        <w:rPr>
          <w:b/>
        </w:rPr>
        <w:t xml:space="preserve">[551] </w:t>
      </w:r>
      <w:hyperlink r:id="rId888">
        <w:r>
          <w:rPr>
            <w:color w:val="1155CC"/>
            <w:u w:val="single"/>
          </w:rPr>
          <w:t>受病原体启发的植物蛋白质工程会增强晚光耐药性</w:t>
        </w:r>
      </w:hyperlink>
    </w:p>
    <w:p>
      <w:pPr>
        <w:spacing w:before="0" w:after="80"/>
      </w:pPr>
      <w:r>
        <w:rPr>
          <w:i/>
          <w:sz w:val="20"/>
        </w:rPr>
        <w:t>EN: Pathogen-inspired engineering of plant protease enhances late blight resistance</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89">
        <w:r>
          <w:rPr>
            <w:color w:val="1155CC"/>
            <w:u w:val="single"/>
          </w:rPr>
          <w:t>10.1073/pnas.2524700123</w:t>
        </w:r>
      </w:hyperlink>
    </w:p>
    <w:p>
      <w:pPr>
        <w:spacing w:before="0" w:after="120"/>
      </w:pPr>
      <w:r>
        <w:rPr>
          <w:b/>
        </w:rPr>
        <w:t xml:space="preserve">Notes: </w:t>
      </w:r>
      <w:r>
        <w:t>abstract_source=crossref</w:t>
      </w:r>
    </w:p>
    <w:p>
      <w:pPr>
        <w:spacing w:before="0" w:after="80" w:lineRule="auto" w:line="276"/>
      </w:pPr>
      <w:r>
        <w:rPr>
          <w:b/>
        </w:rPr>
        <w:t xml:space="preserve">摘要（ZH）: </w:t>
      </w:r>
      <w:r>
        <w:t>在植物和病原体相互作用中,这种聚虫是一个重要的战场。 晚期的幽灵病原原原体Phytophhothora Infestans,例如,秘密的细胞细胞性类似蛋白抑制器EpiC1和EpiC2B以抑制C14,一种类似于教皇的免疫性蛋白,一种由番茄秘密的类似教皇的免疫性蛋白。在这里,我们发现P.Infestans还秘密了两种不同的类似于Paint1和Paint2的类似于Paint1和Paint2的先质,它们都是在感染期间被转录的。 两种疼痛都助长了P. imfstans 感染,但当其催化残留物变异时却没有。 令人惊讶的是, EpiC1和EpiC2B优于抑制了番茄 C14,而不是自制的疼痛,这表明它们与疼痛相融合,以避免自己进入。</w:t>
      </w:r>
    </w:p>
    <w:p>
      <w:pPr>
        <w:spacing w:before="0" w:after="200" w:lineRule="auto" w:line="276"/>
      </w:pPr>
      <w:r>
        <w:rPr>
          <w:b/>
        </w:rPr>
        <w:t xml:space="preserve">Abstract (EN): </w:t>
      </w:r>
      <w:r>
        <w:t>The apoplast is an important battlefield in plant–pathogen interactions. The late blight oomycete pathogen</w:t>
      </w:r>
      <w:r>
        <w:t xml:space="preserve"> </w:t>
      </w:r>
      <w:r>
        <w:t>Phytophthora infestans,</w:t>
      </w:r>
      <w:r>
        <w:t xml:space="preserve"> </w:t>
      </w:r>
      <w:r>
        <w:t>for instance, secretes cystatin-like protease inhibitors EpiC1 and EpiC2B to suppress C14, a papain-like immune protease secreted by tomato. Here, we found that</w:t>
      </w:r>
      <w:r>
        <w:t xml:space="preserve"> </w:t>
      </w:r>
      <w:r>
        <w:t>P. infestans</w:t>
      </w:r>
      <w:r>
        <w:t xml:space="preserve"> </w:t>
      </w:r>
      <w:r>
        <w:t>also secretes two distinct papain-like proteases termed Pain1 and Pain2, which are transcriptionally induced during infection. Both Pains promote</w:t>
      </w:r>
      <w:r>
        <w:t xml:space="preserve"> </w:t>
      </w:r>
      <w:r>
        <w:t>P. infestans</w:t>
      </w:r>
      <w:r>
        <w:t xml:space="preserve"> </w:t>
      </w:r>
      <w:r>
        <w:t>infection, but not when their catalytic residues are mutated. Strikingly, EpiC1 and EpiC2B preferentially inhibit tomato C14 rather than self-produced Pains, suggesting that they coevolved with Pains to avoid self-inhibition. To mimic the avoidance of inhibition by EpiCs, we engineered C14 (eC14) with seven Pain1 residues that potentially disturb the EpiCs–C14 interface. This eC14 is less sensitive to inhibition by EpiCs and enhances resistance to</w:t>
      </w:r>
      <w:r>
        <w:t xml:space="preserve"> </w:t>
      </w:r>
      <w:r>
        <w:t>P. infestans</w:t>
      </w:r>
      <w:r>
        <w:t xml:space="preserve"> </w:t>
      </w:r>
      <w:r>
        <w:t>infection. This strategy demonstrates that a pathogen-inspired protein engineering approach can increase crop resistance to plant pathogens.</w:t>
      </w:r>
    </w:p>
    <w:p>
      <w:pPr>
        <w:spacing w:before="120" w:after="120"/>
      </w:pPr>
      <w:r>
        <w:rPr>
          <w:sz w:val="18"/>
        </w:rPr>
        <w:t>——————————————————————————————————————————————————————————————————————</w:t>
      </w:r>
    </w:p>
    <w:p>
      <w:pPr>
        <w:spacing w:before="160" w:after="40" w:line="240" w:lineRule="auto"/>
      </w:pPr>
      <w:r>
        <w:rPr>
          <w:b/>
        </w:rPr>
        <w:t xml:space="preserve">[552] </w:t>
      </w:r>
      <w:hyperlink r:id="rId890">
        <w:r>
          <w:rPr>
            <w:color w:val="1155CC"/>
            <w:u w:val="single"/>
          </w:rPr>
          <w:t>病毒群体变异变异性变异性:对致命变异性的影响</w:t>
        </w:r>
      </w:hyperlink>
    </w:p>
    <w:p>
      <w:pPr>
        <w:spacing w:before="0" w:after="80"/>
      </w:pPr>
      <w:r>
        <w:rPr>
          <w:i/>
          <w:sz w:val="20"/>
        </w:rPr>
        <w:t>EN: Mutation rate variability in viral populations: Implications for lethal mutagenesis</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91">
        <w:r>
          <w:rPr>
            <w:color w:val="1155CC"/>
            <w:u w:val="single"/>
          </w:rPr>
          <w:t>10.1073/pnas.2523734123</w:t>
        </w:r>
      </w:hyperlink>
    </w:p>
    <w:p>
      <w:pPr>
        <w:spacing w:before="0" w:after="120"/>
      </w:pPr>
      <w:r>
        <w:rPr>
          <w:b/>
        </w:rPr>
        <w:t xml:space="preserve">Notes: </w:t>
      </w:r>
      <w:r>
        <w:t>abstract_source=crossref</w:t>
      </w:r>
    </w:p>
    <w:p>
      <w:pPr>
        <w:spacing w:before="0" w:after="80" w:lineRule="auto" w:line="276"/>
      </w:pPr>
      <w:r>
        <w:rPr>
          <w:b/>
        </w:rPr>
        <w:t xml:space="preserve">摘要（ZH）: </w:t>
      </w:r>
      <w:r>
        <w:t>致命性诱变基因的产生是一种战略,通过药物成瘾病毒突变速度超过灭绝临界值,从而实现病毒灭绝。 准确估计灭绝临界值至关重要,因为病毒突变速度接近接近但未超过这一临界值,从而增加突变的可能性,从而可能导致药物抗药性、疫苗脱逃或病变增加。 致命性诱变的传统模式依赖于Poisson分布模式,该模式假设个人之间的突变速度一致。 然而,RNA病毒,如流感A病毒(IAV),由于聚合酶复合性突变,其突变速度可能不同。 这种变性表明,包含突变率多样性的致命诱变模型,如使用伽马-Poisson分布的模型,可能更准确。</w:t>
      </w:r>
    </w:p>
    <w:p>
      <w:pPr>
        <w:spacing w:before="0" w:after="200" w:lineRule="auto" w:line="276"/>
      </w:pPr>
      <w:r>
        <w:rPr>
          <w:b/>
        </w:rPr>
        <w:t xml:space="preserve">Abstract (EN): </w:t>
      </w:r>
      <w:r>
        <w:t>Lethal mutagenesis is a strategy to achieve viral extinction by drugging viral mutation rates beyond an extinction threshold. Accurate estimation of the extinction threshold is critical, as elevating viral mutation rates near, but not past this threshold increases the likelihood of mutations that could result in drug resistance, vaccine escape, or increased pathogenesis. Traditional models of lethal mutagenesis rely on the Poisson distribution, which assumes a uniform mutation rate across individuals. Yet, RNA viruses like influenza A virus (IAV) can have varied mutation rates due to mutations in the polymerase complex. This variability suggests that lethal mutagenesis models incorporating mutation rate diversity, such as ones using the gamma-Poisson distribution, may be more accurate for RNA viruses. Poisson models assume count data have equal mean and variance, while gamma-Poisson counts are overdispersed (variance greater than mean). Here, we provide experimental data showing that IAV mutations are overdispersed, indicating that the gamma-Poisson distribution is more appropriate for modeling IAV mutations. Modeling of lethal mutagenesis using the gamma-Poisson distribution reveals that the degree of overdispersion is critical in determining survival or extinction. Increased overdispersion shifts the extinction threshold higher, indicating that Poisson-based models have underestimated the mutation rate required to achieve viral extinction and avoid viral escape or accelerated evolution. Furthermore, time to extinction in simulated populations is significantly longer with gamma-Poisson-based models than Poisson-based. This investigation of how mutation rate variability affects lethal mutagenesis will directly impact antiviral drug design and strategy, thus advancing efforts to combat virus outbreaks and future pandemics.</w:t>
      </w:r>
    </w:p>
    <w:p>
      <w:pPr>
        <w:spacing w:before="120" w:after="120"/>
      </w:pPr>
      <w:r>
        <w:rPr>
          <w:sz w:val="18"/>
        </w:rPr>
        <w:t>——————————————————————————————————————————————————————————————————————</w:t>
      </w:r>
    </w:p>
    <w:p>
      <w:pPr>
        <w:spacing w:before="160" w:after="40" w:line="240" w:lineRule="auto"/>
      </w:pPr>
      <w:r>
        <w:rPr>
          <w:b/>
        </w:rPr>
        <w:t xml:space="preserve">[553] </w:t>
      </w:r>
      <w:hyperlink r:id="rId892">
        <w:r>
          <w:rPr>
            <w:color w:val="1155CC"/>
            <w:u w:val="single"/>
          </w:rPr>
          <w:t>植物的倒退演变:一个Rubisco-null平台验证高性能祖传酶</w:t>
        </w:r>
      </w:hyperlink>
    </w:p>
    <w:p>
      <w:pPr>
        <w:spacing w:before="0" w:after="80"/>
      </w:pPr>
      <w:r>
        <w:rPr>
          <w:i/>
          <w:sz w:val="20"/>
        </w:rPr>
        <w:t>EN: Rewinding evolution in planta: A Rubisco-null platform validates high-performance ancestral enzymes</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93">
        <w:r>
          <w:rPr>
            <w:color w:val="1155CC"/>
            <w:u w:val="single"/>
          </w:rPr>
          <w:t>10.1073/pnas.2523360123</w:t>
        </w:r>
      </w:hyperlink>
    </w:p>
    <w:p>
      <w:pPr>
        <w:spacing w:before="0" w:after="120"/>
      </w:pPr>
      <w:r>
        <w:rPr>
          <w:b/>
        </w:rPr>
        <w:t xml:space="preserve">Notes: </w:t>
      </w:r>
      <w:r>
        <w:t>abstract_source=crossref</w:t>
      </w:r>
    </w:p>
    <w:p>
      <w:pPr>
        <w:spacing w:before="0" w:after="80" w:lineRule="auto" w:line="276"/>
      </w:pPr>
      <w:r>
        <w:rPr>
          <w:b/>
        </w:rPr>
        <w:t xml:space="preserve">摘要（ZH）: </w:t>
      </w:r>
      <w:r>
        <w:t>改善光合酶酶Rubisco是提高C 3作物生产率的一个关键目标,但是由于难以在不受本地酶干扰的情况下评估植物中的工程变异物,进展受到阻碍。在这里,我们报告通过使用CRISPR-Cas9来粉碎所有11个核编码小子单位(rbcS)基因,创建了一个Rubisco-null Nicotiana tabacum平台,以粉碎所有11个核编码小子单位(rbcS)的基因。在一条直径表示从悬浮基因组中呈现出氰化物Rubisco的线上,从而恢复了可行的植物。我们随后开发了一个氯白表达系统,以共同表达来自悬浮基因组的大型和小型子单位。我们表述了两个重现的子单位。</w:t>
      </w:r>
    </w:p>
    <w:p>
      <w:pPr>
        <w:spacing w:before="0" w:after="200" w:lineRule="auto" w:line="276"/>
      </w:pPr>
      <w:r>
        <w:rPr>
          <w:b/>
        </w:rPr>
        <w:t xml:space="preserve">Abstract (EN): </w:t>
      </w:r>
      <w:r>
        <w:t>Improving the photosynthetic enzyme Rubisco is a key target for enhancing C</w:t>
      </w:r>
      <w:r>
        <w:rPr>
          <w:vertAlign w:val="subscript"/>
        </w:rPr>
        <w:t>3</w:t>
      </w:r>
      <w:r>
        <w:t>crop productivity, but progress has been hampered by the difficulty of evaluating engineered variants in planta without interference from the native enzyme. Here, we report the creation of a Rubisco-null</w:t>
      </w:r>
      <w:r>
        <w:t xml:space="preserve"> </w:t>
      </w:r>
      <w:r>
        <w:t>Nicotiana tabacum</w:t>
      </w:r>
      <w:r>
        <w:t xml:space="preserve"> </w:t>
      </w:r>
      <w:r>
        <w:t>platform by using CRISPR-Cas9 to knock out all 11 nuclear-encoded small subunit (</w:t>
      </w:r>
      <w:r>
        <w:t xml:space="preserve"> </w:t>
      </w:r>
      <w:r>
        <w:t>rbcS</w:t>
      </w:r>
      <w:r>
        <w:t xml:space="preserve"> </w:t>
      </w:r>
      <w:r>
        <w:t>) genes. Knockout was achieved in a line expressing cyanobacterial Rubisco from the plastid genome, allowing the recovery of viable plants. We then developed a chloroplast expression system for coexpressing both large and small subunits from the plastid genome. We expressed two resurrected ancestral Rubiscos from the Solanaceae family. The resulting transgenic plants were phenotypically normal and accumulated Rubisco to wild-type levels. Importantly, kinetic analyses of the purified ancestral enzymes revealed they possessed a 16 to 20% higher catalytic efficiency (</w:t>
      </w:r>
      <w:r>
        <w:t xml:space="preserve"> </w:t>
      </w:r>
      <w:r>
        <w:t>k</w:t>
      </w:r>
      <w:r>
        <w:t xml:space="preserve"> </w:t>
      </w:r>
      <w:r>
        <w:t>cat,air</w:t>
      </w:r>
      <w:r>
        <w:t xml:space="preserve"> </w:t>
      </w:r>
      <w:r>
        <w:t>/K</w:t>
      </w:r>
      <w:r>
        <w:t xml:space="preserve"> </w:t>
      </w:r>
      <w:r>
        <w:t>c,air</w:t>
      </w:r>
      <w:r>
        <w:t xml:space="preserve"> </w:t>
      </w:r>
      <w:r>
        <w:t>) under ambient conditions, driven by a significantly faster turnover rate (</w:t>
      </w:r>
      <w:r>
        <w:t xml:space="preserve"> </w:t>
      </w:r>
      <w:r>
        <w:t>k</w:t>
      </w:r>
      <w:r>
        <w:t xml:space="preserve"> </w:t>
      </w:r>
      <w:r>
        <w:t>cat,air</w:t>
      </w:r>
      <w:r>
        <w:t xml:space="preserve"> </w:t>
      </w:r>
      <w:r>
        <w:t>). We have demonstrated that our system allows robust in vivo assessment of novel Rubiscos and that ancestral reconstruction is a powerful strategy for identifying superior enzymes to improve photosynthesis in C</w:t>
      </w:r>
      <w:r>
        <w:rPr>
          <w:vertAlign w:val="subscript"/>
        </w:rPr>
        <w:t>3</w:t>
      </w:r>
      <w:r>
        <w:t>crops.</w:t>
      </w:r>
    </w:p>
    <w:p>
      <w:pPr>
        <w:spacing w:before="120" w:after="120"/>
      </w:pPr>
      <w:r>
        <w:rPr>
          <w:sz w:val="18"/>
        </w:rPr>
        <w:t>——————————————————————————————————————————————————————————————————————</w:t>
      </w:r>
    </w:p>
    <w:p>
      <w:pPr>
        <w:spacing w:before="160" w:after="40" w:line="240" w:lineRule="auto"/>
      </w:pPr>
      <w:r>
        <w:rPr>
          <w:b/>
        </w:rPr>
        <w:t xml:space="preserve">[554] </w:t>
      </w:r>
      <w:hyperlink r:id="rId894">
        <w:r>
          <w:rPr>
            <w:color w:val="1155CC"/>
            <w:u w:val="single"/>
          </w:rPr>
          <w:t>用于统一对地测量遥感的2D动脉2D有机晶体的加速生长</w:t>
        </w:r>
      </w:hyperlink>
    </w:p>
    <w:p>
      <w:pPr>
        <w:spacing w:before="0" w:after="80"/>
      </w:pPr>
      <w:r>
        <w:rPr>
          <w:i/>
          <w:sz w:val="20"/>
        </w:rPr>
        <w:t>EN: Supersaturation-engineered wafer-scale growth of anisotropic 2D organic crystals for uniform polarimetric sensing</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95">
        <w:r>
          <w:rPr>
            <w:color w:val="1155CC"/>
            <w:u w:val="single"/>
          </w:rPr>
          <w:t>10.1073/pnas.2522805123</w:t>
        </w:r>
      </w:hyperlink>
    </w:p>
    <w:p>
      <w:pPr>
        <w:spacing w:before="0" w:after="120"/>
      </w:pPr>
      <w:r>
        <w:rPr>
          <w:b/>
        </w:rPr>
        <w:t xml:space="preserve">Notes: </w:t>
      </w:r>
      <w:r>
        <w:t>abstract_source=crossref</w:t>
      </w:r>
    </w:p>
    <w:p>
      <w:pPr>
        <w:spacing w:before="0" w:after="80" w:lineRule="auto" w:line="276"/>
      </w:pPr>
      <w:r>
        <w:rPr>
          <w:b/>
        </w:rPr>
        <w:t xml:space="preserve">摘要（ZH）: </w:t>
      </w:r>
      <w:r>
        <w:t>具有内在厌食性能的有机单一晶体具有内在的厌食性能,对实现微型化、对两极分敏感的光检测器有着巨大的希望。然而,传统的浸面法在努力生产单晶片,因为为核核化优化的超饱和条件总是与晶体生长所需的条件相冲突,导致零碎的领域和装置性能受损。在这里,我们引入了现场种子涂层(SDC)战略,通过工程超饱和到晶体生长的暂时脱核分离,克服了这一限制。这使得超强二维分子晶(2DMC)的可伸缩生产能够跨越晶体尺寸的异常统一性。</w:t>
      </w:r>
    </w:p>
    <w:p>
      <w:pPr>
        <w:spacing w:before="0" w:after="200" w:lineRule="auto" w:line="276"/>
      </w:pPr>
      <w:r>
        <w:rPr>
          <w:b/>
        </w:rPr>
        <w:t xml:space="preserve">Abstract (EN): </w:t>
      </w:r>
      <w:r>
        <w:t>Organic single crystals endowed with intrinsic anisotropy hold great promise for the realization of miniaturized, polarization-sensitive photodetectors. However, conventional dip-coating approaches struggle to produce wafer-scale single-crystalline films, as the supersaturation conditions optimized for nucleation invariably conflict with those required for crystal growth, leading to fragmented domains and compromised device performance. Here, we introduce an in situ seeded dip coating (SDC) strategy that overcomes this limitation by engineering supersaturation to temporally decouple nucleation from crystal growth. This enables the scalable production of ultrathin two-dimensional molecular crystal (2DMC) films with exceptional uniformity across wafer dimensions. Organic field-effect transistor arrays fabricated from these 2DMCs exhibit high average charge carrier mobility (14.5 cm</w:t>
      </w:r>
      <w:r>
        <w:rPr>
          <w:vertAlign w:val="subscript"/>
        </w:rPr>
        <w:t>2</w:t>
      </w:r>
      <w:r>
        <w:t>V</w:t>
      </w:r>
      <w:r>
        <w:t xml:space="preserve"> </w:t>
      </w:r>
      <w:r>
        <w:t>−1</w:t>
      </w:r>
      <w:r>
        <w:t xml:space="preserve"> </w:t>
      </w:r>
      <w:r>
        <w:t>s</w:t>
      </w:r>
      <w:r>
        <w:t xml:space="preserve"> </w:t>
      </w:r>
      <w:r>
        <w:t>−1</w:t>
      </w:r>
      <w:r>
        <w:t xml:space="preserve"> </w:t>
      </w:r>
      <w:r>
        <w:t>) and spatial homogeneity, evidenced by an ultralow mobility coefficient of variation (CV) of 4.5%. These arrays demonstrate robust polarization sensitivity with an average dichroic ratio (DR) of 2.2 and a low DR CV of 8.6%. Capitalizing on this uniformity, we constructed dual-device pixel units capable of full-range 180° polarization angle identification, enabling direct application in polarization-encoded optical encryption. The SDC technique provides a scalable pathway for practical high-performance organic polarization-sensitive optoelectronics.</w:t>
      </w:r>
    </w:p>
    <w:p>
      <w:pPr>
        <w:spacing w:before="120" w:after="120"/>
      </w:pPr>
      <w:r>
        <w:rPr>
          <w:sz w:val="18"/>
        </w:rPr>
        <w:t>——————————————————————————————————————————————————————————————————————</w:t>
      </w:r>
    </w:p>
    <w:p>
      <w:pPr>
        <w:spacing w:before="160" w:after="40" w:line="240" w:lineRule="auto"/>
      </w:pPr>
      <w:r>
        <w:rPr>
          <w:b/>
        </w:rPr>
        <w:t xml:space="preserve">[555] </w:t>
      </w:r>
      <w:hyperlink r:id="rId896">
        <w:r>
          <w:rPr>
            <w:color w:val="1155CC"/>
            <w:u w:val="single"/>
          </w:rPr>
          <w:t>B类J-Domain蛋白质原产于氨基质交易</w:t>
        </w:r>
      </w:hyperlink>
    </w:p>
    <w:p>
      <w:pPr>
        <w:spacing w:before="0" w:after="80"/>
      </w:pPr>
      <w:r>
        <w:rPr>
          <w:i/>
          <w:sz w:val="20"/>
        </w:rPr>
        <w:t>EN: Origin of class B J-domain proteins involved in amyloid transactions</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97">
        <w:r>
          <w:rPr>
            <w:color w:val="1155CC"/>
            <w:u w:val="single"/>
          </w:rPr>
          <w:t>10.1073/pnas.2522403123</w:t>
        </w:r>
      </w:hyperlink>
    </w:p>
    <w:p>
      <w:pPr>
        <w:spacing w:before="0" w:after="120"/>
      </w:pPr>
      <w:r>
        <w:rPr>
          <w:b/>
        </w:rPr>
        <w:t xml:space="preserve">Notes: </w:t>
      </w:r>
      <w:r>
        <w:t>abstract_source=crossref</w:t>
      </w:r>
    </w:p>
    <w:p>
      <w:pPr>
        <w:spacing w:before="0" w:after="80" w:lineRule="auto" w:line="276"/>
      </w:pPr>
      <w:r>
        <w:rPr>
          <w:b/>
        </w:rPr>
        <w:t xml:space="preserve">摘要（ZH）: </w:t>
      </w:r>
      <w:r>
        <w:t>J-Domain蛋白质(JDP)的守护者在蛋白质发育中广泛发挥作用。 值得注意的是,细胞质/核的细胞质/核防止聚氨酯组装或驱散已知导致神经退化疾病的氨基类集聚物,但其进化起源尚不为人知。 最普遍的B级亚类(C)Canonic B (B C) JDP的成员缺乏流行的A类JDP(ZnF)的锌指域(ZnF)的签名,同时有其他主要的共同特征。 我们的植物基因分析显示,B C JDP从A级复制物中发展了不止一次,失去了ZnF。 细胞核B Cs出现在eukaryotes的基底。 Cyto核级(即B)B级(即,B)的基底。</w:t>
      </w:r>
    </w:p>
    <w:p>
      <w:pPr>
        <w:spacing w:before="0" w:after="200" w:lineRule="auto" w:line="276"/>
      </w:pPr>
      <w:r>
        <w:rPr>
          <w:b/>
        </w:rPr>
        <w:t xml:space="preserve">Abstract (EN): </w:t>
      </w:r>
      <w:r>
        <w:t>J-domain protein (JDP) chaperones function widely in proteostasis. Notably, eukaryotic class B JDPs of the cytosol/nucleus prevent assembly or drive disassembly of amyloid aggregates known to cause neurodegenerative diseases, yet their evolutionary origin is not known. Members of the most ubiquitous class B subgroup, canonical B (B</w:t>
      </w:r>
      <w:r>
        <w:t xml:space="preserve"> </w:t>
      </w:r>
      <w:r>
        <w:t>C</w:t>
      </w:r>
      <w:r>
        <w:t xml:space="preserve"> </w:t>
      </w:r>
      <w:r>
        <w:t>) JDPs, lack the signature zinc finger domain (ZnF) of the more prevalent class A JDPs, while having other key features in common. Our phylogenetic analysis revealed that B</w:t>
      </w:r>
      <w:r>
        <w:t xml:space="preserve"> </w:t>
      </w:r>
      <w:r>
        <w:t>C</w:t>
      </w:r>
      <w:r>
        <w:t xml:space="preserve"> </w:t>
      </w:r>
      <w:r>
        <w:t>JDPs evolved more than once from class A duplicates, losing their ZnF. The cytonuclear B</w:t>
      </w:r>
      <w:r>
        <w:t xml:space="preserve"> </w:t>
      </w:r>
      <w:r>
        <w:t>C</w:t>
      </w:r>
      <w:r>
        <w:t xml:space="preserve"> </w:t>
      </w:r>
      <w:r>
        <w:t>s emerged at the base of eukaryotes. Cytonuclear class B’ (i.e., B’</w:t>
      </w:r>
      <w:r>
        <w:t xml:space="preserve"> </w:t>
      </w:r>
      <w:r>
        <w:t>(ST)</w:t>
      </w:r>
      <w:r>
        <w:t xml:space="preserve"> </w:t>
      </w:r>
      <w:r>
        <w:t>) JDPs that have a substrate binding domain of unknown origin, distinct from that of As and B</w:t>
      </w:r>
      <w:r>
        <w:t xml:space="preserve"> </w:t>
      </w:r>
      <w:r>
        <w:t>C</w:t>
      </w:r>
      <w:r>
        <w:t xml:space="preserve"> </w:t>
      </w:r>
      <w:r>
        <w:t>s, emerged from a B</w:t>
      </w:r>
      <w:r>
        <w:t xml:space="preserve"> </w:t>
      </w:r>
      <w:r>
        <w:t>C</w:t>
      </w:r>
      <w:r>
        <w:t xml:space="preserve"> </w:t>
      </w:r>
      <w:r>
        <w:t>duplication at the base of metazoans and subsequently multiplied by duplications. The origin of B’</w:t>
      </w:r>
      <w:r>
        <w:t xml:space="preserve"> </w:t>
      </w:r>
      <w:r>
        <w:t>(ST)</w:t>
      </w:r>
      <w:r>
        <w:t xml:space="preserve"> </w:t>
      </w:r>
      <w:r>
        <w:t>s, which are capable of suppressing formation of amyloid aggregates, predated the emergence of disease-causing amyloidogenic proteins. Using ancestral protein resurrection, we tested when cytonuclear Bs evolved their amyloid related functions. We found that their common ancestor with As, AncAB that has a ZnF does not efficiently facilitate disassembly of amyloid fibrils, while AncB, which lacks a ZnF, does. Overall, our findings are consistent with the idea that, though the ZnF of class A JDPs is important for some roles, its loss allowed evolution of novel functions, as illustrated by the ability of B</w:t>
      </w:r>
      <w:r>
        <w:t xml:space="preserve"> </w:t>
      </w:r>
      <w:r>
        <w:t>C</w:t>
      </w:r>
      <w:r>
        <w:t xml:space="preserve"> </w:t>
      </w:r>
      <w:r>
        <w:t>and B’</w:t>
      </w:r>
      <w:r>
        <w:t xml:space="preserve"> </w:t>
      </w:r>
      <w:r>
        <w:t>(ST)</w:t>
      </w:r>
      <w:r>
        <w:t xml:space="preserve"> </w:t>
      </w:r>
      <w:r>
        <w:t>JDPs to control amyloid aggregate levels.</w:t>
      </w:r>
    </w:p>
    <w:p>
      <w:pPr>
        <w:spacing w:before="120" w:after="120"/>
      </w:pPr>
      <w:r>
        <w:rPr>
          <w:sz w:val="18"/>
        </w:rPr>
        <w:t>——————————————————————————————————————————————————————————————————————</w:t>
      </w:r>
    </w:p>
    <w:p>
      <w:pPr>
        <w:spacing w:before="160" w:after="40" w:line="240" w:lineRule="auto"/>
      </w:pPr>
      <w:r>
        <w:rPr>
          <w:b/>
        </w:rPr>
        <w:t xml:space="preserve">[556] </w:t>
      </w:r>
      <w:hyperlink r:id="rId898">
        <w:r>
          <w:rPr>
            <w:color w:val="1155CC"/>
            <w:u w:val="single"/>
          </w:rPr>
          <w:t>局部外围神经损伤无线多式联运治疗的自包装、可生物吸收神经界面</w:t>
        </w:r>
      </w:hyperlink>
    </w:p>
    <w:p>
      <w:pPr>
        <w:spacing w:before="0" w:after="80"/>
      </w:pPr>
      <w:r>
        <w:rPr>
          <w:i/>
          <w:sz w:val="20"/>
        </w:rPr>
        <w:t>EN: A self-wrapping, bioresorbable neural interface for wireless multimodal therapy of localized peripheral nerve injury</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899">
        <w:r>
          <w:rPr>
            <w:color w:val="1155CC"/>
            <w:u w:val="single"/>
          </w:rPr>
          <w:t>10.1073/pnas.2521817123</w:t>
        </w:r>
      </w:hyperlink>
    </w:p>
    <w:p>
      <w:pPr>
        <w:spacing w:before="0" w:after="120"/>
      </w:pPr>
      <w:r>
        <w:rPr>
          <w:b/>
        </w:rPr>
        <w:t xml:space="preserve">Notes: </w:t>
      </w:r>
      <w:r>
        <w:t>abstract_source=crossref</w:t>
      </w:r>
    </w:p>
    <w:p>
      <w:pPr>
        <w:spacing w:before="0" w:after="80" w:lineRule="auto" w:line="276"/>
      </w:pPr>
      <w:r>
        <w:rPr>
          <w:b/>
        </w:rPr>
        <w:t xml:space="preserve">摘要（ZH）: </w:t>
      </w:r>
      <w:r>
        <w:t>建立三维(3D)的活体治疗技术的高精度,与目标生物问题的多式神经界面为及时治疗局部外围神经损伤提供了巨大的临床潜力。目前为此目的采取的办法,例如植入装置在穿孔线和/或不可降解的设计方面面临着挑战,并且只支持缺乏微观空间分辨率的单一模式操作。在这里,我们开发了一个微型自闭系统,产生无线、多式神经界面,在从数十微米(15微米)到毫米的局部外围神经中,与3D相适应。这种平台整合了包括SINx在内的多层结构。</w:t>
      </w:r>
    </w:p>
    <w:p>
      <w:pPr>
        <w:spacing w:before="0" w:after="200" w:lineRule="auto" w:line="276"/>
      </w:pPr>
      <w:r>
        <w:rPr>
          <w:b/>
        </w:rPr>
        <w:t xml:space="preserve">Abstract (EN): </w:t>
      </w:r>
      <w:r>
        <w:t>High-precision in vivo therapeutic technologies that establish three-dimensional (3D), multimodal neural interfaces with targeted biotissues offer significant clinical potential for the timely treatments of localized peripheral nerve injury (PNI). Current approaches for this purpose such as implantable devices face challenges in terms of percutaneous wires and/or nondegradable designs, and support only single-mode operation that lack microscale spatial resolution. Here, we develop a miniaturized, self-wrapping system that yields wireless, multimodal neural interfaces with 3D adaptation across localized peripheral nerves at scales ranging from tens of micrometers (15 μm) to millimeters. Such platform integrates multilayer architectures that include SiN</w:t>
      </w:r>
      <w:r>
        <w:t xml:space="preserve"> </w:t>
      </w:r>
      <w:r>
        <w:t>x</w:t>
      </w:r>
      <w:r>
        <w:t xml:space="preserve"> </w:t>
      </w:r>
      <w:r>
        <w:t>layers as the mechanically triggered substrate for 3D wrapping, with multimodal treatments via MXene and drug-loaded layers for photothermal stimulation and pharmacological release. Experimental and computational studies establish operational principle as the basis for the combination of long-term photothermal therapy and transient drug delivery at high spatiotemporal resolution. In vivo tests on living rat models demonstrate that the implantable neural interface can roll up across the localized, dynamic surface of injured nerves, providing sustained treatments over 1 mo in a fully bioresorbable design after the healing process. These findings create future opportunities of such wireless, multimodal system with 3D self-wrapping techniques for precise PNI therapeutic strategies.</w:t>
      </w:r>
    </w:p>
    <w:p>
      <w:pPr>
        <w:spacing w:before="120" w:after="120"/>
      </w:pPr>
      <w:r>
        <w:rPr>
          <w:sz w:val="18"/>
        </w:rPr>
        <w:t>——————————————————————————————————————————————————————————————————————</w:t>
      </w:r>
    </w:p>
    <w:p>
      <w:pPr>
        <w:spacing w:before="160" w:after="40" w:line="240" w:lineRule="auto"/>
      </w:pPr>
      <w:r>
        <w:rPr>
          <w:b/>
        </w:rPr>
        <w:t xml:space="preserve">[557] </w:t>
      </w:r>
      <w:hyperlink r:id="rId900">
        <w:r>
          <w:rPr>
            <w:color w:val="1155CC"/>
            <w:u w:val="single"/>
          </w:rPr>
          <w:t>通过Nfatc4-Clptm1l轴轴线,以 k5 介介介于微液态铁化硬化驱动器的化学白色物质损害</w:t>
        </w:r>
      </w:hyperlink>
    </w:p>
    <w:p>
      <w:pPr>
        <w:spacing w:before="0" w:after="80"/>
      </w:pPr>
      <w:r>
        <w:rPr>
          <w:i/>
          <w:sz w:val="20"/>
        </w:rPr>
        <w:t>EN: k5-mediated microglial ferroptosis drives ischemic white matter damage via the Nfatc4–Clptm1l axis</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01">
        <w:r>
          <w:rPr>
            <w:color w:val="1155CC"/>
            <w:u w:val="single"/>
          </w:rPr>
          <w:t>10.1073/pnas.2521757123</w:t>
        </w:r>
      </w:hyperlink>
    </w:p>
    <w:p>
      <w:pPr>
        <w:spacing w:before="0" w:after="120"/>
      </w:pPr>
      <w:r>
        <w:rPr>
          <w:b/>
        </w:rPr>
        <w:t xml:space="preserve">Notes: </w:t>
      </w:r>
      <w:r>
        <w:t>abstract_source=crossref</w:t>
      </w:r>
    </w:p>
    <w:p>
      <w:pPr>
        <w:spacing w:before="0" w:after="80" w:lineRule="auto" w:line="276"/>
      </w:pPr>
      <w:r>
        <w:rPr>
          <w:b/>
        </w:rPr>
        <w:t xml:space="preserve">摘要（ZH）: </w:t>
      </w:r>
      <w:r>
        <w:t>白质的局部化学损害是慢性大脑低发导致认知缺陷的重要病理特征,但根本的分子机制仍不为人们所熟知。在本研究中,我们通过可药目标筛选,确定了遗传预测外细胞信号调节性对流体5(ERK5)的表达方式与高白质高浓度量之间的因果关系,这表明它有可能成为白质损害的治疗目标。我们使用不同的白质损害动物模型,表明在缺血和脱阴性伤害后,Erk5的表达方式在微小lia中受到显著的调控,这与白物质损害的严重程度相关。</w:t>
      </w:r>
    </w:p>
    <w:p>
      <w:pPr>
        <w:spacing w:before="0" w:after="200" w:lineRule="auto" w:line="276"/>
      </w:pPr>
      <w:r>
        <w:rPr>
          <w:b/>
        </w:rPr>
        <w:t xml:space="preserve">Abstract (EN): </w:t>
      </w:r>
      <w:r>
        <w:t>Ischemic white matter damage is a significant pathological feature of chronic cerebral hypoperfusion, leading to cognitive impairments. However, the underlying molecular mechanisms remain poorly understood. In this study, we identify a causal association between genetically predicted extracellular signal-regulated kinase 5 (ERK5) expression and higher white matter hyperintensity volume through druggable target screening, suggesting its potential as a therapeutic target for white matter damage. Using different animal models of white matter damage, we show that Erk5 expression is significantly upregulated in microglia following both ischemic and demyelinating injury, correlating with the severity of white matter damage. Mechanistically, Erk5 exacerbates white matter damage by promoting microglial ferroptosis through the phosphorylation of nuclear factor of activated T-cells, cytoplasmic 4 (Nfatc4), which subsequently activates the expression of cleft lip and palate transmembrane protein 1-like protein (Clptm1l), a lipid scramblase involved in ferroptosis. Pharmacological and genetic inhibition of Erk5 in microglia effectively mitigates oxidative stress, lipid peroxidation, and ferroptosis, leading to a reduction in white matter damage and improved cognitive function. These findings underscore the potential of targeting the Erk5–Nfatc4–Clptm1l axis as a therapeutic strategy for ischemic white matter damage. Our study offers valuable insights into the molecular pathways driving white matter damage and provides a framework for the clinical translation of Erk5 inhibitors in the treatment of ischemic white matter damage.</w:t>
      </w:r>
    </w:p>
    <w:p>
      <w:pPr>
        <w:spacing w:before="120" w:after="120"/>
      </w:pPr>
      <w:r>
        <w:rPr>
          <w:sz w:val="18"/>
        </w:rPr>
        <w:t>——————————————————————————————————————————————————————————————————————</w:t>
      </w:r>
    </w:p>
    <w:p>
      <w:pPr>
        <w:spacing w:before="160" w:after="40" w:line="240" w:lineRule="auto"/>
      </w:pPr>
      <w:r>
        <w:rPr>
          <w:b/>
        </w:rPr>
        <w:t xml:space="preserve">[558] </w:t>
      </w:r>
      <w:hyperlink r:id="rId902">
        <w:r>
          <w:rPr>
            <w:color w:val="1155CC"/>
            <w:u w:val="single"/>
          </w:rPr>
          <w:t>胡说以腐蚀为媒介的胡说 控制了内在免疫感测中的负反馈循环</w:t>
        </w:r>
      </w:hyperlink>
    </w:p>
    <w:p>
      <w:pPr>
        <w:spacing w:before="0" w:after="80"/>
      </w:pPr>
      <w:r>
        <w:rPr>
          <w:i/>
          <w:sz w:val="20"/>
        </w:rPr>
        <w:t>EN: Nonsense-mediated decay controls a negative feedback loop in innate immune sensing</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03">
        <w:r>
          <w:rPr>
            <w:color w:val="1155CC"/>
            <w:u w:val="single"/>
          </w:rPr>
          <w:t>10.1073/pnas.2517478123</w:t>
        </w:r>
      </w:hyperlink>
    </w:p>
    <w:p>
      <w:pPr>
        <w:spacing w:before="0" w:after="120"/>
      </w:pPr>
      <w:r>
        <w:rPr>
          <w:b/>
        </w:rPr>
        <w:t xml:space="preserve">Notes: </w:t>
      </w:r>
      <w:r>
        <w:t>abstract_source=crossref</w:t>
      </w:r>
    </w:p>
    <w:p>
      <w:pPr>
        <w:spacing w:before="0" w:after="80" w:lineRule="auto" w:line="276"/>
      </w:pPr>
      <w:r>
        <w:rPr>
          <w:b/>
        </w:rPr>
        <w:t xml:space="preserve">摘要（ZH）: </w:t>
      </w:r>
      <w:r>
        <w:t>胡言造假的衰变(NMD)是MRNA的衰变途径,它降解了含有过早终止的codon 的潜在有害记录,然而,NMD的重要性还扩大到在生理条件下对异形丰度的控制。 在病毒感染期间,NMD受到多种机制的抑制;然而,NMD被证明既具有抗病毒性,也具有孕育性活动,对NMD在病毒感染期间的作用和控制提出了进一步的问题。这些观察促使我们调查NMD可能参与dsRNA感测作为解释这些差异的一种机制。利用EIF4A2 Excon 10B的列入作为AS-NMD病毒感染期间的异形累积的例子,我们证明DsRNA感测会抑制NMD。</w:t>
      </w:r>
    </w:p>
    <w:p>
      <w:pPr>
        <w:spacing w:before="0" w:after="200" w:lineRule="auto" w:line="276"/>
      </w:pPr>
      <w:r>
        <w:rPr>
          <w:b/>
        </w:rPr>
        <w:t xml:space="preserve">Abstract (EN): </w:t>
      </w:r>
      <w:r>
        <w:t>Nonsense-mediated decay (NMD) is an mRNA decay pathway which degrades potential harmful transcripts that contain premature termination codons. However, NMD’s importance also extends to the control of isoform abundance under physiological conditions. During viral infection, NMD is inhibited through numerous mechanisms; however, NMD has been shown to have both antiviral as well as proviral activities, raising further questions into the role and control of NMD during viral infection. These observations have led us to investigate the potential involvement of NMD in dsRNA sensing as a mechanism that might explain these discrepancies. Using EIF4A2 exon 10B inclusion as an example of AS-NMD isoform accumulating during viral infection, we show that dsRNA sensing inhibits NMD. This effect is correlated with translational blockade and is driven primarily by RNaseL activation, and by PKR in the absence of RNaseL activation. Surprisingly, NMD inhibition limits the induction of IFN-β as well as interferon-stimulated genes, and this effect is upstream of IRF3 phosphorylation and translocation to the nucleus. NMD inhibition also decreases PKR and RNaseL activation as well as PIC-mediated cell death by decreasing the dsRNA content, suggesting NMD directly controls dsRNA sensing by controlling the dsRNA load. Therefore, inhibition of NMD upon dsRNA sensing provides a negative feedback loop that contributes to shaping the innate immune sensing pathways.</w:t>
      </w:r>
    </w:p>
    <w:p>
      <w:pPr>
        <w:spacing w:before="120" w:after="120"/>
      </w:pPr>
      <w:r>
        <w:rPr>
          <w:sz w:val="18"/>
        </w:rPr>
        <w:t>——————————————————————————————————————————————————————————————————————</w:t>
      </w:r>
    </w:p>
    <w:p>
      <w:pPr>
        <w:spacing w:before="160" w:after="40" w:line="240" w:lineRule="auto"/>
      </w:pPr>
      <w:r>
        <w:rPr>
          <w:b/>
        </w:rPr>
        <w:t xml:space="preserve">[559] </w:t>
      </w:r>
      <w:hyperlink r:id="rId904">
        <w:r>
          <w:rPr>
            <w:color w:val="1155CC"/>
            <w:u w:val="single"/>
          </w:rPr>
          <w:t>反应性氧物种驱赶红系植物浮游生物 以取代红系植物浮游生物</w:t>
        </w:r>
      </w:hyperlink>
    </w:p>
    <w:p>
      <w:pPr>
        <w:spacing w:before="0" w:after="80"/>
      </w:pPr>
      <w:r>
        <w:rPr>
          <w:i/>
          <w:sz w:val="20"/>
        </w:rPr>
        <w:t>EN: Reactive oxygen species drove red lineage phytoplankton to displace green lineage phytoplankton during the Mesozoic</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05">
        <w:r>
          <w:rPr>
            <w:color w:val="1155CC"/>
            <w:u w:val="single"/>
          </w:rPr>
          <w:t>10.1073/pnas.2521306123</w:t>
        </w:r>
      </w:hyperlink>
    </w:p>
    <w:p>
      <w:pPr>
        <w:spacing w:before="0" w:after="120"/>
      </w:pPr>
      <w:r>
        <w:rPr>
          <w:b/>
        </w:rPr>
        <w:t xml:space="preserve">Notes: </w:t>
      </w:r>
      <w:r>
        <w:t>abstract_source=crossref</w:t>
      </w:r>
    </w:p>
    <w:p>
      <w:pPr>
        <w:spacing w:before="0" w:after="80" w:lineRule="auto" w:line="276"/>
      </w:pPr>
      <w:r>
        <w:rPr>
          <w:b/>
        </w:rPr>
        <w:t xml:space="preserve">摘要（ZH）: </w:t>
      </w:r>
      <w:r>
        <w:t>早期的梅索索契奇( Mesozoic) 早期的植物浮游生物从绿色向红色悬浮系系的巨型转变标志着海洋生态系统中的主要生产者革命,它促进了现代生态系统的崛起,并影响了全球碳循环和能源流动。 推动这一进化转变的原因在于基本养分的变化和Permian-Triassic大规模灭绝的环境危机。 尽管如此,推动这一转变的基本机制仍然不甚为人知。 在这里,我们整合了文化实验、分子和生理分析、大数据分析以及植物基因分析,以揭示环境压力如何影响藻类生理学,从而改变其进化轨迹。 我们发现,环境和终点是环境的。</w:t>
      </w:r>
    </w:p>
    <w:p>
      <w:pPr>
        <w:spacing w:before="0" w:after="200" w:lineRule="auto" w:line="276"/>
      </w:pPr>
      <w:r>
        <w:rPr>
          <w:b/>
        </w:rPr>
        <w:t xml:space="preserve">Abstract (EN): </w:t>
      </w:r>
      <w:r>
        <w:t>The great phytoplanktonic shift from green to red plastid lineage dominance in the early Mesozoic marks a primary producer revolution in marine ecosystems, facilitating the rise of modern ecosystems and impacting global carbon cycling and energy flows. The causes driving this evolutionary transition have been attributed to the changes in essential nutrients and the environmental crises of the Permian–Triassic mass extinction. Nonetheless, the underlying mechanisms driving this transition remain poorly understood. Here, we integrated culture experiments, molecular and physiological analyses, big data analysis, and phylogenomic dating analyses to uncover how environmental stresses influence algal physiology, thereby altering their evolutionary trajectories. We find that environmental and endogenous reactive oxygen species (ROS) collaboratively shape phytoplanktonic responses. The structural characteristics of red lineage phytoplankton enhance resistance to environmental ROS, facilitating physiological strategies that minimize endogenous ROS accumulation, thereby driving more adaptive evolutionary trajectories under environmental stresses in the early Mesozoic. The alignment of the turnover in diversification dynamics between the two lineages with paleoenvironmental shifts that triggered increased ROS production supports the role of ROS in driving this evolutionary transition. Our findings highlight ROS as a key underlying factor driving phytoplankton evolution, providing predictive insights into major biota–environment coevolutions throughout Earth’s history.</w:t>
      </w:r>
    </w:p>
    <w:p>
      <w:pPr>
        <w:spacing w:before="120" w:after="120"/>
      </w:pPr>
      <w:r>
        <w:rPr>
          <w:sz w:val="18"/>
        </w:rPr>
        <w:t>——————————————————————————————————————————————————————————————————————</w:t>
      </w:r>
    </w:p>
    <w:p>
      <w:pPr>
        <w:spacing w:before="160" w:after="40" w:line="240" w:lineRule="auto"/>
      </w:pPr>
      <w:r>
        <w:rPr>
          <w:b/>
        </w:rPr>
        <w:t xml:space="preserve">[560] </w:t>
      </w:r>
      <w:hyperlink r:id="rId906">
        <w:r>
          <w:rPr>
            <w:color w:val="1155CC"/>
            <w:u w:val="single"/>
          </w:rPr>
          <w:t>1-磷酸1-磷酸酯在小鼠体内保持血管抗药性、血压和心脏功能</w:t>
        </w:r>
      </w:hyperlink>
    </w:p>
    <w:p>
      <w:pPr>
        <w:spacing w:before="0" w:after="80"/>
      </w:pPr>
      <w:r>
        <w:rPr>
          <w:i/>
          <w:sz w:val="20"/>
        </w:rPr>
        <w:t>EN: Blood-borne sphingosine 1-phosphate maintains vascular resistance, blood pressure, and cardiac function in mice</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07">
        <w:r>
          <w:rPr>
            <w:color w:val="1155CC"/>
            <w:u w:val="single"/>
          </w:rPr>
          <w:t>10.1073/pnas.2512853123</w:t>
        </w:r>
      </w:hyperlink>
    </w:p>
    <w:p>
      <w:pPr>
        <w:spacing w:before="0" w:after="120"/>
      </w:pPr>
      <w:r>
        <w:rPr>
          <w:b/>
        </w:rPr>
        <w:t xml:space="preserve">Notes: </w:t>
      </w:r>
      <w:r>
        <w:t>abstract_source=crossref</w:t>
      </w:r>
    </w:p>
    <w:p>
      <w:pPr>
        <w:spacing w:before="0" w:after="80" w:lineRule="auto" w:line="276"/>
      </w:pPr>
      <w:r>
        <w:rPr>
          <w:b/>
        </w:rPr>
        <w:t xml:space="preserve">摘要（ZH）: </w:t>
      </w:r>
      <w:r>
        <w:t>Sphingosine 1-磷酸酯(S1P)是一种生物活性脂脂,在与高密度脂质(HDL)和蛋白质结合的等离子体中流通。 S1P水平与高血压中的循环性血压(BP)呈正向关系,与败性休克和心脏疾病中的左心血管功能呈负关系。在小鼠中,HDL-S1P和内皮细胞S1P受体(R)-1的孤立缺陷都触发高血压,支持HDL-S1P在间歇功能中的重要作用。在心血管系统中的相吸附性-S1P和显微镜S1PR的生理作用仍然未完全界定。我们报告说,缺乏所有循环性S1P池的老鼠与年龄形成对比,与HDL-S1P缺乏症形成对比,并表明专辑-S1的基本作用。</w:t>
      </w:r>
    </w:p>
    <w:p>
      <w:pPr>
        <w:spacing w:before="0" w:after="200" w:lineRule="auto" w:line="276"/>
      </w:pPr>
      <w:r>
        <w:rPr>
          <w:b/>
        </w:rPr>
        <w:t xml:space="preserve">Abstract (EN): </w:t>
      </w:r>
      <w:r>
        <w:t>Sphingosine 1-phosphate (S1P) is a bioactive lipid that circulates in plasma bound to high-density lipoproteins (HDL) and albumin. Circulating S1P levels correlate positively with systolic blood pressure (BP) in hypertension and negatively with severity in septic shock and with left ventricular function in heart disease. In mice, isolated deficiency in HDL-S1P and endothelial cell S1P receptor (R)-1 both trigger hypertension, supporting an essential role for HDL-S1P in endothelial function. Physiological roles of albumin-S1P and myocyte S1PRs in the cardiovascular system remain incompletely defined. We report that mice lacking all circulating S1P pools display hypotension and lack of BP increase with age, which contrasts with HDL-S1P deficiency and suggests an essential role for albumin-S1P in cardiovascular homeostasis. Although cardiac output was preserved in a basal state, left ventricular systolic function and contractile reserve were reduced in the absence of circulating S1P. Cardiac function and BP were partially or fully normalized by transfusion of erythrocytes capable of S1P production. Hypotension was accompanied by reduced peripheral resistance, and albumin-S1P, but not S1P complexed to an HDL-like chaperone, dose-dependently increased vascular resistance in isolated perfused kidneys via S1PR3 and S1PR2. Epistatic analysis supported a critical role for S1PR3 in S1P-dependent BP maintenance and pointed to a distinct origin of the cardiac phenotype. We thus uncover an essential role for circulating S1P in maintaining BP and left ventricular systolic function in mice. Our results also highlight distinct functions for the pools of S1P bound to HDL and to albumin, carrying both diagnostic and therapeutic implications.</w:t>
      </w:r>
    </w:p>
    <w:p>
      <w:pPr>
        <w:spacing w:before="120" w:after="120"/>
      </w:pPr>
      <w:r>
        <w:rPr>
          <w:sz w:val="18"/>
        </w:rPr>
        <w:t>——————————————————————————————————————————————————————————————————————</w:t>
      </w:r>
    </w:p>
    <w:p>
      <w:pPr>
        <w:spacing w:before="160" w:after="40" w:line="240" w:lineRule="auto"/>
      </w:pPr>
      <w:r>
        <w:rPr>
          <w:b/>
        </w:rPr>
        <w:t xml:space="preserve">[561] </w:t>
      </w:r>
      <w:hyperlink r:id="rId908">
        <w:r>
          <w:rPr>
            <w:color w:val="1155CC"/>
            <w:u w:val="single"/>
          </w:rPr>
          <w:t>独特的PlzC机制结合化疗和c-di-GMP的化学-二-GMP信号,以调节霍乱活性机能和生物膜形成</w:t>
        </w:r>
      </w:hyperlink>
    </w:p>
    <w:p>
      <w:pPr>
        <w:spacing w:before="0" w:after="80"/>
      </w:pPr>
      <w:r>
        <w:rPr>
          <w:i/>
          <w:sz w:val="20"/>
        </w:rPr>
        <w:t>EN: Distinct PlzC mechanisms integrate chemotaxis and c-di-GMP signaling to regulate Vibrio cholerae motility and biofilm formation</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09">
        <w:r>
          <w:rPr>
            <w:color w:val="1155CC"/>
            <w:u w:val="single"/>
          </w:rPr>
          <w:t>10.1073/pnas.2511740123</w:t>
        </w:r>
      </w:hyperlink>
    </w:p>
    <w:p>
      <w:pPr>
        <w:spacing w:before="0" w:after="120"/>
      </w:pPr>
      <w:r>
        <w:rPr>
          <w:b/>
        </w:rPr>
        <w:t xml:space="preserve">Notes: </w:t>
      </w:r>
      <w:r>
        <w:t>abstract_source=crossref</w:t>
      </w:r>
    </w:p>
    <w:p>
      <w:pPr>
        <w:spacing w:before="0" w:after="80" w:lineRule="auto" w:line="276"/>
      </w:pPr>
      <w:r>
        <w:rPr>
          <w:b/>
        </w:rPr>
        <w:t xml:space="preserve">摘要（ZH）: </w:t>
      </w:r>
      <w:r>
        <w:t>在许多细菌物种中,第二信使c-di-GMP通过PilZ域内蛋白调节这些过程,然而下游机制仍然定义不清。在这里,我们确定PilZ域内蛋白PlzC是通过不同机制调节运动性和生物膜形成的关键积极调节器。对恢复`plzC'移徙的抑制器屏幕确定了下游监管者,包括CheX,一种CheY-3磷酸酯。遗传和口腔分析显示,PlzC通过调节CheX促进运动性,从而影响直接的频率。</w:t>
      </w:r>
    </w:p>
    <w:p>
      <w:pPr>
        <w:spacing w:before="0" w:after="200" w:lineRule="auto" w:line="276"/>
      </w:pPr>
      <w:r>
        <w:rPr>
          <w:b/>
        </w:rPr>
        <w:t xml:space="preserve">Abstract (EN): </w:t>
      </w:r>
      <w:r>
        <w:t>Bacterial motility and biofilm formation are essential for the adaptation and survival of</w:t>
      </w:r>
      <w:r>
        <w:t xml:space="preserve"> </w:t>
      </w:r>
      <w:r>
        <w:t>Vibrio cholerae</w:t>
      </w:r>
      <w:r>
        <w:t xml:space="preserve"> </w:t>
      </w:r>
      <w:r>
        <w:t>, the causative agent of cholera. In many bacterial species, the second messenger c-di-GMP regulates these processes through PilZ domain proteins, however the downstream mechanisms have remained poorly defined. Here, we identify the PilZ domain protein PlzC as a key positive regulator of motility and biofilm formation through distinct mechanisms. A suppressor screen for mutants restoring Δ</w:t>
      </w:r>
      <w:r>
        <w:t xml:space="preserve"> </w:t>
      </w:r>
      <w:r>
        <w:t>plzC</w:t>
      </w:r>
      <w:r>
        <w:t xml:space="preserve"> </w:t>
      </w:r>
      <w:r>
        <w:t>migration identified downstream regulators, including CheX, a CheY-3 phosphatase. Genetic and phenotypic analyses revealed that PlzC promotes motility by modulating CheX, thereby influencing the frequency of direction changes during swimming. Notably, the role of PlzC in motility regulation is independent of CheZ, another CheY-3 phosphatase, demonstrating that among the two CheY-3 phosphatases, only CheX is under PlzC control. This distinction suggests that CheY-3-P levels are regulated by at least two separate signaling pathways, one of which operates through PlzC. Despite its function in motility, CheX is not required for PlzC-mediated biofilm regulation, indicating pathway specificity. PlzC regulates biofilm formation through a mechanism that involves c-di-GMP binding, separating it from its CheX-dependent motility regulation. Together, our findings establish PlzC as a central regulator linking CheX-mediated motility and c-di-GMP signaling, thereby impacting motility and biofilm formation in</w:t>
      </w:r>
      <w:r>
        <w:t xml:space="preserve"> </w:t>
      </w:r>
      <w:r>
        <w:t>V. cholerae</w:t>
      </w:r>
      <w:r>
        <w:t xml:space="preserve"> </w:t>
      </w:r>
      <w:r>
        <w:t>.</w:t>
      </w:r>
    </w:p>
    <w:p>
      <w:pPr>
        <w:spacing w:before="120" w:after="120"/>
      </w:pPr>
      <w:r>
        <w:rPr>
          <w:sz w:val="18"/>
        </w:rPr>
        <w:t>——————————————————————————————————————————————————————————————————————</w:t>
      </w:r>
    </w:p>
    <w:p>
      <w:pPr>
        <w:spacing w:before="160" w:after="40" w:line="240" w:lineRule="auto"/>
      </w:pPr>
      <w:r>
        <w:rPr>
          <w:b/>
        </w:rPr>
        <w:t xml:space="preserve">[562] </w:t>
      </w:r>
      <w:hyperlink r:id="rId910">
        <w:r>
          <w:rPr>
            <w:color w:val="1155CC"/>
            <w:u w:val="single"/>
          </w:rPr>
          <w:t>通过无线电频率的物理计算进行分解机械学习</w:t>
        </w:r>
      </w:hyperlink>
    </w:p>
    <w:p>
      <w:pPr>
        <w:spacing w:before="0" w:after="80"/>
      </w:pPr>
      <w:r>
        <w:rPr>
          <w:i/>
          <w:sz w:val="20"/>
        </w:rPr>
        <w:t>EN: Disaggregated machine learning via in-physics computing at radio frequency</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911">
        <w:r>
          <w:rPr>
            <w:color w:val="1155CC"/>
            <w:u w:val="single"/>
          </w:rPr>
          <w:t>10.1126/sciadv.adz0817</w:t>
        </w:r>
      </w:hyperlink>
    </w:p>
    <w:p>
      <w:pPr>
        <w:spacing w:before="0" w:after="120"/>
      </w:pPr>
      <w:r>
        <w:rPr>
          <w:b/>
        </w:rPr>
        <w:t xml:space="preserve">Notes: </w:t>
      </w:r>
      <w:r>
        <w:t>abstract_source=crossref</w:t>
      </w:r>
    </w:p>
    <w:p>
      <w:pPr>
        <w:spacing w:before="0" w:after="80" w:lineRule="auto" w:line="276"/>
      </w:pPr>
      <w:r>
        <w:rPr>
          <w:b/>
        </w:rPr>
        <w:t xml:space="preserve">摘要（ZH）: </w:t>
      </w:r>
      <w:r>
        <w:t>现代边缘装置,如相机、无人机和互联网用具节点等现代边缘装置,依靠机器学习来提供广泛的智能应用。然而,直接在经常受到资源限制的边缘装置上部署机器学习模型需要大量的记忆足迹和计算能力,以便利用传统的数字计算结构进行实时推断。 在本论文中,我们介绍了无线边缘网络的计算结构,有两个主要创新:通过空对空无线广播进行分解的模型访问,以便在多边缘装置上同时推断,以及用单一频率混合器驱动的无线电频率直接计算具有一般复杂价值的矩阵矢量乘数。</w:t>
      </w:r>
    </w:p>
    <w:p>
      <w:pPr>
        <w:spacing w:before="0" w:after="200" w:lineRule="auto" w:line="276"/>
      </w:pPr>
      <w:r>
        <w:rPr>
          <w:b/>
        </w:rPr>
        <w:t xml:space="preserve">Abstract (EN): </w:t>
      </w:r>
      <w:r>
        <w:t>Modern edge devices, such as cameras, drones, and internet-of-things nodes, rely on machine learning to enable a wide range of intelligent applications. However, deploying machine learning models directly on the often resource-constrained edge devices demands substantial memory footprints and computational power for real-time inference using traditional digital computing architectures. In this paper, we present WISE, computing architecture for wireless edge networks with two key innovations: disaggregated model access via over-the-air wireless broadcasting for simultaneous inference on multiple edge devices, and in-physics computation of general complex-valued matrix-vector multiplications directly at radio frequency driven by a single frequency mixer. Using a software-defined radio platform, WISE achieves 95.7% image classification accuracy (97.2% audio classification accuracy) with ultralow energy consumption of 6.0 fJ/MAC (2.8 fJ/MAC), which is more than 10× improvement compared to traditional digital computing, e.g., on modern GPUs.</w:t>
      </w:r>
    </w:p>
    <w:p>
      <w:pPr>
        <w:spacing w:before="120" w:after="120"/>
      </w:pPr>
      <w:r>
        <w:rPr>
          <w:sz w:val="18"/>
        </w:rPr>
        <w:t>——————————————————————————————————————————————————————————————————————</w:t>
      </w:r>
    </w:p>
    <w:p>
      <w:pPr>
        <w:spacing w:before="160" w:after="40" w:line="240" w:lineRule="auto"/>
      </w:pPr>
      <w:r>
        <w:rPr>
          <w:b/>
        </w:rPr>
        <w:t xml:space="preserve">[563] </w:t>
      </w:r>
      <w:hyperlink r:id="rId912">
        <w:r>
          <w:rPr>
            <w:color w:val="1155CC"/>
            <w:u w:val="single"/>
          </w:rPr>
          <w:t>用于视觉决策的灵长者知情神经网络</w:t>
        </w:r>
      </w:hyperlink>
    </w:p>
    <w:p>
      <w:pPr>
        <w:spacing w:before="0" w:after="80"/>
      </w:pPr>
      <w:r>
        <w:rPr>
          <w:i/>
          <w:sz w:val="20"/>
        </w:rPr>
        <w:t>EN: Primate-informed neural network for visual decision-making</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13">
        <w:r>
          <w:rPr>
            <w:color w:val="1155CC"/>
            <w:u w:val="single"/>
          </w:rPr>
          <w:t>10.1073/pnas.2426883123</w:t>
        </w:r>
      </w:hyperlink>
    </w:p>
    <w:p>
      <w:pPr>
        <w:spacing w:before="0" w:after="120"/>
      </w:pPr>
      <w:r>
        <w:rPr>
          <w:b/>
        </w:rPr>
        <w:t xml:space="preserve">Notes: </w:t>
      </w:r>
      <w:r>
        <w:t>abstract_source=crossref</w:t>
      </w:r>
    </w:p>
    <w:p>
      <w:pPr>
        <w:spacing w:before="0" w:after="80" w:lineRule="auto" w:line="276"/>
      </w:pPr>
      <w:r>
        <w:rPr>
          <w:b/>
        </w:rPr>
        <w:t xml:space="preserve">摘要（ZH）: </w:t>
      </w:r>
      <w:r>
        <w:t>人类大脑具有卓越的效率、适应性和复原力,在复杂的任务中非常出色,具有非凡的效率、适应性和弹性,因此它成为AI的强大灵感来源。在这里,我们展示了一种由灵长经光学直观路径启发的神经动态模型,这是运动和空间处理的关键电路。纳入关键的神经和合成动态,模型在不需要广泛培训的情况下复制了类似人类的决策行为和神经活动模式。与传统的人工网络相比,它表现出很强的强力,不至于噪音和损害等扰动。为了进一步提高它的性能,我们引入了一种神经成形的导导导微调战略。MRI特征和行为性能之间的相互交错被定位到关键模型参数上,指导行为性能。</w:t>
      </w:r>
    </w:p>
    <w:p>
      <w:pPr>
        <w:spacing w:before="0" w:after="200" w:lineRule="auto" w:line="276"/>
      </w:pPr>
      <w:r>
        <w:rPr>
          <w:b/>
        </w:rPr>
        <w:t xml:space="preserve">Abstract (EN): </w:t>
      </w:r>
      <w:r>
        <w:t>The human brain excels at complex tasks with remarkable efficiency, adaptability, and resilience, making it a powerful source of inspiration for AI. Here, we present a neural dynamics model inspired by the primate dorsal visual pathway, a circuit crucial for motion and spatial processing. Incorporating key neuronal and synaptic dynamics, the model reproduces human-like decision-making behaviors and neural activity patterns without the need for extensive training. Compared with conventional artificial networks, it exhibits superior robustness to perturbations such as noise and damage. To further enhance its performance, we introduce a neuroimaging-guided fine-tuning strategy. Correlations between MRI features and behavioral performance are mapped onto critical model parameters, guiding the optimization toward more biologically plausible operational regimes. This approach improves performance and adaptability while preserving biological plausibility and reducing the parameter search space. This is a demonstration of directly integrating human neuroimaging evidence into AI model optimization, establishing a methodology for brain-inspired modeling. By combining insights from primate electrophysiology, human neuroimaging, and biologically grounded modeling, our work narrows the gap between neuroscience and AI. It demonstrates how brain-inspired approaches can advance the development of adaptive, resilient, and interpretable AI systems, offering a paradigm for biologically grounded intelligence.</w:t>
      </w:r>
    </w:p>
    <w:p>
      <w:pPr>
        <w:spacing w:before="120" w:after="120"/>
      </w:pPr>
      <w:r>
        <w:rPr>
          <w:sz w:val="18"/>
        </w:rPr>
        <w:t>——————————————————————————————————————————————————————————————————————</w:t>
      </w:r>
    </w:p>
    <w:p>
      <w:pPr>
        <w:spacing w:before="160" w:after="40" w:line="240" w:lineRule="auto"/>
      </w:pPr>
      <w:r>
        <w:rPr>
          <w:b/>
        </w:rPr>
        <w:t xml:space="preserve">[564] </w:t>
      </w:r>
      <w:hyperlink r:id="rId914">
        <w:r>
          <w:rPr>
            <w:color w:val="1155CC"/>
            <w:u w:val="single"/>
          </w:rPr>
          <w:t>体内内生气相化学还原化学还原在时间和细胞特定情况下激活的化学化方法</w:t>
        </w:r>
      </w:hyperlink>
    </w:p>
    <w:p>
      <w:pPr>
        <w:spacing w:before="0" w:after="80"/>
      </w:pPr>
      <w:r>
        <w:rPr>
          <w:i/>
          <w:sz w:val="20"/>
        </w:rPr>
        <w:t>EN: A chemogenetic approach for temporal and cell-specific activation of endogenous GPCRs in vivo</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15">
        <w:r>
          <w:rPr>
            <w:color w:val="1155CC"/>
            <w:u w:val="single"/>
          </w:rPr>
          <w:t>10.1073/pnas.2501228123</w:t>
        </w:r>
      </w:hyperlink>
    </w:p>
    <w:p>
      <w:pPr>
        <w:spacing w:before="0" w:after="120"/>
      </w:pPr>
      <w:r>
        <w:rPr>
          <w:b/>
        </w:rPr>
        <w:t xml:space="preserve">Notes: </w:t>
      </w:r>
      <w:r>
        <w:t>abstract_source=crossref</w:t>
      </w:r>
    </w:p>
    <w:p>
      <w:pPr>
        <w:spacing w:before="0" w:after="80" w:lineRule="auto" w:line="276"/>
      </w:pPr>
      <w:r>
        <w:rPr>
          <w:b/>
        </w:rPr>
        <w:t xml:space="preserve">摘要（ZH）: </w:t>
      </w:r>
      <w:r>
        <w:t>对内生G蛋白-混合受体(GPCRs)的细胞特管,对于了解它们在生理过程中的作用至关重要。我们展示了利用防护-1-依赖的不可逆转的蛋白质开关来调节peptide活性的活动。为了展示这个平台,我们设计了化学调节的细胞管控的细胞细胞细胞管控,对内生的受体活动进行了 &amp;gt;15倍于化学的调节。在对内生受体活动进行体外调节的过程中,CPACCAP允许通过PACAP的内生受体激活神经,使用控制呼吸和喂养行为的神经电路。通过将丙烷管与转基因小鼠结合,我们有选择地激活了内生的PACAP在显示机能神经元中的受体信号。</w:t>
      </w:r>
    </w:p>
    <w:p>
      <w:pPr>
        <w:spacing w:before="0" w:after="200" w:lineRule="auto" w:line="276"/>
      </w:pPr>
      <w:r>
        <w:rPr>
          <w:b/>
        </w:rPr>
        <w:t xml:space="preserve">Abstract (EN): </w:t>
      </w:r>
      <w:r>
        <w:t>Cell-specific regulation of endogenous G protein–coupled receptors (GPCRs) is crucial for understanding their roles in physiological processes. We present chemogenetic tools using shield-1-dependent irreversible protein switches to regulate peptide agonist activity. To demonstrate this platform, we engineered chemogenetically regulated pituitary adenylate cyclase activating polypeptide (cPACAP), which exhibited &amp;gt;15-fold chemical-dependent regulation of endogenous receptor activity. In vivo application of cPACAP allowed neuronal activation via the endogenous receptor for PACAP, engaging neural circuits that control respiratory and feeding behaviors. By integrating cPACAP with transgenic mice, we selectively activated endogenous PACAP receptor signaling in hypocretin-expressing neurons of the lateral hypothalamic area (LHA), revealing its role in regulating sighing, a stress-related physiological output. We further extended this design to chemogenetically regulate the parathyroid hormone receptor and corticotropin-releasing factor peptide receptor activity. Using a common small molecule, these chemogenetic tools enable temporally regulated peptidergic activation of endogenous GPCRs in targeted cell populations, facilitating the study of their function.</w:t>
      </w:r>
    </w:p>
    <w:p>
      <w:pPr>
        <w:spacing w:before="120" w:after="120"/>
      </w:pPr>
      <w:r>
        <w:rPr>
          <w:sz w:val="18"/>
        </w:rPr>
        <w:t>——————————————————————————————————————————————————————————————————————</w:t>
      </w:r>
    </w:p>
    <w:p>
      <w:pPr>
        <w:spacing w:before="160" w:after="40" w:line="240" w:lineRule="auto"/>
      </w:pPr>
      <w:r>
        <w:rPr>
          <w:b/>
        </w:rPr>
        <w:t xml:space="preserve">[565] </w:t>
      </w:r>
      <w:hyperlink r:id="rId916">
        <w:r>
          <w:rPr>
            <w:color w:val="1155CC"/>
            <w:u w:val="single"/>
          </w:rPr>
          <w:t>高性能n型高性能柔性无机热电气气凝胶,用于节能收集</w:t>
        </w:r>
      </w:hyperlink>
    </w:p>
    <w:p>
      <w:pPr>
        <w:spacing w:before="0" w:after="80"/>
      </w:pPr>
      <w:r>
        <w:rPr>
          <w:i/>
          <w:sz w:val="20"/>
        </w:rPr>
        <w:t>EN: High-performance n-type flexible inorganic thermoelectric aerogel for energy harvesting</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917">
        <w:r>
          <w:rPr>
            <w:color w:val="1155CC"/>
            <w:u w:val="single"/>
          </w:rPr>
          <w:t>10.1126/sciadv.ady7679</w:t>
        </w:r>
      </w:hyperlink>
    </w:p>
    <w:p>
      <w:pPr>
        <w:spacing w:before="0" w:after="120"/>
      </w:pPr>
      <w:r>
        <w:rPr>
          <w:b/>
        </w:rPr>
        <w:t xml:space="preserve">Notes: </w:t>
      </w:r>
      <w:r>
        <w:t>abstract_source=crossref</w:t>
      </w:r>
    </w:p>
    <w:p>
      <w:pPr>
        <w:spacing w:before="0" w:after="80" w:lineRule="auto" w:line="276"/>
      </w:pPr>
      <w:r>
        <w:rPr>
          <w:b/>
        </w:rPr>
        <w:t xml:space="preserve">摘要（ZH）: </w:t>
      </w:r>
      <w:r>
        <w:t>气凝胶尽管作为轻量、超低热-热导热电材料(TE)有希望,但基本上限于微量ZT &amp; lt(ZT &amp; lt) 0.1 和 0.1 和 300 kelvin 的p型有机或碳基系统;这里,我们提出一个渐进式综合战略,产生第一个无机气凝胶,显示最先进的N型TE性能。 最佳气凝胶,有95%孔度渗透性,显示高功率系数为每平方Kelvin米34.8微瓦特,超低热导率为每Kelvin每米0.061微瓦特,导致ZT值为0.17,300 kelvin 和0.24,383 kelvin。</w:t>
      </w:r>
    </w:p>
    <w:p>
      <w:pPr>
        <w:spacing w:before="0" w:after="200" w:lineRule="auto" w:line="276"/>
      </w:pPr>
      <w:r>
        <w:rPr>
          <w:b/>
        </w:rPr>
        <w:t xml:space="preserve">Abstract (EN): </w:t>
      </w:r>
      <w:r>
        <w:t>Despite their promise as lightweight, ultralow–thermal-conductivity thermoelectric (TE) materials, aerogels have been largely limited to p-type organic or carbon-based systems with modest</w:t>
      </w:r>
      <w:r>
        <w:t xml:space="preserve"> </w:t>
      </w:r>
      <w:r>
        <w:t>zT</w:t>
      </w:r>
      <w:r>
        <w:t xml:space="preserve"> </w:t>
      </w:r>
      <w:r>
        <w:t>&amp;lt; 0.1 at 300 kelvin. Here, we propose a stepwise synthesis strategy that yields the first inorganic aerogel exhibiting state-of-the-art n-type TE performance. Optimized aerogels with 95% porosity exhibit a high power factor of 34.8 microwatts per meter per square kelvin and an ultralow thermal conductivity of 0.061 microwatts per meter per kelvin, resulting in</w:t>
      </w:r>
      <w:r>
        <w:t xml:space="preserve"> </w:t>
      </w:r>
      <w:r>
        <w:t>zT</w:t>
      </w:r>
      <w:r>
        <w:t xml:space="preserve"> </w:t>
      </w:r>
      <w:r>
        <w:t>values of 0.17 at 300 kelvin and 0.24 at 383 kelvin. A vertical TE generator prototype with six TE-aerogel legs achieves a gravimetric output power of 76 microwatts per gram under a Δ</w:t>
      </w:r>
      <w:r>
        <w:t xml:space="preserve"> </w:t>
      </w:r>
      <w:r>
        <w:t>T</w:t>
      </w:r>
      <w:r>
        <w:t xml:space="preserve"> </w:t>
      </w:r>
      <w:r>
        <w:t>of ~60 kelvin. To address brittleness, a polyimide-encapsulated aerogel with bioinspired architecture was developed, achieving a high compressive strength to 1.4 kilopascals while maintaining excellent TE performance. This work establishes a generalizable method for designing high-performance flexible inorganic aerogels, opening more possibilities for lightweight wearable energy harvesting technologies.</w:t>
      </w:r>
    </w:p>
    <w:p>
      <w:pPr>
        <w:spacing w:before="120" w:after="120"/>
      </w:pPr>
      <w:r>
        <w:rPr>
          <w:sz w:val="18"/>
        </w:rPr>
        <w:t>——————————————————————————————————————————————————————————————————————</w:t>
      </w:r>
    </w:p>
    <w:p>
      <w:pPr>
        <w:spacing w:before="160" w:after="40" w:line="240" w:lineRule="auto"/>
      </w:pPr>
      <w:r>
        <w:rPr>
          <w:b/>
        </w:rPr>
        <w:t xml:space="preserve">[566] </w:t>
      </w:r>
      <w:hyperlink r:id="rId918">
        <w:r>
          <w:rPr>
            <w:color w:val="1155CC"/>
            <w:u w:val="single"/>
          </w:rPr>
          <w:t>在剪切刺激过程中对晶晶岩中从厘米到亚公里尺度的透水性生成进行地震性诊断</w:t>
        </w:r>
      </w:hyperlink>
    </w:p>
    <w:p>
      <w:pPr>
        <w:spacing w:before="0" w:after="80"/>
      </w:pPr>
      <w:r>
        <w:rPr>
          <w:i/>
          <w:sz w:val="20"/>
        </w:rPr>
        <w:t>EN: Seismicity diagnostic of permeability creation from centimeter to subkilometer scales in crystalline rock during shear stimulation</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919">
        <w:r>
          <w:rPr>
            <w:color w:val="1155CC"/>
            <w:u w:val="single"/>
          </w:rPr>
          <w:t>10.1126/sciadv.ady5201</w:t>
        </w:r>
      </w:hyperlink>
    </w:p>
    <w:p>
      <w:pPr>
        <w:spacing w:before="0" w:after="120"/>
      </w:pPr>
      <w:r>
        <w:rPr>
          <w:b/>
        </w:rPr>
        <w:t xml:space="preserve">Notes: </w:t>
      </w:r>
      <w:r>
        <w:t>abstract_source=crossref</w:t>
      </w:r>
    </w:p>
    <w:p>
      <w:pPr>
        <w:spacing w:before="0" w:after="80" w:lineRule="auto" w:line="276"/>
      </w:pPr>
      <w:r>
        <w:rPr>
          <w:b/>
        </w:rPr>
        <w:t xml:space="preserve">摘要（ZH）: </w:t>
      </w:r>
      <w:r>
        <w:t>地壳的渗透性动态演化,介质在地表以下的重要自然和工业过程中产生重要的自然和工业过程。pisodic微地震产生孔隙性,从而通过产生或恢复断裂而渗透。我们限制将地震时刻(M0)与递增的渗透性生成( k)联系起来的缩放关系的形式。</w:t>
      </w:r>
    </w:p>
    <w:p>
      <w:pPr>
        <w:spacing w:before="0" w:after="200" w:lineRule="auto" w:line="276"/>
      </w:pPr>
      <w:r>
        <w:rPr>
          <w:b/>
        </w:rPr>
        <w:t xml:space="preserve">Abstract (EN): </w:t>
      </w:r>
      <w:r>
        <w:t>Permeability evolves dynamically in the crust and mediates important natural and industrial processes in the subsurface. Episodic microearthquakes generate porosity and, thus, permeability by creating or reactivating fractures. We constrain the form of the scaling relationship linking seismic moment (</w:t>
      </w:r>
      <w:r>
        <w:t xml:space="preserve"> </w:t>
      </w:r>
      <w:r>
        <w:t>M</w:t>
      </w:r>
      <w:r>
        <w:rPr>
          <w:vertAlign w:val="subscript"/>
        </w:rPr>
        <w:t>0</w:t>
      </w:r>
      <w:r>
        <w:t xml:space="preserve"> </w:t>
      </w:r>
      <w:r>
        <w:t>) to incremental permeability generation (</w:t>
      </w:r>
      <w:r>
        <w:t xml:space="preserve"> </w:t>
      </w:r>
      <w:r>
        <w:t>Δ</w:t>
      </w:r>
      <w:r>
        <w:t xml:space="preserve"> </w:t>
      </w:r>
      <w:r>
        <w:t>k</w:t>
      </w:r>
      <w:r>
        <w:t xml:space="preserve"> </w:t>
      </w:r>
      <w:r>
        <w:t>) through a series of laboratory fault reactivation experiments with absolute constraint on seismic moment. We demonstrate</w:t>
      </w:r>
      <w:r>
        <w:t xml:space="preserve"> </w:t>
      </w:r>
      <w:r>
        <w:t>Δ</w:t>
      </w:r>
      <w:r>
        <w:t xml:space="preserve"> </w:t>
      </w:r>
      <w:r>
        <w:t>k</w:t>
      </w:r>
      <w:r>
        <w:t xml:space="preserve"> </w:t>
      </w:r>
      <w:r>
        <w:t>−</w:t>
      </w:r>
      <w:r>
        <w:t xml:space="preserve"> </w:t>
      </w:r>
      <w:r>
        <w:t>M</w:t>
      </w:r>
      <w:r>
        <w:rPr>
          <w:vertAlign w:val="subscript"/>
        </w:rPr>
        <w:t>0</w:t>
      </w:r>
      <w:r>
        <w:t xml:space="preserve"> </w:t>
      </w:r>
      <w:r>
        <w:t>proportionality at centimeter scale but confirm predictive power-law scaling using a first-order model as</w:t>
      </w:r>
      <w:r>
        <w:t xml:space="preserve"> </w:t>
      </w:r>
      <w:r>
        <w:t>Δ</w:t>
      </w:r>
      <w:r>
        <w:t xml:space="preserve"> </w:t>
      </w:r>
      <w:r>
        <w:t>k</w:t>
      </w:r>
      <w:r>
        <w:t xml:space="preserve"> </w:t>
      </w:r>
      <w:r>
        <w:t>=</w:t>
      </w:r>
      <w:r>
        <w:t xml:space="preserve"> </w:t>
      </w:r>
      <w:r>
        <w:t>λ</w:t>
      </w:r>
      <w:r>
        <w:t xml:space="preserve"> </w:t>
      </w:r>
      <w:r>
        <w:t>M</w:t>
      </w:r>
      <w:r>
        <w:rPr>
          <w:vertAlign w:val="subscript"/>
        </w:rPr>
        <w:t>0</w:t>
      </w:r>
      <w:r>
        <w:t xml:space="preserve"> </w:t>
      </w:r>
      <w:r>
        <w:rPr>
          <w:vertAlign w:val="subscript"/>
        </w:rPr>
        <w:t>2</w:t>
      </w:r>
      <w:r>
        <w:t>/</w:t>
      </w:r>
      <w:r>
        <w:rPr>
          <w:vertAlign w:val="subscript"/>
        </w:rPr>
        <w:t>3</w:t>
      </w:r>
      <w:r>
        <w:t xml:space="preserve"> </w:t>
      </w:r>
      <w:r>
        <w:t>from centimeter to subkilometer scale. Stress drop, fault roughness, and deformation modulus condition the prefactor</w:t>
      </w:r>
      <w:r>
        <w:t xml:space="preserve"> </w:t>
      </w:r>
      <w:r>
        <w:t>λ</w:t>
      </w:r>
      <w:r>
        <w:t xml:space="preserve"> </w:t>
      </w:r>
      <w:r>
        <w:t>, extending over 10 decades for reasonable natural parameter ranges. However, observed permeabilities are much more tightly constrained, with</w:t>
      </w:r>
      <w:r>
        <w:t xml:space="preserve"> </w:t>
      </w:r>
      <w:r>
        <w:t>λ</w:t>
      </w:r>
      <w:r>
        <w:t xml:space="preserve"> </w:t>
      </w:r>
      <w:r>
        <w:t>spanning only two orders of magnitude over length scales from centimeter to subkilometer, suggesting interdependencies in the controlling variables and rendering the relation as diagnostic in predicting fluid flow in crustal reservoirs.</w:t>
      </w:r>
    </w:p>
    <w:p>
      <w:pPr>
        <w:spacing w:before="120" w:after="120"/>
      </w:pPr>
      <w:r>
        <w:rPr>
          <w:sz w:val="18"/>
        </w:rPr>
        <w:t>——————————————————————————————————————————————————————————————————————</w:t>
      </w:r>
    </w:p>
    <w:p>
      <w:pPr>
        <w:spacing w:before="160" w:after="40" w:line="240" w:lineRule="auto"/>
      </w:pPr>
      <w:r>
        <w:rPr>
          <w:b/>
        </w:rPr>
        <w:t xml:space="preserve">[567] </w:t>
      </w:r>
      <w:hyperlink r:id="rId920">
        <w:r>
          <w:rPr>
            <w:color w:val="1155CC"/>
            <w:u w:val="single"/>
          </w:rPr>
          <w:t>ACSS2 增强监管能增强神经抗老化和与托伊有关的神经衰变的神经复原力</w:t>
        </w:r>
      </w:hyperlink>
    </w:p>
    <w:p>
      <w:pPr>
        <w:spacing w:before="0" w:after="80"/>
      </w:pPr>
      <w:r>
        <w:rPr>
          <w:i/>
          <w:sz w:val="20"/>
        </w:rPr>
        <w:t>EN: ACSS2 upregulation enhances neuronal resilience to aging and tau-associated neurodegeneration</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21">
        <w:r>
          <w:rPr>
            <w:color w:val="1155CC"/>
            <w:u w:val="single"/>
          </w:rPr>
          <w:t>10.1073/pnas.2503834122</w:t>
        </w:r>
      </w:hyperlink>
    </w:p>
    <w:p>
      <w:pPr>
        <w:spacing w:before="0" w:after="120"/>
      </w:pPr>
      <w:r>
        <w:rPr>
          <w:b/>
        </w:rPr>
        <w:t xml:space="preserve">Notes: </w:t>
      </w:r>
      <w:r>
        <w:t>abstract_source=crossref</w:t>
      </w:r>
    </w:p>
    <w:p>
      <w:pPr>
        <w:spacing w:before="0" w:after="80" w:lineRule="auto" w:line="276"/>
      </w:pPr>
      <w:r>
        <w:rPr>
          <w:b/>
        </w:rPr>
        <w:t xml:space="preserve">摘要（ZH）: </w:t>
      </w:r>
      <w:r>
        <w:t>甲状腺酶2(ACSS2 ), 一种产生乙酰乙酰丙酰丙烯酶的酶2(ACSS2 ), 当地调节神经核中的丙酮催化和基因表现。这一监管机制可能是神经降解性疾病治疗干预的一个很有希望的目标。 之前,我们曾指出,系统性的ACSS2淘汰小鼠虽然在生理学上基本正常,但表现出记忆力不足。 在这里,我们调查了增加丙酰乙酰乙酰丙烯合成酶2水平是否能保护神经元免受疾病和与年龄有关的认知衰落。 鉴于Tau在神经神经核中的角色,我们使用主要的河马脑运动神经,以模拟热带病学和P301S转基因模的零星发展。</w:t>
      </w:r>
    </w:p>
    <w:p>
      <w:pPr>
        <w:spacing w:before="0" w:after="200" w:lineRule="auto" w:line="276"/>
      </w:pPr>
      <w:r>
        <w:rPr>
          <w:b/>
        </w:rPr>
        <w:t xml:space="preserve">Abstract (EN): </w:t>
      </w:r>
      <w:r>
        <w:t>Epigenetic mechanisms, including histone acetylation, regulate learning and memory and underlie Alzheimer’s disease and related dementia (ADRD). Acetyl-CoA synthetase 2 (ACSS2), an enzyme generating acetyl-CoA, locally regulates histone acetylation and gene expression in neuronal nuclei. This regulatory mechanism may be a promising target for therapeutic intervention in neurodegenerative diseases. Previously, we showed that systemic ACSS2 knockout mice, although largely normal in physiology, exhibit memory deficits. Here, we investigated whether increasing ACSS2 levels could protect neurons against disease and age-associated cognitive decline. Given the role of tau in ADRD, we used primary hippocampal neurons that mimic the sporadic development of tau pathology and the P301S transgenic mouse model for tau-induced memory decline. Our results show that ACSS2 upregulation mitigates tau-induced transcriptional alterations, enhances neuronal resilience against tau pathology, improves long-term potentiation, and ameliorates memory deficits. Additionally, boosting histone acetylation through ACSS2 countered age-related memory decline. These findings indicate that increasing ACSS2 is highly effective in countering age- and tau-induced transcriptome changes, preserving elevated levels of synaptic genes, and safeguarding synaptic integrity. These findings position ACSS2 as a key epigenetic regulator of cognitive aging and ADRD, highlighting its potential for targeted therapeutics to enhance brain resilience and function.</w:t>
      </w:r>
    </w:p>
    <w:p>
      <w:pPr>
        <w:spacing w:before="120" w:after="120"/>
      </w:pPr>
      <w:r>
        <w:rPr>
          <w:sz w:val="18"/>
        </w:rPr>
        <w:t>——————————————————————————————————————————————————————————————————————</w:t>
      </w:r>
    </w:p>
    <w:p>
      <w:pPr>
        <w:spacing w:before="160" w:after="40" w:line="240" w:lineRule="auto"/>
      </w:pPr>
      <w:r>
        <w:rPr>
          <w:b/>
        </w:rPr>
        <w:t xml:space="preserve">[568] </w:t>
      </w:r>
      <w:hyperlink r:id="rId922">
        <w:r>
          <w:rPr>
            <w:color w:val="1155CC"/>
            <w:u w:val="single"/>
          </w:rPr>
          <w:t>海水的主要离离子化学与在蛋甲醚期间的长期碳循环密切结合。</w:t>
        </w:r>
      </w:hyperlink>
    </w:p>
    <w:p>
      <w:pPr>
        <w:spacing w:before="0" w:after="80"/>
      </w:pPr>
      <w:r>
        <w:rPr>
          <w:i/>
          <w:sz w:val="20"/>
        </w:rPr>
        <w:t>EN: The major ion chemistry of seawater was closely coupled to the long-term carbon cycle during the Cenozoic</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23">
        <w:r>
          <w:rPr>
            <w:color w:val="1155CC"/>
            <w:u w:val="single"/>
          </w:rPr>
          <w:t>10.1073/pnas.2511781122</w:t>
        </w:r>
      </w:hyperlink>
    </w:p>
    <w:p>
      <w:pPr>
        <w:spacing w:before="0" w:after="120"/>
      </w:pPr>
      <w:r>
        <w:rPr>
          <w:b/>
        </w:rPr>
        <w:t xml:space="preserve">Notes: </w:t>
      </w:r>
      <w:r>
        <w:t>abstract_source=crossref</w:t>
      </w:r>
    </w:p>
    <w:p>
      <w:pPr>
        <w:spacing w:before="0" w:after="80" w:lineRule="auto" w:line="276"/>
      </w:pPr>
      <w:r>
        <w:rPr>
          <w:b/>
        </w:rPr>
        <w:t xml:space="preserve">摘要（ZH）: </w:t>
      </w:r>
      <w:r>
        <w:t>虽然潜在驱动因素的具体贡献仍然不为人所熟知,但人们往往从硅酸盐天气变化的角度来看待这一点,事实上,有人说,海底扩展率的变化导致Cenozoic p CO 2 的下降,尽管这种下降幅度的幅度意味着不可能将CO 2 的全部变化考虑在内。</w:t>
      </w:r>
    </w:p>
    <w:p>
      <w:pPr>
        <w:spacing w:before="0" w:after="200" w:lineRule="auto" w:line="276"/>
      </w:pPr>
      <w:r>
        <w:rPr>
          <w:b/>
        </w:rPr>
        <w:t xml:space="preserve">Abstract (EN): </w:t>
      </w:r>
      <w:r>
        <w:t>A ~fivefold decrease in the atmospheric concentration of CO</w:t>
      </w:r>
      <w:r>
        <w:rPr>
          <w:vertAlign w:val="subscript"/>
        </w:rPr>
        <w:t>2</w:t>
      </w:r>
      <w:r>
        <w:t>took place during the Cenozoic. This has often been viewed within the context of silicate weathering changes, although the specific contributions of the potential drivers remain poorly understood. Indeed, it has been alternatively argued that changes in the sea floor spreading rate contributed to the Cenozoic</w:t>
      </w:r>
      <w:r>
        <w:t xml:space="preserve"> </w:t>
      </w:r>
      <w:r>
        <w:t>p</w:t>
      </w:r>
      <w:r>
        <w:t xml:space="preserve"> </w:t>
      </w:r>
      <w:r>
        <w:t>CO</w:t>
      </w:r>
      <w:r>
        <w:rPr>
          <w:vertAlign w:val="subscript"/>
        </w:rPr>
        <w:t>2</w:t>
      </w:r>
      <w:r>
        <w:t>decline, although the magnitude of the decrease means that this is unlikely to account for the entirety of the</w:t>
      </w:r>
      <w:r>
        <w:t xml:space="preserve"> </w:t>
      </w:r>
      <w:r>
        <w:t>p</w:t>
      </w:r>
      <w:r>
        <w:t xml:space="preserve"> </w:t>
      </w:r>
      <w:r>
        <w:t>CO</w:t>
      </w:r>
      <w:r>
        <w:rPr>
          <w:vertAlign w:val="subscript"/>
        </w:rPr>
        <w:t>2</w:t>
      </w:r>
      <w:r>
        <w:t>change. One previously overlooked factor is the concomitant change in the major element composition of seawater, especially the concentration of calcium ([Ca</w:t>
      </w:r>
      <w:r>
        <w:t xml:space="preserve"> </w:t>
      </w:r>
      <w:r>
        <w:t>2+</w:t>
      </w:r>
      <w:r>
        <w:t xml:space="preserve"> </w:t>
      </w:r>
      <w:r>
        <w:t>sw</w:t>
      </w:r>
      <w:r>
        <w:t xml:space="preserve"> </w:t>
      </w:r>
      <w:r>
        <w:t>]), which is typically viewed as responding to processes such as weathering, rather than representing a driver in and of itself. Here, we present the first detailed record of the Cenozoic major ion chemistry of seawater and show that [Ca</w:t>
      </w:r>
      <w:r>
        <w:t xml:space="preserve"> </w:t>
      </w:r>
      <w:r>
        <w:t>2+</w:t>
      </w:r>
      <w:r>
        <w:t xml:space="preserve"> </w:t>
      </w:r>
      <w:r>
        <w:t>sw</w:t>
      </w:r>
      <w:r>
        <w:t xml:space="preserve"> </w:t>
      </w:r>
      <w:r>
        <w:t>] has the potential to control key processes that impact the carbon cycle. Although our record cannot determine whether CO</w:t>
      </w:r>
      <w:r>
        <w:rPr>
          <w:vertAlign w:val="subscript"/>
        </w:rPr>
        <w:t>2</w:t>
      </w:r>
      <w:r>
        <w:t>is causally driven by [Ca</w:t>
      </w:r>
      <w:r>
        <w:t xml:space="preserve"> </w:t>
      </w:r>
      <w:r>
        <w:t>2+</w:t>
      </w:r>
      <w:r>
        <w:t xml:space="preserve"> </w:t>
      </w:r>
      <w:r>
        <w:t>sw</w:t>
      </w:r>
      <w:r>
        <w:t xml:space="preserve"> </w:t>
      </w:r>
      <w:r>
        <w:t>], carbon cycle box modeling identifies that this may have been the case. Whether or not [Ca</w:t>
      </w:r>
      <w:r>
        <w:t xml:space="preserve"> </w:t>
      </w:r>
      <w:r>
        <w:t>2+</w:t>
      </w:r>
      <w:r>
        <w:t xml:space="preserve"> </w:t>
      </w:r>
      <w:r>
        <w:t>sw</w:t>
      </w:r>
      <w:r>
        <w:t xml:space="preserve"> </w:t>
      </w:r>
      <w:r>
        <w:t>] indeed directly drove</w:t>
      </w:r>
      <w:r>
        <w:t xml:space="preserve"> </w:t>
      </w:r>
      <w:r>
        <w:t>p</w:t>
      </w:r>
      <w:r>
        <w:t xml:space="preserve"> </w:t>
      </w:r>
      <w:r>
        <w:t>CO</w:t>
      </w:r>
      <w:r>
        <w:rPr>
          <w:vertAlign w:val="subscript"/>
        </w:rPr>
        <w:t>2</w:t>
      </w:r>
      <w:r>
        <w:t>during the Cenozoic principally depends on the strength of the silicate weathering feedback and the magnitude of any possible changes in organic carbon burial, both of which could overwhelm a [Ca</w:t>
      </w:r>
      <w:r>
        <w:t xml:space="preserve"> </w:t>
      </w:r>
      <w:r>
        <w:t>2+</w:t>
      </w:r>
      <w:r>
        <w:t xml:space="preserve"> </w:t>
      </w:r>
      <w:r>
        <w:t>sw</w:t>
      </w:r>
      <w:r>
        <w:t xml:space="preserve"> </w:t>
      </w:r>
      <w:r>
        <w:t>]-driven impact on the carbon cycle. As such, determining the sensitivity of the weathering–climate relationship on million-year timescales is key to resolving whether factors such as seawater major ion composition are important carbon cycle drivers.</w:t>
      </w:r>
    </w:p>
    <w:p>
      <w:pPr>
        <w:spacing w:before="120" w:after="120"/>
      </w:pPr>
      <w:r>
        <w:rPr>
          <w:sz w:val="18"/>
        </w:rPr>
        <w:t>——————————————————————————————————————————————————————————————————————</w:t>
      </w:r>
    </w:p>
    <w:p>
      <w:pPr>
        <w:spacing w:before="160" w:after="40" w:line="240" w:lineRule="auto"/>
      </w:pPr>
      <w:r>
        <w:rPr>
          <w:b/>
        </w:rPr>
        <w:t xml:space="preserve">[569] </w:t>
      </w:r>
      <w:hyperlink r:id="rId924">
        <w:r>
          <w:rPr>
            <w:color w:val="1155CC"/>
            <w:u w:val="single"/>
          </w:rPr>
          <w:t>一项有选择地针对与1型小结肠萎缩型1有关的rCUG-repates的坑洞填埋战略</w:t>
        </w:r>
      </w:hyperlink>
    </w:p>
    <w:p>
      <w:pPr>
        <w:spacing w:before="0" w:after="80"/>
      </w:pPr>
      <w:r>
        <w:rPr>
          <w:i/>
          <w:sz w:val="20"/>
        </w:rPr>
        <w:t>EN: A pothole-filling strategy for selective targeting of rCUG-repeats associated with myotonic dystrophy type 1</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25">
        <w:r>
          <w:rPr>
            <w:color w:val="1155CC"/>
            <w:u w:val="single"/>
          </w:rPr>
          <w:t>10.1073/pnas.2507065123</w:t>
        </w:r>
      </w:hyperlink>
    </w:p>
    <w:p>
      <w:pPr>
        <w:spacing w:before="0" w:after="120"/>
      </w:pPr>
      <w:r>
        <w:rPr>
          <w:b/>
        </w:rPr>
        <w:t xml:space="preserve">Notes: </w:t>
      </w:r>
      <w:r>
        <w:t>abstract_source=crossref</w:t>
      </w:r>
    </w:p>
    <w:p>
      <w:pPr>
        <w:spacing w:before="0" w:after="80" w:lineRule="auto" w:line="276"/>
      </w:pPr>
      <w:r>
        <w:rPr>
          <w:b/>
        </w:rPr>
        <w:t xml:space="preserve">摘要（ZH）: </w:t>
      </w:r>
      <w:r>
        <w:t>我们提出了一种替代传统小型分子和抗感官战略的替代方法,有选择地针对与第1类水晶分营养性1型相关联的扩大的CUG-RNA重复重复使用,我们所设计的核酸结扎与现有两种方法都具有独特的优势:它们是紧凑的(只有三个单位的长度),在结构上与小分子相似,但通过类似于抗硅核素的定向氢丰度来识别RNA目标。值得注意的是,这些离子体比单独两种方法都更具有针对性和选择性。这种增强特性的原因在于其双子识别机制,其中对一个约束性界面的不匹配在互补面面上相互反映。此外,它们的短长度符号也比两种方法都更加明确和有选择性。</w:t>
      </w:r>
    </w:p>
    <w:p>
      <w:pPr>
        <w:spacing w:before="0" w:after="200" w:lineRule="auto" w:line="276"/>
      </w:pPr>
      <w:r>
        <w:rPr>
          <w:b/>
        </w:rPr>
        <w:t xml:space="preserve">Abstract (EN): </w:t>
      </w:r>
      <w:r>
        <w:t>We present an alternative approach to conventional small-molecule and antisense strategies for selectively targeting expanded CUG-RNA repeats associated with Myotonic Dystrophy type 1. Our alternatively designed nucleic acid ligands uniquely integrate advantageous features from both existing methods: They are compact (only three units in length), structurally resembling small molecules, yet recognize RNA targets through directional hydrogen-bonding similar to antisense oligonucleotides. Notably, these ligands exhibit greater specificity and selectivity than either approach alone. This enhanced specificity results from their bifacial recognition mechanism, wherein mismatches on one binding interface are reciprocally mirrored on the complementary face. Additionally, their short length significantly amplifies specificity, as even a single mismatch substantially reduces the overall binding free energy, effectively minimizing off-target interactions. Unlike conventional oligonucleotides, these ligands avoid binding single-stranded RNA and only recognize defined hairpin motifs via a “pothole-filling” mechanism. This method amplifies recognition specificity and selectivity, circumventing the thermodynamic penalties associated with RNA unfolding. This proof-of-concept study thus lays a foundation for developing versatile nucleic acid ligands capable of selectively targeting not only pathogenic CUG-RNA repeats in Myotonic Dystrophy type 1 but also other disease-associated triplet-repeat expansions prevalent in various neuromuscular disorders.</w:t>
      </w:r>
    </w:p>
    <w:p>
      <w:pPr>
        <w:spacing w:before="120" w:after="120"/>
      </w:pPr>
      <w:r>
        <w:rPr>
          <w:sz w:val="18"/>
        </w:rPr>
        <w:t>——————————————————————————————————————————————————————————————————————</w:t>
      </w:r>
    </w:p>
    <w:p>
      <w:pPr>
        <w:spacing w:before="160" w:after="40" w:line="240" w:lineRule="auto"/>
      </w:pPr>
      <w:r>
        <w:rPr>
          <w:b/>
        </w:rPr>
        <w:t xml:space="preserve">[570] </w:t>
      </w:r>
      <w:hyperlink r:id="rId926">
        <w:r>
          <w:rPr>
            <w:color w:val="1155CC"/>
            <w:u w:val="single"/>
          </w:rPr>
          <w:t>以空间方式解决的多地质学揭示了头癌和颈癌这一领先的多细胞多细胞生态系统的自我强化特性。</w:t>
        </w:r>
      </w:hyperlink>
    </w:p>
    <w:p>
      <w:pPr>
        <w:spacing w:before="0" w:after="80"/>
      </w:pPr>
      <w:r>
        <w:rPr>
          <w:i/>
          <w:sz w:val="20"/>
        </w:rPr>
        <w:t>EN: Spatially resolved multiomics reveals the self-enforcing property of the leading-edge multicellular ecosystem of head and neck cancer</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27">
        <w:r>
          <w:rPr>
            <w:color w:val="1155CC"/>
            <w:u w:val="single"/>
          </w:rPr>
          <w:t>10.1073/pnas.2519474123</w:t>
        </w:r>
      </w:hyperlink>
    </w:p>
    <w:p>
      <w:pPr>
        <w:spacing w:before="0" w:after="120"/>
      </w:pPr>
      <w:r>
        <w:rPr>
          <w:b/>
        </w:rPr>
        <w:t xml:space="preserve">Notes: </w:t>
      </w:r>
      <w:r>
        <w:t>abstract_source=crossref</w:t>
      </w:r>
    </w:p>
    <w:p>
      <w:pPr>
        <w:spacing w:before="0" w:after="80" w:lineRule="auto" w:line="276"/>
      </w:pPr>
      <w:r>
        <w:rPr>
          <w:b/>
        </w:rPr>
        <w:t xml:space="preserve">摘要（ZH）: </w:t>
      </w:r>
      <w:r>
        <w:t>头部和颈部的细胞癌(HNSCC)涉及对肿瘤 — — 宿主界面,特别是顶端的肿瘤 — — 特别是顶端的肿瘤 — — 的侵略性入侵。然而,维持这种入侵前沿的机制仍然不明确。在这里,我们进行了空间溶解多组学分析,以描述HNSCC(HNSCC)领先的多细胞生态系统(LEMCE)特征。 我们发现了一组12个支持稳定的入侵转录状态的离子体,包括TGFB1、ICAM1和跨国公司。 该地区脂肪酸(FA)的不合格降解会增强离心体的离子体和膨胀发性基因表达。 空间单细胞分析显示,LEMCE(LEMCE)中的具体常住细胞,这些细胞表现的离心力增加,并损害FA的降解。</w:t>
      </w:r>
    </w:p>
    <w:p>
      <w:pPr>
        <w:spacing w:before="0" w:after="200" w:lineRule="auto" w:line="276"/>
      </w:pPr>
      <w:r>
        <w:rPr>
          <w:b/>
        </w:rPr>
        <w:t xml:space="preserve">Abstract (EN): </w:t>
      </w:r>
      <w:r>
        <w:t>Head and neck squamous cell carcinoma (HNSCC) involves aggressive invasion at the tumor–host interface, particularly at the leading edge. However, the mechanisms sustaining this invasive front remain unclear. Here, we performed spatially resolved multiomics profiling to characterize the leading-edge multicellular ecosystem (LEMCE) of HNSCC. We identified a set of twelve autocrine ligands, including TGFB1, ICAM1, and TNC, that support a stable invasive transcriptional state. Impaired fatty acid (FA) degradation in this region enhances autocrine ligands and amplifies proinvasive gene expression. Spatial single-cell analysis revealed that the specific resident cells in the LEMCE, which exhibited increased expression of autocrine ligands and impaired FA degradation, participated in a fibroblast–macrophage–T cell interaction circuit involving MMP1</w:t>
      </w:r>
      <w:r>
        <w:t xml:space="preserve"> </w:t>
      </w:r>
      <w:r>
        <w:t>+</w:t>
      </w:r>
      <w:r>
        <w:t xml:space="preserve"> </w:t>
      </w:r>
      <w:r>
        <w:t>fibroblasts and C1QC</w:t>
      </w:r>
      <w:r>
        <w:t xml:space="preserve"> </w:t>
      </w:r>
      <w:r>
        <w:t>+</w:t>
      </w:r>
      <w:r>
        <w:t xml:space="preserve"> </w:t>
      </w:r>
      <w:r>
        <w:t>/SPP1</w:t>
      </w:r>
      <w:r>
        <w:t xml:space="preserve"> </w:t>
      </w:r>
      <w:r>
        <w:t>+</w:t>
      </w:r>
      <w:r>
        <w:t xml:space="preserve"> </w:t>
      </w:r>
      <w:r>
        <w:t>macrophages, followed by interactions between C1QC</w:t>
      </w:r>
      <w:r>
        <w:t xml:space="preserve"> </w:t>
      </w:r>
      <w:r>
        <w:t>+</w:t>
      </w:r>
      <w:r>
        <w:t xml:space="preserve"> </w:t>
      </w:r>
      <w:r>
        <w:t>macrophages and cytotoxic T cells. These interactions may contribute to the structural organization and immunosuppressive features of the LEMCE. Therapeutically, targeting this niche via a combination of autocrine cytokine blockade, FA metabolic restoration, and PD-1 immune checkpoint inhibition suppressed invasion, reduced metastasis, and prolonged survival in mouse models. Our findings define the LEMCE as a self-reinforcing invasive and immunosuppressive niche and highlight its potential as a targetable vulnerability in HNSCC.</w:t>
      </w:r>
    </w:p>
    <w:p>
      <w:pPr>
        <w:spacing w:before="120" w:after="120"/>
      </w:pPr>
      <w:r>
        <w:rPr>
          <w:sz w:val="18"/>
        </w:rPr>
        <w:t>——————————————————————————————————————————————————————————————————————</w:t>
      </w:r>
    </w:p>
    <w:p>
      <w:pPr>
        <w:spacing w:before="160" w:after="40" w:line="240" w:lineRule="auto"/>
      </w:pPr>
      <w:r>
        <w:rPr>
          <w:b/>
        </w:rPr>
        <w:t xml:space="preserve">[571] </w:t>
      </w:r>
      <w:hyperlink r:id="rId928">
        <w:r>
          <w:rPr>
            <w:color w:val="1155CC"/>
            <w:u w:val="single"/>
          </w:rPr>
          <w:t>工程和去细胞化的人类软体腐蚀显示出内在免疫抑制性能和完全骨骼修复能力</w:t>
        </w:r>
      </w:hyperlink>
    </w:p>
    <w:p>
      <w:pPr>
        <w:spacing w:before="0" w:after="80"/>
      </w:pPr>
      <w:r>
        <w:rPr>
          <w:i/>
          <w:sz w:val="20"/>
        </w:rPr>
        <w:t>EN: Engineered and decellularized human cartilage graft exhibits intrinsic immunosuppressive properties and full skeletal repair capacity</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29">
        <w:r>
          <w:rPr>
            <w:color w:val="1155CC"/>
            <w:u w:val="single"/>
          </w:rPr>
          <w:t>10.1073/pnas.2507185123</w:t>
        </w:r>
      </w:hyperlink>
    </w:p>
    <w:p>
      <w:pPr>
        <w:spacing w:before="0" w:after="120"/>
      </w:pPr>
      <w:r>
        <w:rPr>
          <w:b/>
        </w:rPr>
        <w:t xml:space="preserve">Notes: </w:t>
      </w:r>
      <w:r>
        <w:t>abstract_source=crossref</w:t>
      </w:r>
    </w:p>
    <w:p>
      <w:pPr>
        <w:spacing w:before="0" w:after="80" w:lineRule="auto" w:line="276"/>
      </w:pPr>
      <w:r>
        <w:rPr>
          <w:b/>
        </w:rPr>
        <w:t xml:space="preserve">摘要（ZH）: </w:t>
      </w:r>
      <w:r>
        <w:t>组织工程战略主要包括能够修复受损害身体部分的生物代用品的自动化代用品的生成; 具体病人方法的长期挑战包括性能不协调、成本高、以及延迟的移植可用性。为了发展一劳永逸的解决办法,一个更具吸引力的模式在于利用专门的细胞线制造人体组织移植品。在分解细胞后,这一新型生物材料依赖唯一的外细胞矩阵和内嵌增长因素来指导内生修复。这一概念方法以前曾使用用于制造人类软体的常规超临界细胞线加以验证,在液化后展示了显著的骨骼培养能力。</w:t>
      </w:r>
    </w:p>
    <w:p>
      <w:pPr>
        <w:spacing w:before="0" w:after="200" w:lineRule="auto" w:line="276"/>
      </w:pPr>
      <w:r>
        <w:rPr>
          <w:b/>
        </w:rPr>
        <w:t xml:space="preserve">Abstract (EN): </w:t>
      </w:r>
      <w:r>
        <w:t>Tissue engineering strategies predominantly consist of the autologous generation of living substitutes capable of restoring damaged body parts. Persisting challenges with patient-specific approaches include inconsistent performance, high costs, and delayed graft availability. Toward developing a one-for-all solution, a more attractive paradigm lies in the exploitation of dedicated cell lines for the fabrication of human tissue grafts. Following decellularization, this new class of biomaterials relies on the sole extracellular matrix and embedded growth factors instructing endogenous repair. This conceptual approach was previously validated using a custom mesenchymal cell line for the manufacturing of human cartilage, exhibiting remarkable osteoinductive capacity following lyophilization. Key missing criteria to envision clinical translation include proper decellularization as well as stringent assessment of both immunogenicity and regenerative performance. Here, we report the engineering and subsequent decellularization of human cartilage tissue with minimal matrix impairment. Ectopic evaluation in immunocompetent (IC) and immunocompromised animals reveals preservation of osteoinductivity predicted by macrophage kinetic of polarization. By establishing in vitro human allogeneic coculture models, we evidenced the immunosuppressive properties of cell-free human cartilages, controlling macrophage and dendritic cell maturation as well as T cell activation. Finally, regenerative performance was stringently assessed in an IC rat orthotopic model whereby decellularized human cartilage grafts achieved morphological and mechanical restoration of all critical-sized femoral defects. Taken together, our study provides robust safety and efficacy prerequisites prompting a first-in-human trial for engineered and decellularized human tissue grafts.</w:t>
      </w:r>
    </w:p>
    <w:p>
      <w:pPr>
        <w:spacing w:before="120" w:after="120"/>
      </w:pPr>
      <w:r>
        <w:rPr>
          <w:sz w:val="18"/>
        </w:rPr>
        <w:t>——————————————————————————————————————————————————————————————————————</w:t>
      </w:r>
    </w:p>
    <w:p>
      <w:pPr>
        <w:spacing w:before="160" w:after="40" w:line="240" w:lineRule="auto"/>
      </w:pPr>
      <w:r>
        <w:rPr>
          <w:b/>
        </w:rPr>
        <w:t xml:space="preserve">[572] </w:t>
      </w:r>
      <w:hyperlink r:id="rId930">
        <w:r>
          <w:rPr>
            <w:color w:val="1155CC"/>
            <w:u w:val="single"/>
          </w:rPr>
          <w:t>在超声波本地化显微镜检查中使用单一毛细报告员评估大脑毛细功能和拖延时间</w:t>
        </w:r>
      </w:hyperlink>
    </w:p>
    <w:p>
      <w:pPr>
        <w:spacing w:before="0" w:after="80"/>
      </w:pPr>
      <w:r>
        <w:rPr>
          <w:i/>
          <w:sz w:val="20"/>
        </w:rPr>
        <w:t>EN: Assessing cerebral capillary function and stalling using single capillary reporters in ultrasound localization microscopy</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31">
        <w:r>
          <w:rPr>
            <w:color w:val="1155CC"/>
            <w:u w:val="single"/>
          </w:rPr>
          <w:t>10.1073/pnas.2509564123</w:t>
        </w:r>
      </w:hyperlink>
    </w:p>
    <w:p>
      <w:pPr>
        <w:spacing w:before="0" w:after="120"/>
      </w:pPr>
      <w:r>
        <w:rPr>
          <w:b/>
        </w:rPr>
        <w:t xml:space="preserve">Notes: </w:t>
      </w:r>
      <w:r>
        <w:t>abstract_source=crossref</w:t>
      </w:r>
    </w:p>
    <w:p>
      <w:pPr>
        <w:spacing w:before="0" w:after="80" w:lineRule="auto" w:line="276"/>
      </w:pPr>
      <w:r>
        <w:rPr>
          <w:b/>
        </w:rPr>
        <w:t xml:space="preserve">摘要（ZH）: </w:t>
      </w:r>
      <w:r>
        <w:t>虽然单毛细管功能的跨式神经成像具有改变性诊断潜力,但证明难以实现。超声超声波虽然能够实现微小分辨率,但依赖多种微波事件的积累,这一方法必然受到在毛细带内观测此类事件概率极低的限制。我们提供了单一毛细丝记录器(SCaRe),这是一种范式转变方法,它利用从单个微泡提取到直接图像单一毛细管的完整流动轨迹信息。这一方法允许对整个大脑的深毛细管网络进行转基因重建和功能评估。我们采用了计算模拟和病理神经炎。</w:t>
      </w:r>
    </w:p>
    <w:p>
      <w:pPr>
        <w:spacing w:before="0" w:after="200" w:lineRule="auto" w:line="276"/>
      </w:pPr>
      <w:r>
        <w:rPr>
          <w:b/>
        </w:rPr>
        <w:t xml:space="preserve">Abstract (EN): </w:t>
      </w:r>
      <w:r>
        <w:t>While transcranial neuroimaging of individual capillary function holds transformative potential for diagnostics, it has proven difficult to achieve. Superresolution ultrasound, while capable of achieving micron-scale resolution, relies on the accumulation of multiple microbubble events, a method inherently limited by the exceedingly low probability of observing such events within capillaries. We present single capillary reporters (SCaRe), a paradigm-shifting approach that utilizes the complete flow trajectory information extracted from individual microbubbles to directly image single capillaries. This method allows for transcranial reconstruction and functional assessment of deep capillary networks in the entire brain. We employed computational simulations and pathological neuroinflammation models to quantify and validate metrics such as capillary transit-time and capillary stalling. Importantly, we demonstrated SCaRe’s ability to resolve immune responses to injury at the single capillary level, markedly broadening research avenues for exploring microvascular dysfunction across diverse neurological conditions.</w:t>
      </w:r>
    </w:p>
    <w:p>
      <w:pPr>
        <w:spacing w:before="120" w:after="120"/>
      </w:pPr>
      <w:r>
        <w:rPr>
          <w:sz w:val="18"/>
        </w:rPr>
        <w:t>——————————————————————————————————————————————————————————————————————</w:t>
      </w:r>
    </w:p>
    <w:p>
      <w:pPr>
        <w:spacing w:before="160" w:after="40" w:line="240" w:lineRule="auto"/>
      </w:pPr>
      <w:r>
        <w:rPr>
          <w:b/>
        </w:rPr>
        <w:t xml:space="preserve">[573] </w:t>
      </w:r>
      <w:hyperlink r:id="rId932">
        <w:r>
          <w:rPr>
            <w:color w:val="1155CC"/>
            <w:u w:val="single"/>
          </w:rPr>
          <w:t>通过α-克托酸的大气水水光化学化学,进行氢氧化物形成的证据</w:t>
        </w:r>
      </w:hyperlink>
    </w:p>
    <w:p>
      <w:pPr>
        <w:spacing w:before="0" w:after="80"/>
      </w:pPr>
      <w:r>
        <w:rPr>
          <w:i/>
          <w:sz w:val="20"/>
        </w:rPr>
        <w:t>EN: Evidence for hydroperoxide formation through atmospheric aqueous photochemistry of α-keto acids</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933">
        <w:r>
          <w:rPr>
            <w:color w:val="1155CC"/>
            <w:u w:val="single"/>
          </w:rPr>
          <w:t>10.1126/sciadv.adx4527</w:t>
        </w:r>
      </w:hyperlink>
    </w:p>
    <w:p>
      <w:pPr>
        <w:spacing w:before="0" w:after="120"/>
      </w:pPr>
      <w:r>
        <w:rPr>
          <w:b/>
        </w:rPr>
        <w:t xml:space="preserve">Notes: </w:t>
      </w:r>
      <w:r>
        <w:t>abstract_source=crossref</w:t>
      </w:r>
    </w:p>
    <w:p>
      <w:pPr>
        <w:spacing w:before="0" w:after="80" w:lineRule="auto" w:line="276"/>
      </w:pPr>
      <w:r>
        <w:rPr>
          <w:b/>
        </w:rPr>
        <w:t xml:space="preserve">摘要（ZH）: </w:t>
      </w:r>
      <w:r>
        <w:t>氢氢氧化氢(HHP)是强力氧化剂,对大气氧化能力有重大影响。然而,对HHHHH在大气水中原地形成的基本了解仍然不完整和争议性。这里,我们报告直接观测HHH(氢过氧化氢、烷基氢和过氧碳球酸)形成的情况,通过α-克托酸[α-Kass;克氧酸;丙氧酸、丙酸和2基丁酸]的光化学成量为10-4-4-10-3,通过α-氯酸[α-Kasas;丙氧酸、丙酸和2基丁基酸]。这些量的产量与所报告的云和雾水中HHP形成速度相当,表明α-KA光化学在水中,根据水中阶段观测到的大气过氧化氢的5%-15%。</w:t>
      </w:r>
    </w:p>
    <w:p>
      <w:pPr>
        <w:spacing w:before="0" w:after="200" w:lineRule="auto" w:line="276"/>
      </w:pPr>
      <w:r>
        <w:rPr>
          <w:b/>
        </w:rPr>
        <w:t xml:space="preserve">Abstract (EN): </w:t>
      </w:r>
      <w:r>
        <w:t>Hydroperoxides (HPs) are potent oxidants that exert a substantial impact on the atmospheric oxidizing capacity. However, a fundamental understanding of the in situ formation of HPs in atmospheric waters remains incomplete and controversial. Here, we report direct observations of HP (hydrogen peroxide, alkyl HP, and peroxycarboxylic acid) formation with quantum yields 10</w:t>
      </w:r>
      <w:r>
        <w:t xml:space="preserve"> </w:t>
      </w:r>
      <w:r>
        <w:t>−4</w:t>
      </w:r>
      <w:r>
        <w:t xml:space="preserve"> </w:t>
      </w:r>
      <w:r>
        <w:t>– 10</w:t>
      </w:r>
      <w:r>
        <w:t xml:space="preserve"> </w:t>
      </w:r>
      <w:r>
        <w:t>−3</w:t>
      </w:r>
      <w:r>
        <w:t xml:space="preserve"> </w:t>
      </w:r>
      <w:r>
        <w:t>, through photochemistry of α-keto acids [α-KAs; glyoxylic acid, pyruvic acid (PA), and 2-ketobutyric acid]. These quantum yields are comparable to reported HP formation rates in cloud and fog waters, suggesting that α-KA photochemistry could contribute 5 to 15% of the observed atmospheric hydrogen peroxide in aqueous phases, based on typical α-KA concentrations (0.1 to 10 μM). The model results showed that the photochemistry of excited triplet</w:t>
      </w:r>
      <w:r>
        <w:rPr>
          <w:vertAlign w:val="subscript"/>
        </w:rPr>
        <w:t>3</w:t>
      </w:r>
      <w:r>
        <w:t>PA</w:t>
      </w:r>
      <w:r>
        <w:t xml:space="preserve"> </w:t>
      </w:r>
      <w:r>
        <w:t>*</w:t>
      </w:r>
      <w:r>
        <w:t xml:space="preserve"> </w:t>
      </w:r>
      <w:r>
        <w:t>contributes ~40 and ~33%, respectively, to the formation of hydrogen peroxide and peroxyacetic acid at pH 2.5. Given the recurrent detection of α-KAs in organic-rich aerosols, this photochemistry represents a notable in situ source of HPs.</w:t>
      </w:r>
    </w:p>
    <w:p>
      <w:pPr>
        <w:spacing w:before="120" w:after="120"/>
      </w:pPr>
      <w:r>
        <w:rPr>
          <w:sz w:val="18"/>
        </w:rPr>
        <w:t>——————————————————————————————————————————————————————————————————————</w:t>
      </w:r>
    </w:p>
    <w:p>
      <w:pPr>
        <w:spacing w:before="160" w:after="40" w:line="240" w:lineRule="auto"/>
      </w:pPr>
      <w:r>
        <w:rPr>
          <w:b/>
        </w:rPr>
        <w:t xml:space="preserve">[574] </w:t>
      </w:r>
      <w:hyperlink r:id="rId934">
        <w:r>
          <w:rPr>
            <w:color w:val="1155CC"/>
            <w:u w:val="single"/>
          </w:rPr>
          <w:t>通过可编程编程的 entropy 平衡的分子计算</w:t>
        </w:r>
      </w:hyperlink>
    </w:p>
    <w:p>
      <w:pPr>
        <w:spacing w:before="0" w:after="80"/>
      </w:pPr>
      <w:r>
        <w:rPr>
          <w:i/>
          <w:sz w:val="20"/>
        </w:rPr>
        <w:t>EN: Molecular computation at equilibrium via programmable entropy</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935">
        <w:r>
          <w:rPr>
            <w:color w:val="1155CC"/>
            <w:u w:val="single"/>
          </w:rPr>
          <w:t>10.1126/sciadv.adx3969</w:t>
        </w:r>
      </w:hyperlink>
    </w:p>
    <w:p>
      <w:pPr>
        <w:spacing w:before="0" w:after="120"/>
      </w:pPr>
      <w:r>
        <w:rPr>
          <w:b/>
        </w:rPr>
        <w:t xml:space="preserve">Notes: </w:t>
      </w:r>
      <w:r>
        <w:t>abstract_source=crossref</w:t>
      </w:r>
    </w:p>
    <w:p>
      <w:pPr>
        <w:spacing w:before="0" w:after="80" w:lineRule="auto" w:line="276"/>
      </w:pPr>
      <w:r>
        <w:rPr>
          <w:b/>
        </w:rPr>
        <w:t xml:space="preserve">摘要（ZH）: </w:t>
      </w:r>
      <w:r>
        <w:t>合成分子信息处理通常通过编程动动脉路径来设计,这样分子就会在某种理想的顺序上捆绑、解联或发生相近变化。 我们展示了动态DNA纳米技术的替代范例,这种技术通过从温动力驱动力中生成的计算,直接设计热动力平衡状态。 这种方法与计算机科学的宣示性编程一样,强调预期结果而不是具体步骤,简化分子编程,避免热动力力对被编动动动力起作用时导致的错误。 我们通过三种不同的应用表现出广泛的适用性:可逆信号以扇门和扇扇外传播、算法自组式演动波伦逻辑和合成波伦逻辑。</w:t>
      </w:r>
    </w:p>
    <w:p>
      <w:pPr>
        <w:spacing w:before="0" w:after="200" w:lineRule="auto" w:line="276"/>
      </w:pPr>
      <w:r>
        <w:rPr>
          <w:b/>
        </w:rPr>
        <w:t xml:space="preserve">Abstract (EN): </w:t>
      </w:r>
      <w:r>
        <w:t>Synthetic molecular information processing is typically designed through programming kinetic pathways, so that molecules bind, unbind, or incur conformational changes in some desired order. We demonstrate an alternative paradigm in dynamic DNA nanotechnology that programs the thermodynamic equilibrium state directly, with computation emerging from entropic driving forces. Like declarative programming in computer science, this approach emphasizes desired outcomes rather than specific steps, simplifying molecular programming and avoiding errors caused when thermodynamic forces work against programmed kinetics. We show broad applicability through three distinct applications: reversible signal propagation with fan-in and fan-out, algorithmic self-assembly performing Boolean logic, and synthesis of molecular chains (concatemers) of programmable length, illustrating how thermodynamic computation can enable practical molecular engineering tasks. Our work may enable previously unexplored ways to engineer complex molecular behaviors and help inform the understanding of the computational power of thermodynamics versus kinetics for molecular systems.</w:t>
      </w:r>
    </w:p>
    <w:p>
      <w:pPr>
        <w:spacing w:before="120" w:after="120"/>
      </w:pPr>
      <w:r>
        <w:rPr>
          <w:sz w:val="18"/>
        </w:rPr>
        <w:t>——————————————————————————————————————————————————————————————————————</w:t>
      </w:r>
    </w:p>
    <w:p>
      <w:pPr>
        <w:spacing w:before="160" w:after="40" w:line="240" w:lineRule="auto"/>
      </w:pPr>
      <w:r>
        <w:rPr>
          <w:b/>
        </w:rPr>
        <w:t xml:space="preserve">[575] </w:t>
      </w:r>
      <w:hyperlink r:id="rId936">
        <w:r>
          <w:rPr>
            <w:color w:val="1155CC"/>
            <w:u w:val="single"/>
          </w:rPr>
          <w:t>生因和植物植物地貌崎岖的植物景观对植物动力学推断的影响</w:t>
        </w:r>
      </w:hyperlink>
    </w:p>
    <w:p>
      <w:pPr>
        <w:spacing w:before="0" w:after="80"/>
      </w:pPr>
      <w:r>
        <w:rPr>
          <w:i/>
          <w:sz w:val="20"/>
        </w:rPr>
        <w:t>EN: Biological causes and impacts of rugged tree landscapes in phylodynamic inference</w:t>
      </w:r>
    </w:p>
    <w:p>
      <w:pPr>
        <w:spacing w:before="0" w:after="120"/>
      </w:pPr>
      <w:r>
        <w:rPr>
          <w:b/>
        </w:rPr>
        <w:t xml:space="preserve">Source: </w:t>
      </w:r>
      <w:r>
        <w:t>Proceedings of the National Academy of Sciences: Keyword search for query</w:t>
      </w:r>
      <w:r>
        <w:t xml:space="preserve">    </w:t>
      </w:r>
      <w:r>
        <w:rPr>
          <w:b/>
        </w:rPr>
        <w:t xml:space="preserve">Pub date: </w:t>
      </w:r>
      <w:r>
        <w:t>2026-01-09 08:00:00+00:00</w:t>
      </w:r>
      <w:r>
        <w:t xml:space="preserve">    </w:t>
      </w:r>
      <w:r>
        <w:rPr>
          <w:b/>
        </w:rPr>
        <w:t xml:space="preserve">DOI: </w:t>
      </w:r>
      <w:hyperlink r:id="rId937">
        <w:r>
          <w:rPr>
            <w:color w:val="1155CC"/>
            <w:u w:val="single"/>
          </w:rPr>
          <w:t>10.1073/pnas.2510938123</w:t>
        </w:r>
      </w:hyperlink>
    </w:p>
    <w:p>
      <w:pPr>
        <w:spacing w:before="0" w:after="120"/>
      </w:pPr>
      <w:r>
        <w:rPr>
          <w:b/>
        </w:rPr>
        <w:t xml:space="preserve">Notes: </w:t>
      </w:r>
      <w:r>
        <w:t>abstract_source=crossref</w:t>
      </w:r>
    </w:p>
    <w:p>
      <w:pPr>
        <w:spacing w:before="0" w:after="80" w:lineRule="auto" w:line="276"/>
      </w:pPr>
      <w:r>
        <w:rPr>
          <w:b/>
        </w:rPr>
        <w:t xml:space="preserve">摘要（ZH）: </w:t>
      </w:r>
      <w:r>
        <w:t>流体动力学分析有助于阐明病原体的流行病学和进化动力学动态学,贝耶斯的植物动力学结合了各种植物遗传不确定性,由于遗传多样性有限,这些在植物动力学数据集中通常具有相当大的不确定性,由于遗传多样性有限,这种不确定性通常在植物动力学数据集中非常突出,但与现代数据集相比,其规模并不大,部分原因是在穿越树木空间方面的困难。在这里,我们在植物动力学推断中将树木空间和景观定性为植物动力学空间,并评估其对分析困难和关键生物估计的影响。通过对15个典型的大型植物动力学数据集进行广泛的贝耶斯分析,并仔细分析外表样本,我们发现后树景观是分散的,但还是很远,导致通常为干纤维的广泛的树采样问题。</w:t>
      </w:r>
    </w:p>
    <w:p>
      <w:pPr>
        <w:spacing w:before="0" w:after="200" w:lineRule="auto" w:line="276"/>
      </w:pPr>
      <w:r>
        <w:rPr>
          <w:b/>
        </w:rPr>
        <w:t xml:space="preserve">Abstract (EN): </w:t>
      </w:r>
      <w:r>
        <w:t>Phylodynamic analysis has been instrumental in elucidating epidemiological and evolutionary dynamics of pathogens. Bayesian phylodynamics integrates out phylogenetic uncertainty, which is typically substantial in phylodynamic datasets due to limited genetic diversity. Phylodynamic inference does not, however, scale with modern datasets, partly due to difficulties in traversing tree space. Here, we characterize tree space and landscape in phylodynamic inference and assess its impacts on analysis difficulty and key biological estimates. By running extensive Bayesian analyses of 15 classic large phylodynamic datasets and carefully analyzing the posterior samples, we find that the posterior tree landscape is diffuse yet rugged, leading to widespread tree sampling problems that usually stem from sequences in a small part of the tree. We develop clade-specific diagnostics to show that a few sequences—including putative recombinants and recurrent mutants—frequently drive the ruggedness and sampling problems, although existing data-quality tests show limited power to detect them. The sampling problems can significantly impact phylodynamic inferences or distort major biological conclusions; the impact is usually stronger on “local” estimates (e.g., introduction history) associated with particular clades than on “global” parameters (e.g., demographic trajectory) governed by general tree shape. We evaluate existing Markov chain Monte Carlo diagnostics and diagnostics developed here, and offer strategies for optimizing phylodynamic analysis settings and mitigating sampling problem impacts. Our findings highlight the need and directions to develop efficient traversal over rugged tree landscapes, ultimately advancing scalable and reliable phylodynamics.</w:t>
      </w:r>
    </w:p>
    <w:p>
      <w:pPr>
        <w:spacing w:before="120" w:after="120"/>
      </w:pPr>
      <w:r>
        <w:rPr>
          <w:sz w:val="18"/>
        </w:rPr>
        <w:t>——————————————————————————————————————————————————————————————————————</w:t>
      </w:r>
    </w:p>
    <w:p>
      <w:pPr>
        <w:spacing w:before="160" w:after="40" w:line="240" w:lineRule="auto"/>
      </w:pPr>
      <w:r>
        <w:rPr>
          <w:b/>
        </w:rPr>
        <w:t xml:space="preserve">[576] </w:t>
      </w:r>
      <w:hyperlink r:id="rId938">
        <w:r>
          <w:rPr>
            <w:color w:val="1155CC"/>
            <w:u w:val="single"/>
          </w:rPr>
          <w:t>GluN2B 特定NMDAR NMDAR 阳性活性活性调制反转Mecp2和Disc1转基因小鼠的认知和行为异常</w:t>
        </w:r>
      </w:hyperlink>
    </w:p>
    <w:p>
      <w:pPr>
        <w:spacing w:before="0" w:after="80"/>
      </w:pPr>
      <w:r>
        <w:rPr>
          <w:i/>
          <w:sz w:val="20"/>
        </w:rPr>
        <w:t>EN: GluN2B-specific NMDAR positive allosteric modulation reverses cognitive and behavioral abnormalities in Mecp2 and Disc1 transgenic mice</w:t>
      </w:r>
    </w:p>
    <w:p>
      <w:pPr>
        <w:spacing w:before="0" w:after="120"/>
      </w:pPr>
      <w:r>
        <w:rPr>
          <w:b/>
        </w:rPr>
        <w:t xml:space="preserve">Source: </w:t>
      </w:r>
      <w:r>
        <w:t>AAAS: Science Advances: Table of Contents</w:t>
      </w:r>
      <w:r>
        <w:t xml:space="preserve">    </w:t>
      </w:r>
      <w:r>
        <w:rPr>
          <w:b/>
        </w:rPr>
        <w:t xml:space="preserve">Pub date: </w:t>
      </w:r>
      <w:r>
        <w:t>2026-01-09 08:00:00+00:00</w:t>
      </w:r>
      <w:r>
        <w:t xml:space="preserve">    </w:t>
      </w:r>
      <w:r>
        <w:rPr>
          <w:b/>
        </w:rPr>
        <w:t xml:space="preserve">DOI: </w:t>
      </w:r>
      <w:hyperlink r:id="rId939">
        <w:r>
          <w:rPr>
            <w:color w:val="1155CC"/>
            <w:u w:val="single"/>
          </w:rPr>
          <w:t>10.1126/sciadv.ady3891</w:t>
        </w:r>
      </w:hyperlink>
    </w:p>
    <w:p>
      <w:pPr>
        <w:spacing w:before="0" w:after="120"/>
      </w:pPr>
      <w:r>
        <w:rPr>
          <w:b/>
        </w:rPr>
        <w:t xml:space="preserve">Notes: </w:t>
      </w:r>
      <w:r>
        <w:t>abstract_source=crossref</w:t>
      </w:r>
    </w:p>
    <w:p>
      <w:pPr>
        <w:spacing w:before="0" w:after="80" w:lineRule="auto" w:line="276"/>
      </w:pPr>
      <w:r>
        <w:rPr>
          <w:b/>
        </w:rPr>
        <w:t xml:space="preserve">摘要（ZH）: </w:t>
      </w:r>
      <w:r>
        <w:t>N-甲基-d-分向受体(NMDARs)的GluN2B子单元在合成发育和可塑性方面发挥着中心作用,其功能缺陷与自闭症谱谱系障碍(ASD)、严重的神经发育迟缓和其他神经精神病有关。因此,加强NMDAR这个小单元的功能可以提供有效的治疗战略,纠正与GluN2B机能相关的合成和行为缺陷。在这里,我们开发了一种GluN2B类选择性阳性过敏调节器,其特征是铅化合物的药理特性和约束场所,175。175的系统应用有利于大鼠的河马运动长期抑郁症。175 恢复了ERFofo。</w:t>
      </w:r>
    </w:p>
    <w:p>
      <w:pPr>
        <w:spacing w:before="0" w:after="200" w:lineRule="auto" w:line="276"/>
      </w:pPr>
      <w:r>
        <w:rPr>
          <w:b/>
        </w:rPr>
        <w:t xml:space="preserve">Abstract (EN): </w:t>
      </w:r>
      <w:r>
        <w:t>The GluN2B subunit of</w:t>
      </w:r>
      <w:r>
        <w:t xml:space="preserve"> </w:t>
      </w:r>
      <w:r>
        <w:t>N</w:t>
      </w:r>
      <w:r>
        <w:t xml:space="preserve"> </w:t>
      </w:r>
      <w:r>
        <w:t>-methyl-</w:t>
      </w:r>
      <w:r>
        <w:t>d</w:t>
      </w:r>
      <w:r>
        <w:t xml:space="preserve"> </w:t>
      </w:r>
      <w:r>
        <w:t>-aspartate receptors (NMDARs) plays a central role in synaptic development and plasticity, and its hypofunction is linked to autism spectrum disorder (ASD), severe neurodevelopmental delay, and other neuropsychiatric diseases. Therefore, enhancing the function of this NMDAR subunit may provide an effective therapeutic strategy for correcting synaptic and behavioral deficits associated with GluN2B hypofunction. Here, we developed a class of GluN2B-selective positive allosteric modulators and characterized the pharmacological properties and binding site of the lead compound, 175. Systemic application of 175 facilitates hippocampal long-term depression in rats. 175 restores performances in open-field exploration and three-chamber test in</w:t>
      </w:r>
      <w:r>
        <w:t xml:space="preserve"> </w:t>
      </w:r>
      <w:r>
        <w:t>Mecp2</w:t>
      </w:r>
      <w:r>
        <w:t xml:space="preserve"> </w:t>
      </w:r>
      <w:r>
        <w:t>overexpression mice that exhibit GluN2B hypofunction and autism-like features. Treatment with 175 also reverses behavioral abnormalities in open-field, Y-maze spontaneous alternation, three-chamber test, and prepulse inhibition in</w:t>
      </w:r>
      <w:r>
        <w:t xml:space="preserve"> </w:t>
      </w:r>
      <w:r>
        <w:t>Disc1</w:t>
      </w:r>
      <w:r>
        <w:t xml:space="preserve"> </w:t>
      </w:r>
      <w:r>
        <w:t>mutant mice. Our findings introduce a pharmacological tool for selectively potentiating GluN2B-NMDAR function and highlight its therapeutic potential for cognitive and behavioral symptoms associated with GluN2B hypofunction.</w:t>
      </w:r>
    </w:p>
    <w:p>
      <w:pPr>
        <w:spacing w:before="120" w:after="120"/>
      </w:pPr>
      <w:r>
        <w:rPr>
          <w:sz w:val="18"/>
        </w:rPr>
        <w:t>——————————————————————————————————————————————————————————————————————</w:t>
      </w:r>
    </w:p>
    <w:p>
      <w:pPr>
        <w:spacing w:before="160" w:after="40" w:line="240" w:lineRule="auto"/>
      </w:pPr>
      <w:r>
        <w:rPr>
          <w:b/>
        </w:rPr>
        <w:t xml:space="preserve">[577] </w:t>
      </w:r>
      <w:hyperlink r:id="rId940">
        <w:r>
          <w:rPr>
            <w:color w:val="1155CC"/>
            <w:u w:val="single"/>
          </w:rPr>
          <w:t>工业时直接氢能转换</w:t>
        </w:r>
      </w:hyperlink>
    </w:p>
    <w:p>
      <w:pPr>
        <w:spacing w:before="0" w:after="80"/>
      </w:pPr>
      <w:r>
        <w:rPr>
          <w:i/>
          <w:sz w:val="20"/>
        </w:rPr>
        <w:t>EN: Direct Hydrogen Energy Conversion on Industrial‐Current‐Density</w:t>
      </w:r>
    </w:p>
    <w:p>
      <w:pPr>
        <w:spacing w:before="0" w:after="120"/>
      </w:pPr>
      <w:r>
        <w:rPr>
          <w:b/>
        </w:rPr>
        <w:t xml:space="preserve">Source: </w:t>
      </w:r>
      <w:r>
        <w:t>Wiley: Advanced Materials: Table of Contents</w:t>
      </w:r>
      <w:r>
        <w:t xml:space="preserve">    </w:t>
      </w:r>
      <w:r>
        <w:rPr>
          <w:b/>
        </w:rPr>
        <w:t xml:space="preserve">Pub date: </w:t>
      </w:r>
      <w:r>
        <w:t>2026-01-09 09:39:07+00:00</w:t>
      </w:r>
      <w:r>
        <w:t xml:space="preserve">    </w:t>
      </w:r>
      <w:r>
        <w:rPr>
          <w:b/>
        </w:rPr>
        <w:t xml:space="preserve">DOI: </w:t>
      </w:r>
      <w:hyperlink r:id="rId941">
        <w:r>
          <w:rPr>
            <w:color w:val="1155CC"/>
            <w:u w:val="single"/>
          </w:rPr>
          <w:t>10.1002/adma.202522437</w:t>
        </w:r>
      </w:hyperlink>
    </w:p>
    <w:p>
      <w:pPr>
        <w:spacing w:before="0" w:after="120"/>
      </w:pPr>
      <w:r>
        <w:rPr>
          <w:b/>
        </w:rPr>
        <w:t xml:space="preserve">Notes: </w:t>
      </w:r>
      <w:r>
        <w:t>abstract_source=crossref</w:t>
      </w:r>
    </w:p>
    <w:p>
      <w:pPr>
        <w:spacing w:before="0" w:after="80" w:lineRule="auto" w:line="276"/>
      </w:pPr>
      <w:r>
        <w:rPr>
          <w:b/>
        </w:rPr>
        <w:t xml:space="preserve">摘要（ZH）: </w:t>
      </w:r>
      <w:r>
        <w:t>实现工业规模的高效氢进化反应和实现高当前密度对于建立可持续的氢能系统非常重要,科技界和工业界都高度预期,实现这一目标的关键在于建立一个变革性催化系统,能够促进以高当前密度快速高效的氢生产。我们在本报告中提出一项战略,以规范电化学环境和在原子一级激活能源,对地表电荷分配进行明智控制,并将碳活性地点的P-波段中心更靠近费尔米一级,从而给予利。</w:t>
      </w:r>
    </w:p>
    <w:p>
      <w:pPr>
        <w:spacing w:before="0" w:after="200" w:lineRule="auto" w:line="276"/>
      </w:pPr>
      <w:r>
        <w:rPr>
          <w:b/>
        </w:rPr>
        <w:t xml:space="preserve">Abstract (EN): </w:t>
      </w:r>
      <w:r>
        <w:t>Realizing efficient hydrogen evolution reaction at an industrial scale and achieving high current density is of great significance for building a sustainable hydrogen energy system and is highly anticipated by both the scientific and industrial communities. The key to achieving this goal lies in developing a transformative catalytic system that can promote rapid and efficient hydrogen production at high current density. In this report, we propose a strategy to regulate the electrochemical environment and activation energy at the atomic level, enabling intelligent control of the surface charge distribution and bringing the</w:t>
      </w:r>
      <w:r>
        <w:t xml:space="preserve"> </w:t>
      </w:r>
      <w:r>
        <w:t>p</w:t>
      </w:r>
      <w:r>
        <w:t xml:space="preserve"> </w:t>
      </w:r>
      <w:r>
        <w:t>‐band center of carbon active sites closer to the Fermi level, thereby giving rise to a new concept catalytic system of GDY/RhO</w:t>
      </w:r>
      <w:r>
        <w:t xml:space="preserve"> </w:t>
      </w:r>
      <w:r>
        <w:t>x</w:t>
      </w:r>
      <w:r>
        <w:t xml:space="preserve"> </w:t>
      </w:r>
      <w:r>
        <w:t>/NiO. Both the theoretical and experimental results evidenced the obvious charge redistribution and strong</w:t>
      </w:r>
      <w:r>
        <w:t xml:space="preserve"> </w:t>
      </w:r>
      <w:r>
        <w:t>p‐d</w:t>
      </w:r>
      <w:r>
        <w:t xml:space="preserve"> </w:t>
      </w:r>
      <w:r>
        <w:t>orbital coupling at the heterointerface, greatly enhancing the spatial charge inhomogeneity and improving the transformative electrocatalytic hydrogen evolution capability under alkaline conditions, with overpotentials of 60 and 67 mV to deliver large current densities of 500 and 1000 mA cm</w:t>
      </w:r>
      <w:r>
        <w:t xml:space="preserve"> </w:t>
      </w:r>
      <w:r>
        <w:t>−2</w:t>
      </w:r>
      <w:r>
        <w:t xml:space="preserve"> </w:t>
      </w:r>
      <w:r>
        <w:t>, respectively, and robust stability at industrial‐grade current densities for 200 h. This intelligent charge regulation strategy through differential</w:t>
      </w:r>
      <w:r>
        <w:t xml:space="preserve"> </w:t>
      </w:r>
      <w:r>
        <w:t>p‐d</w:t>
      </w:r>
      <w:r>
        <w:t xml:space="preserve"> </w:t>
      </w:r>
      <w:r>
        <w:t>orbital coupling provides a new direction for the design of high‐performance catalysts in industrial electrocatalytic processes.</w:t>
      </w:r>
    </w:p>
    <w:p>
      <w:pPr>
        <w:spacing w:before="120" w:after="120"/>
      </w:pPr>
      <w:r>
        <w:rPr>
          <w:sz w:val="18"/>
        </w:rPr>
        <w:t>——————————————————————————————————————————————————————————————————————</w:t>
      </w:r>
    </w:p>
    <w:p>
      <w:pPr>
        <w:spacing w:before="160" w:after="40" w:line="240" w:lineRule="auto"/>
      </w:pPr>
      <w:r>
        <w:rPr>
          <w:b/>
        </w:rPr>
        <w:t xml:space="preserve">[578] </w:t>
      </w:r>
      <w:hyperlink r:id="rId942">
        <w:r>
          <w:rPr>
            <w:color w:val="1155CC"/>
            <w:u w:val="single"/>
          </w:rPr>
          <w:t>Benzoyl-Xanthenoxanthannes: 用于轻电动应用的Versatile 铬摩索尔</w:t>
        </w:r>
      </w:hyperlink>
    </w:p>
    <w:p>
      <w:pPr>
        <w:spacing w:before="0" w:after="80"/>
      </w:pPr>
      <w:r>
        <w:rPr>
          <w:i/>
          <w:sz w:val="20"/>
        </w:rPr>
        <w:t>EN: Benzoyl‐Xanthenoxanthenes: Versatile Chromophores for Light‐Engaging Applications</w:t>
      </w:r>
    </w:p>
    <w:p>
      <w:pPr>
        <w:spacing w:before="0" w:after="120"/>
      </w:pPr>
      <w:r>
        <w:rPr>
          <w:b/>
        </w:rPr>
        <w:t xml:space="preserve">Source: </w:t>
      </w:r>
      <w:r>
        <w:t>Wiley: Angewandte Chemie International Edition: Table of Contents</w:t>
      </w:r>
      <w:r>
        <w:t xml:space="preserve">    </w:t>
      </w:r>
      <w:r>
        <w:rPr>
          <w:b/>
        </w:rPr>
        <w:t xml:space="preserve">Pub date: </w:t>
      </w:r>
      <w:r>
        <w:t>2026-01-09 09:41:37+00:00</w:t>
      </w:r>
      <w:r>
        <w:t xml:space="preserve">    </w:t>
      </w:r>
      <w:r>
        <w:rPr>
          <w:b/>
        </w:rPr>
        <w:t xml:space="preserve">DOI: </w:t>
      </w:r>
      <w:hyperlink r:id="rId943">
        <w:r>
          <w:rPr>
            <w:color w:val="1155CC"/>
            <w:u w:val="single"/>
          </w:rPr>
          <w:t>10.1002/anie.202523349</w:t>
        </w:r>
      </w:hyperlink>
    </w:p>
    <w:p>
      <w:pPr>
        <w:spacing w:before="0" w:after="120"/>
      </w:pPr>
      <w:r>
        <w:rPr>
          <w:b/>
        </w:rPr>
        <w:t xml:space="preserve">Notes: </w:t>
      </w:r>
      <w:r>
        <w:t>abstract_source=crossref</w:t>
      </w:r>
    </w:p>
    <w:p>
      <w:pPr>
        <w:spacing w:before="0" w:after="80" w:lineRule="auto" w:line="276"/>
      </w:pPr>
      <w:r>
        <w:rPr>
          <w:b/>
        </w:rPr>
        <w:t xml:space="preserve">摘要（ZH）: </w:t>
      </w:r>
      <w:r>
        <w:t>在这项工作中,我们提出了一个模块式捐赠者 — — 接受者战略,它产生氧化性稳定、苯并基苯氧烷基(PXX)丝带,带有近红外(NIR)排放和光收获特性。 假硅状位置的苯并基聚变,通过分子Friedel-Crafts计划化实现,创造了第一个苯并基化的PXX单体、角体和三角体,它们表现出深红色-NIR吸收和排放,而不显著提高HOMO水平。 丝带显示强力、金枪鱼易吸收和荧光带,NIR的排放量高达63%,而NIR的荧光量产量达到0.36的溶液。</w:t>
      </w:r>
    </w:p>
    <w:p>
      <w:pPr>
        <w:spacing w:before="0" w:after="200" w:lineRule="auto" w:line="276"/>
      </w:pPr>
      <w:r>
        <w:rPr>
          <w:b/>
        </w:rPr>
        <w:t xml:space="preserve">Abstract (EN): </w:t>
      </w:r>
      <w:r>
        <w:t>In this work, we present a modular donor–acceptor strategy that produces oxidatively stable, benzoyl‐fused</w:t>
      </w:r>
      <w:r>
        <w:t xml:space="preserve"> </w:t>
      </w:r>
      <w:r>
        <w:t>peri</w:t>
      </w:r>
      <w:r>
        <w:t xml:space="preserve"> </w:t>
      </w:r>
      <w:r>
        <w:t>‐xanthenoxanthene (PXX) ribbons with near‐infrared (NIR) emission and light‐harvesting properties. Benzoyl fusion at the</w:t>
      </w:r>
      <w:r>
        <w:t xml:space="preserve"> </w:t>
      </w:r>
      <w:r>
        <w:t>pseudo‐peri</w:t>
      </w:r>
      <w:r>
        <w:t xml:space="preserve"> </w:t>
      </w:r>
      <w:r>
        <w:t>positions, achieved through intramolecular Friedel–Crafts planarization, creates the first benzoyl‐functionalized PXX monomers, dimers, and trimers that exhibit deep red–NIR absorption and emission without significantly raising the HOMO level. The ribbons display strong, tunable absorption and fluorescence bands, with up to 63% of emission in the NIR and an NIR fluorescence quantum yield reaching 0.36 in solution. Lewis adducts formed between boron‐based Lewis acids and carbonyl acceptor sites further enhance the electron‐accepting nature of the ketones, producing pure NIR emission ( ≈ 0.15–0.16). Spectroelectrochemical investigations uncover reversible electrochromism and electrofluorochromism, allowing redox‐gated switching and NIR absorption signatures, useful for sensing and display technologies. When embedded in a nematic liquid crystal phase, the ribbons function as cascaded Förster resonance energy transfer (FRET) antennas, achieving near‐quantitative single‐step energy transfer (</w:t>
      </w:r>
      <w:r>
        <w:t xml:space="preserve"> </w:t>
      </w:r>
      <w:r>
        <w:t>FRET</w:t>
      </w:r>
      <w:r>
        <w:t xml:space="preserve"> </w:t>
      </w:r>
      <w:r>
        <w:t>= 0.97) and highly efficient two‐step transfer (</w:t>
      </w:r>
      <w:r>
        <w:t xml:space="preserve"> </w:t>
      </w:r>
      <w:r>
        <w:t>FRET</w:t>
      </w:r>
      <w:r>
        <w:t xml:space="preserve"> </w:t>
      </w:r>
      <w:r>
        <w:t>= 0.70), enabling directional energy funneling. Their complementary absorption broadens the excitation window to cover the entire visible spectrum, making them highly efficient panchromatic light‐harvesting materials.</w:t>
      </w:r>
    </w:p>
    <w:p>
      <w:pPr>
        <w:spacing w:before="120" w:after="120"/>
      </w:pPr>
      <w:r>
        <w:rPr>
          <w:sz w:val="18"/>
        </w:rPr>
        <w:t>——————————————————————————————————————————————————————————————————————</w:t>
      </w:r>
    </w:p>
    <w:p>
      <w:pPr>
        <w:spacing w:before="160" w:after="40" w:line="240" w:lineRule="auto"/>
      </w:pPr>
      <w:r>
        <w:rPr>
          <w:b/>
        </w:rPr>
        <w:t xml:space="preserve">[579] </w:t>
      </w:r>
      <w:hyperlink r:id="rId944">
        <w:r>
          <w:rPr>
            <w:color w:val="1155CC"/>
            <w:u w:val="single"/>
          </w:rPr>
          <w:t>了解和设计实用金属电池实用金属电池的利硫代生物合金金属导线</w:t>
        </w:r>
      </w:hyperlink>
    </w:p>
    <w:p>
      <w:pPr>
        <w:spacing w:before="0" w:after="80"/>
      </w:pPr>
      <w:r>
        <w:rPr>
          <w:i/>
          <w:sz w:val="20"/>
        </w:rPr>
        <w:t>EN: Understanding and Designing Lithiophilic Alloyed Metal Anodes for Practical Metal Batteries</w:t>
      </w:r>
    </w:p>
    <w:p>
      <w:pPr>
        <w:spacing w:before="0" w:after="120"/>
      </w:pPr>
      <w:r>
        <w:rPr>
          <w:b/>
        </w:rPr>
        <w:t xml:space="preserve">Source: </w:t>
      </w:r>
      <w:r>
        <w:t>Wiley: Advanced Materials: Table of Contents</w:t>
      </w:r>
      <w:r>
        <w:t xml:space="preserve">    </w:t>
      </w:r>
      <w:r>
        <w:rPr>
          <w:b/>
        </w:rPr>
        <w:t xml:space="preserve">Pub date: </w:t>
      </w:r>
      <w:r>
        <w:t>2026-01-09 09:41:48+00:00</w:t>
      </w:r>
      <w:r>
        <w:t xml:space="preserve">    </w:t>
      </w:r>
      <w:r>
        <w:rPr>
          <w:b/>
        </w:rPr>
        <w:t xml:space="preserve">DOI: </w:t>
      </w:r>
      <w:hyperlink r:id="rId945">
        <w:r>
          <w:rPr>
            <w:color w:val="1155CC"/>
            <w:u w:val="single"/>
          </w:rPr>
          <w:t>10.1002/adma.202521469</w:t>
        </w:r>
      </w:hyperlink>
    </w:p>
    <w:p>
      <w:pPr>
        <w:spacing w:before="0" w:after="120"/>
      </w:pPr>
      <w:r>
        <w:rPr>
          <w:b/>
        </w:rPr>
        <w:t xml:space="preserve">Notes: </w:t>
      </w:r>
      <w:r>
        <w:t>abstract_source=crossref</w:t>
      </w:r>
    </w:p>
    <w:p>
      <w:pPr>
        <w:spacing w:before="0" w:after="80" w:lineRule="auto" w:line="276"/>
      </w:pPr>
      <w:r>
        <w:rPr>
          <w:b/>
        </w:rPr>
        <w:t xml:space="preserve">摘要（ZH）: </w:t>
      </w:r>
      <w:r>
        <w:t>ABSTACT Lithiobilio 统合金属阳极(LAMAs)正在成为使李氏金属电池能够实用化的变革平台。通过利用合金化学,LAMAs将有利的李核核和生长行为、强力的相互化学和机械完整性结合起来,从而减轻阻碍大规模部署李金属阳极的长期的制造和循环稳定性挑战。然而,一个从数量上界定LAMAs的核心设计参数即轻光性的统一框架仍然不够完善。这项审查确立了一种基于描述的范式,以便系统地阐明轻光性,将实验观测与热力、动能和电子结构描述器连接起来,同时将实验观测与热力、动能和电子结构描述器连接起来。</w:t>
      </w:r>
    </w:p>
    <w:p>
      <w:pPr>
        <w:spacing w:before="0" w:after="200" w:lineRule="auto" w:line="276"/>
      </w:pPr>
      <w:r>
        <w:rPr>
          <w:b/>
        </w:rPr>
        <w:t xml:space="preserve">Abstract (EN): </w:t>
      </w:r>
      <w:r>
        <w:t>Lithiophilic alloyed metal anodes (LAMAs) are emerging as a transformative platform for enabling practical Li metal batteries. By harnessing alloy chemistry, LAMAs combine favorable Li nucleation and growth behavior, robust interfacial chemistry, and mechanical integrity, thereby mitigating the long‐standing challenges of manufacturability and cycling stability that have hindered large‐scale deployment of Li metal anodes. Nevertheless, a unifying framework that quantitatively defines lithiophilicity, the central design parameter of LAMAs, remains underdeveloped. This review establishes a descriptor‐based paradigm to systematically elucidate lithiophilicity, bridging empirical observations with thermodynamic, kinetic, and electronic‐structure descriptors, while also addressing the temporal stability of lithiophilic interfaces. Building upon these insights, we critically analyze state‐of‐the‐art strategies for designing and fabricating LAMAs, including alloy‐embedded architectures, interfacial engineering approaches, modified current collector substrates, Li‐free anode concepts, and all‐solid‐state configurations. We conclude by outlining key research opportunities and design principles that couple materials chemistry, interfacial science, and scalable manufacturing, aiming to accelerate the rational development of LAMAs for high‐energy, industrially viable Li metal batteries.</w:t>
      </w:r>
    </w:p>
    <w:p>
      <w:pPr>
        <w:spacing w:before="120" w:after="120"/>
      </w:pPr>
      <w:r>
        <w:rPr>
          <w:sz w:val="18"/>
        </w:rPr>
        <w:t>——————————————————————————————————————————————————————————————————————</w:t>
      </w:r>
    </w:p>
    <w:p>
      <w:pPr>
        <w:spacing w:before="160" w:after="40" w:line="240" w:lineRule="auto"/>
      </w:pPr>
      <w:r>
        <w:rPr>
          <w:b/>
        </w:rPr>
        <w:t xml:space="preserve">[580] </w:t>
      </w:r>
      <w:hyperlink r:id="rId946">
        <w:r>
          <w:rPr>
            <w:color w:val="1155CC"/>
            <w:u w:val="single"/>
          </w:rPr>
          <w:t>AllSolid国家锂金属电池专门设计的硫化物粒子大小</w:t>
        </w:r>
      </w:hyperlink>
    </w:p>
    <w:p>
      <w:pPr>
        <w:spacing w:before="0" w:after="80"/>
      </w:pPr>
      <w:r>
        <w:rPr>
          <w:i/>
          <w:sz w:val="20"/>
        </w:rPr>
        <w:t>EN: Tailoring Sulfide Particle Size for All‐Solid‐State Lithium Metal Batteries</w:t>
      </w:r>
    </w:p>
    <w:p>
      <w:pPr>
        <w:spacing w:before="0" w:after="120"/>
      </w:pPr>
      <w:r>
        <w:rPr>
          <w:b/>
        </w:rPr>
        <w:t xml:space="preserve">Source: </w:t>
      </w:r>
      <w:r>
        <w:t>Wiley: Advanced Materials: Table of Contents</w:t>
      </w:r>
      <w:r>
        <w:t xml:space="preserve">    </w:t>
      </w:r>
      <w:r>
        <w:rPr>
          <w:b/>
        </w:rPr>
        <w:t xml:space="preserve">Pub date: </w:t>
      </w:r>
      <w:r>
        <w:t>2026-01-09 09:42:33+00:00</w:t>
      </w:r>
      <w:r>
        <w:t xml:space="preserve">    </w:t>
      </w:r>
      <w:r>
        <w:rPr>
          <w:b/>
        </w:rPr>
        <w:t xml:space="preserve">DOI: </w:t>
      </w:r>
      <w:hyperlink r:id="rId947">
        <w:r>
          <w:rPr>
            <w:color w:val="1155CC"/>
            <w:u w:val="single"/>
          </w:rPr>
          <w:t>10.1002/adma.202522525</w:t>
        </w:r>
      </w:hyperlink>
    </w:p>
    <w:p>
      <w:pPr>
        <w:spacing w:before="0" w:after="120"/>
      </w:pPr>
      <w:r>
        <w:rPr>
          <w:b/>
        </w:rPr>
        <w:t xml:space="preserve">Notes: </w:t>
      </w:r>
      <w:r>
        <w:t>abstract_source=crossref</w:t>
      </w:r>
    </w:p>
    <w:p>
      <w:pPr>
        <w:spacing w:before="0" w:after="80" w:lineRule="auto" w:line="276"/>
      </w:pPr>
      <w:r>
        <w:rPr>
          <w:b/>
        </w:rPr>
        <w:t xml:space="preserve">摘要（ZH）: </w:t>
      </w:r>
      <w:r>
        <w:t>精确控制硫化固体电解液(SSE)粒粒子的分布,对于在所有固态锂金属电池(ASSLBs)的复合阴极综合电池中建立高效离子导电网络至关重要。这项工作系统地调查L6 PS 5 Cl SSE关键粒子大小参数(D 10, D 50, D 90)对通过受控机械研磨的电池性能的影响。在这项研究中,最佳SSSE粒子大小的构成使得ASSLB具有特殊的电化学性能:高可逆能力为2。</w:t>
      </w:r>
    </w:p>
    <w:p>
      <w:pPr>
        <w:spacing w:before="0" w:after="200" w:lineRule="auto" w:line="276"/>
      </w:pPr>
      <w:r>
        <w:rPr>
          <w:b/>
        </w:rPr>
        <w:t xml:space="preserve">Abstract (EN): </w:t>
      </w:r>
      <w:r>
        <w:t>The precise control of sulfide solid electrolyte (SSE) particle size distribution is crucial for constructing efficient ion‐conducting networks in composite cathodes of all‐solid‐state lithium metal batteries (ASSLBs). This work systematically investigates the effects of key particle size parameters (D</w:t>
      </w:r>
      <w:r>
        <w:rPr>
          <w:vertAlign w:val="subscript"/>
        </w:rPr>
        <w:t>10</w:t>
      </w:r>
      <w:r>
        <w:t>, D</w:t>
      </w:r>
      <w:r>
        <w:rPr>
          <w:vertAlign w:val="subscript"/>
        </w:rPr>
        <w:t>50</w:t>
      </w:r>
      <w:r>
        <w:t>, D</w:t>
      </w:r>
      <w:r>
        <w:rPr>
          <w:vertAlign w:val="subscript"/>
        </w:rPr>
        <w:t>90</w:t>
      </w:r>
      <w:r>
        <w:t>) of Li</w:t>
      </w:r>
      <w:r>
        <w:rPr>
          <w:vertAlign w:val="subscript"/>
        </w:rPr>
        <w:t>6</w:t>
      </w:r>
      <w:r>
        <w:t>PS</w:t>
      </w:r>
      <w:r>
        <w:rPr>
          <w:vertAlign w:val="subscript"/>
        </w:rPr>
        <w:t>5</w:t>
      </w:r>
      <w:r>
        <w:t>Cl SSE on battery performance through controlled mechanical grinding. In this study, the optimal SSE particle size composition enables exceptional electrochemical performance of ASSLB: a high reversible capacity of 202.2 mAh/g at 0.25C, superior rate capability (76% capacity retention of 5C/0.25C), and outstanding cyclability (81.5% and 80% capacity retention after 4000 cycles at 3C and 5C, respectively). Microstructural analysis indicates that the optimized SSE particle configuration, when 7.3 ≤ D</w:t>
      </w:r>
      <w:r>
        <w:t xml:space="preserve"> </w:t>
      </w:r>
      <w:r>
        <w:t>50Cathode</w:t>
      </w:r>
      <w:r>
        <w:t xml:space="preserve"> </w:t>
      </w:r>
      <w:r>
        <w:t>/D</w:t>
      </w:r>
      <w:r>
        <w:t xml:space="preserve"> </w:t>
      </w:r>
      <w:r>
        <w:t>50SSE</w:t>
      </w:r>
      <w:r>
        <w:t xml:space="preserve"> </w:t>
      </w:r>
      <w:r>
        <w:t>and 2.0 ≤ D</w:t>
      </w:r>
      <w:r>
        <w:t xml:space="preserve"> </w:t>
      </w:r>
      <w:r>
        <w:t>90Cathode</w:t>
      </w:r>
      <w:r>
        <w:t xml:space="preserve"> </w:t>
      </w:r>
      <w:r>
        <w:t>/D</w:t>
      </w:r>
      <w:r>
        <w:t xml:space="preserve"> </w:t>
      </w:r>
      <w:r>
        <w:t>90SSE</w:t>
      </w:r>
      <w:r>
        <w:t xml:space="preserve"> </w:t>
      </w:r>
      <w:r>
        <w:t>≤ 3.5, forms a hierarchical ion‐conducting network. In this configuration, the fine particles of SSE in the composite cathode can effectively fill the cathode gaps, while the medium‐sized particles can provide rapid ion transport channels, resulting in excellent rate performance and reversible capacity. Larger electrolyte particles will lead to insufficient interfacial contact and “island‐like” ion transport paths. Additionally, excessively lowering D</w:t>
      </w:r>
      <w:r>
        <w:rPr>
          <w:vertAlign w:val="subscript"/>
        </w:rPr>
        <w:t>90</w:t>
      </w:r>
      <w:r>
        <w:t>will also result in reduced battery performance (3.5 ≤ D</w:t>
      </w:r>
      <w:r>
        <w:t xml:space="preserve"> </w:t>
      </w:r>
      <w:r>
        <w:t>90C</w:t>
      </w:r>
      <w:r>
        <w:t xml:space="preserve"> </w:t>
      </w:r>
      <w:r>
        <w:t>/D</w:t>
      </w:r>
      <w:r>
        <w:t xml:space="preserve"> </w:t>
      </w:r>
      <w:r>
        <w:t>90SE</w:t>
      </w:r>
      <w:r>
        <w:t xml:space="preserve"> </w:t>
      </w:r>
      <w:r>
        <w:t>). This study provides quantitative guiding principles for SSE particle engineering.</w:t>
      </w:r>
    </w:p>
    <w:p>
      <w:pPr>
        <w:spacing w:before="120" w:after="120"/>
      </w:pPr>
      <w:r>
        <w:rPr>
          <w:sz w:val="18"/>
        </w:rPr>
        <w:t>——————————————————————————————————————————————————————————————————————</w:t>
      </w:r>
    </w:p>
    <w:p>
      <w:pPr>
        <w:spacing w:before="160" w:after="40" w:line="240" w:lineRule="auto"/>
      </w:pPr>
      <w:r>
        <w:rPr>
          <w:b/>
        </w:rPr>
        <w:t xml:space="preserve">[581] </w:t>
      </w:r>
      <w:hyperlink r:id="rId948">
        <w:r>
          <w:rPr>
            <w:color w:val="1155CC"/>
            <w:u w:val="single"/>
          </w:rPr>
          <w:t>捐助方非统计会议 -- -- 轻引电费分离的接受者钥匙</w:t>
        </w:r>
      </w:hyperlink>
    </w:p>
    <w:p>
      <w:pPr>
        <w:spacing w:before="0" w:after="80"/>
      </w:pPr>
      <w:r>
        <w:rPr>
          <w:i/>
          <w:sz w:val="20"/>
        </w:rPr>
        <w:t>EN: Non‐Statistical Assembly of Donor–Acceptor Cages for Light‐Induced Charge Separation</w:t>
      </w:r>
    </w:p>
    <w:p>
      <w:pPr>
        <w:spacing w:before="0" w:after="120"/>
      </w:pPr>
      <w:r>
        <w:rPr>
          <w:b/>
        </w:rPr>
        <w:t xml:space="preserve">Source: </w:t>
      </w:r>
      <w:r>
        <w:t>Wiley: Angewandte Chemie International Edition: Table of Contents</w:t>
      </w:r>
      <w:r>
        <w:t xml:space="preserve">    </w:t>
      </w:r>
      <w:r>
        <w:rPr>
          <w:b/>
        </w:rPr>
        <w:t xml:space="preserve">Pub date: </w:t>
      </w:r>
      <w:r>
        <w:t>2026-01-09 09:42:43+00:00</w:t>
      </w:r>
      <w:r>
        <w:t xml:space="preserve">    </w:t>
      </w:r>
      <w:r>
        <w:rPr>
          <w:b/>
        </w:rPr>
        <w:t xml:space="preserve">DOI: </w:t>
      </w:r>
      <w:hyperlink r:id="rId949">
        <w:r>
          <w:rPr>
            <w:color w:val="1155CC"/>
            <w:u w:val="single"/>
          </w:rPr>
          <w:t>10.1002/anie.202522944</w:t>
        </w:r>
      </w:hyperlink>
    </w:p>
    <w:p>
      <w:pPr>
        <w:spacing w:before="0" w:after="120"/>
      </w:pPr>
      <w:r>
        <w:rPr>
          <w:b/>
        </w:rPr>
        <w:t xml:space="preserve">Notes: </w:t>
      </w:r>
      <w:r>
        <w:t>abstract_source=crossref</w:t>
      </w:r>
    </w:p>
    <w:p>
      <w:pPr>
        <w:spacing w:before="0" w:after="80" w:lineRule="auto" w:line="276"/>
      </w:pPr>
      <w:r>
        <w:rPr>
          <w:b/>
        </w:rPr>
        <w:t xml:space="preserve">摘要（ZH）: </w:t>
      </w:r>
      <w:r>
        <w:t>摘要:我们报告在两个离散的超分子结构中轻触发的电荷分离,它们从捐赠者(D)和接受者(A)的单步中自行组装,从捐赠者(D)和接受者(A)的一步骤中,从功能化桥接断绳和Pd(II)cations(Pd)cations(Pd 2 D 2 A 2) 4+笼式异构体中,“形状互补组装”战略允许独家形成cis [Pd 2 D 2 A 2] 4+笼式异构体。</w:t>
      </w:r>
    </w:p>
    <w:p>
      <w:pPr>
        <w:spacing w:before="0" w:after="200" w:lineRule="auto" w:line="276"/>
      </w:pPr>
      <w:r>
        <w:rPr>
          <w:b/>
        </w:rPr>
        <w:t xml:space="preserve">Abstract (EN): </w:t>
      </w:r>
      <w:r>
        <w:t>We report light‐triggered charge separation in two discrete supramolecular architectures that self‐assemble in a single step from donor (</w:t>
      </w:r>
      <w:r>
        <w:t xml:space="preserve"> </w:t>
      </w:r>
      <w:r>
        <w:t>D</w:t>
      </w:r>
      <w:r>
        <w:t xml:space="preserve"> </w:t>
      </w:r>
      <w:r>
        <w:t>) and acceptor (</w:t>
      </w:r>
      <w:r>
        <w:t xml:space="preserve"> </w:t>
      </w:r>
      <w:r>
        <w:t>A</w:t>
      </w:r>
      <w:r>
        <w:t xml:space="preserve"> </w:t>
      </w:r>
      <w:r>
        <w:t>) functionalized bridging ligands and Pd(II) cations. The “shape complementary assembly” (SCA) strategy allows for exclusive formation of the</w:t>
      </w:r>
      <w:r>
        <w:t xml:space="preserve"> </w:t>
      </w:r>
      <w:r>
        <w:t>cis</w:t>
      </w:r>
      <w:r>
        <w:t xml:space="preserve"> </w:t>
      </w:r>
      <w:r>
        <w:t>‐[Pd</w:t>
      </w:r>
      <w:r>
        <w:rPr>
          <w:vertAlign w:val="subscript"/>
        </w:rPr>
        <w:t>2</w:t>
      </w:r>
      <w:r>
        <w:t>D</w:t>
      </w:r>
      <w:r>
        <w:rPr>
          <w:vertAlign w:val="subscript"/>
        </w:rPr>
        <w:t>2</w:t>
      </w:r>
      <w:r>
        <w:t>A</w:t>
      </w:r>
      <w:r>
        <w:rPr>
          <w:vertAlign w:val="subscript"/>
        </w:rPr>
        <w:t>2</w:t>
      </w:r>
      <w:r>
        <w:t>]</w:t>
      </w:r>
      <w:r>
        <w:t xml:space="preserve"> </w:t>
      </w:r>
      <w:r>
        <w:t>4+</w:t>
      </w:r>
      <w:r>
        <w:t xml:space="preserve"> </w:t>
      </w:r>
      <w:r>
        <w:t>cage isomer. Compared to previously reported statistical</w:t>
      </w:r>
      <w:r>
        <w:t xml:space="preserve"> </w:t>
      </w:r>
      <w:r>
        <w:t>DA</w:t>
      </w:r>
      <w:r>
        <w:t xml:space="preserve"> </w:t>
      </w:r>
      <w:r>
        <w:t>assemblies, lacking stoichiometry and stereo control, the number of possible electron transfer routes was reduced. This enables a better understanding and tunability of the excited state dynamics. Cage assembly was investigated by NMR, MS, and single crystal X‐ray diffraction analysis. Steady‐state absorption and electrochemical properties indicate that donor and acceptor moieties remain largely independent in the electronic ground state. Femtosecond pump‐probe spectroscopy in the visible and infrared was applied to compare the fate of photoexcited states for pure ligands, donor‐ and acceptor‐only assemblies, and the donor–acceptor heteroleptic cages. For the latter, ultrafast intracage ligand‐to‐ligand charge separation is followed by two back electron transfer pathways, occurring on timescales of hundreds of picoseconds and around one nanosecond, assignable to</w:t>
      </w:r>
      <w:r>
        <w:t xml:space="preserve"> </w:t>
      </w:r>
      <w:r>
        <w:t>D</w:t>
      </w:r>
      <w:r>
        <w:t xml:space="preserve"> </w:t>
      </w:r>
      <w:r>
        <w:t>/</w:t>
      </w:r>
      <w:r>
        <w:t>A</w:t>
      </w:r>
      <w:r>
        <w:t xml:space="preserve"> </w:t>
      </w:r>
      <w:r>
        <w:t>ligands facing each other in</w:t>
      </w:r>
      <w:r>
        <w:t xml:space="preserve"> </w:t>
      </w:r>
      <w:r>
        <w:t>cis</w:t>
      </w:r>
      <w:r>
        <w:t xml:space="preserve"> </w:t>
      </w:r>
      <w:r>
        <w:t>‐ or</w:t>
      </w:r>
      <w:r>
        <w:t xml:space="preserve"> </w:t>
      </w:r>
      <w:r>
        <w:t>trans</w:t>
      </w:r>
      <w:r>
        <w:t xml:space="preserve"> </w:t>
      </w:r>
      <w:r>
        <w:t>‐position. Our work shows that non‐statistical modular self‐assembly can be used for the precise positioning of photoredox‐active components in defined distances on the nanoscale.</w:t>
      </w:r>
    </w:p>
    <w:p>
      <w:pPr>
        <w:spacing w:before="120" w:after="120"/>
      </w:pPr>
      <w:r>
        <w:rPr>
          <w:sz w:val="18"/>
        </w:rPr>
        <w:t>——————————————————————————————————————————————————————————————————————</w:t>
      </w:r>
    </w:p>
    <w:p>
      <w:pPr>
        <w:spacing w:before="160" w:after="40" w:line="240" w:lineRule="auto"/>
      </w:pPr>
      <w:r>
        <w:rPr>
          <w:b/>
        </w:rPr>
        <w:t xml:space="preserve">[582] </w:t>
      </w:r>
      <w:hyperlink r:id="rId950">
        <w:r>
          <w:rPr>
            <w:color w:val="1155CC"/>
            <w:u w:val="single"/>
          </w:rPr>
          <w:t>Tetraaza[7]-[15]Helicenes 合成由“双链战略:Lont-Cont-Control Chiral Systems”联合制作的双极化紫外线</w:t>
        </w:r>
      </w:hyperlink>
    </w:p>
    <w:p>
      <w:pPr>
        <w:spacing w:before="0" w:after="80"/>
      </w:pPr>
      <w:r>
        <w:rPr>
          <w:i/>
          <w:sz w:val="20"/>
        </w:rPr>
        <w:t>EN: Tetraaza[7]–[15]helicenes Synthesized by Two‐Step Strategy: Length‐Controlled Chiral π‐Systems Exhibiting Amplified Circularly Polarized Luminescence</w:t>
      </w:r>
    </w:p>
    <w:p>
      <w:pPr>
        <w:spacing w:before="0" w:after="120"/>
      </w:pPr>
      <w:r>
        <w:rPr>
          <w:b/>
        </w:rPr>
        <w:t xml:space="preserve">Source: </w:t>
      </w:r>
      <w:r>
        <w:t>Wiley: Angewandte Chemie International Edition: Table of Contents</w:t>
      </w:r>
      <w:r>
        <w:t xml:space="preserve">    </w:t>
      </w:r>
      <w:r>
        <w:rPr>
          <w:b/>
        </w:rPr>
        <w:t xml:space="preserve">Pub date: </w:t>
      </w:r>
      <w:r>
        <w:t>2026-01-09 09:43:31+00:00</w:t>
      </w:r>
      <w:r>
        <w:t xml:space="preserve">    </w:t>
      </w:r>
      <w:r>
        <w:rPr>
          <w:b/>
        </w:rPr>
        <w:t xml:space="preserve">DOI: </w:t>
      </w:r>
      <w:hyperlink r:id="rId951">
        <w:r>
          <w:rPr>
            <w:color w:val="1155CC"/>
            <w:u w:val="single"/>
          </w:rPr>
          <w:t>10.1002/anie.202524463</w:t>
        </w:r>
      </w:hyperlink>
    </w:p>
    <w:p>
      <w:pPr>
        <w:spacing w:before="0" w:after="120"/>
      </w:pPr>
      <w:r>
        <w:rPr>
          <w:b/>
        </w:rPr>
        <w:t xml:space="preserve">Notes: </w:t>
      </w:r>
      <w:r>
        <w:t>abstract_source=crossref</w:t>
      </w:r>
    </w:p>
    <w:p>
      <w:pPr>
        <w:spacing w:before="0" w:after="80" w:lineRule="auto" w:line="276"/>
      </w:pPr>
      <w:r>
        <w:rPr>
          <w:b/>
        </w:rPr>
        <w:t xml:space="preserve">摘要（ZH）: </w:t>
      </w:r>
      <w:r>
        <w:t>抽象的Helicenes是手性conjudated分子,其特性在很大程度上取决于其长度。对这些化合物的系统研究受到合成挑战的限制。这里我们报告了一个简明的两步战略(定义为来自氨氨基六烯前体的硅蛋白成形序列 ), 以获得同质系列的四亚色[7] - [15] helicenes。光谱在 [11]H(H)之后聚集,定义了共性天花板,而手动反应则急剧扩大,产生 g lum  * 至 0.028。 荧光量产量显示一种非分子依赖性,[7H和[15]H保持高/-F(0.39和0.36)和大。</w:t>
      </w:r>
    </w:p>
    <w:p>
      <w:pPr>
        <w:spacing w:before="0" w:after="200" w:lineRule="auto" w:line="276"/>
      </w:pPr>
      <w:r>
        <w:rPr>
          <w:b/>
        </w:rPr>
        <w:t xml:space="preserve">Abstract (EN): </w:t>
      </w:r>
      <w:r>
        <w:t>Helicenes are chiral π‐conjugated molecules whose properties strongly depend on their lengths. Systematic studies of these compounds have been limited by synthetic challenges. Here we report a concise two‐step strategy (defined as the helicene‐forming sequence from aminohelicene precursors) to access a homologous series of tetraaza[7]–[15]helicenes. Optical spectra converge beyond [11]H, defining a conjugation ceiling, while chiroptical responses amplify sharply, yielding |</w:t>
      </w:r>
      <w:r>
        <w:t xml:space="preserve"> </w:t>
      </w:r>
      <w:r>
        <w:t>g</w:t>
      </w:r>
      <w:r>
        <w:t xml:space="preserve"> </w:t>
      </w:r>
      <w:r>
        <w:t>lum</w:t>
      </w:r>
      <w:r>
        <w:t xml:space="preserve"> </w:t>
      </w:r>
      <w:r>
        <w:t>| up to 0.028. Fluorescence quantum yields show a nonmonotonic dependence, with [7]H and [15]H maintaining both high</w:t>
      </w:r>
      <w:r>
        <w:t xml:space="preserve"> </w:t>
      </w:r>
      <w:r>
        <w:t>Φ</w:t>
      </w:r>
      <w:r>
        <w:t xml:space="preserve"> </w:t>
      </w:r>
      <w:r>
        <w:t>F</w:t>
      </w:r>
      <w:r>
        <w:t xml:space="preserve"> </w:t>
      </w:r>
      <w:r>
        <w:t>(0.39 and 0.36) and large |</w:t>
      </w:r>
      <w:r>
        <w:t xml:space="preserve"> </w:t>
      </w:r>
      <w:r>
        <w:t>g</w:t>
      </w:r>
      <w:r>
        <w:t xml:space="preserve"> </w:t>
      </w:r>
      <w:r>
        <w:t>lum</w:t>
      </w:r>
      <w:r>
        <w:t xml:space="preserve"> </w:t>
      </w:r>
      <w:r>
        <w:t>|, resulting in outstanding, albeit semi‐quantitative, CPL performance, with figures of merit reaching 0.010 and CPL brightness values of approximately 490. TD‐DFT calculations attribute this amplification to the delayed alignment of electric and magnetic transition dipoles, while</w:t>
      </w:r>
      <w:r>
        <w:rPr>
          <w:vertAlign w:val="subscript"/>
        </w:rPr>
        <w:t>1</w:t>
      </w:r>
      <w:r>
        <w:t>H NMR shifts of inner protons provide an independent probe of structural reorganization within the helical cavity. Additionally, experiment and theory have consistently identified [11]H as the critical helicene length at which the framework undergoes a qualitative transition. Notably, the [15]helicene constitutes the longest helicene ever resolved into its enantiomers, underscoring the synthetic power of this modular approach. Importantly, our synthetic route is effective for constructing higher‐order helicenes, offering a generalizable platform for length‐controlled, heteroatom‐containing helicenes. These findings establish long tetraazahelicenes as a rare platform where through‐bond conjugation and through‐space orbital coupling act cooperatively to govern photophysical and chiroptical properties.</w:t>
      </w:r>
    </w:p>
    <w:p>
      <w:pPr>
        <w:spacing w:before="120" w:after="120"/>
      </w:pPr>
      <w:r>
        <w:rPr>
          <w:sz w:val="18"/>
        </w:rPr>
        <w:t>——————————————————————————————————————————————————————————————————————</w:t>
      </w:r>
    </w:p>
    <w:p>
      <w:pPr>
        <w:spacing w:before="160" w:after="40" w:line="240" w:lineRule="auto"/>
      </w:pPr>
      <w:r>
        <w:rPr>
          <w:b/>
        </w:rPr>
        <w:t xml:space="preserve">[583] </w:t>
      </w:r>
      <w:hyperlink r:id="rId952">
        <w:r>
          <w:rPr>
            <w:color w:val="1155CC"/>
            <w:u w:val="single"/>
          </w:rPr>
          <w:t>OxygenBridged 双重催化性分析场地 能够对等 C -C</w:t>
        </w:r>
      </w:hyperlink>
    </w:p>
    <w:p>
      <w:pPr>
        <w:spacing w:before="0" w:after="80"/>
      </w:pPr>
      <w:r>
        <w:rPr>
          <w:i/>
          <w:sz w:val="20"/>
        </w:rPr>
        <w:t>EN: Oxygen‐Bridged Dual Catalytic Sites Enable Asymmetric C─C Coupling for Efficient CO2 Electroreduction to Ethanol</w:t>
      </w:r>
    </w:p>
    <w:p>
      <w:pPr>
        <w:spacing w:before="0" w:after="120"/>
      </w:pPr>
      <w:r>
        <w:rPr>
          <w:b/>
        </w:rPr>
        <w:t xml:space="preserve">Source: </w:t>
      </w:r>
      <w:r>
        <w:t>Wiley: Angewandte Chemie International Edition: Table of Contents</w:t>
      </w:r>
      <w:r>
        <w:t xml:space="preserve">    </w:t>
      </w:r>
      <w:r>
        <w:rPr>
          <w:b/>
        </w:rPr>
        <w:t xml:space="preserve">Pub date: </w:t>
      </w:r>
      <w:r>
        <w:t>2026-01-09 09:44:59+00:00</w:t>
      </w:r>
      <w:r>
        <w:t xml:space="preserve">    </w:t>
      </w:r>
      <w:r>
        <w:rPr>
          <w:b/>
        </w:rPr>
        <w:t xml:space="preserve">DOI: </w:t>
      </w:r>
      <w:hyperlink r:id="rId953">
        <w:r>
          <w:rPr>
            <w:color w:val="1155CC"/>
            <w:u w:val="single"/>
          </w:rPr>
          <w:t>10.1002/anie.202524425</w:t>
        </w:r>
      </w:hyperlink>
    </w:p>
    <w:p>
      <w:pPr>
        <w:spacing w:before="0" w:after="120"/>
      </w:pPr>
      <w:r>
        <w:rPr>
          <w:b/>
        </w:rPr>
        <w:t xml:space="preserve">Notes: </w:t>
      </w:r>
      <w:r>
        <w:t>abstract_source=crossref</w:t>
      </w:r>
    </w:p>
    <w:p>
      <w:pPr>
        <w:spacing w:before="0" w:after="80" w:lineRule="auto" w:line="276"/>
      </w:pPr>
      <w:r>
        <w:rPr>
          <w:b/>
        </w:rPr>
        <w:t xml:space="preserve">摘要（ZH）: </w:t>
      </w:r>
      <w:r>
        <w:t>抽象理解 C -C 连接路径对于实现选择性CO2转化为多碳碳产品至关重要,然而,控制中间体二氧化对于实现选择性二氧化碳转化为多碳产品至关重要,但由于催化系统的复杂性和C -C 连接过程中的机械学知识有限,控制中间体二化仍然极具挑战性。在这项工作中,一个具有精密配置FeOCu网站的模范双点催化剂是由通过氧桥(FeN 4 OCu NW)将铁-phathalocyanine(FePc)共同结合成铜纳米线设计的,通过氧桥(FeN 4 OCu NW)对电化CO2期间的C-C联路进行原子级机械学探索。</w:t>
      </w:r>
    </w:p>
    <w:p>
      <w:pPr>
        <w:spacing w:before="0" w:after="200" w:lineRule="auto" w:line="276"/>
      </w:pPr>
      <w:r>
        <w:rPr>
          <w:b/>
        </w:rPr>
        <w:t xml:space="preserve">Abstract (EN): </w:t>
      </w:r>
      <w:r>
        <w:t>Understanding C─C coupling pathways is essential for achieving selective CO</w:t>
      </w:r>
      <w:r>
        <w:rPr>
          <w:vertAlign w:val="subscript"/>
        </w:rPr>
        <w:t>2</w:t>
      </w:r>
      <w:r>
        <w:t>conversion into multi‐carbon products. However, controlling intermediates dimerization remains highly challenging due to both the complexity of the catalytic systems and the limited mechanistic knowledge into the C─C coupling process. In this work, a model dual‐site catalyst with precisely configured Fe‐O‐Cu sites is designed by covalently grafting iron‐phthalocyanine (FePc) onto copper nanowires via oxygen bridges (FeN</w:t>
      </w:r>
      <w:r>
        <w:rPr>
          <w:vertAlign w:val="subscript"/>
        </w:rPr>
        <w:t>4</w:t>
      </w:r>
      <w:r>
        <w:t>‐O‐Cu NW), which enables probing of atomic‐level mechanistic insights into the C─C coupling pathways during electrochemical CO</w:t>
      </w:r>
      <w:r>
        <w:rPr>
          <w:vertAlign w:val="subscript"/>
        </w:rPr>
        <w:t>2</w:t>
      </w:r>
      <w:r>
        <w:t>reduction reaction (CO</w:t>
      </w:r>
      <w:r>
        <w:rPr>
          <w:vertAlign w:val="subscript"/>
        </w:rPr>
        <w:t>2</w:t>
      </w:r>
      <w:r>
        <w:t>RR). Remarkably, the FeN</w:t>
      </w:r>
      <w:r>
        <w:rPr>
          <w:vertAlign w:val="subscript"/>
        </w:rPr>
        <w:t>4</w:t>
      </w:r>
      <w:r>
        <w:t>‐O‐Cu NW exhibits a 23.6‐fold enhancement in the ethanol‐to‐ethylene Faradaic efficiency ratio as compared to O‐Cu NW, achieving &amp;gt; 80% C</w:t>
      </w:r>
      <w:r>
        <w:t xml:space="preserve"> </w:t>
      </w:r>
      <w:r>
        <w:t>2+</w:t>
      </w:r>
      <w:r>
        <w:t xml:space="preserve"> </w:t>
      </w:r>
      <w:r>
        <w:t>Faradaic efficiency at an industrially relevant current density of 1 A cm</w:t>
      </w:r>
      <w:r>
        <w:t xml:space="preserve"> </w:t>
      </w:r>
      <w:r>
        <w:t>−2</w:t>
      </w:r>
      <w:r>
        <w:t xml:space="preserve"> </w:t>
      </w:r>
      <w:r>
        <w:t>.</w:t>
      </w:r>
      <w:r>
        <w:rPr>
          <w:vertAlign w:val="subscript"/>
        </w:rPr>
        <w:t>13</w:t>
      </w:r>
      <w:r>
        <w:t>CO</w:t>
      </w:r>
      <w:r>
        <w:rPr>
          <w:vertAlign w:val="subscript"/>
        </w:rPr>
        <w:t>2</w:t>
      </w:r>
      <w:r>
        <w:t>/</w:t>
      </w:r>
      <w:r>
        <w:rPr>
          <w:vertAlign w:val="subscript"/>
        </w:rPr>
        <w:t>12</w:t>
      </w:r>
      <w:r>
        <w:t>CO co‐feed experiments together with a collection of</w:t>
      </w:r>
      <w:r>
        <w:t xml:space="preserve"> </w:t>
      </w:r>
      <w:r>
        <w:t>operando</w:t>
      </w:r>
      <w:r>
        <w:t xml:space="preserve"> </w:t>
      </w:r>
      <w:r>
        <w:t>/in‐situ characterizations reveal that the enhanced ethanol selectivity over FeN</w:t>
      </w:r>
      <w:r>
        <w:rPr>
          <w:vertAlign w:val="subscript"/>
        </w:rPr>
        <w:t>4</w:t>
      </w:r>
      <w:r>
        <w:t>‐O‐Cu NW arises from asymmetric C─C coupling between *CO and *CHO intermediates, where *CO is generated at the low‐spin single‐Fe‐atom site, while *CHO is produced at the oxygen‐bridged Cu site. Density functional theory (DFT) calculations further unveil that the oxygen‐bridged Fe‐O‐Cu site can not only stabilize the in situ generated low‐spin Fe(II) active site for enhancing CO</w:t>
      </w:r>
      <w:r>
        <w:rPr>
          <w:vertAlign w:val="subscript"/>
        </w:rPr>
        <w:t>2</w:t>
      </w:r>
      <w:r>
        <w:t>activation and lowering *CO desorption energy but also construct an oxygen‐bridged Cu active site to stabilize the *OCHO intermediate, significantly lowering the *OCHO‐to‐*CHO conversion energy barrier, orchestrating an efficient asymmetric *CO─*CHO coupling path and boosting the CO</w:t>
      </w:r>
      <w:r>
        <w:rPr>
          <w:vertAlign w:val="subscript"/>
        </w:rPr>
        <w:t>2</w:t>
      </w:r>
      <w:r>
        <w:t>‐to‐ethanol conversion.</w:t>
      </w:r>
    </w:p>
    <w:p>
      <w:pPr>
        <w:spacing w:before="120" w:after="120"/>
      </w:pPr>
      <w:r>
        <w:rPr>
          <w:sz w:val="18"/>
        </w:rPr>
        <w:t>——————————————————————————————————————————————————————————————————————</w:t>
      </w:r>
    </w:p>
    <w:p>
      <w:pPr>
        <w:spacing w:before="160" w:after="40" w:line="240" w:lineRule="auto"/>
      </w:pPr>
      <w:r>
        <w:rPr>
          <w:b/>
        </w:rPr>
        <w:t xml:space="preserve">[584] </w:t>
      </w:r>
      <w:hyperlink r:id="rId954">
        <w:r>
          <w:rPr>
            <w:color w:val="1155CC"/>
            <w:u w:val="single"/>
          </w:rPr>
          <w:t>通过电元地表制造的分阶段改制,进行女性二代激光器非Diffractering biam Lithgraphy</w:t>
        </w:r>
      </w:hyperlink>
    </w:p>
    <w:p>
      <w:pPr>
        <w:spacing w:before="0" w:after="80"/>
      </w:pPr>
      <w:r>
        <w:rPr>
          <w:i/>
          <w:sz w:val="20"/>
        </w:rPr>
        <w:t>EN: Femtosecond Laser Non‐Diffracting‐Beam Lithography via Phase Modulation for Dielectric Metasurface Fabrication</w:t>
      </w:r>
    </w:p>
    <w:p>
      <w:pPr>
        <w:spacing w:before="0" w:after="120"/>
      </w:pPr>
      <w:r>
        <w:rPr>
          <w:b/>
        </w:rPr>
        <w:t xml:space="preserve">Source: </w:t>
      </w:r>
      <w:r>
        <w:t>Wiley: Advanced Materials: Table of Contents</w:t>
      </w:r>
      <w:r>
        <w:t xml:space="preserve">    </w:t>
      </w:r>
      <w:r>
        <w:rPr>
          <w:b/>
        </w:rPr>
        <w:t xml:space="preserve">Pub date: </w:t>
      </w:r>
      <w:r>
        <w:t>2026-01-09 09:47:04+00:00</w:t>
      </w:r>
      <w:r>
        <w:t xml:space="preserve">    </w:t>
      </w:r>
      <w:r>
        <w:rPr>
          <w:b/>
        </w:rPr>
        <w:t xml:space="preserve">DOI: </w:t>
      </w:r>
      <w:hyperlink r:id="rId955">
        <w:r>
          <w:rPr>
            <w:color w:val="1155CC"/>
            <w:u w:val="single"/>
          </w:rPr>
          <w:t>10.1002/adma.202521635</w:t>
        </w:r>
      </w:hyperlink>
    </w:p>
    <w:p>
      <w:pPr>
        <w:spacing w:before="0" w:after="120"/>
      </w:pPr>
      <w:r>
        <w:rPr>
          <w:b/>
        </w:rPr>
        <w:t xml:space="preserve">Notes: </w:t>
      </w:r>
      <w:r>
        <w:t>abstract_source=crossref</w:t>
      </w:r>
    </w:p>
    <w:p>
      <w:pPr>
        <w:spacing w:before="0" w:after="80" w:lineRule="auto" w:line="276"/>
      </w:pPr>
      <w:r>
        <w:rPr>
          <w:b/>
        </w:rPr>
        <w:t xml:space="preserve">摘要（ZH）: </w:t>
      </w:r>
      <w:r>
        <w:t>电相变换元表层使可编程的光控能够进行可编程的光控,并显示出在光电子学中应用的巨大潜力,然而,目前技术受到以下挑战的限制:实现高度统一、大面积高精度制造以及个别元体有选择的阶段性状态调制。为了应对这些挑战,提议了一种femto second (fs) laser sectiondedded unodifferactébethgraphy (PNDL) 技术。通过超集轴和发光的熔化阶段,Fsálaser 光束形成一个准Bessel 而非 diffractation-beam,其焦点深度比紧要高10倍以上,从而减少了重新确定和尽量减少焦心流的需要。</w:t>
      </w:r>
    </w:p>
    <w:p>
      <w:pPr>
        <w:spacing w:before="0" w:after="200" w:lineRule="auto" w:line="276"/>
      </w:pPr>
      <w:r>
        <w:rPr>
          <w:b/>
        </w:rPr>
        <w:t xml:space="preserve">Abstract (EN): </w:t>
      </w:r>
      <w:r>
        <w:t>Dielectric phase‐change metasurfaces enable programmable light control and show great application potential in optoelectronics. However, current technologies are limited by challenges in achieving high‐uniformity, high‐precision fabrication over large areas, as well as selective phase‐state modulation of individual meta‐atoms. To address these challenges, a femtosecond (fs)‐laser phase‐modulated non‐diffracting‐beam lithography (PNDL) technique is proposed. By superimposing axicon and blazed grating phases, the fs‐laser beam is shaped into a quasi‐Bessel non‐diffracting‐beam with a depth of focus over 10 times greater than that of a tightly focused Gaussian beam, thereby reducing the need for refocusing and minimizing focal drift. The dynamic beam deflection during fabrication can be controlled with 7 nm precision. The voxel metasurfaces composed of phase‐change regions are then chemically processed to achieve maskless lithography. PNDL is used to fabricate a tunable Ge</w:t>
      </w:r>
      <w:r>
        <w:rPr>
          <w:vertAlign w:val="subscript"/>
        </w:rPr>
        <w:t>2</w:t>
      </w:r>
      <w:r>
        <w:t>Sb</w:t>
      </w:r>
      <w:r>
        <w:rPr>
          <w:vertAlign w:val="subscript"/>
        </w:rPr>
        <w:t>2</w:t>
      </w:r>
      <w:r>
        <w:t>Te</w:t>
      </w:r>
      <w:r>
        <w:rPr>
          <w:vertAlign w:val="subscript"/>
        </w:rPr>
        <w:t>5</w:t>
      </w:r>
      <w:r>
        <w:t>metasurface with a structural feature size of 9 nm. Furthermore, multifunctional programmable photonic logic devices are fabricated and modulated, demonstrating high‐precision capabilities. This approach provides a novel paradigm for active metasurface fabrication and modulation, laying the foundation for next‐generation photonic devices.</w:t>
      </w:r>
    </w:p>
    <w:p>
      <w:pPr>
        <w:spacing w:before="120" w:after="120"/>
      </w:pPr>
      <w:r>
        <w:rPr>
          <w:sz w:val="18"/>
        </w:rPr>
        <w:t>——————————————————————————————————————————————————————————————————————</w:t>
      </w:r>
    </w:p>
    <w:p>
      <w:pPr>
        <w:spacing w:before="160" w:after="40" w:line="240" w:lineRule="auto"/>
      </w:pPr>
      <w:r>
        <w:rPr>
          <w:b/>
        </w:rPr>
        <w:t xml:space="preserve">[585] </w:t>
      </w:r>
      <w:hyperlink r:id="rId956">
        <w:r>
          <w:rPr>
            <w:color w:val="1155CC"/>
            <w:u w:val="single"/>
          </w:rPr>
          <w:t>M-O-C催化剂:支持将氧化碳共价网络作为甘油酚氧化氧化剂致芳酸的电催化剂的铜单一原子</w:t>
        </w:r>
      </w:hyperlink>
    </w:p>
    <w:p>
      <w:pPr>
        <w:spacing w:before="0" w:after="80"/>
      </w:pPr>
      <w:r>
        <w:rPr>
          <w:i/>
          <w:sz w:val="20"/>
        </w:rPr>
        <w:t>EN: M–O–C Catalysts: Copper Single Atoms Supported on Oxocarbon Covalent Networks as Electrocatalysts for Glycerol Oxidation to Formic Acid</w:t>
      </w:r>
    </w:p>
    <w:p>
      <w:pPr>
        <w:spacing w:before="0" w:after="120"/>
      </w:pPr>
      <w:r>
        <w:rPr>
          <w:b/>
        </w:rPr>
        <w:t xml:space="preserve">Source: </w:t>
      </w:r>
      <w:r>
        <w:t>Wiley: Angewandte Chemie International Edition: Table of Contents</w:t>
      </w:r>
      <w:r>
        <w:t xml:space="preserve">    </w:t>
      </w:r>
      <w:r>
        <w:rPr>
          <w:b/>
        </w:rPr>
        <w:t xml:space="preserve">Pub date: </w:t>
      </w:r>
      <w:r>
        <w:t>2026-01-09 09:47:13+00:00</w:t>
      </w:r>
      <w:r>
        <w:t xml:space="preserve">    </w:t>
      </w:r>
      <w:r>
        <w:rPr>
          <w:b/>
        </w:rPr>
        <w:t xml:space="preserve">DOI: </w:t>
      </w:r>
      <w:hyperlink r:id="rId957">
        <w:r>
          <w:rPr>
            <w:color w:val="1155CC"/>
            <w:u w:val="single"/>
          </w:rPr>
          <w:t>10.1002/anie.202522317</w:t>
        </w:r>
      </w:hyperlink>
    </w:p>
    <w:p>
      <w:pPr>
        <w:spacing w:before="0" w:after="120"/>
      </w:pPr>
      <w:r>
        <w:rPr>
          <w:b/>
        </w:rPr>
        <w:t xml:space="preserve">Notes: </w:t>
      </w:r>
      <w:r>
        <w:t>abstract_source=crossref</w:t>
      </w:r>
    </w:p>
    <w:p>
      <w:pPr>
        <w:spacing w:before="0" w:after="80" w:lineRule="auto" w:line="276"/>
      </w:pPr>
      <w:r>
        <w:rPr>
          <w:b/>
        </w:rPr>
        <w:t xml:space="preserve">摘要（ZH）: </w:t>
      </w:r>
      <w:r>
        <w:t>抽象的碳单原子催化剂(M-N-C)已成为效率最高的一些电催化剂,提供了高活度和选择性。 迄今为止,导生碳单原子的稳定几乎完全通过与氮原子的协调来实现。在这里,我们引入了铜单原子催化剂(Cu SACs),这在由四氢氧基子(THQ) 氯金属有机体(Cu) 衍生的稳定的氧碳网络中由氧的唯一协调。通过在600°C条件下与MgCl 2 /6H 2 O的热凝聚,我们实现了含氧碳素材料(30 wt% O)的稳定化(30 wt% O),其中含有高度分散的库原子。先进的电子显微镜,光谱。</w:t>
      </w:r>
    </w:p>
    <w:p>
      <w:pPr>
        <w:spacing w:before="0" w:after="200" w:lineRule="auto" w:line="276"/>
      </w:pPr>
      <w:r>
        <w:rPr>
          <w:b/>
        </w:rPr>
        <w:t xml:space="preserve">Abstract (EN): </w:t>
      </w:r>
      <w:r>
        <w:t>N‐doped carbon single‐atom catalysts (M–N–C) have emerged as some of the most efficient electrocatalysts, offering both high activity and selectivity. To date, stabilization of single atoms on conductive carbon has been achieved almost exclusively through coordination with nitrogen atoms. Here, we introduce copper single‐atom catalysts (Cu SACs) uniquely coordinated by oxygen within a stable oxocarbon network derived from tetrahydroxyquinone (THQ)‐Cu metal‐organic frameworks. By thermal condensation with MgCl</w:t>
      </w:r>
      <w:r>
        <w:rPr>
          <w:vertAlign w:val="subscript"/>
        </w:rPr>
        <w:t>2</w:t>
      </w:r>
      <w:r>
        <w:t>·6H</w:t>
      </w:r>
      <w:r>
        <w:rPr>
          <w:vertAlign w:val="subscript"/>
        </w:rPr>
        <w:t>2</w:t>
      </w:r>
      <w:r>
        <w:t>O at 600 °C, we achieve an oxygen‐rich carbonaceous material (30 wt% O) hosting highly dispersed Cu atoms. Advanced electron microscopic, spectroscopic, and scattering techniques, including high‐resolution scanning transmission electron microscopy (HR‐STEM), X‐ray absorption spectroscopy (XAS), pair distribution functions (PDF), and electron energy loss spectroscopy (EELS), provide definitive experimental evidence of predominant Cu–O coordination, distinguishing these catalysts (M–O–C) from conventional nitrogen‐coordinated SACs. The resulting Cu–O–C catalyst exhibits high selectivity (85% Faradaic efficiency) for electrochemical glycerol oxidation into formic acid under alkaline conditions, outperforming traditional Cu‐based systems. In comparison with traditional Cu–N–C system, Cu–O–C shows faster reactions kinetic, arising from unique Lewis basicity of oxygen coordination, facilitating electron‐proton transfer reactions. This study not only pioneers Cu–O–C SACs but also introduces oxocarbons as promising supports, offering novel pathways for designing highly efficient single‐atom electrocatalysts.</w:t>
      </w:r>
    </w:p>
    <w:p>
      <w:pPr>
        <w:spacing w:before="120" w:after="120"/>
      </w:pPr>
      <w:r>
        <w:rPr>
          <w:sz w:val="18"/>
        </w:rPr>
        <w:t>——————————————————————————————————————————————————————————————————————</w:t>
      </w:r>
    </w:p>
    <w:p>
      <w:pPr>
        <w:spacing w:before="160" w:after="40" w:line="240" w:lineRule="auto"/>
      </w:pPr>
      <w:r>
        <w:rPr>
          <w:b/>
        </w:rPr>
        <w:t xml:space="preserve">[586] </w:t>
      </w:r>
      <w:hyperlink r:id="rId958">
        <w:r>
          <w:rPr>
            <w:color w:val="1155CC"/>
            <w:u w:val="single"/>
          </w:rPr>
          <w:t>全氟烷基磺酸盐的电化学降解</w:t>
        </w:r>
      </w:hyperlink>
    </w:p>
    <w:p>
      <w:pPr>
        <w:spacing w:before="0" w:after="80"/>
      </w:pPr>
      <w:r>
        <w:rPr>
          <w:i/>
          <w:sz w:val="20"/>
        </w:rPr>
        <w:t>EN: Electrochemical Degradation of Perfluoroalkyl Sulfonates via Sulfonate to Carboxylate Conversion</w:t>
      </w:r>
    </w:p>
    <w:p>
      <w:pPr>
        <w:spacing w:before="0" w:after="120"/>
      </w:pPr>
      <w:r>
        <w:rPr>
          <w:b/>
        </w:rPr>
        <w:t xml:space="preserve">Source: </w:t>
      </w:r>
      <w:r>
        <w:t>Wiley: Angewandte Chemie International Edition: Table of Contents</w:t>
      </w:r>
      <w:r>
        <w:t xml:space="preserve">    </w:t>
      </w:r>
      <w:r>
        <w:rPr>
          <w:b/>
        </w:rPr>
        <w:t xml:space="preserve">Pub date: </w:t>
      </w:r>
      <w:r>
        <w:t>2026-01-09 09:48:24+00:00</w:t>
      </w:r>
      <w:r>
        <w:t xml:space="preserve">    </w:t>
      </w:r>
      <w:r>
        <w:rPr>
          <w:b/>
        </w:rPr>
        <w:t xml:space="preserve">DOI: </w:t>
      </w:r>
      <w:hyperlink r:id="rId959">
        <w:r>
          <w:rPr>
            <w:color w:val="1155CC"/>
            <w:u w:val="single"/>
          </w:rPr>
          <w:t>10.1002/anie.202525896</w:t>
        </w:r>
      </w:hyperlink>
    </w:p>
    <w:p>
      <w:pPr>
        <w:spacing w:before="0" w:after="120"/>
      </w:pPr>
      <w:r>
        <w:rPr>
          <w:b/>
        </w:rPr>
        <w:t xml:space="preserve">Notes: </w:t>
      </w:r>
      <w:r>
        <w:t>abstract_source=crossref</w:t>
      </w:r>
    </w:p>
    <w:p>
      <w:pPr>
        <w:spacing w:before="0" w:after="80" w:lineRule="auto" w:line="276"/>
      </w:pPr>
      <w:r>
        <w:rPr>
          <w:b/>
        </w:rPr>
        <w:t xml:space="preserve">摘要（ZH）: </w:t>
      </w:r>
      <w:r>
        <w:t>对全氟烷基和多氟烷基物质(PFAS)而言,采用抽象高效、可缩放和非常理解的方法,对限制其对人类健康和环境的众多不利影响至关重要。电化学方法对全氟烷磺酸降解很有希望,但目前尚未充分开发,用于与全氟全氟烷磺酸降解有关的非水性条件下,用于全氟烷磺酸吸收剂再生,而无需使用专门的电极材料。我们在此报告,全氟烷基磺酸盐通过丙烯酸商用多电极将介介导电化学转换成碳箱酸。全氟辛烷磺酸(PFOS)主要通过拟议的极脱硫和氢氧化联结,与若干短链碳箱酸一起被转换为全氟辛烷磺酸(PFOA)。</w:t>
      </w:r>
    </w:p>
    <w:p>
      <w:pPr>
        <w:spacing w:before="0" w:after="200" w:lineRule="auto" w:line="276"/>
      </w:pPr>
      <w:r>
        <w:rPr>
          <w:b/>
        </w:rPr>
        <w:t xml:space="preserve">Abstract (EN): </w:t>
      </w:r>
      <w:r>
        <w:t>Efficient, scalable, and well‐understood methods for degrading per‐ and polyfluoroalkyl substances (PFAS) are essential for limiting their numerous negative human health and environmental effects. Electrochemical methods are promising for PFAS degradation but are currently not yet well developed for use in non‐aqueous conditions relevant for PFAS sorbent regeneration without resorting to specialized electrode materials. Herein, we report the mediated electrochemical conversion of perfluoroalkyl sulfonates to carboxylates using commercial Pt electrodes in acetonitrile. Perfluorooctane sulfonate (PFOS) was converted primarily to perfluorooctanoic acid (PFOA) alongside several shorter‐chain carboxylates through a proposed radical desulfonation and hydroxide coupling process explored in a detailed mechanistic study. Following the near‐complete conversion of PFOS to perfluoroalkyl carboxylates, all species are mineralized to fluoride and non‐fluorinated carbon byproducts using established low‐temperature DMSO/NaOH conditions. HPLC‐MS, ion chromatography, and quantitative nuclear magnetic resonance (NMR) methods determined a significant loss in fluorine and carbon balance after electrochemistry, which we attribute to the production of volatile byproducts. This degradation approach provides new insights into PFAS degradation mechanisms under highly oxidative, non‐aqueous conditions and highlights the potential for organic electrochemistry to address environmental challenges by promoting controlled and selective destruction pathways for common organic pollutants.</w:t>
      </w:r>
    </w:p>
    <w:p>
      <w:pPr>
        <w:spacing w:before="120" w:after="120"/>
      </w:pPr>
      <w:r>
        <w:rPr>
          <w:sz w:val="18"/>
        </w:rPr>
        <w:t>——————————————————————————————————————————————————————————————————————</w:t>
      </w:r>
    </w:p>
    <w:p>
      <w:pPr>
        <w:spacing w:before="160" w:after="40" w:line="240" w:lineRule="auto"/>
      </w:pPr>
      <w:r>
        <w:rPr>
          <w:b/>
        </w:rPr>
        <w:t xml:space="preserve">[587] </w:t>
      </w:r>
      <w:hyperlink r:id="rId960">
        <w:r>
          <w:rPr>
            <w:color w:val="1155CC"/>
            <w:u w:val="single"/>
          </w:rPr>
          <w:t>增强阿尔茨海默氏病的中央直肠肾上腺素消退</w:t>
        </w:r>
      </w:hyperlink>
    </w:p>
    <w:p>
      <w:pPr>
        <w:spacing w:before="0" w:after="80"/>
      </w:pPr>
      <w:r>
        <w:rPr>
          <w:i/>
          <w:sz w:val="20"/>
        </w:rPr>
        <w:t>EN: Synthetic Disaggregators Enhance Central‐Peripheral Amyloid‐β Clearance in Alzheimer's Disease</w:t>
      </w:r>
    </w:p>
    <w:p>
      <w:pPr>
        <w:spacing w:before="0" w:after="120"/>
      </w:pPr>
      <w:r>
        <w:rPr>
          <w:b/>
        </w:rPr>
        <w:t xml:space="preserve">Source: </w:t>
      </w:r>
      <w:r>
        <w:t>Wiley: Advanced Materials: Table of Contents</w:t>
      </w:r>
      <w:r>
        <w:t xml:space="preserve">    </w:t>
      </w:r>
      <w:r>
        <w:rPr>
          <w:b/>
        </w:rPr>
        <w:t xml:space="preserve">Pub date: </w:t>
      </w:r>
      <w:r>
        <w:t>2026-01-09 09:49:27+00:00</w:t>
      </w:r>
      <w:r>
        <w:t xml:space="preserve">    </w:t>
      </w:r>
      <w:r>
        <w:rPr>
          <w:b/>
        </w:rPr>
        <w:t xml:space="preserve">DOI: </w:t>
      </w:r>
      <w:hyperlink r:id="rId961">
        <w:r>
          <w:rPr>
            <w:color w:val="1155CC"/>
            <w:u w:val="single"/>
          </w:rPr>
          <w:t>10.1002/adma.202520002</w:t>
        </w:r>
      </w:hyperlink>
    </w:p>
    <w:p>
      <w:pPr>
        <w:spacing w:before="0" w:after="120"/>
      </w:pPr>
      <w:r>
        <w:rPr>
          <w:b/>
        </w:rPr>
        <w:t xml:space="preserve">Notes: </w:t>
      </w:r>
      <w:r>
        <w:t>abstract_source=crossref</w:t>
      </w:r>
    </w:p>
    <w:p>
      <w:pPr>
        <w:spacing w:before="0" w:after="80" w:lineRule="auto" w:line="276"/>
      </w:pPr>
      <w:r>
        <w:rPr>
          <w:b/>
        </w:rPr>
        <w:t xml:space="preserve">摘要（ZH）: </w:t>
      </w:r>
      <w:r>
        <w:t>ABSTACT 病原类氨基氨基氨基脂纳米粒子(DLNPs)的积累定义了阿尔茨海默氏病(AD),直接造成神经神经损伤,并导致慢性神经发炎。虽然中央微lia和外围大型巨子对于AET清除至关重要,但是它们在AET清除过程中的功能缺陷不可阻挡地导致AET负担和疾病增加。我们在此报告通过神经防护DHA基脂纳米粒子(DLNPs)向大型动物提供的现场工程合成Aβ分解器(SAD ) 。这个平台超越了目前的治疗限制,不仅通过强力拆解神经毒性Aβ总量,而且通过从根本上重新规划外围大型巨子以加强Aβ清除。具体地说,我们的成果表明DLNPs有效地重新规划外源。</w:t>
      </w:r>
    </w:p>
    <w:p>
      <w:pPr>
        <w:spacing w:before="0" w:after="200" w:lineRule="auto" w:line="276"/>
      </w:pPr>
      <w:r>
        <w:rPr>
          <w:b/>
        </w:rPr>
        <w:t xml:space="preserve">Abstract (EN): </w:t>
      </w:r>
      <w:r>
        <w:t>Pathogenic amyloid‐β (Aβ) accumulation defines Alzheimer's disease (AD), directly inflicting neuronal damage and driving chronic neuroinflammation. While both central microglia and peripheral macrophages are critical for Aβ clearance, their functional impairment in AD inexorably leads to escalating Aβ burden and disease progression. We here report an in situ engineered synthetic Aβ disaggregator (SAD) delivered to macrophages via neuroprotective DHA‐based lipid nanoparticles (DLNPs). This platform transcends current therapeutic limitations by not only potently dismantling neurotoxic Aβ aggregates but also by fundamentally reprogramming peripheral macrophages to enhance Aβ clearance. Specifically, our results demonstrate that DLNPs effectively reprogram peripheral macrophages to produce and secrete cerebral‐penetrating SAD both in vitro and in vivo. The SAD can promote cerebral Aβ disaggregation, thereby inhibiting neuroinflammatory pathology progression. Moreover, the DLNPs efficiently reprogram the peripheral macrophages to enhance phagocytosis, further facilitating drainage of Aβ and reducing cerebral Aβ accumulation in mouse models. Collectively, these findings uncover a dual‐action mechanism of SAD through the synergistic interplay of direct Aβ disaggregation and enhanced macrophage‐mediated clearance. In sum, our findings establish that the central‐peripheral targeting therapeutic strategy significantly reversed AD pathology, highlighting the therapeutic potential of mRNA‐based in situ fusion protein in AD treatment.</w:t>
      </w:r>
    </w:p>
    <w:p>
      <w:pPr>
        <w:spacing w:before="120" w:after="120"/>
      </w:pPr>
      <w:r>
        <w:rPr>
          <w:sz w:val="18"/>
        </w:rPr>
        <w:t>——————————————————————————————————————————————————————————————————————</w:t>
      </w:r>
    </w:p>
    <w:p>
      <w:pPr>
        <w:spacing w:before="160" w:after="40" w:line="240" w:lineRule="auto"/>
      </w:pPr>
      <w:r>
        <w:rPr>
          <w:b/>
        </w:rPr>
        <w:t xml:space="preserve">[588] </w:t>
      </w:r>
      <w:hyperlink r:id="rId962">
        <w:r>
          <w:rPr>
            <w:color w:val="1155CC"/>
            <w:u w:val="single"/>
          </w:rPr>
          <w:t>联合生产1,2二苯乙烷和来自甲苯的氢</w:t>
        </w:r>
      </w:hyperlink>
    </w:p>
    <w:p>
      <w:pPr>
        <w:spacing w:before="0" w:after="80"/>
      </w:pPr>
      <w:r>
        <w:rPr>
          <w:i/>
          <w:sz w:val="20"/>
        </w:rPr>
        <w:t>EN: Synergistic PtAg Dual‐Atom Sites Boost Photocatalytic Nonoxidative Methyl Activation for Coproduction of 1,2‐Diphenylethane and Hydrogen From Toluene</w:t>
      </w:r>
    </w:p>
    <w:p>
      <w:pPr>
        <w:spacing w:before="0" w:after="120"/>
      </w:pPr>
      <w:r>
        <w:rPr>
          <w:b/>
        </w:rPr>
        <w:t xml:space="preserve">Source: </w:t>
      </w:r>
      <w:r>
        <w:t>Wiley: Advanced Materials: Table of Contents</w:t>
      </w:r>
      <w:r>
        <w:t xml:space="preserve">    </w:t>
      </w:r>
      <w:r>
        <w:rPr>
          <w:b/>
        </w:rPr>
        <w:t xml:space="preserve">Pub date: </w:t>
      </w:r>
      <w:r>
        <w:t>2026-01-09 09:49:59+00:00</w:t>
      </w:r>
      <w:r>
        <w:t xml:space="preserve">    </w:t>
      </w:r>
      <w:r>
        <w:rPr>
          <w:b/>
        </w:rPr>
        <w:t xml:space="preserve">DOI: </w:t>
      </w:r>
      <w:hyperlink r:id="rId963">
        <w:r>
          <w:rPr>
            <w:color w:val="1155CC"/>
            <w:u w:val="single"/>
          </w:rPr>
          <w:t>10.1002/adma.202521903</w:t>
        </w:r>
      </w:hyperlink>
    </w:p>
    <w:p>
      <w:pPr>
        <w:spacing w:before="0" w:after="120"/>
      </w:pPr>
      <w:r>
        <w:rPr>
          <w:b/>
        </w:rPr>
        <w:t xml:space="preserve">Notes: </w:t>
      </w:r>
      <w:r>
        <w:t>abstract_source=crossref</w:t>
      </w:r>
    </w:p>
    <w:p>
      <w:pPr>
        <w:spacing w:before="0" w:after="80" w:lineRule="auto" w:line="276"/>
      </w:pPr>
      <w:r>
        <w:rPr>
          <w:b/>
        </w:rPr>
        <w:t xml:space="preserve">摘要（ZH）: </w:t>
      </w:r>
      <w:r>
        <w:t>ABSTACT 光电催化非氧化性甲基活化以及随后甲基群的C-C结合,为以100%原子经济和正狄丁基Gibbs免费能源共同生产增值多环芳烃和氢提供了一种具有吸引力的战略,但其应用仍然受到下述因素的限制:高度活跃的红氧化点有限,这些点能够同时促进高效脱氢氧化和减少质子。</w:t>
      </w:r>
    </w:p>
    <w:p>
      <w:pPr>
        <w:spacing w:before="0" w:after="200" w:lineRule="auto" w:line="276"/>
      </w:pPr>
      <w:r>
        <w:rPr>
          <w:b/>
        </w:rPr>
        <w:t xml:space="preserve">Abstract (EN): </w:t>
      </w:r>
      <w:r>
        <w:t>Photocatalytic nonoxidative methyl activation and subsequent C─C coupling in the methyl group of arenes offer an attractive strategy for the coproduction of value‐added polycyclic aromatics and hydrogen with 100% atom economy and positive delta Gibbs free energy. However, its application remains constrained by the limited availability of highly active redox sites capable of simultaneously facilitating efficient dehydrogenation oxidation and proton reduction. Herein, a platinum‐silver dual‐atom catalyst (PtAg DAC) anchored on CdS is designed to enable a water‐assisted photocatalytic nonoxidative conversion of toluene to 1,2‐diphenylethane with hydrogen evolution. In situ infrared, ESR, and DFT analyses unveil an atomic‐scale synergy within the PtAg–S</w:t>
      </w:r>
      <w:r>
        <w:t xml:space="preserve"> </w:t>
      </w:r>
      <w:r>
        <w:t>bridge</w:t>
      </w:r>
      <w:r>
        <w:t xml:space="preserve"> </w:t>
      </w:r>
      <w:r>
        <w:t>unit that facilitates C(</w:t>
      </w:r>
      <w:r>
        <w:t xml:space="preserve"> </w:t>
      </w:r>
      <w:r>
        <w:t>sp</w:t>
      </w:r>
      <w:r>
        <w:rPr>
          <w:vertAlign w:val="subscript"/>
        </w:rPr>
        <w:t>3</w:t>
      </w:r>
      <w:r>
        <w:t>)–H cleavage of methyl and formation of key C</w:t>
      </w:r>
      <w:r>
        <w:rPr>
          <w:vertAlign w:val="subscript"/>
        </w:rPr>
        <w:t>7</w:t>
      </w:r>
      <w:r>
        <w:t>H</w:t>
      </w:r>
      <w:r>
        <w:rPr>
          <w:vertAlign w:val="subscript"/>
        </w:rPr>
        <w:t>7</w:t>
      </w:r>
      <w:r>
        <w:t>· radical via a water‐assisted pathway, lowering the overall energy barrier from 3.02 to 1.31 eV. Consequently, the PtAg DAC yields 1,2‐diphenylethane at 32.8 µmol g</w:t>
      </w:r>
      <w:r>
        <w:t xml:space="preserve"> </w:t>
      </w:r>
      <w:r>
        <w:t>−1</w:t>
      </w:r>
      <w:r>
        <w:t xml:space="preserve"> </w:t>
      </w:r>
      <w:r>
        <w:t>h</w:t>
      </w:r>
      <w:r>
        <w:t xml:space="preserve"> </w:t>
      </w:r>
      <w:r>
        <w:t>−1</w:t>
      </w:r>
      <w:r>
        <w:t xml:space="preserve"> </w:t>
      </w:r>
      <w:r>
        <w:t>with 77.35% selectivity, outperforming monometallic counterparts by up to 3.1‐fold. Simultaneously, a hydrogen evolution rate of 89.8 µmol g</w:t>
      </w:r>
      <w:r>
        <w:t xml:space="preserve"> </w:t>
      </w:r>
      <w:r>
        <w:t>−1</w:t>
      </w:r>
      <w:r>
        <w:t xml:space="preserve"> </w:t>
      </w:r>
      <w:r>
        <w:t>h</w:t>
      </w:r>
      <w:r>
        <w:t xml:space="preserve"> </w:t>
      </w:r>
      <w:r>
        <w:t>−1</w:t>
      </w:r>
      <w:r>
        <w:t xml:space="preserve"> </w:t>
      </w:r>
      <w:r>
        <w:t>was achieved over PtAg DAC, which was 2.1‐ and 6.5‐fold higher than Pt and Ag single‐atom catalysts, respectively, resulting in a solar‐to‐chemical energy conversion due to positive</w:t>
      </w:r>
      <w:r>
        <w:t xml:space="preserve"> </w:t>
      </w:r>
      <w:r>
        <w:t>ΔG</w:t>
      </w:r>
      <w:r>
        <w:t xml:space="preserve"> </w:t>
      </w:r>
      <w:r>
        <w:t>.</w:t>
      </w:r>
    </w:p>
    <w:p>
      <w:pPr>
        <w:spacing w:before="120" w:after="120"/>
      </w:pPr>
      <w:r>
        <w:rPr>
          <w:sz w:val="18"/>
        </w:rPr>
        <w:t>——————————————————————————————————————————————————————————————————————</w:t>
      </w:r>
    </w:p>
    <w:p>
      <w:pPr>
        <w:spacing w:before="160" w:after="40" w:line="240" w:lineRule="auto"/>
      </w:pPr>
      <w:r>
        <w:rPr>
          <w:b/>
        </w:rPr>
        <w:t xml:space="preserve">[589] </w:t>
      </w:r>
      <w:hyperlink r:id="rId964">
        <w:r>
          <w:rPr>
            <w:color w:val="1155CC"/>
            <w:u w:val="single"/>
          </w:rPr>
          <w:t>通过电催化-土壤化从安培层当前密度的废水中产生层层废水的岩层层,对黑CWO4 的Black CoWO4 进行Paired-Cell Ammonia</w:t>
        </w:r>
      </w:hyperlink>
    </w:p>
    <w:p>
      <w:pPr>
        <w:spacing w:before="0" w:after="80"/>
      </w:pPr>
      <w:r>
        <w:rPr>
          <w:i/>
          <w:sz w:val="20"/>
        </w:rPr>
        <w:t>EN: Paired‐Cell Ammonia over Black CoWO4 via Electrocatalysis–Acidification Cascade from Wastewater at Ampere‐Level Current Density</w:t>
      </w:r>
    </w:p>
    <w:p>
      <w:pPr>
        <w:spacing w:before="0" w:after="120"/>
      </w:pPr>
      <w:r>
        <w:rPr>
          <w:b/>
        </w:rPr>
        <w:t xml:space="preserve">Source: </w:t>
      </w:r>
      <w:r>
        <w:t>Wiley: Angewandte Chemie International Edition: Table of Contents</w:t>
      </w:r>
      <w:r>
        <w:t xml:space="preserve">    </w:t>
      </w:r>
      <w:r>
        <w:rPr>
          <w:b/>
        </w:rPr>
        <w:t xml:space="preserve">Pub date: </w:t>
      </w:r>
      <w:r>
        <w:t>2026-01-09 09:51:18+00:00</w:t>
      </w:r>
      <w:r>
        <w:t xml:space="preserve">    </w:t>
      </w:r>
      <w:r>
        <w:rPr>
          <w:b/>
        </w:rPr>
        <w:t xml:space="preserve">DOI: </w:t>
      </w:r>
      <w:hyperlink r:id="rId965">
        <w:r>
          <w:rPr>
            <w:color w:val="1155CC"/>
            <w:u w:val="single"/>
          </w:rPr>
          <w:t>10.1002/anie.202525457</w:t>
        </w:r>
      </w:hyperlink>
    </w:p>
    <w:p>
      <w:pPr>
        <w:spacing w:before="0" w:after="120"/>
      </w:pPr>
      <w:r>
        <w:rPr>
          <w:b/>
        </w:rPr>
        <w:t xml:space="preserve">Notes: </w:t>
      </w:r>
      <w:r>
        <w:t>abstract_source=crossref</w:t>
      </w:r>
    </w:p>
    <w:p>
      <w:pPr>
        <w:spacing w:before="0" w:after="80" w:lineRule="auto" w:line="276"/>
      </w:pPr>
      <w:r>
        <w:rPr>
          <w:b/>
        </w:rPr>
        <w:t xml:space="preserve">摘要（ZH）: </w:t>
      </w:r>
      <w:r>
        <w:t>氨(NO 3 RR)的抽象化学硝酸减少为能量密集的Haber-Bosch过程提供了一个可持续的替代品。然而,由于阳极氧进化反应乏力和需要氧进化反应,其实际实施受到限制。 由此,我们报告了一个战略设计的配对电解系统,将NO 3 RR与尿氧化反应(UOR)结合,随后是化学酸化,以便利用含有丰富氧气的黑色COWO 4(BéCoWO 4)建立双极氨生产的经济路线。</w:t>
      </w:r>
    </w:p>
    <w:p>
      <w:pPr>
        <w:spacing w:before="0" w:after="200" w:lineRule="auto" w:line="276"/>
      </w:pPr>
      <w:r>
        <w:rPr>
          <w:b/>
        </w:rPr>
        <w:t xml:space="preserve">Abstract (EN): </w:t>
      </w:r>
      <w:r>
        <w:t>Electrochemical nitrate reduction to ammonia (NO</w:t>
      </w:r>
      <w:r>
        <w:rPr>
          <w:vertAlign w:val="subscript"/>
        </w:rPr>
        <w:t>3</w:t>
      </w:r>
      <w:r>
        <w:t>RR) offers a sustainable alternative to the energy‐intensive Haber–Bosch process. However, its practical implementation is limited by the sluggish and energy‐demanding oxygen evolution reaction at the anode. Herein, we report a strategically designed paired‐electrolysis system coupling NO</w:t>
      </w:r>
      <w:r>
        <w:rPr>
          <w:vertAlign w:val="subscript"/>
        </w:rPr>
        <w:t>3</w:t>
      </w:r>
      <w:r>
        <w:t>RR with the urea oxidation reaction (UOR), followed by chemical acidification, to establish an economical route of bipolar ammonia (NH</w:t>
      </w:r>
      <w:r>
        <w:rPr>
          <w:vertAlign w:val="subscript"/>
        </w:rPr>
        <w:t>3</w:t>
      </w:r>
      <w:r>
        <w:t>) production, using a black CoWO</w:t>
      </w:r>
      <w:r>
        <w:rPr>
          <w:vertAlign w:val="subscript"/>
        </w:rPr>
        <w:t>4</w:t>
      </w:r>
      <w:r>
        <w:t>(B‐CoWO</w:t>
      </w:r>
      <w:r>
        <w:rPr>
          <w:vertAlign w:val="subscript"/>
        </w:rPr>
        <w:t>4</w:t>
      </w:r>
      <w:r>
        <w:t>) with abundant oxygen vacancies (OVs) as the electrocatalyst. B‐CoWO</w:t>
      </w:r>
      <w:r>
        <w:rPr>
          <w:vertAlign w:val="subscript"/>
        </w:rPr>
        <w:t>4</w:t>
      </w:r>
      <w:r>
        <w:t>shows a record‐breaking performance with a current density of ∼1.25 A cm</w:t>
      </w:r>
      <w:r>
        <w:t xml:space="preserve"> </w:t>
      </w:r>
      <w:r>
        <w:t>−2</w:t>
      </w:r>
      <w:r>
        <w:t xml:space="preserve"> </w:t>
      </w:r>
      <w:r>
        <w:t>at an ultra‐low potential of 0 V versus reversible hydrogen electrode. Combined spectroscopic and electrochemical analyses reveal a “fill‐restore” cycle of OVs during NO</w:t>
      </w:r>
      <w:r>
        <w:rPr>
          <w:vertAlign w:val="subscript"/>
        </w:rPr>
        <w:t>3</w:t>
      </w:r>
      <w:r>
        <w:t>RR: oxygen from NO</w:t>
      </w:r>
      <w:r>
        <w:rPr>
          <w:vertAlign w:val="subscript"/>
        </w:rPr>
        <w:t>3</w:t>
      </w:r>
      <w:r>
        <w:t>−</w:t>
      </w:r>
      <w:r>
        <w:t>incorporates into the OVs, which are subsequently restored after the formation of NH</w:t>
      </w:r>
      <w:r>
        <w:rPr>
          <w:vertAlign w:val="subscript"/>
        </w:rPr>
        <w:t>3</w:t>
      </w:r>
      <w:r>
        <w:t>. Theoretical calculations demonstrate that the OVs modify the electronic structure of the catalyst and facilitate the formation of key intermediate (NO</w:t>
      </w:r>
      <w:r>
        <w:rPr>
          <w:vertAlign w:val="subscript"/>
        </w:rPr>
        <w:t>3</w:t>
      </w:r>
      <w:r>
        <w:t>H*). Importantly, in the coupled NO</w:t>
      </w:r>
      <w:r>
        <w:rPr>
          <w:vertAlign w:val="subscript"/>
        </w:rPr>
        <w:t>3</w:t>
      </w:r>
      <w:r>
        <w:t>RR||UOR flow‐cell system, B‐CoWO</w:t>
      </w:r>
      <w:r>
        <w:rPr>
          <w:vertAlign w:val="subscript"/>
        </w:rPr>
        <w:t>4</w:t>
      </w:r>
      <w:r>
        <w:t>delivers an apparent bipolar NH</w:t>
      </w:r>
      <w:r>
        <w:rPr>
          <w:vertAlign w:val="subscript"/>
        </w:rPr>
        <w:t>3</w:t>
      </w:r>
      <w:r>
        <w:t>Faradaic efficiency of 173.12% and a production rate of 9.43 mmol h</w:t>
      </w:r>
      <w:r>
        <w:t xml:space="preserve"> </w:t>
      </w:r>
      <w:r>
        <w:t>−1</w:t>
      </w:r>
      <w:r>
        <w:t xml:space="preserve"> </w:t>
      </w:r>
      <w:r>
        <w:t>cm</w:t>
      </w:r>
      <w:r>
        <w:t xml:space="preserve"> </w:t>
      </w:r>
      <w:r>
        <w:t>−2</w:t>
      </w:r>
      <w:r>
        <w:t xml:space="preserve"> </w:t>
      </w:r>
      <w:r>
        <w:t>. This integrated strategy boosts overall energy efficiency and enables simultaneous valorization of nitrate‐contaminated water and urea‐rich wastewater streams.</w:t>
      </w:r>
    </w:p>
    <w:p>
      <w:pPr>
        <w:spacing w:before="120" w:after="120"/>
      </w:pPr>
      <w:r>
        <w:rPr>
          <w:sz w:val="18"/>
        </w:rPr>
        <w:t>——————————————————————————————————————————————————————————————————————</w:t>
      </w:r>
    </w:p>
    <w:p>
      <w:pPr>
        <w:spacing w:before="160" w:after="40" w:line="240" w:lineRule="auto"/>
      </w:pPr>
      <w:r>
        <w:rPr>
          <w:b/>
        </w:rPr>
        <w:t xml:space="preserve">[590] </w:t>
      </w:r>
      <w:hyperlink r:id="rId966">
        <w:r>
          <w:rPr>
            <w:color w:val="1155CC"/>
            <w:u w:val="single"/>
          </w:rPr>
          <w:t>CdCl2 近空空间升空使经认证的 8.08 有效Sb2S3太阳能电池的 CdS 统一薄膜能够使用 CdS 胶片</w:t>
        </w:r>
      </w:hyperlink>
    </w:p>
    <w:p>
      <w:pPr>
        <w:spacing w:before="0" w:after="80"/>
      </w:pPr>
      <w:r>
        <w:rPr>
          <w:i/>
          <w:sz w:val="20"/>
        </w:rPr>
        <w:t>EN: Close‐Spaced Sublimation of CdCl2 Enables Uniform CdS Thin Films for Certified 8.08%‐Efficient Sb2S3 Solar Cells</w:t>
      </w:r>
    </w:p>
    <w:p>
      <w:pPr>
        <w:spacing w:before="0" w:after="120"/>
      </w:pPr>
      <w:r>
        <w:rPr>
          <w:b/>
        </w:rPr>
        <w:t xml:space="preserve">Source: </w:t>
      </w:r>
      <w:r>
        <w:t>Wiley: Advanced Materials: Table of Contents</w:t>
      </w:r>
      <w:r>
        <w:t xml:space="preserve">    </w:t>
      </w:r>
      <w:r>
        <w:rPr>
          <w:b/>
        </w:rPr>
        <w:t xml:space="preserve">Pub date: </w:t>
      </w:r>
      <w:r>
        <w:t>2026-01-09 09:51:20+00:00</w:t>
      </w:r>
      <w:r>
        <w:t xml:space="preserve">    </w:t>
      </w:r>
      <w:r>
        <w:rPr>
          <w:b/>
        </w:rPr>
        <w:t xml:space="preserve">DOI: </w:t>
      </w:r>
      <w:hyperlink r:id="rId967">
        <w:r>
          <w:rPr>
            <w:color w:val="1155CC"/>
            <w:u w:val="single"/>
          </w:rPr>
          <w:t>10.1002/adma.202520937</w:t>
        </w:r>
      </w:hyperlink>
    </w:p>
    <w:p>
      <w:pPr>
        <w:spacing w:before="0" w:after="120"/>
      </w:pPr>
      <w:r>
        <w:rPr>
          <w:b/>
        </w:rPr>
        <w:t xml:space="preserve">Notes: </w:t>
      </w:r>
      <w:r>
        <w:t>abstract_source=crossref</w:t>
      </w:r>
    </w:p>
    <w:p>
      <w:pPr>
        <w:spacing w:before="0" w:after="80" w:lineRule="auto" w:line="276"/>
      </w:pPr>
      <w:r>
        <w:rPr>
          <w:b/>
        </w:rPr>
        <w:t xml:space="preserve">摘要（ZH）: </w:t>
      </w:r>
      <w:r>
        <w:t>CdCl 2 处理作为增强CdS薄薄膜晶体和电气性能的变革性协议,代表了高效率CdTe和Sb 2 (S,Se) 3 太阳能电池开发方面的基础进步,然而,常规的脊柱化方法导致CdCl 2 在CdS 薄膜表面的不相容沉降,导致在肛门期间,CdS (固体)-CdCl 2 (固体) 和CdS (固体)-CdCl 2 (蒸气) 反应模式大相径庭。</w:t>
      </w:r>
    </w:p>
    <w:p>
      <w:pPr>
        <w:spacing w:before="0" w:after="200" w:lineRule="auto" w:line="276"/>
      </w:pPr>
      <w:r>
        <w:rPr>
          <w:b/>
        </w:rPr>
        <w:t xml:space="preserve">Abstract (EN): </w:t>
      </w:r>
      <w:r>
        <w:t>CdCl</w:t>
      </w:r>
      <w:r>
        <w:rPr>
          <w:vertAlign w:val="subscript"/>
        </w:rPr>
        <w:t>2</w:t>
      </w:r>
      <w:r>
        <w:t>treatment has emerged as a transformative protocol for augmenting the crystallinity and electrical performance of CdS thin films, representing a foundational advancement in the development of high‐efficiency CdTe and Sb</w:t>
      </w:r>
      <w:r>
        <w:rPr>
          <w:vertAlign w:val="subscript"/>
        </w:rPr>
        <w:t>2</w:t>
      </w:r>
      <w:r>
        <w:t>(S,Se)</w:t>
      </w:r>
      <w:r>
        <w:rPr>
          <w:vertAlign w:val="subscript"/>
        </w:rPr>
        <w:t>3</w:t>
      </w:r>
      <w:r>
        <w:t>solar cells. However, the conventional spin‐coating method causes inhomogeneous deposition of CdCl</w:t>
      </w:r>
      <w:r>
        <w:rPr>
          <w:vertAlign w:val="subscript"/>
        </w:rPr>
        <w:t>2</w:t>
      </w:r>
      <w:r>
        <w:t>on the surface of CdS films, resulting in vastly different CdS(solid)–CdCl</w:t>
      </w:r>
      <w:r>
        <w:rPr>
          <w:vertAlign w:val="subscript"/>
        </w:rPr>
        <w:t>2</w:t>
      </w:r>
      <w:r>
        <w:t>(solid) and CdS(solid)–CdCl</w:t>
      </w:r>
      <w:r>
        <w:rPr>
          <w:vertAlign w:val="subscript"/>
        </w:rPr>
        <w:t>2</w:t>
      </w:r>
      <w:r>
        <w:t>(vapor) reaction modes during annealing. This process activates pinhole or crack formation and causes grain inhomogeneity due to the CdS(solid)–CdCl</w:t>
      </w:r>
      <w:r>
        <w:rPr>
          <w:vertAlign w:val="subscript"/>
        </w:rPr>
        <w:t>2</w:t>
      </w:r>
      <w:r>
        <w:t>(solid) faster reaction rate, deleteriously impacting the device performance through compromised carrier extraction and enhanced interfacial recombination. This study introduces a close‐spaced sublimation (CSS) approach for uniform CdCl</w:t>
      </w:r>
      <w:r>
        <w:rPr>
          <w:vertAlign w:val="subscript"/>
        </w:rPr>
        <w:t>2</w:t>
      </w:r>
      <w:r>
        <w:t>vapor treatment of CdS films. This methodology disrupts the inhomogeneous growth paradigm, enabling the conformal deposition of ultrathin CdS layers (∼20 nm) on FTO/TiO</w:t>
      </w:r>
      <w:r>
        <w:rPr>
          <w:vertAlign w:val="subscript"/>
        </w:rPr>
        <w:t>2</w:t>
      </w:r>
      <w:r>
        <w:t>substrates. The optimized CdS thin films demonstrated enhanced charge extraction efficiency and suppressed interfacial recombination—evidence of improved carrier transport kinetics. Under AM 1.5G illumination, the best Sb</w:t>
      </w:r>
      <w:r>
        <w:rPr>
          <w:vertAlign w:val="subscript"/>
        </w:rPr>
        <w:t>2</w:t>
      </w:r>
      <w:r>
        <w:t>S</w:t>
      </w:r>
      <w:r>
        <w:rPr>
          <w:vertAlign w:val="subscript"/>
        </w:rPr>
        <w:t>3</w:t>
      </w:r>
      <w:r>
        <w:t>solar cell fabricated through this strategy delivered a record power conversion efficiency of 8.30% (certified 8.08%). The CSS technique, which enables controlled homogeneous crystallization, establishes a paradigm for realizing high‐quality CdS films and is an essential breakthrough for high‐efficiency Sb</w:t>
      </w:r>
      <w:r>
        <w:rPr>
          <w:vertAlign w:val="subscript"/>
        </w:rPr>
        <w:t>2</w:t>
      </w:r>
      <w:r>
        <w:t>(S,Se)</w:t>
      </w:r>
      <w:r>
        <w:rPr>
          <w:vertAlign w:val="subscript"/>
        </w:rPr>
        <w:t>3</w:t>
      </w:r>
      <w:r>
        <w:t>and CdTe photovoltaic devices.</w:t>
      </w:r>
    </w:p>
    <w:p>
      <w:pPr>
        <w:spacing w:before="120" w:after="120"/>
      </w:pPr>
      <w:r>
        <w:rPr>
          <w:sz w:val="18"/>
        </w:rPr>
        <w:t>——————————————————————————————————————————————————————————————————————</w:t>
      </w:r>
    </w:p>
    <w:p>
      <w:pPr>
        <w:spacing w:before="160" w:after="40" w:line="240" w:lineRule="auto"/>
      </w:pPr>
      <w:r>
        <w:rPr>
          <w:b/>
        </w:rPr>
        <w:t xml:space="preserve">[591] </w:t>
      </w:r>
      <w:hyperlink r:id="rId968">
        <w:r>
          <w:rPr>
            <w:color w:val="1155CC"/>
            <w:u w:val="single"/>
          </w:rPr>
          <w:t>MRNA和SiRNA抗冻性肝癌的抗冻性热性可溶性最佳利皮纳米粒子</w:t>
        </w:r>
      </w:hyperlink>
    </w:p>
    <w:p>
      <w:pPr>
        <w:spacing w:before="0" w:after="80"/>
      </w:pPr>
      <w:r>
        <w:rPr>
          <w:i/>
          <w:sz w:val="20"/>
        </w:rPr>
        <w:t>EN: Optimized Lipid Nanoparticles for Co‐Delivery of mRNA and siRNA Therapeutics in Refractory Liver Cancer</w:t>
      </w:r>
    </w:p>
    <w:p>
      <w:pPr>
        <w:spacing w:before="0" w:after="120"/>
      </w:pPr>
      <w:r>
        <w:rPr>
          <w:b/>
        </w:rPr>
        <w:t xml:space="preserve">Source: </w:t>
      </w:r>
      <w:r>
        <w:t>Wiley: Advanced Materials: Table of Contents</w:t>
      </w:r>
      <w:r>
        <w:t xml:space="preserve">    </w:t>
      </w:r>
      <w:r>
        <w:rPr>
          <w:b/>
        </w:rPr>
        <w:t xml:space="preserve">Pub date: </w:t>
      </w:r>
      <w:r>
        <w:t>2026-01-09 09:51:55+00:00</w:t>
      </w:r>
      <w:r>
        <w:t xml:space="preserve">    </w:t>
      </w:r>
      <w:r>
        <w:rPr>
          <w:b/>
        </w:rPr>
        <w:t xml:space="preserve">DOI: </w:t>
      </w:r>
      <w:hyperlink r:id="rId969">
        <w:r>
          <w:rPr>
            <w:color w:val="1155CC"/>
            <w:u w:val="single"/>
          </w:rPr>
          <w:t>10.1002/adma.202519473</w:t>
        </w:r>
      </w:hyperlink>
    </w:p>
    <w:p>
      <w:pPr>
        <w:spacing w:before="0" w:after="120"/>
      </w:pPr>
      <w:r>
        <w:rPr>
          <w:b/>
        </w:rPr>
        <w:t xml:space="preserve">Notes: </w:t>
      </w:r>
      <w:r>
        <w:t>abstract_source=crossref</w:t>
      </w:r>
    </w:p>
    <w:p>
      <w:pPr>
        <w:spacing w:before="0" w:after="80" w:lineRule="auto" w:line="276"/>
      </w:pPr>
      <w:r>
        <w:rPr>
          <w:b/>
        </w:rPr>
        <w:t xml:space="preserve">摘要（ZH）: </w:t>
      </w:r>
      <w:r>
        <w:t>Hepato细胞癌(HCC)的预测和快速抗药性不强,特别是在p53损失和Nrf2超活化方面。 在这里,我们采用了机器学习(ML)辅助结构-活动关系(SAR)分析来指导120个可降解的可变离子脂(SAR)图书馆的工程设计,从而得以合理设计优化用于组合式RNA交付的氟芳烃脂纳米粒子(LNPs ) 。 MLI基于特性的进口分析优先 — — CF 3芳烃尾巴和分子动态模拟证实这些尾巴加强了RNA的约束性和纳米粒子稳定性。</w:t>
      </w:r>
    </w:p>
    <w:p>
      <w:pPr>
        <w:spacing w:before="0" w:after="200" w:lineRule="auto" w:line="276"/>
      </w:pPr>
      <w:r>
        <w:rPr>
          <w:b/>
        </w:rPr>
        <w:t xml:space="preserve">Abstract (EN): </w:t>
      </w:r>
      <w:r>
        <w:t>Hepatocellular carcinoma (HCC) exhibits poor prognosis and rapid resistance to sorafenib, particularly involving p53 loss and Nrf2 hyperactivation. Here, we employ machine learning (ML)‐assisted structure–activity relationship (SAR) analysis to guide the engineering of a library of 120 degradable ionizable lipids, enabling the rational design of fluorinated aromatic lipid nanoparticles (LNPs) optimized for combinatorial RNA delivery. ML‐based feature‐importance analysis prioritizes –CF</w:t>
      </w:r>
      <w:r>
        <w:rPr>
          <w:vertAlign w:val="subscript"/>
        </w:rPr>
        <w:t>3</w:t>
      </w:r>
      <w:r>
        <w:t>aromatic tails, and molecular dynamics simulations confirm that these tails enhance RNA binding and nanoparticle stability. The resulting A</w:t>
      </w:r>
      <w:r>
        <w:rPr>
          <w:vertAlign w:val="subscript"/>
        </w:rPr>
        <w:t>2</w:t>
      </w:r>
      <w:r>
        <w:t>T</w:t>
      </w:r>
      <w:r>
        <w:rPr>
          <w:vertAlign w:val="subscript"/>
        </w:rPr>
        <w:t>5</w:t>
      </w:r>
      <w:r>
        <w:t>‐s LNPs, functionalized with lactobionic acid for selective HCC targeting, enable efficient co‐delivery of p53 mRNA and Nrf2 siRNA. This strategy restores ferroptosis and induces apoptosis in sorafenib‐resistant HCC by suppressing SLC7A11, leading to marked tumor inhibition. Our study demonstrates an ML‐assisted LNP optimization strategy, advancing precision RNA therapeutics to overcome resistance in refractory liver cancer.</w:t>
      </w:r>
    </w:p>
    <w:p>
      <w:pPr>
        <w:spacing w:before="120" w:after="120"/>
      </w:pPr>
      <w:r>
        <w:rPr>
          <w:sz w:val="18"/>
        </w:rPr>
        <w:t>——————————————————————————————————————————————————————————————————————</w:t>
      </w:r>
    </w:p>
    <w:p>
      <w:pPr>
        <w:spacing w:before="160" w:after="40" w:line="240" w:lineRule="auto"/>
      </w:pPr>
      <w:r>
        <w:rPr>
          <w:b/>
        </w:rPr>
        <w:t xml:space="preserve">[592] </w:t>
      </w:r>
      <w:hyperlink r:id="rId970">
        <w:r>
          <w:rPr>
            <w:color w:val="1155CC"/>
            <w:u w:val="single"/>
          </w:rPr>
          <w:t>推进水面氢化网络促进氢转移动力学,促进高效光电催化分析乙烷半氢化</w:t>
        </w:r>
      </w:hyperlink>
    </w:p>
    <w:p>
      <w:pPr>
        <w:spacing w:before="0" w:after="80"/>
      </w:pPr>
      <w:r>
        <w:rPr>
          <w:i/>
          <w:sz w:val="20"/>
        </w:rPr>
        <w:t>EN: Surface Hydroxyl Network Promoted Hydrogen Transfer Dynamics for Efficient Photocatalytic Acetylene Semi‐Hydrogenation</w:t>
      </w:r>
    </w:p>
    <w:p>
      <w:pPr>
        <w:spacing w:before="0" w:after="120"/>
      </w:pPr>
      <w:r>
        <w:rPr>
          <w:b/>
        </w:rPr>
        <w:t xml:space="preserve">Source: </w:t>
      </w:r>
      <w:r>
        <w:t>Wiley: Angewandte Chemie International Edition: Table of Contents</w:t>
      </w:r>
      <w:r>
        <w:t xml:space="preserve">    </w:t>
      </w:r>
      <w:r>
        <w:rPr>
          <w:b/>
        </w:rPr>
        <w:t xml:space="preserve">Pub date: </w:t>
      </w:r>
      <w:r>
        <w:t>2026-01-09 09:53:02+00:00</w:t>
      </w:r>
      <w:r>
        <w:t xml:space="preserve">    </w:t>
      </w:r>
      <w:r>
        <w:rPr>
          <w:b/>
        </w:rPr>
        <w:t xml:space="preserve">DOI: </w:t>
      </w:r>
      <w:hyperlink r:id="rId971">
        <w:r>
          <w:rPr>
            <w:color w:val="1155CC"/>
            <w:u w:val="single"/>
          </w:rPr>
          <w:t>10.1002/anie.202524752</w:t>
        </w:r>
      </w:hyperlink>
    </w:p>
    <w:p>
      <w:pPr>
        <w:spacing w:before="0" w:after="120"/>
      </w:pPr>
      <w:r>
        <w:rPr>
          <w:b/>
        </w:rPr>
        <w:t xml:space="preserve">Notes: </w:t>
      </w:r>
      <w:r>
        <w:t>abstract_source=crossref</w:t>
      </w:r>
    </w:p>
    <w:p>
      <w:pPr>
        <w:spacing w:before="0" w:after="80" w:lineRule="auto" w:line="276"/>
      </w:pPr>
      <w:r>
        <w:rPr>
          <w:b/>
        </w:rPr>
        <w:t xml:space="preserve">摘要（ZH）: </w:t>
      </w:r>
      <w:r>
        <w:t>乙炔(C 2 H 2 )至乙烯(C 2 H 4 )的光电催化半氢化(C 2 H 2 )的抽象光电催化半氢化半氢化(C 2 H 2 )由于活性氢种的生成和定向转移效率低而严重受到限制,我们在此报告,通过建立氢氧改碳硝化碳(C 3 N 4 QOH)/Ni(OH) 2复合氢化的氢化网络(C 3 N 4 QOH)/Ni(OH),为光催化乙炔半氢化建立了一个质聚电子转移机制,不仅加强了光源电荷。</w:t>
      </w:r>
    </w:p>
    <w:p>
      <w:pPr>
        <w:spacing w:before="0" w:after="200" w:lineRule="auto" w:line="276"/>
      </w:pPr>
      <w:r>
        <w:rPr>
          <w:b/>
        </w:rPr>
        <w:t xml:space="preserve">Abstract (EN): </w:t>
      </w:r>
      <w:r>
        <w:t>Photocatalytic semi‐hydrogenation of acetylene (C</w:t>
      </w:r>
      <w:r>
        <w:rPr>
          <w:vertAlign w:val="subscript"/>
        </w:rPr>
        <w:t>2</w:t>
      </w:r>
      <w:r>
        <w:t>H</w:t>
      </w:r>
      <w:r>
        <w:rPr>
          <w:vertAlign w:val="subscript"/>
        </w:rPr>
        <w:t>2</w:t>
      </w:r>
      <w:r>
        <w:t>) to ethylene (C</w:t>
      </w:r>
      <w:r>
        <w:rPr>
          <w:vertAlign w:val="subscript"/>
        </w:rPr>
        <w:t>2</w:t>
      </w:r>
      <w:r>
        <w:t>H</w:t>
      </w:r>
      <w:r>
        <w:rPr>
          <w:vertAlign w:val="subscript"/>
        </w:rPr>
        <w:t>4</w:t>
      </w:r>
      <w:r>
        <w:t>) is seriously limited by the inefficient generation and directional transfer of active hydrogen species. Here, we report a proton‐coupled electron transfer (PCET) mechanism for photocatalytic acetylene semi‐hydrogenation by establishing a hydroxyl network over hydroxyl‐modified carbon nitride (C</w:t>
      </w:r>
      <w:r>
        <w:rPr>
          <w:vertAlign w:val="subscript"/>
        </w:rPr>
        <w:t>3</w:t>
      </w:r>
      <w:r>
        <w:t>N</w:t>
      </w:r>
      <w:r>
        <w:rPr>
          <w:vertAlign w:val="subscript"/>
        </w:rPr>
        <w:t>4</w:t>
      </w:r>
      <w:r>
        <w:t>‐OH)/Ni(OH)</w:t>
      </w:r>
      <w:r>
        <w:rPr>
          <w:vertAlign w:val="subscript"/>
        </w:rPr>
        <w:t>2</w:t>
      </w:r>
      <w:r>
        <w:t>composite. Such a hydroxyl network not only enhances photogenerated charge separation but also establishes a strong hydrogen‐bonding microenvironment for adsorbing interfacial water and facilitating hydrogen transfer dynamics. Femtosecond transient absorption (fs‐TA) spectroscopy, in situ photochemical infrared spectroscopy, kinetic isotope effect (KIE), and active hydrogen (H*)‐trapping reveal that the fast proton transfer via a PCET mechanism, rather than a conventional hydrogen atom transfer (HAT) pathway. Eventually, the C</w:t>
      </w:r>
      <w:r>
        <w:rPr>
          <w:vertAlign w:val="subscript"/>
        </w:rPr>
        <w:t>3</w:t>
      </w:r>
      <w:r>
        <w:t>N</w:t>
      </w:r>
      <w:r>
        <w:rPr>
          <w:vertAlign w:val="subscript"/>
        </w:rPr>
        <w:t>4</w:t>
      </w:r>
      <w:r>
        <w:t>‐Ni(OH)</w:t>
      </w:r>
      <w:r>
        <w:rPr>
          <w:vertAlign w:val="subscript"/>
        </w:rPr>
        <w:t>2</w:t>
      </w:r>
      <w:r>
        <w:t>achieves an exceptionally high C</w:t>
      </w:r>
      <w:r>
        <w:rPr>
          <w:vertAlign w:val="subscript"/>
        </w:rPr>
        <w:t>2</w:t>
      </w:r>
      <w:r>
        <w:t>H</w:t>
      </w:r>
      <w:r>
        <w:rPr>
          <w:vertAlign w:val="subscript"/>
        </w:rPr>
        <w:t>4</w:t>
      </w:r>
      <w:r>
        <w:t>production rate of 15.7 mmol g</w:t>
      </w:r>
      <w:r>
        <w:t xml:space="preserve"> </w:t>
      </w:r>
      <w:r>
        <w:t>cat</w:t>
      </w:r>
      <w:r>
        <w:t xml:space="preserve"> </w:t>
      </w:r>
      <w:r>
        <w:t>−1</w:t>
      </w:r>
      <w:r>
        <w:t xml:space="preserve"> </w:t>
      </w:r>
      <w:r>
        <w:t>h</w:t>
      </w:r>
      <w:r>
        <w:t xml:space="preserve"> </w:t>
      </w:r>
      <w:r>
        <w:t>−1</w:t>
      </w:r>
      <w:r>
        <w:t xml:space="preserve"> </w:t>
      </w:r>
      <w:r>
        <w:t>with a C</w:t>
      </w:r>
      <w:r>
        <w:rPr>
          <w:vertAlign w:val="subscript"/>
        </w:rPr>
        <w:t>2</w:t>
      </w:r>
      <w:r>
        <w:t>H</w:t>
      </w:r>
      <w:r>
        <w:rPr>
          <w:vertAlign w:val="subscript"/>
        </w:rPr>
        <w:t>4</w:t>
      </w:r>
      <w:r>
        <w:t>selectivity of 98.2% under simulated solar irradiation. For purifying a crude C</w:t>
      </w:r>
      <w:r>
        <w:rPr>
          <w:vertAlign w:val="subscript"/>
        </w:rPr>
        <w:t>2</w:t>
      </w:r>
      <w:r>
        <w:t>H</w:t>
      </w:r>
      <w:r>
        <w:rPr>
          <w:vertAlign w:val="subscript"/>
        </w:rPr>
        <w:t>4</w:t>
      </w:r>
      <w:r>
        <w:t>stream containing 0.5 vol% C</w:t>
      </w:r>
      <w:r>
        <w:rPr>
          <w:vertAlign w:val="subscript"/>
        </w:rPr>
        <w:t>2</w:t>
      </w:r>
      <w:r>
        <w:t>H</w:t>
      </w:r>
      <w:r>
        <w:rPr>
          <w:vertAlign w:val="subscript"/>
        </w:rPr>
        <w:t>2</w:t>
      </w:r>
      <w:r>
        <w:t>, the C</w:t>
      </w:r>
      <w:r>
        <w:rPr>
          <w:vertAlign w:val="subscript"/>
        </w:rPr>
        <w:t>2</w:t>
      </w:r>
      <w:r>
        <w:t>H</w:t>
      </w:r>
      <w:r>
        <w:rPr>
          <w:vertAlign w:val="subscript"/>
        </w:rPr>
        <w:t>2</w:t>
      </w:r>
      <w:r>
        <w:t>conversion remains ∼98% over a long‐term continuous‐flow operation. This work elucidates the pivotal role of surface hydroxyl networks in governing hydrogen kinetics and paves a new avenue for the design of high‐performance photocatalysts.</w:t>
      </w:r>
    </w:p>
    <w:p>
      <w:pPr>
        <w:spacing w:before="120" w:after="120"/>
      </w:pPr>
      <w:r>
        <w:rPr>
          <w:sz w:val="18"/>
        </w:rPr>
        <w:t>——————————————————————————————————————————————————————————————————————</w:t>
      </w:r>
    </w:p>
    <w:p>
      <w:pPr>
        <w:spacing w:before="160" w:after="40" w:line="240" w:lineRule="auto"/>
      </w:pPr>
      <w:r>
        <w:rPr>
          <w:b/>
        </w:rPr>
        <w:t xml:space="preserve">[593] </w:t>
      </w:r>
      <w:hyperlink r:id="rId972">
        <w:r>
          <w:rPr>
            <w:color w:val="1155CC"/>
            <w:u w:val="single"/>
          </w:rPr>
          <w:t>以分子机动车制成的水中奇拉尔超模分子聚合器的可编程变换</w:t>
        </w:r>
      </w:hyperlink>
    </w:p>
    <w:p>
      <w:pPr>
        <w:spacing w:before="0" w:after="80"/>
      </w:pPr>
      <w:r>
        <w:rPr>
          <w:i/>
          <w:sz w:val="20"/>
        </w:rPr>
        <w:t>EN: Multi‐Stimulus Triggered Programmable Transformation of Molecular Motor Based Chiral Supramolecular Polymers in Water</w:t>
      </w:r>
    </w:p>
    <w:p>
      <w:pPr>
        <w:spacing w:before="0" w:after="120"/>
      </w:pPr>
      <w:r>
        <w:rPr>
          <w:b/>
        </w:rPr>
        <w:t xml:space="preserve">Source: </w:t>
      </w:r>
      <w:r>
        <w:t>Wiley: Angewandte Chemie International Edition: Table of Contents</w:t>
      </w:r>
      <w:r>
        <w:t xml:space="preserve">    </w:t>
      </w:r>
      <w:r>
        <w:rPr>
          <w:b/>
        </w:rPr>
        <w:t xml:space="preserve">Pub date: </w:t>
      </w:r>
      <w:r>
        <w:t>2026-01-09 09:54:09+00:00</w:t>
      </w:r>
      <w:r>
        <w:t xml:space="preserve">    </w:t>
      </w:r>
      <w:r>
        <w:rPr>
          <w:b/>
        </w:rPr>
        <w:t xml:space="preserve">DOI: </w:t>
      </w:r>
      <w:hyperlink r:id="rId973">
        <w:r>
          <w:rPr>
            <w:color w:val="1155CC"/>
            <w:u w:val="single"/>
          </w:rPr>
          <w:t>10.1002/anie.202521360</w:t>
        </w:r>
      </w:hyperlink>
    </w:p>
    <w:p>
      <w:pPr>
        <w:spacing w:before="0" w:after="120"/>
      </w:pPr>
      <w:r>
        <w:rPr>
          <w:b/>
        </w:rPr>
        <w:t xml:space="preserve">Notes: </w:t>
      </w:r>
      <w:r>
        <w:t>abstract_source=crossref</w:t>
      </w:r>
    </w:p>
    <w:p>
      <w:pPr>
        <w:spacing w:before="0" w:after="80" w:lineRule="auto" w:line="276"/>
      </w:pPr>
      <w:r>
        <w:rPr>
          <w:b/>
        </w:rPr>
        <w:t xml:space="preserve">摘要（ZH）: </w:t>
      </w:r>
      <w:r>
        <w:t>活生物体的一个显著特征是它们适应环境变化和将外部信号转变为不同反应能力的能力,促进以运动性作为关键参数的各种功能的实现。为了更好地模仿类似生命的行为,研究人员开发了各种超分子组装系统,对各种刺激性具有反应性行为。然而,在超分子系统中利用长尺度的运动和集体控制对多重刺激的反应能力仍然具有挑战性。我们在这里介绍了基于分子运动的超分子聚合物的开发情况,这些聚合物对多分子具有反应性,并展示多国家组装和体力。利用藻类的优势。</w:t>
      </w:r>
    </w:p>
    <w:p>
      <w:pPr>
        <w:spacing w:before="0" w:after="200" w:lineRule="auto" w:line="276"/>
      </w:pPr>
      <w:r>
        <w:rPr>
          <w:b/>
        </w:rPr>
        <w:t xml:space="preserve">Abstract (EN): </w:t>
      </w:r>
      <w:r>
        <w:t>A notable characteristic of living organisms is their capacity to adapt to environmental changes and transform external signals into distinct responsiveness, facilitating the execution of diverse functions with motility as a key parameter. To better mimic such lifelike behavior, researchers have developed various supramolecular assembled systems with responsive behavior toward a variety of stimuli. However, exploiting motion along length scales and achieving collective control over the responsiveness to multiple stimuli in supramolecular systems is still challenging. Here we present the development of molecular motor based supramolecular polymers that are responsive toward multi‐stimulus and exhibit multi‐state assembly and chirality. Taking advantages of aldehyde functionalized motors, we realized photo‐responsive supramolecular polymers featuring boosted photo‐efficiency, near quantitative photoconversions, programmable behavior and responsiveness to multiple stimuli in a reversible manner in aqueous media. The various stimuli including light and different chemicals could act on the motor building blocks and subsequently trigger the transformation of the supramolecular polymers toward reversible polymerization, direct post‐functionalization and chirality modulation. The interplay between the rotary molecular motion and the supramolecular systems assembly process, taking advantage of different external stimuli to govern the assembly state, provides a basis for multi‐responsive supramolecular materials</w:t>
      </w:r>
    </w:p>
    <w:p>
      <w:pPr>
        <w:spacing w:before="120" w:after="120"/>
      </w:pPr>
      <w:r>
        <w:rPr>
          <w:sz w:val="18"/>
        </w:rPr>
        <w:t>——————————————————————————————————————————————————————————————————————</w:t>
      </w:r>
    </w:p>
    <w:p>
      <w:pPr>
        <w:spacing w:before="160" w:after="40" w:line="240" w:lineRule="auto"/>
      </w:pPr>
      <w:r>
        <w:rPr>
          <w:b/>
        </w:rPr>
        <w:t xml:space="preserve">[594] </w:t>
      </w:r>
      <w:hyperlink r:id="rId974">
        <w:r>
          <w:rPr>
            <w:color w:val="1155CC"/>
            <w:u w:val="single"/>
          </w:rPr>
          <w:t>完整光学电动双式双式软感应器</w:t>
        </w:r>
      </w:hyperlink>
    </w:p>
    <w:p>
      <w:pPr>
        <w:spacing w:before="0" w:after="80"/>
      </w:pPr>
      <w:r>
        <w:rPr>
          <w:i/>
          <w:sz w:val="20"/>
        </w:rPr>
        <w:t>EN: Fully‐Printed Optical‐Electric Dual Mode Flexible Sensor</w:t>
      </w:r>
    </w:p>
    <w:p>
      <w:pPr>
        <w:spacing w:before="0" w:after="120"/>
      </w:pPr>
      <w:r>
        <w:rPr>
          <w:b/>
        </w:rPr>
        <w:t xml:space="preserve">Source: </w:t>
      </w:r>
      <w:r>
        <w:t>Wiley: Advanced Materials: Table of Contents</w:t>
      </w:r>
      <w:r>
        <w:t xml:space="preserve">    </w:t>
      </w:r>
      <w:r>
        <w:rPr>
          <w:b/>
        </w:rPr>
        <w:t xml:space="preserve">Pub date: </w:t>
      </w:r>
      <w:r>
        <w:t>2026-01-09 09:55:12+00:00</w:t>
      </w:r>
      <w:r>
        <w:t xml:space="preserve">    </w:t>
      </w:r>
      <w:r>
        <w:rPr>
          <w:b/>
        </w:rPr>
        <w:t xml:space="preserve">DOI: </w:t>
      </w:r>
      <w:hyperlink r:id="rId975">
        <w:r>
          <w:rPr>
            <w:color w:val="1155CC"/>
            <w:u w:val="single"/>
          </w:rPr>
          <w:t>10.1002/adma.202517426</w:t>
        </w:r>
      </w:hyperlink>
    </w:p>
    <w:p>
      <w:pPr>
        <w:spacing w:before="0" w:after="120"/>
      </w:pPr>
      <w:r>
        <w:rPr>
          <w:b/>
        </w:rPr>
        <w:t xml:space="preserve">Notes: </w:t>
      </w:r>
      <w:r>
        <w:t>abstract_source=crossref</w:t>
      </w:r>
    </w:p>
    <w:p>
      <w:pPr>
        <w:spacing w:before="0" w:after="80" w:lineRule="auto" w:line="276"/>
      </w:pPr>
      <w:r>
        <w:rPr>
          <w:b/>
        </w:rPr>
        <w:t xml:space="preserve">摘要（ZH）: </w:t>
      </w:r>
      <w:r>
        <w:t>作为智能家庭控制系统(SHCS)的关键组成部分,人类计算机互动接口(HCI)为人类家庭信息交流和控制提供了便利,但当代HCI接口仍然由于所收集的信息的静态和独特性质而存在巨大的安全脆弱性。在本研究中,我们制定了高性能ZnS:Mn 2+光化(ML)墨水,其特点是高分辨率印刷能力(约100微米),并达到与0.01兆帕一样低的压力检测阈值。随后,我们提出了将2D和3D印刷技术相结合的光电双式软感应器(OEDM-FS),该感应器将电压传感器(CPS)整合在一起。</w:t>
      </w:r>
    </w:p>
    <w:p>
      <w:pPr>
        <w:spacing w:before="0" w:after="200" w:lineRule="auto" w:line="276"/>
      </w:pPr>
      <w:r>
        <w:rPr>
          <w:b/>
        </w:rPr>
        <w:t xml:space="preserve">Abstract (EN): </w:t>
      </w:r>
      <w:r>
        <w:t>As a pivotal component of smart home control systems (SHCS), the human‐computer interaction (HCI) interface facilitates human‐home information exchange and control. But contemporary HCI interfaces still harbor substantial security vulnerabilities due to the static and singular nature of the collected information. In this study, we formulate high‐performance ZnS:Mn</w:t>
      </w:r>
      <w:r>
        <w:t xml:space="preserve"> </w:t>
      </w:r>
      <w:r>
        <w:t>2+</w:t>
      </w:r>
      <w:r>
        <w:t xml:space="preserve"> </w:t>
      </w:r>
      <w:r>
        <w:t>mechanoluminescence (ML) ink featuring high‐resolution printing capability (around 100 µm) and achieve a stress detection threshold as low as 0.01 MPa. Subsequently, we present an optical‐electric dual‐mode flexible sensor (OEDM‐FS) crafted combining 2D and 3D printing technologies. This sensor integrates a capacitive pressure sensor (CPS) with a ML sensor. It precisely responds to the magnitude and distribution of applied stress through capacitive output and luminescent imaging. The system boasts exceptional stability in stress sensing (signal fluctuation below ±0.3% under fatigue testing involving over 10 000 cycles), and it can achieve a very high‐resolution stress spatial distribution up to about 200 micrometers. By amalgamating the ML signals with machine learning algorithms, we can accurately identify stress distribution with distinct characteristics, attaining an impressive accuracy rate of 98.5%. Furthermore, we demonstrate the functionality of this OEDM‐FS as an HCI interface for human recognition and its potential applications within SHCS.</w:t>
      </w:r>
    </w:p>
    <w:p>
      <w:pPr>
        <w:spacing w:before="120" w:after="120"/>
      </w:pPr>
      <w:r>
        <w:rPr>
          <w:sz w:val="18"/>
        </w:rPr>
        <w:t>——————————————————————————————————————————————————————————————————————</w:t>
      </w:r>
    </w:p>
    <w:p>
      <w:pPr>
        <w:spacing w:before="160" w:after="40" w:line="240" w:lineRule="auto"/>
      </w:pPr>
      <w:r>
        <w:rPr>
          <w:b/>
        </w:rPr>
        <w:t xml:space="preserve">[595] </w:t>
      </w:r>
      <w:hyperlink r:id="rId976">
        <w:r>
          <w:rPr>
            <w:color w:val="1155CC"/>
            <w:u w:val="single"/>
          </w:rPr>
          <w:t>(+)---梅罗宁和(+)-N4-Oxy美素的合成总量,通过分子内分子对数反应实现</w:t>
        </w:r>
      </w:hyperlink>
    </w:p>
    <w:p>
      <w:pPr>
        <w:spacing w:before="0" w:after="80"/>
      </w:pPr>
      <w:r>
        <w:rPr>
          <w:i/>
          <w:sz w:val="20"/>
        </w:rPr>
        <w:t>EN: Total Synthesis of (+)‐Melonine and (+)‐N4‐Oxy Melonine Enabled by an Intramolecular Alkene Diamination Reaction</w:t>
      </w:r>
    </w:p>
    <w:p>
      <w:pPr>
        <w:spacing w:before="0" w:after="120"/>
      </w:pPr>
      <w:r>
        <w:rPr>
          <w:b/>
        </w:rPr>
        <w:t xml:space="preserve">Source: </w:t>
      </w:r>
      <w:r>
        <w:t>Wiley: Angewandte Chemie International Edition: Table of Contents</w:t>
      </w:r>
      <w:r>
        <w:t xml:space="preserve">    </w:t>
      </w:r>
      <w:r>
        <w:rPr>
          <w:b/>
        </w:rPr>
        <w:t xml:space="preserve">Pub date: </w:t>
      </w:r>
      <w:r>
        <w:t>2026-01-09 09:56:24+00:00</w:t>
      </w:r>
      <w:r>
        <w:t xml:space="preserve">    </w:t>
      </w:r>
      <w:r>
        <w:rPr>
          <w:b/>
        </w:rPr>
        <w:t xml:space="preserve">DOI: </w:t>
      </w:r>
      <w:hyperlink r:id="rId977">
        <w:r>
          <w:rPr>
            <w:color w:val="1155CC"/>
            <w:u w:val="single"/>
          </w:rPr>
          <w:t>10.1002/anie.8101956</w:t>
        </w:r>
      </w:hyperlink>
    </w:p>
    <w:p>
      <w:pPr>
        <w:spacing w:before="0" w:after="120"/>
      </w:pPr>
      <w:r>
        <w:rPr>
          <w:b/>
        </w:rPr>
        <w:t xml:space="preserve">Notes: </w:t>
      </w:r>
      <w:r>
        <w:t>abstract_source=crossref</w:t>
      </w:r>
    </w:p>
    <w:p>
      <w:pPr>
        <w:spacing w:before="0" w:after="80" w:lineRule="auto" w:line="276"/>
      </w:pPr>
      <w:r>
        <w:rPr>
          <w:b/>
        </w:rPr>
        <w:t xml:space="preserve">摘要（ZH）: </w:t>
      </w:r>
      <w:r>
        <w:t>在迄今为止被孤立的四千多种单细胞内藻类(MIAs)中,摘要摘要在4 000多颗以上,仅有几个特征为2,2,3-三子替代非碘酸性。 (+)--麦洛宁和(+)++++++++++++++++++++++++++++++++++++++++++++4 4-克氧瓜素。</w:t>
      </w:r>
    </w:p>
    <w:p>
      <w:pPr>
        <w:spacing w:before="0" w:after="200" w:lineRule="auto" w:line="276"/>
      </w:pPr>
      <w:r>
        <w:rPr>
          <w:b/>
        </w:rPr>
        <w:t xml:space="preserve">Abstract (EN): </w:t>
      </w:r>
      <w:r>
        <w:t>Among more than four thousand monoterpene indole alkaloids (MIAs) isolated to date, only a few feature a 2,2,3‐trisubstituted indoline moiety. (+)‐Melonine and (+)‐</w:t>
      </w:r>
      <w:r>
        <w:t xml:space="preserve"> </w:t>
      </w:r>
      <w:r>
        <w:t>N</w:t>
      </w:r>
      <w:r>
        <w:rPr>
          <w:vertAlign w:val="subscript"/>
        </w:rPr>
        <w:t>4</w:t>
      </w:r>
      <w:r>
        <w:t xml:space="preserve"> </w:t>
      </w:r>
      <w:r>
        <w:t>‐oxy melonine possess a highly rearranged carbon framework, presumably arising from cyclization of a rearranged iminium ion of quebrachamine precursor. We report herein the first enantioselective total synthesis of (+)‐melonine and (+)‐</w:t>
      </w:r>
      <w:r>
        <w:t xml:space="preserve"> </w:t>
      </w:r>
      <w:r>
        <w:t>N</w:t>
      </w:r>
      <w:r>
        <w:rPr>
          <w:vertAlign w:val="subscript"/>
        </w:rPr>
        <w:t>4</w:t>
      </w:r>
      <w:r>
        <w:t xml:space="preserve"> </w:t>
      </w:r>
      <w:r>
        <w:t>‐oxy melonine featuring: a) a highly enantioselective CBS reduction followed by a stereospecific Johnson‐Claisen rearrangement for the synthesis of enantioenriched</w:t>
      </w:r>
      <w:r>
        <w:t xml:space="preserve"> </w:t>
      </w:r>
      <w:r>
        <w:t>β</w:t>
      </w:r>
      <w:r>
        <w:t xml:space="preserve"> </w:t>
      </w:r>
      <w:r>
        <w:t>‐substituted</w:t>
      </w:r>
      <w:r>
        <w:t xml:space="preserve"> </w:t>
      </w:r>
      <w:r>
        <w:t>γ</w:t>
      </w:r>
      <w:r>
        <w:t xml:space="preserve"> </w:t>
      </w:r>
      <w:r>
        <w:t>,</w:t>
      </w:r>
      <w:r>
        <w:t xml:space="preserve"> </w:t>
      </w:r>
      <w:r>
        <w:t>δ</w:t>
      </w:r>
      <w:r>
        <w:t xml:space="preserve"> </w:t>
      </w:r>
      <w:r>
        <w:t>‐unsaturated ester; b) Bower's bis‐cyclizative diamination of alkene, enabling the conversion of a functionalized cycloheptene to the tetracyclic core of the natural products; and c) an AlMe</w:t>
      </w:r>
      <w:r>
        <w:rPr>
          <w:vertAlign w:val="subscript"/>
        </w:rPr>
        <w:t>3</w:t>
      </w:r>
      <w:r>
        <w:t>‐mediated lactamization that concurrently achieves desymmetrization at the C20 prochiral center.</w:t>
      </w:r>
    </w:p>
    <w:p>
      <w:pPr>
        <w:spacing w:before="120" w:after="120"/>
      </w:pPr>
      <w:r>
        <w:rPr>
          <w:sz w:val="18"/>
        </w:rPr>
        <w:t>——————————————————————————————————————————————————————————————————————</w:t>
      </w:r>
    </w:p>
    <w:p>
      <w:pPr>
        <w:spacing w:before="160" w:after="40" w:line="240" w:lineRule="auto"/>
      </w:pPr>
      <w:r>
        <w:rPr>
          <w:b/>
        </w:rPr>
        <w:t xml:space="preserve">[596] </w:t>
      </w:r>
      <w:hyperlink r:id="rId978">
        <w:r>
          <w:rPr>
            <w:color w:val="1155CC"/>
            <w:u w:val="single"/>
          </w:rPr>
          <w:t>使用阿达马诺作为第三代碳化物前体的阿尔肯人被催化1,2和1,1</w:t>
        </w:r>
      </w:hyperlink>
    </w:p>
    <w:p>
      <w:pPr>
        <w:spacing w:before="0" w:after="80"/>
      </w:pPr>
      <w:r>
        <w:rPr>
          <w:i/>
          <w:sz w:val="20"/>
        </w:rPr>
        <w:t>EN: Catalytic 1,2‐ and 1,1‐Carbocyclization of Alkenes Employing Adamantanols as Tertiary Carbocation Precursors</w:t>
      </w:r>
    </w:p>
    <w:p>
      <w:pPr>
        <w:spacing w:before="0" w:after="120"/>
      </w:pPr>
      <w:r>
        <w:rPr>
          <w:b/>
        </w:rPr>
        <w:t xml:space="preserve">Source: </w:t>
      </w:r>
      <w:r>
        <w:t>Wiley: Angewandte Chemie International Edition: Table of Contents</w:t>
      </w:r>
      <w:r>
        <w:t xml:space="preserve">    </w:t>
      </w:r>
      <w:r>
        <w:rPr>
          <w:b/>
        </w:rPr>
        <w:t xml:space="preserve">Pub date: </w:t>
      </w:r>
      <w:r>
        <w:t>2026-01-09 09:57:12+00:00</w:t>
      </w:r>
      <w:r>
        <w:t xml:space="preserve">    </w:t>
      </w:r>
      <w:r>
        <w:rPr>
          <w:b/>
        </w:rPr>
        <w:t xml:space="preserve">DOI: </w:t>
      </w:r>
      <w:hyperlink r:id="rId979">
        <w:r>
          <w:rPr>
            <w:color w:val="1155CC"/>
            <w:u w:val="single"/>
          </w:rPr>
          <w:t>10.1002/anie.202524449</w:t>
        </w:r>
      </w:hyperlink>
    </w:p>
    <w:p>
      <w:pPr>
        <w:spacing w:before="0" w:after="120"/>
      </w:pPr>
      <w:r>
        <w:rPr>
          <w:b/>
        </w:rPr>
        <w:t xml:space="preserve">Notes: </w:t>
      </w:r>
      <w:r>
        <w:t>abstract_source=crossref</w:t>
      </w:r>
    </w:p>
    <w:p>
      <w:pPr>
        <w:spacing w:before="0" w:after="80" w:lineRule="auto" w:line="276"/>
      </w:pPr>
      <w:r>
        <w:rPr>
          <w:b/>
        </w:rPr>
        <w:t xml:space="preserve">摘要（ZH）: </w:t>
      </w:r>
      <w:r>
        <w:t>由碳电极引发的抽象催化烷环化,是建设宝贵和具有挑战性的分子结构的新兴战略,然而,由于反应问题,实现与三级碳电极的这种反应仍是一项艰巨的挑战。在此,我们报告了一个克服这一限制的高效的Brønsted酸催化系统。使用1damtanol作为第三级碳化电极的前体,并通过TfOH催化,用碳箱基、磺酰胺和氢氧基组,包括相对较少的再活动组,如烷基替代品和终端烷,可以转化为六氟素丙醇中各种持久性的乙基乙醇循环,通过1,2diti产生良好的产量。</w:t>
      </w:r>
    </w:p>
    <w:p>
      <w:pPr>
        <w:spacing w:before="0" w:after="200" w:lineRule="auto" w:line="276"/>
      </w:pPr>
      <w:r>
        <w:rPr>
          <w:b/>
        </w:rPr>
        <w:t xml:space="preserve">Abstract (EN): </w:t>
      </w:r>
      <w:r>
        <w:t>Catalytic alkene cyclization initiated by carbon electrophiles represents an emerging strategy for constructing valuable and challenging molecular architectures. However, due to reactivity issues, the realization of such reactions with tertiary carbon electrophiles remains a formidable challenge. Herein, we report an efficient Brønsted acid‐catalyzed system that overcomes this limitation. Using 1‐adamantanols as precursors of tertiary carbocation electrophiles, and through TfOH catalysis, alkenes tethered with carboxyl, sulfonamide, and hydroxyl groups, including those with relatively low reactivity such as alkyl‐substituted and terminal alkenes, can be converted into a variety of adamantylated heterocycles in hexafluoroisopropanol with good yields via 1,2‐addition or formal 1,1‐addition, with high regio‐ and stereoselectivity. The products serve as versatile synthetic building blocks and can be readily transformed into valuable adamantyl‐containing compounds, including derivatives with anti‐influenza A activity. Density functional theory (DFT) calculations and control experiments indicate that the moderate electrophilicity of the adamantyl carbocation and the hyperconjugative effect of the adamantyl group in stabilizing carbocations form the basis for achieving the electrophilic cyclization. Additionally, they also reveal that different nucleophilic groups can influence the progression of the reaction. These findings provide references for the design of new electrophilic reactions.</w:t>
      </w:r>
    </w:p>
    <w:p>
      <w:pPr>
        <w:spacing w:before="120" w:after="120"/>
      </w:pPr>
      <w:r>
        <w:rPr>
          <w:sz w:val="18"/>
        </w:rPr>
        <w:t>——————————————————————————————————————————————————————————————————————</w:t>
      </w:r>
    </w:p>
    <w:p>
      <w:pPr>
        <w:spacing w:before="160" w:after="40" w:line="240" w:lineRule="auto"/>
      </w:pPr>
      <w:r>
        <w:rPr>
          <w:b/>
        </w:rPr>
        <w:t xml:space="preserve">[597] </w:t>
      </w:r>
      <w:hyperlink r:id="rId980">
        <w:r>
          <w:rPr>
            <w:color w:val="1155CC"/>
            <w:u w:val="single"/>
          </w:rPr>
          <w:t>基于Cyccloopenta Dithiophene和Benzothiadiazole捐助方-接受者-Acceptor 和最佳胶合侧链长的聚合物</w:t>
        </w:r>
      </w:hyperlink>
    </w:p>
    <w:p>
      <w:pPr>
        <w:spacing w:before="0" w:after="80"/>
      </w:pPr>
      <w:r>
        <w:rPr>
          <w:i/>
          <w:sz w:val="20"/>
        </w:rPr>
        <w:t>EN: Highly Stable Organic Electrochemical Transistors Based on Cyclopenta Dithiophene and Benzothiadiazole Donor–Acceptor Copolymer with Optimized Glycol Side Chain Length</w:t>
      </w:r>
    </w:p>
    <w:p>
      <w:pPr>
        <w:spacing w:before="0" w:after="120"/>
      </w:pPr>
      <w:r>
        <w:rPr>
          <w:b/>
        </w:rPr>
        <w:t xml:space="preserve">Source: </w:t>
      </w:r>
      <w:r>
        <w:t>Wiley: Advanced Materials: Table of Contents</w:t>
      </w:r>
      <w:r>
        <w:t xml:space="preserve">    </w:t>
      </w:r>
      <w:r>
        <w:rPr>
          <w:b/>
        </w:rPr>
        <w:t xml:space="preserve">Pub date: </w:t>
      </w:r>
      <w:r>
        <w:t>2026-01-09 09:58:49+00:00</w:t>
      </w:r>
      <w:r>
        <w:t xml:space="preserve">    </w:t>
      </w:r>
      <w:r>
        <w:rPr>
          <w:b/>
        </w:rPr>
        <w:t xml:space="preserve">DOI: </w:t>
      </w:r>
      <w:hyperlink r:id="rId981">
        <w:r>
          <w:rPr>
            <w:color w:val="1155CC"/>
            <w:u w:val="single"/>
          </w:rPr>
          <w:t>10.1002/adma.202513938</w:t>
        </w:r>
      </w:hyperlink>
    </w:p>
    <w:p>
      <w:pPr>
        <w:spacing w:before="0" w:after="120"/>
      </w:pPr>
      <w:r>
        <w:rPr>
          <w:b/>
        </w:rPr>
        <w:t xml:space="preserve">Notes: </w:t>
      </w:r>
      <w:r>
        <w:t>abstract_source=crossref</w:t>
      </w:r>
    </w:p>
    <w:p>
      <w:pPr>
        <w:spacing w:before="0" w:after="80" w:lineRule="auto" w:line="276"/>
      </w:pPr>
      <w:r>
        <w:rPr>
          <w:b/>
        </w:rPr>
        <w:t xml:space="preserve">摘要（ZH）: </w:t>
      </w:r>
      <w:r>
        <w:t>ABSTACT 环环球双硫苯酚(gCPDDT)和苯正辛地阿诺(BT)捐献者-接受者-共聚合物已经通过直接心律聚合法合成,并用作极稳定的积累模式有机电化学晶体(OECT)活性材料。 结构特征描述、光/电化学测量和密度功能理论计算表明,对脊柱结构没有明显的影响,电荷排离,但显示对胶片结构秩序、氧化当前和离子喷射能力有关键贡献。 CPDT具有优化玻璃侧链长(P3gCPDTQBT)的CPECT共聚物显示了与正常的P的最佳性能。</w:t>
      </w:r>
    </w:p>
    <w:p>
      <w:pPr>
        <w:spacing w:before="0" w:after="200" w:lineRule="auto" w:line="276"/>
      </w:pPr>
      <w:r>
        <w:rPr>
          <w:b/>
        </w:rPr>
        <w:t xml:space="preserve">Abstract (EN): </w:t>
      </w:r>
      <w:r>
        <w:t>The glycolated cyclopenta dithiophene (gCPDT) and benzothiadiazole (BT) donor–acceptor copolymers have been synthesized by the method of direct arylation polymerization, and served as highly stable active material of accumulation mode organic electrochemical transistor (OECT). Structure characterization, optical/electrochemical measurements, and density functional theory calculation demonstrate that the glycol side chain length does not have obvious effects on the backbone structure and charge delocalization, but exhibits crucial contribution to the film structural order, oxidation current, and ion doping capacity. The CPDT‐BT copolymer with optimized glycol side chain length (P3gCPDT‐BT) shows the best OECT performances with the normalized peak transconductance of 134.2 ± 3.2 S cm</w:t>
      </w:r>
      <w:r>
        <w:t xml:space="preserve"> </w:t>
      </w:r>
      <w:r>
        <w:t>−1</w:t>
      </w:r>
      <w:r>
        <w:t xml:space="preserve"> </w:t>
      </w:r>
      <w:r>
        <w:t>, charge carrier mobility and volumetric capacitance,</w:t>
      </w:r>
      <w:r>
        <w:t xml:space="preserve"> </w:t>
      </w:r>
      <w:r>
        <w:t>µ</w:t>
      </w:r>
      <w:r>
        <w:t xml:space="preserve"> </w:t>
      </w:r>
      <w:r>
        <w:t>C* of 479.3 ± 11.6 F V</w:t>
      </w:r>
      <w:r>
        <w:t xml:space="preserve"> </w:t>
      </w:r>
      <w:r>
        <w:t>−1</w:t>
      </w:r>
      <w:r>
        <w:t xml:space="preserve"> </w:t>
      </w:r>
      <w:r>
        <w:t>cm</w:t>
      </w:r>
      <w:r>
        <w:t xml:space="preserve"> </w:t>
      </w:r>
      <w:r>
        <w:t>−1</w:t>
      </w:r>
      <w:r>
        <w:t xml:space="preserve"> </w:t>
      </w:r>
      <w:r>
        <w:t>s</w:t>
      </w:r>
      <w:r>
        <w:t xml:space="preserve"> </w:t>
      </w:r>
      <w:r>
        <w:t>−1</w:t>
      </w:r>
      <w:r>
        <w:t xml:space="preserve"> </w:t>
      </w:r>
      <w:r>
        <w:t>. The P3gCPDT‐BT is also applied to flexible OECT and shows no signs of degradation when operated for 15 000 pulse cycles at ambient conditions, autoclave sterilization procedure, 2 h of ultrasonic treatment, 500 bending cycles, and 60 days long‐term storage. These performances should pave the way for the practice applications of OECT in the bio‐organic electronic devices.</w:t>
      </w:r>
    </w:p>
    <w:p>
      <w:pPr>
        <w:spacing w:before="120" w:after="120"/>
      </w:pPr>
      <w:r>
        <w:rPr>
          <w:sz w:val="18"/>
        </w:rPr>
        <w:t>——————————————————————————————————————————————————————————————————————</w:t>
      </w:r>
    </w:p>
    <w:p>
      <w:pPr>
        <w:spacing w:before="160" w:after="40" w:line="240" w:lineRule="auto"/>
      </w:pPr>
      <w:r>
        <w:rPr>
          <w:b/>
        </w:rPr>
        <w:t xml:space="preserve">[598] </w:t>
      </w:r>
      <w:hyperlink r:id="rId982">
        <w:r>
          <w:rPr>
            <w:color w:val="1155CC"/>
            <w:u w:val="single"/>
          </w:rPr>
          <w:t>使用脂肪亚辛基磷酸酯的Peptides和Proteins有选择性的N-终局修改</w:t>
        </w:r>
      </w:hyperlink>
    </w:p>
    <w:p>
      <w:pPr>
        <w:spacing w:before="0" w:after="80"/>
      </w:pPr>
      <w:r>
        <w:rPr>
          <w:i/>
          <w:sz w:val="20"/>
        </w:rPr>
        <w:t>EN: Selective N‐Terminal Modification of Peptides and Proteins Using Fatty Acyl Phosphates</w:t>
      </w:r>
    </w:p>
    <w:p>
      <w:pPr>
        <w:spacing w:before="0" w:after="120"/>
      </w:pPr>
      <w:r>
        <w:rPr>
          <w:b/>
        </w:rPr>
        <w:t xml:space="preserve">Source: </w:t>
      </w:r>
      <w:r>
        <w:t>Wiley: Angewandte Chemie International Edition: Table of Contents</w:t>
      </w:r>
      <w:r>
        <w:t xml:space="preserve">    </w:t>
      </w:r>
      <w:r>
        <w:rPr>
          <w:b/>
        </w:rPr>
        <w:t xml:space="preserve">Pub date: </w:t>
      </w:r>
      <w:r>
        <w:t>2026-01-09 10:02:42+00:00</w:t>
      </w:r>
      <w:r>
        <w:t xml:space="preserve">    </w:t>
      </w:r>
      <w:r>
        <w:rPr>
          <w:b/>
        </w:rPr>
        <w:t xml:space="preserve">DOI: </w:t>
      </w:r>
      <w:hyperlink r:id="rId983">
        <w:r>
          <w:rPr>
            <w:color w:val="1155CC"/>
            <w:u w:val="single"/>
          </w:rPr>
          <w:t>10.1002/anie.202513289</w:t>
        </w:r>
      </w:hyperlink>
    </w:p>
    <w:p>
      <w:pPr>
        <w:spacing w:before="0" w:after="120"/>
      </w:pPr>
      <w:r>
        <w:rPr>
          <w:b/>
        </w:rPr>
        <w:t xml:space="preserve">Notes: </w:t>
      </w:r>
      <w:r>
        <w:t>abstract_source=crossref</w:t>
      </w:r>
    </w:p>
    <w:p>
      <w:pPr>
        <w:spacing w:before="0" w:after="80" w:lineRule="auto" w:line="276"/>
      </w:pPr>
      <w:r>
        <w:rPr>
          <w:b/>
        </w:rPr>
        <w:t xml:space="preserve">摘要（ZH）: </w:t>
      </w:r>
      <w:r>
        <w:t>蛋白质和peptides有选择地修改蛋白质和peptides是一个重要的化学生物学工具,其用途多种多样,包括生产生物药剂或研究译后修改,特别是Niteminus在Peptides和蛋白质的侧链中选择性地切除,这是非常可取的,但在这方面具有挑战性的反应。目前的方法存在一系列缺陷,包括缺乏选择性或狭窄的基底范围。我们在这里报告了一种生物模拟方法,使用与ATP一起的木箱酸在原地酶试剂活化(ERA),以产生丙烯酸单磷酸。这种方法显示了对Peptides和蛋白质的Nítermini的高度选择性,包括具有制药意义的软体。</w:t>
      </w:r>
    </w:p>
    <w:p>
      <w:pPr>
        <w:spacing w:before="0" w:after="200" w:lineRule="auto" w:line="276"/>
      </w:pPr>
      <w:r>
        <w:rPr>
          <w:b/>
        </w:rPr>
        <w:t xml:space="preserve">Abstract (EN): </w:t>
      </w:r>
      <w:r>
        <w:t>The selective modification of proteins and peptides is an important chemical biology tool with a wide variety of applications, including the production of biopharmaceuticals or the study of post‐translational modifications. In particular, the selective acylation of the N‐terminus over side chains in peptides and proteins is a highly desirable but challenging reaction in this field. Current methods have a range of shortcomings, including lack of selectivity or narrow substrate scope. Here we report a biomimetic approach using the in situ enzymatic reagent activation (ERA) of carboxylic acids with ATP to generate acyl‐adenosine monophosphates. This method displays high selectivity for the N‐termini of peptides and proteins, including pharmaceutically relevant liraglutide, glucagon and insulin. The ERA acylation tolerates a broad range of unsubstituted and substituted fatty acids, including azido and dicarboxylic acids, thus making it suitable for N‐terminal bioorthogonal labelling strategies. Moreover, this strategy can also be applied to the modification of antibodies. In general, the ERA acylation is a versatile and bioorthogonal method that we envisage finding wider applications in the field of bioconjugation and the production of stable peptide and protein conjugates.</w:t>
      </w:r>
    </w:p>
    <w:p>
      <w:pPr>
        <w:spacing w:before="120" w:after="120"/>
      </w:pPr>
      <w:r>
        <w:rPr>
          <w:sz w:val="18"/>
        </w:rPr>
        <w:t>——————————————————————————————————————————————————————————————————————</w:t>
      </w:r>
    </w:p>
    <w:p>
      <w:pPr>
        <w:spacing w:before="160" w:after="40" w:line="240" w:lineRule="auto"/>
      </w:pPr>
      <w:r>
        <w:rPr>
          <w:b/>
        </w:rPr>
        <w:t xml:space="preserve">[599] </w:t>
      </w:r>
      <w:hyperlink r:id="rId984">
        <w:r>
          <w:rPr>
            <w:color w:val="1155CC"/>
            <w:u w:val="single"/>
          </w:rPr>
          <w:t>[ASAP] 金属-有机框架通过d-Orbits控制快速离电传导的金属-有机框架的定制性锂-离子协调[ASAP]</w:t>
        </w:r>
      </w:hyperlink>
    </w:p>
    <w:p>
      <w:pPr>
        <w:spacing w:before="0" w:after="80"/>
      </w:pPr>
      <w:r>
        <w:rPr>
          <w:i/>
          <w:sz w:val="20"/>
        </w:rPr>
        <w:t>EN: [ASAP] Tailoring Lithium-Ion Coordination in Metal–Organic Frameworks via d-Orbital Control for Fast Ion Conduction</w:t>
      </w:r>
    </w:p>
    <w:p>
      <w:pPr>
        <w:spacing w:before="0" w:after="120"/>
      </w:pPr>
      <w:r>
        <w:rPr>
          <w:b/>
        </w:rPr>
        <w:t xml:space="preserve">Source: </w:t>
      </w:r>
      <w:r>
        <w:t>Journal of the American Chemical Society: Latest Articles (ACS Publications)</w:t>
      </w:r>
      <w:r>
        <w:t xml:space="preserve">    </w:t>
      </w:r>
      <w:r>
        <w:rPr>
          <w:b/>
        </w:rPr>
        <w:t xml:space="preserve">Pub date: </w:t>
      </w:r>
      <w:r>
        <w:t>2026-01-09 11:24:14+00:00</w:t>
      </w:r>
      <w:r>
        <w:t xml:space="preserve">    </w:t>
      </w:r>
      <w:r>
        <w:rPr>
          <w:b/>
        </w:rPr>
        <w:t xml:space="preserve">DOI: </w:t>
      </w:r>
      <w:hyperlink r:id="rId985">
        <w:r>
          <w:rPr>
            <w:color w:val="1155CC"/>
            <w:u w:val="single"/>
          </w:rPr>
          <w:t>10.1021/jacs.5c17510</w:t>
        </w:r>
      </w:hyperlink>
    </w:p>
    <w:p>
      <w:pPr>
        <w:spacing w:before="0" w:after="120"/>
      </w:pPr>
      <w:r>
        <w:rPr>
          <w:b/>
        </w:rPr>
        <w:t xml:space="preserve">Notes: </w:t>
      </w:r>
      <w:r>
        <w:t>abstract_source=pubmed</w:t>
      </w:r>
    </w:p>
    <w:p>
      <w:pPr>
        <w:spacing w:before="0" w:after="80" w:lineRule="auto" w:line="276"/>
      </w:pPr>
      <w:r>
        <w:rPr>
          <w:b/>
        </w:rPr>
        <w:t xml:space="preserve">摘要（ZH）: </w:t>
      </w:r>
      <w:r>
        <w:t>固态电解解层(SSES)的发展由于离子运输效率与内部稳定性之间的内在平衡而受到根本制约。虽然以前的设计战略已经加强了锂-离电导动动能,但高性能SSSE的合理工程工程仍因对利+协调微观环境的原子层面认识不足而面临挑战。在这里,我们提出了一种动态电子结构工程方法,利用有精确调控的d轨道占用状态的和二维金属-机体框架(M-4PyCN)进行精确调控。我们通过对过渡-金属中心的精密调制,实现了氰化物离子体的定向电荷密度再分配,同时利用丰富的铁人组建立高密度的协调。</w:t>
      </w:r>
    </w:p>
    <w:p>
      <w:pPr>
        <w:spacing w:before="0" w:after="200" w:lineRule="auto" w:line="276"/>
      </w:pPr>
      <w:r>
        <w:rPr>
          <w:b/>
        </w:rPr>
        <w:t xml:space="preserve">Abstract (EN): </w:t>
      </w:r>
      <w:r>
        <w:t>The development of solid-state electrolytes (SSEs) is fundamentally constrained by the intrinsic trade-off between ionic transport efficiency and interfacial stability. While previous design strategies have enhanced lithium-ion conduction kinetics, the rational engineering of high-performance SSEs remains challenged by insufficient atomic-level insights into Li+ coordination microenvironments. Herein, we present a dynamic electronic-structure engineering approach utilizing π-conjugated two-dimensional metal-organic frameworks (M-4PyCN) with precisely modulated d-orbital occupation states. Through precision modulation of transition-metal centers, we achieve targeted charge density redistribution in cyanide ligands while leveraging abundant cyano groups to construct high-density coordination networks within subnanoscale channels. The pronounced ligand-to-metal charge transfer (LMCT) mediated by π-d orbital hybridization induces charge delocalization effects that enables the synergistic regulation of the interfacial microenvironment and Li+ coordination. This synergy facilitates rapid Li+ desolvation and directional migration through coordinated hopping pathways. The obtained π-conjugated two-dimensional MOF (M-4PyCN) SSE simultaneously exhibits an exceptional ionic conductivity of 3.2 mS cm-1 and an ultralow electronic conductivity of 10-8-10-9 S cm-1 at room temperature, along with stable Li||Li symmetric cell cycling exceeding 4000 h. This work establishes a universal framework that bridges atomic-scale coordination environments with macroscopic ion-transport dynamics, demonstrating potential applicability to alkali-metal anodes and multivalent ion conductor systems.</w:t>
      </w:r>
    </w:p>
    <w:p>
      <w:pPr>
        <w:spacing w:before="120" w:after="120"/>
      </w:pPr>
      <w:r>
        <w:rPr>
          <w:sz w:val="18"/>
        </w:rPr>
        <w:t>——————————————————————————————————————————————————————————————————————</w:t>
      </w:r>
    </w:p>
    <w:p>
      <w:pPr>
        <w:spacing w:before="160" w:after="40" w:line="240" w:lineRule="auto"/>
      </w:pPr>
      <w:r>
        <w:rPr>
          <w:b/>
        </w:rPr>
        <w:t xml:space="preserve">[600] </w:t>
      </w:r>
      <w:hyperlink r:id="rId986">
        <w:r>
          <w:rPr>
            <w:color w:val="1155CC"/>
            <w:u w:val="single"/>
          </w:rPr>
          <w:t>[ASAP]佩洛夫斯基斯的斯特劳因-阶段过渡交互作用:混合机制和监管战略</w:t>
        </w:r>
      </w:hyperlink>
    </w:p>
    <w:p>
      <w:pPr>
        <w:spacing w:before="0" w:after="80"/>
      </w:pPr>
      <w:r>
        <w:rPr>
          <w:i/>
          <w:sz w:val="20"/>
        </w:rPr>
        <w:t>EN: [ASAP] Strain–Phase Transition Interplay in Perovskites: Coupling Mechanisms and Regulation Strategy</w:t>
      </w:r>
    </w:p>
    <w:p>
      <w:pPr>
        <w:spacing w:before="0" w:after="120"/>
      </w:pPr>
      <w:r>
        <w:rPr>
          <w:b/>
        </w:rPr>
        <w:t xml:space="preserve">Source: </w:t>
      </w:r>
      <w:r>
        <w:t>ACS Energy Letters: Latest Articles (ACS Publications)</w:t>
      </w:r>
      <w:r>
        <w:t xml:space="preserve">    </w:t>
      </w:r>
      <w:r>
        <w:rPr>
          <w:b/>
        </w:rPr>
        <w:t xml:space="preserve">Pub date: </w:t>
      </w:r>
      <w:r>
        <w:t>2026-01-09 11:25:04+00:00</w:t>
      </w:r>
      <w:r>
        <w:t xml:space="preserve">    </w:t>
      </w:r>
      <w:r>
        <w:rPr>
          <w:b/>
        </w:rPr>
        <w:t xml:space="preserve">DOI: </w:t>
      </w:r>
      <w:hyperlink r:id="rId987">
        <w:r>
          <w:rPr>
            <w:color w:val="1155CC"/>
            <w:u w:val="single"/>
          </w:rPr>
          <w:t>10.1021/acsenergylett.5c03359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[601] </w:t>
      </w:r>
      <w:hyperlink r:id="rId988">
        <w:r>
          <w:rPr>
            <w:color w:val="1155CC"/>
            <w:u w:val="single"/>
          </w:rPr>
          <w:t>[ASAP]动态同同质催化能稳定高效水解 有机硫红氧化体流电池</w:t>
        </w:r>
      </w:hyperlink>
    </w:p>
    <w:p>
      <w:pPr>
        <w:spacing w:before="0" w:after="80"/>
      </w:pPr>
      <w:r>
        <w:rPr>
          <w:i/>
          <w:sz w:val="20"/>
        </w:rPr>
        <w:t>EN: [ASAP] Dynamic Homogeneous Catalysis Enables Stable and Efficient Aqueous Organosulfur Redox Flow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2026-01-09 12:23:40+00:00</w:t>
      </w:r>
      <w:r>
        <w:t xml:space="preserve">    </w:t>
      </w:r>
      <w:r>
        <w:rPr>
          <w:b/>
        </w:rPr>
        <w:t xml:space="preserve">DOI: </w:t>
      </w:r>
      <w:hyperlink r:id="rId989">
        <w:r>
          <w:rPr>
            <w:color w:val="1155CC"/>
            <w:u w:val="single"/>
          </w:rPr>
          <w:t>10.1021/jacs.5c18379</w:t>
        </w:r>
      </w:hyperlink>
    </w:p>
    <w:p>
      <w:pPr>
        <w:spacing w:before="0" w:after="120"/>
      </w:pPr>
      <w:r>
        <w:rPr>
          <w:b/>
        </w:rPr>
        <w:t xml:space="preserve">Notes: </w:t>
      </w:r>
      <w:r>
        <w:t>abstract_source=pubmed</w:t>
      </w:r>
    </w:p>
    <w:p>
      <w:pPr>
        <w:spacing w:before="0" w:after="80" w:lineRule="auto" w:line="276"/>
      </w:pPr>
      <w:r>
        <w:rPr>
          <w:b/>
        </w:rPr>
        <w:t xml:space="preserve">摘要（ZH）: </w:t>
      </w:r>
      <w:r>
        <w:t>然而,大多数现有有机分子在能源密度、循环稳定性和合成方面面临挑战,这些对实际应用至关重要。这里,我们展示了水有机硫-RFB(OSRFB),它利用低成本工业规模的RSSR(R nottes nao sulfoprophyl)作为溶解材料。在原地由元素产生的动态同质催化,用于加速RSSR的再氧化动能。它降低了RSSR电化学活能屏障的三分之一以上(从38.8到25千毫升-1),导致高度活跃的解析。高能量密度(53 WH L-1anolyte),高能量节能节能(53 WH L-1anolyte),高能量节能节能。</w:t>
      </w:r>
    </w:p>
    <w:p>
      <w:pPr>
        <w:spacing w:before="0" w:after="200" w:lineRule="auto" w:line="276"/>
      </w:pPr>
      <w:r>
        <w:rPr>
          <w:b/>
        </w:rPr>
        <w:t xml:space="preserve">Abstract (EN): </w:t>
      </w:r>
      <w:r>
        <w:t>Stable and affordable organic active molecules that can enable redox flow batteries (RFBs) with long life for grid energy storage are desirable. However, most existing organic molecules face challenges in energy density, cycling stability, and synthesis, which are critical for practical applications. Here, we show an aqueous organosulfur RFB (OSRFB) that utilizes a low-cost, industrial-scale RSSR (R denotes sodium sulfopropyl) as the anolyte material. Dynamic homogeneous catalysis, generated in situ from elemental selenium, is applied to accelerate the redox kinetics of RSSR. It lowers more than one-third of the electrochemical activation energy barrier of RSSR (from 38.8 to below 25 kcal mol-1), leading to a highly active anolyte. High energy density (53 Wh L-1anolyte), high energy efficiency (74.5%), exceptional Coulombic efficiency (&gt;99.97%), and unprecedented ultralong life (134.7 days with a capacity decay rate of 0.037% per day for 0.25 M RSSR and 113.9 days with a capacity decay rate of 0.027% per day for 1.1 M RSSR) are demonstrated in the OSRFB, revealing its significant potential for use in ultralong-duration energy storage.</w:t>
      </w:r>
    </w:p>
    <w:p>
      <w:pPr>
        <w:spacing w:before="120" w:after="120"/>
      </w:pPr>
      <w:r>
        <w:rPr>
          <w:sz w:val="18"/>
        </w:rPr>
        <w:t>——————————————————————————————————————————————————————————————————————</w:t>
      </w:r>
    </w:p>
    <w:p>
      <w:pPr>
        <w:spacing w:before="160" w:after="40" w:line="240" w:lineRule="auto"/>
      </w:pPr>
      <w:r>
        <w:rPr>
          <w:b/>
        </w:rPr>
        <w:t xml:space="preserve">[602] </w:t>
      </w:r>
      <w:hyperlink r:id="rId990">
        <w:r>
          <w:rPr>
            <w:color w:val="1155CC"/>
            <w:u w:val="single"/>
          </w:rPr>
          <w:t>[ASAP] 4个协调共(三)氨基复合体中31K时磁性催化素</w:t>
        </w:r>
      </w:hyperlink>
    </w:p>
    <w:p>
      <w:pPr>
        <w:spacing w:before="0" w:after="80"/>
      </w:pPr>
      <w:r>
        <w:rPr>
          <w:i/>
          <w:sz w:val="20"/>
        </w:rPr>
        <w:t>EN: [ASAP] Magnetic Hysteresis at 31 K in a Four-Coordinate Dysprosium(III) Amide Complex</w:t>
      </w:r>
    </w:p>
    <w:p>
      <w:pPr>
        <w:spacing w:before="0" w:after="120"/>
      </w:pPr>
      <w:r>
        <w:rPr>
          <w:b/>
        </w:rPr>
        <w:t xml:space="preserve">Source: </w:t>
      </w:r>
      <w:r>
        <w:t>Journal of the American Chemical Society: Latest Articles (ACS Publications)</w:t>
      </w:r>
      <w:r>
        <w:t xml:space="preserve">    </w:t>
      </w:r>
      <w:r>
        <w:rPr>
          <w:b/>
        </w:rPr>
        <w:t xml:space="preserve">Pub date: </w:t>
      </w:r>
      <w:r>
        <w:t>2026-01-09 12:24:38+00:00</w:t>
      </w:r>
      <w:r>
        <w:t xml:space="preserve">    </w:t>
      </w:r>
      <w:r>
        <w:rPr>
          <w:b/>
        </w:rPr>
        <w:t xml:space="preserve">DOI: </w:t>
      </w:r>
      <w:hyperlink r:id="rId991">
        <w:r>
          <w:rPr>
            <w:color w:val="1155CC"/>
            <w:u w:val="single"/>
          </w:rPr>
          <w:t>10.1021/jacs.5c13255</w:t>
        </w:r>
      </w:hyperlink>
    </w:p>
    <w:p>
      <w:pPr>
        <w:spacing w:before="0" w:after="120"/>
      </w:pPr>
      <w:r>
        <w:rPr>
          <w:b/>
        </w:rPr>
        <w:t xml:space="preserve">Notes: </w:t>
      </w:r>
      <w:r>
        <w:t>abstract_source=pubmed</w:t>
      </w:r>
    </w:p>
    <w:p>
      <w:pPr>
        <w:spacing w:before="0" w:after="80" w:lineRule="auto" w:line="276"/>
      </w:pPr>
      <w:r>
        <w:rPr>
          <w:b/>
        </w:rPr>
        <w:t xml:space="preserve">摘要（ZH）: </w:t>
      </w:r>
      <w:r>
        <w:t>单分子磁磁(SMM)设计中,最先进的是装有单核或单核或单核的单核或二核聚氨基离子(TH)温度最高、100摄氏封隔温度最高和磁逆转的最大障碍(Ueff),其顶点是单分子磁磁磁(SMM)设计中最先进的状态。 具有轴力协调以及微弱赤道相互作用的有充电离子(Amides)或电离子氧化物等高电离子(aimids)的建筑可以产生更大的晶体场(CFs),从而产生更大的Ueff值;然而,这往往没有相应的高TH(TH)或TB100值。在这里,我们报告了一个四坐标对齐的SMM(III) SPM, [Dy{M2Si(NSPr3)2}2{K(toluene)2}n (1Dy),其中含有充量的氨捐献者但有协调环境。</w:t>
      </w:r>
    </w:p>
    <w:p>
      <w:pPr>
        <w:spacing w:before="0" w:after="200" w:lineRule="auto" w:line="276"/>
      </w:pPr>
      <w:r>
        <w:rPr>
          <w:b/>
        </w:rPr>
        <w:t xml:space="preserve">Abstract (EN): </w:t>
      </w:r>
      <w:r>
        <w:t>The state of the art in single-molecule magnet (SMM) design is dominated by charged dysprosium sandwich complexes with mono- or dianionic π-ligands, which exhibit some of the highest open-loop magnetic hysteresis temperatures (TH), the highest 100 s blocking temperatures (TB100), and some of the largest barriers to magnetic reversal (Ueff). Architectures that leverage more charge-dense ligands, such as amides or alkoxides, with axial coordination and weak equatorial interactions can generate larger crystal fields (CFs), and hence larger Ueff values; however, this is often not accompanied by correspondingly high TH or TB100 values. Here, we report a four-coordinate dysprosium(III) SMM, [Dy{Me2Si(NSiiPr3)2}2{K(toluene)2}]n (1Dy), with charge-dense amide donors but a coordination environment that is between axial and tetrahedral in structure. Nevertheless, 1Dy displays open-loop magnetic hysteresis up to 31 K using sweep rates of 22 Oe s-1. The coercive field (HC) is 1.65 T at 1.8 K, and TB100 = 10.4 K. Ab initio calculations show the four-coordinate geometry imparts a strong axial CF as the 6H15/2 spin-orbit multiplet is split over 1958 K (1361 cm-1). The experimental Ueff (742 K, 516 cm-1) is smaller and resides near the energy of the third excited Kramers doublet. Ab initio spin dynamics calculations show that the fitted barrier height at high T (&gt;45 K) is 559 cm-1. Non-Kramers ion analogues 1Tb and 1Ho show waist-restricted hysteresis and short relaxation times at all temperatures. The magnetic properties of 1Dy place it highly among monometallic lanthanide SMMs using an alternative design strategy, which is synthetically simple and may be further refined.</w:t>
      </w:r>
    </w:p>
    <w:p>
      <w:pPr>
        <w:spacing w:before="120" w:after="120"/>
      </w:pPr>
      <w:r>
        <w:rPr>
          <w:sz w:val="18"/>
        </w:rPr>
        <w:t>——————————————————————————————————————————————————————————————————————</w:t>
      </w:r>
    </w:p>
    <w:p>
      <w:pPr>
        <w:spacing w:before="160" w:after="40" w:line="240" w:lineRule="auto"/>
      </w:pPr>
      <w:r>
        <w:rPr>
          <w:b/>
        </w:rPr>
        <w:t xml:space="preserve">[603] </w:t>
      </w:r>
      <w:hyperlink r:id="rId992">
        <w:r>
          <w:rPr>
            <w:color w:val="1155CC"/>
            <w:u w:val="single"/>
          </w:rPr>
          <w:t>[ASAP]利用直接转换聚合的n-Ty类有机半导体作为高级电子运输层促进锡-Perovskite太阳电池效率</w:t>
        </w:r>
      </w:hyperlink>
    </w:p>
    <w:p>
      <w:pPr>
        <w:spacing w:before="0" w:after="80"/>
      </w:pPr>
      <w:r>
        <w:rPr>
          <w:i/>
          <w:sz w:val="20"/>
        </w:rPr>
        <w:t>EN: [ASAP] Boosting Tin-Perovskite Solar Cell Efficiency Using Direct Arylation Polymerized n-Type Organic Semiconductors As Superior Electron-Transporting Layers</w:t>
      </w:r>
    </w:p>
    <w:p>
      <w:pPr>
        <w:spacing w:before="0" w:after="120"/>
      </w:pPr>
      <w:r>
        <w:rPr>
          <w:b/>
        </w:rPr>
        <w:t xml:space="preserve">Source: </w:t>
      </w:r>
      <w:r>
        <w:t>ACS Energy Letters: Latest Articles (ACS Publications)</w:t>
      </w:r>
      <w:r>
        <w:t xml:space="preserve">    </w:t>
      </w:r>
      <w:r>
        <w:rPr>
          <w:b/>
        </w:rPr>
        <w:t xml:space="preserve">Pub date: </w:t>
      </w:r>
      <w:r>
        <w:t>2026-01-09 12:25:08+00:00</w:t>
      </w:r>
      <w:r>
        <w:t xml:space="preserve">    </w:t>
      </w:r>
      <w:r>
        <w:rPr>
          <w:b/>
        </w:rPr>
        <w:t xml:space="preserve">DOI: </w:t>
      </w:r>
      <w:hyperlink r:id="rId993">
        <w:r>
          <w:rPr>
            <w:color w:val="1155CC"/>
            <w:u w:val="single"/>
          </w:rPr>
          <w:t>10.1021/acsenergylett.5c03742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[604] </w:t>
      </w:r>
      <w:hyperlink r:id="rId994">
        <w:r>
          <w:rPr>
            <w:color w:val="1155CC"/>
            <w:u w:val="single"/>
          </w:rPr>
          <w:t>[ASAP]含多氟二苯基硅烷核心的水溶性微型电池,用于减少纳米材料合成</w:t>
        </w:r>
      </w:hyperlink>
    </w:p>
    <w:p>
      <w:pPr>
        <w:spacing w:before="0" w:after="80"/>
      </w:pPr>
      <w:r>
        <w:rPr>
          <w:i/>
          <w:sz w:val="20"/>
        </w:rPr>
        <w:t>EN: [ASAP] Water-Soluble Micelles with a Polyferrocenylsilane Core for Reductive Synthesis of Nanomaterials</w:t>
      </w:r>
    </w:p>
    <w:p>
      <w:pPr>
        <w:spacing w:before="0" w:after="120"/>
      </w:pPr>
      <w:r>
        <w:rPr>
          <w:b/>
        </w:rPr>
        <w:t xml:space="preserve">Source: </w:t>
      </w:r>
      <w:r>
        <w:t>Journal of the American Chemical Society: Latest Articles (ACS Publications)</w:t>
      </w:r>
      <w:r>
        <w:t xml:space="preserve">    </w:t>
      </w:r>
      <w:r>
        <w:rPr>
          <w:b/>
        </w:rPr>
        <w:t xml:space="preserve">Pub date: </w:t>
      </w:r>
      <w:r>
        <w:t>2026-01-09 12:45:43+00:00</w:t>
      </w:r>
      <w:r>
        <w:t xml:space="preserve">    </w:t>
      </w:r>
      <w:r>
        <w:rPr>
          <w:b/>
        </w:rPr>
        <w:t xml:space="preserve">DOI: </w:t>
      </w:r>
      <w:hyperlink r:id="rId995">
        <w:r>
          <w:rPr>
            <w:color w:val="1155CC"/>
            <w:u w:val="single"/>
          </w:rPr>
          <w:t>10.1021/jacs.5c16479</w:t>
        </w:r>
      </w:hyperlink>
    </w:p>
    <w:p>
      <w:pPr>
        <w:spacing w:before="0" w:after="120"/>
      </w:pPr>
      <w:r>
        <w:rPr>
          <w:b/>
        </w:rPr>
        <w:t xml:space="preserve">Notes: </w:t>
      </w:r>
      <w:r>
        <w:t>abstract_source=pubmed</w:t>
      </w:r>
    </w:p>
    <w:p>
      <w:pPr>
        <w:spacing w:before="0" w:after="80" w:lineRule="auto" w:line="276"/>
      </w:pPr>
      <w:r>
        <w:rPr>
          <w:b/>
        </w:rPr>
        <w:t xml:space="preserve">摘要（ZH）: </w:t>
      </w:r>
      <w:r>
        <w:t>活晶晶驱动自成晶体驱动自组(CDSA)已发展成为建造多维小鼠纳米结构的多功能和可编程战略(CDSA),虽然对冠线的修改便利了各种功能材料的定制制造,但晶晶岩芯在组装后功能化方面基本上没有得到充分探索。 我们发现,水溶性多纤维硅基-b-poly(2-乙烯基西里丁基-b-poly(2-乙烯基西里丁基)小鼠具有四氟共日冕,允许水文生物氧化剂的完全兼容性和渗透,从而能够与再导聚二氟乙基硅烷核心进行现场再氧化反应,从而能够在环境条件下直接制作一系列金属纳米材料,如MnO2、F(OH)3、Pt、Pd和Ru,同时在环境条件下添加了亚离氧化剂。</w:t>
      </w:r>
    </w:p>
    <w:p>
      <w:pPr>
        <w:spacing w:before="0" w:after="200" w:lineRule="auto" w:line="276"/>
      </w:pPr>
      <w:r>
        <w:rPr>
          <w:b/>
        </w:rPr>
        <w:t xml:space="preserve">Abstract (EN): </w:t>
      </w:r>
      <w:r>
        <w:t>Living crystallization-driven self-assembly (CDSA) has developed as a versatile and programmable strategy for constructing multidimensional micellar nanostructures. While corona modification facilitates the tailored fabrication of diverse functional materials, the crystalline core is substantially underexplored for postassembly functionalization. Herein, we find that water-soluble polyferrocenylsilane-b-poly(2-vinylpyridine) micelles featuring a quaternized corona allow full compatibility and permeation of hydrophilic oxidants, thereby enabling in situ redox reactions with the reductive polyferrocenylsilane core. This permits the direct preparation of a series of metallic nanomaterials, such as MnO2, Fe(OH)3, Pt, Pd, and Ru, under ambient conditions with the addition of anionic oxidants including MnO4-, FeO42-, PtCl42-, PdCl42-, and RuCl52-. On the contrary, when cationic oxidants (e.g., Ag+, Au3+, and Rh3+) are added, the redox reaction is impeded by the electrostatic repulsion with the positively charged corona. Interestingly, the addition of electrolyte (e.g., KNO3) would remarkably relieve the kinetic barrier of ion diffusion and hence facilitate the formation of metal nanorods or nanoparticle chains. Moreover, in situ redox reactions on micellar brushes fabricated through surface-initiated living CDSA further enable the formation of vertical MnO2 nanoarray and Ag nanochain networks, showing appealing potential applications in aqueous zinc ion batteries and flexible electronic devices.</w:t>
      </w:r>
    </w:p>
    <w:p>
      <w:pPr>
        <w:spacing w:before="120" w:after="120"/>
      </w:pPr>
      <w:r>
        <w:rPr>
          <w:sz w:val="18"/>
        </w:rPr>
        <w:t>——————————————————————————————————————————————————————————————————————</w:t>
      </w:r>
    </w:p>
    <w:p>
      <w:pPr>
        <w:spacing w:before="160" w:after="40" w:line="240" w:lineRule="auto"/>
      </w:pPr>
      <w:r>
        <w:rPr>
          <w:b/>
        </w:rPr>
        <w:t xml:space="preserve">[605] </w:t>
      </w:r>
      <w:hyperlink r:id="rId996">
        <w:r>
          <w:rPr>
            <w:color w:val="1155CC"/>
            <w:u w:val="single"/>
          </w:rPr>
          <w:t>[ASAP] 利用多层热亚努斯石芬纳米动物中从两层间结合到模拟电离迁移和校正的进化效应</w:t>
        </w:r>
      </w:hyperlink>
    </w:p>
    <w:p>
      <w:pPr>
        <w:spacing w:before="0" w:after="80"/>
      </w:pPr>
      <w:r>
        <w:rPr>
          <w:i/>
          <w:sz w:val="20"/>
        </w:rPr>
        <w:t>EN: [ASAP] Harnessing Entropic Effects from Interlayer Coupling to Modulate Ion Transport and Rectification in Multilayered Janus Graphene Nanopores</w:t>
      </w:r>
    </w:p>
    <w:p>
      <w:pPr>
        <w:spacing w:before="0" w:after="120"/>
      </w:pPr>
      <w:r>
        <w:rPr>
          <w:b/>
        </w:rPr>
        <w:t xml:space="preserve">Source: </w:t>
      </w:r>
      <w:r>
        <w:t>Journal of the American Chemical Society: Latest Articles (ACS Publications)</w:t>
      </w:r>
      <w:r>
        <w:t xml:space="preserve">    </w:t>
      </w:r>
      <w:r>
        <w:rPr>
          <w:b/>
        </w:rPr>
        <w:t xml:space="preserve">Pub date: </w:t>
      </w:r>
      <w:r>
        <w:t>2026-01-09 12:51:38+00:00</w:t>
      </w:r>
      <w:r>
        <w:t xml:space="preserve">    </w:t>
      </w:r>
      <w:r>
        <w:rPr>
          <w:b/>
        </w:rPr>
        <w:t xml:space="preserve">DOI: </w:t>
      </w:r>
      <w:hyperlink r:id="rId997">
        <w:r>
          <w:rPr>
            <w:color w:val="1155CC"/>
            <w:u w:val="single"/>
          </w:rPr>
          <w:t>10.1021/jacs.5c17242</w:t>
        </w:r>
      </w:hyperlink>
    </w:p>
    <w:p>
      <w:pPr>
        <w:spacing w:before="0" w:after="120"/>
      </w:pPr>
      <w:r>
        <w:rPr>
          <w:b/>
        </w:rPr>
        <w:t xml:space="preserve">Notes: </w:t>
      </w:r>
      <w:r>
        <w:t>abstract_source=pubmed</w:t>
      </w:r>
    </w:p>
    <w:p>
      <w:pPr>
        <w:spacing w:before="0" w:after="80" w:lineRule="auto" w:line="276"/>
      </w:pPr>
      <w:r>
        <w:rPr>
          <w:b/>
        </w:rPr>
        <w:t xml:space="preserve">摘要（ZH）: </w:t>
      </w:r>
      <w:r>
        <w:t>通过纳米级管道的Ion通过纳米级传输使先进的功能,例如电离流校正(ICR)能够产生先进的功能,在神经形态计算和生物模拟信号处理中应用很有前景,然而,纳米内分化中控制离子动态的基本机制仍然不太为人所知。使用原子分子分子动态模拟和自由能源计算,我们证明,多层的Janus 石墨氧化物纳米粒子展示出通过层际联动调节的超常和可金枪鱼分级的ICR性能。这些结构实现了最多2个数量级的校正比提高,从一层的#2到2000年以上,多层配置中为3.5V/nm,以及峰值校正场从0.7到3.5V/nm,并随着层层的扩大而从0.7到3.5V/nm。这些结构实现了最多2个数量级的校正比增加。</w:t>
      </w:r>
    </w:p>
    <w:p>
      <w:pPr>
        <w:spacing w:before="0" w:after="200" w:lineRule="auto" w:line="276"/>
      </w:pPr>
      <w:r>
        <w:rPr>
          <w:b/>
        </w:rPr>
        <w:t xml:space="preserve">Abstract (EN): </w:t>
      </w:r>
      <w:r>
        <w:t>Ion transport through nanoscale channels enables advanced functionalities, such as ionic current rectification (ICR), with promising applications in neuromorphic computing and biomimetic signal processing. However, the fundamental mechanisms controlling the ion dynamics under nanoconfinement remain poorly understood. Using atomistic molecular dynamics simulations and free energy calculations, we demonstrate that multilayered Janus graphene oxide nanopores exhibit exceptional and tunable ICR performance mediated by interlayer coupling. These structures achieve a rectification ratio enhancement of up to 2 orders of magnitude─from ∼2 in a single layer to over 2000 at 3.5 V/nm in multilayered configurations─and a shift of the peak rectification field from 0.7 to 3.5 V/nm with increasing layer number. Ion distribution analyses reveal distinctive ionic enrichment-depletion behavior unique to multilayered architectures. Thermodynamically, we unveil that synergistic interlayer coupling fundamentally reshapes the free energy landscape, creating a highly asymmetric profile with multiple energy barriers and wells due to entropy─enthalpy competition. Importantly, entropy is identified to play a critical role in stabilizing energy wells and facilitating directional ion transport─a mechanism absent in single-layer systems. These insights provide a mechanistic basis for ion rectification and establish design principles, such as interlayer spacing or number control, for developing high-performance ionic membranes and nanofluidic devices.</w:t>
      </w:r>
    </w:p>
    <w:p>
      <w:pPr>
        <w:spacing w:before="120" w:after="120"/>
      </w:pPr>
      <w:r>
        <w:rPr>
          <w:sz w:val="18"/>
        </w:rPr>
        <w:t>——————————————————————————————————————————————————————————————————————</w:t>
      </w:r>
    </w:p>
    <w:p>
      <w:pPr>
        <w:spacing w:before="160" w:after="40" w:line="240" w:lineRule="auto"/>
      </w:pPr>
      <w:r>
        <w:rPr>
          <w:b/>
        </w:rPr>
        <w:t xml:space="preserve">[606] </w:t>
      </w:r>
      <w:hyperlink r:id="rId998">
        <w:r>
          <w:rPr>
            <w:color w:val="1155CC"/>
            <w:u w:val="single"/>
          </w:rPr>
          <w:t>[ASAP]机械透视电解添加剂在提高二氧化碳电能效率方面的作用</w:t>
        </w:r>
      </w:hyperlink>
    </w:p>
    <w:p>
      <w:pPr>
        <w:spacing w:before="0" w:after="80"/>
      </w:pPr>
      <w:r>
        <w:rPr>
          <w:i/>
          <w:sz w:val="20"/>
        </w:rPr>
        <w:t>EN: [ASAP] Mechanistic Insights into the Roles of Electrolyte Additives in Enhancing CO2 Electroreduction Efficiency</w:t>
      </w:r>
    </w:p>
    <w:p>
      <w:pPr>
        <w:spacing w:before="0" w:after="120"/>
      </w:pPr>
      <w:r>
        <w:rPr>
          <w:b/>
        </w:rPr>
        <w:t xml:space="preserve">Source: </w:t>
      </w:r>
      <w:r>
        <w:t>Journal of the American Chemical Society: Latest Articles (ACS Publications)</w:t>
      </w:r>
      <w:r>
        <w:t xml:space="preserve">    </w:t>
      </w:r>
      <w:r>
        <w:rPr>
          <w:b/>
        </w:rPr>
        <w:t xml:space="preserve">Pub date: </w:t>
      </w:r>
      <w:r>
        <w:t>2026-01-09 13:28:29+00:00</w:t>
      </w:r>
      <w:r>
        <w:t xml:space="preserve">    </w:t>
      </w:r>
      <w:r>
        <w:rPr>
          <w:b/>
        </w:rPr>
        <w:t xml:space="preserve">DOI: </w:t>
      </w:r>
      <w:hyperlink r:id="rId999">
        <w:r>
          <w:rPr>
            <w:color w:val="1155CC"/>
            <w:u w:val="single"/>
          </w:rPr>
          <w:t>10.1021/jacs.5c05446</w:t>
        </w:r>
      </w:hyperlink>
    </w:p>
    <w:p>
      <w:pPr>
        <w:spacing w:before="0" w:after="120"/>
      </w:pPr>
      <w:r>
        <w:rPr>
          <w:b/>
        </w:rPr>
        <w:t xml:space="preserve">Notes: </w:t>
      </w:r>
      <w:r>
        <w:t>abstract_source=pubmed</w:t>
      </w:r>
    </w:p>
    <w:p>
      <w:pPr>
        <w:spacing w:before="0" w:after="80" w:lineRule="auto" w:line="276"/>
      </w:pPr>
      <w:r>
        <w:rPr>
          <w:b/>
        </w:rPr>
        <w:t xml:space="preserve">摘要（ZH）: </w:t>
      </w:r>
      <w:r>
        <w:t>通过电解工程合理调控二氧化碳减少反应(CO2RR)和氢进化反应(HER)之间的竞争,已成为提高CO2R效率的关键战略。虽然已经确定电化学界面的微结构在促进CO2RR期间高效的CO2-CO转换方面发挥着关键作用,但对电介介的干涉机制的基本理解仍然难以实现。在这项工作中,我们提议了一项环境友好的添加剂辅助电解工程战略,以管制CO2RR。结果显示,将40卷%聚乙烯(PEG)纳入0.1 M NaHCO3电解密,使Au电极的CO法拉达效率达到92%,大大超过70%ac。</w:t>
      </w:r>
    </w:p>
    <w:p>
      <w:pPr>
        <w:spacing w:before="0" w:after="200" w:lineRule="auto" w:line="276"/>
      </w:pPr>
      <w:r>
        <w:rPr>
          <w:b/>
        </w:rPr>
        <w:t xml:space="preserve">Abstract (EN): </w:t>
      </w:r>
      <w:r>
        <w:t>The rational modulation of the competition between CO2 reduction reaction (CO2RR) and hydrogen evolution reaction (HER) through electrolyte engineering has emerged as a pivotal strategy to enhance CO2RR efficiency. Although it has been established that microstructures at the electrochemical interface play a key role in facilitating efficient CO2-to-CO conversion during CO2RR, the fundamental understanding of electrolyte-mediated interfacial mechanisms remains elusive. In this work, we propose an environmentally friendly additive-assisted electrolyte engineering strategy to regulate CO2RR. The results demonstrate that incorporating 40 vol % polyethylene glycol (PEG) into a 0.1 M NaHCO3 electrolyte enables a CO Faradaic efficiency of 92% on a Au electrode, significantly surpassing the 70% achieved without additives. Further, we scrutinize the origin of the enhancement of the Faradaic efficiency of CO2RR by comparative studies of PEG with its monomer EG and PEGDME as electrolyte additives. The results of nuclear magnetic resonance, electrochemical impedance spectroscopy, Raman spectroscopy, and computational simulation reveal that the strong solvation of PEG and PEGDME with Na+ is the primary factor responsible for the improved CO2RR efficiency while the reconstruction of the hydrogen-bond network is the secondary factor. Our work provides the underlying mechanism and a simple but practical approach for rational electrolyte engineering toward efficient CO2 reduction.</w:t>
      </w:r>
    </w:p>
    <w:p>
      <w:pPr>
        <w:spacing w:before="120" w:after="120"/>
      </w:pPr>
      <w:r>
        <w:rPr>
          <w:sz w:val="18"/>
        </w:rPr>
        <w:t>——————————————————————————————————————————————————————————————————————</w:t>
      </w:r>
    </w:p>
    <w:p>
      <w:pPr>
        <w:spacing w:before="160" w:after="40" w:line="240" w:lineRule="auto"/>
      </w:pPr>
      <w:r>
        <w:rPr>
          <w:b/>
        </w:rPr>
        <w:t xml:space="preserve">[607] </w:t>
      </w:r>
      <w:hyperlink r:id="rId1000">
        <w:r>
          <w:rPr>
            <w:color w:val="1155CC"/>
            <w:u w:val="single"/>
          </w:rPr>
          <w:t>[ASAP] 光近贴合战略</w:t>
        </w:r>
      </w:hyperlink>
    </w:p>
    <w:p>
      <w:pPr>
        <w:spacing w:before="0" w:after="80"/>
      </w:pPr>
      <w:r>
        <w:rPr>
          <w:i/>
          <w:sz w:val="20"/>
        </w:rPr>
        <w:t>EN: [ASAP] Photoaffinity Labeling Strategy Reveals Tetraspanin CD9 as a Transient Target of Anticancer Yaku’amide B</w:t>
      </w:r>
    </w:p>
    <w:p>
      <w:pPr>
        <w:spacing w:before="0" w:after="120"/>
      </w:pPr>
      <w:r>
        <w:rPr>
          <w:b/>
        </w:rPr>
        <w:t xml:space="preserve">Source: </w:t>
      </w:r>
      <w:r>
        <w:t>Journal of the American Chemical Society: Latest Articles (ACS Publications)</w:t>
      </w:r>
      <w:r>
        <w:t xml:space="preserve">    </w:t>
      </w:r>
      <w:r>
        <w:rPr>
          <w:b/>
        </w:rPr>
        <w:t xml:space="preserve">Pub date: </w:t>
      </w:r>
      <w:r>
        <w:t>2026-01-09 15:31:44+00:00</w:t>
      </w:r>
      <w:r>
        <w:t xml:space="preserve">    </w:t>
      </w:r>
      <w:r>
        <w:rPr>
          <w:b/>
        </w:rPr>
        <w:t xml:space="preserve">DOI: </w:t>
      </w:r>
      <w:hyperlink r:id="rId1001">
        <w:r>
          <w:rPr>
            <w:color w:val="1155CC"/>
            <w:u w:val="single"/>
          </w:rPr>
          <w:t>10.1021/jacs.5c13808</w:t>
        </w:r>
      </w:hyperlink>
    </w:p>
    <w:p>
      <w:pPr>
        <w:spacing w:before="0" w:after="120"/>
      </w:pPr>
      <w:r>
        <w:rPr>
          <w:b/>
        </w:rPr>
        <w:t xml:space="preserve">Notes: </w:t>
      </w:r>
      <w:r>
        <w:t>abstract_source=openalex</w:t>
      </w:r>
    </w:p>
    <w:p>
      <w:pPr>
        <w:spacing w:before="0" w:after="80" w:lineRule="auto" w:line="276"/>
      </w:pPr>
      <w:r>
        <w:rPr>
          <w:b/>
        </w:rPr>
        <w:t xml:space="preserve">摘要（ZH）: </w:t>
      </w:r>
      <w:r>
        <w:t>需要创新的化学战略来理解天然产品的分子目标,特别是当它们通过瞬间相互作用与多个目标发生接触时。Yaku'amide B (&lt;b&gt;1 &lt;/b&gt;)是一种抗癌症天然产品,它抑制了单粒体DF &lt;sub&gt;o &lt;/sub&gt;F &lt;sub&gt;F &lt;sub&gt;1 &lt;/sub&gt;-ATTP合成酶与纳米Molar亲和性;然而,仅靠这一机制并不能解释它的独特活动。在这里,我们采用了光亲关系标签(PAL),这是一个强大的化学战略,以发现四丙烷CD9是癌症细胞中一种短暂的细胞表面目标 &lt;b&gt;1 &lt;/b&gt;。全面分析表明, &lt;b&gt;1 &lt;/b&gt;与CD9细胞细胞细胞型N-终点区域结合,而细胞细胞细胞结合加速了细胞输入,通过淋病分解导致CD9耗竭。 &lt;b&gt;1 &lt;/b&gt;和iCD9i。</w:t>
      </w:r>
    </w:p>
    <w:p>
      <w:pPr>
        <w:spacing w:before="0" w:after="200" w:lineRule="auto" w:line="276"/>
      </w:pPr>
      <w:r>
        <w:rPr>
          <w:b/>
        </w:rPr>
        <w:t xml:space="preserve">Abstract (EN): </w:t>
      </w:r>
      <w:r>
        <w:t>Innovative chemical strategies are needed to understand the molecular targets of natural products, especially when they engage with multiple targets via transient interactions. Yaku'amide B (&lt;b&gt;1&lt;/b&gt;), an anticancer natural product, inhibits mitochondrial F&lt;sub&gt;o&lt;/sub&gt;F&lt;sub&gt;1&lt;/sub&gt;-ATP synthase with nanomolar affinity; however, this mechanism alone does not explain its unique activity. Here, we employed photoaffinity labeling (PAL), a powerful, chemical strategy, to discover that tetraspanin CD9 is a transient cell surface target of &lt;b&gt;1&lt;/b&gt; in cancer cells. Comprehensive analyses revealed that &lt;b&gt;1&lt;/b&gt; binds to the cytoplasmic N-terminal region of CD9 with micromolar affinity, which accelerates its cellular entry, inducing CD9 depletion via lysosomal proteolysis. Both &lt;b&gt;1&lt;/b&gt; and siCD9 inhibit cancer cell migration, suggesting that the &lt;b&gt;1&lt;/b&gt;-CD9 interaction plays a role in the mechanism of action of &lt;b&gt;1&lt;/b&gt;. Thus, &lt;b&gt;1&lt;/b&gt; represents a novel natural product that binds to and promotes the degradation of CD9. This study underscores the versatility of applying the PAL strategy for mechanistic studies and highlights &lt;b&gt;1&lt;/b&gt; as a promising molecular platform for targeting CD9-mediated cellular pathways.</w:t>
      </w:r>
    </w:p>
    <w:p>
      <w:pPr>
        <w:spacing w:before="120" w:after="120"/>
      </w:pPr>
      <w:r>
        <w:rPr>
          <w:sz w:val="18"/>
        </w:rPr>
        <w:t>——————————————————————————————————————————————————————————————————————</w:t>
      </w:r>
    </w:p>
    <w:p>
      <w:pPr>
        <w:spacing w:before="160" w:after="40" w:line="240" w:lineRule="auto"/>
      </w:pPr>
      <w:r>
        <w:rPr>
          <w:b/>
        </w:rPr>
        <w:t xml:space="preserve">[608] </w:t>
      </w:r>
      <w:hyperlink r:id="rId1002">
        <w:r>
          <w:rPr>
            <w:color w:val="1155CC"/>
            <w:u w:val="single"/>
          </w:rPr>
          <w:t>[ASAP] 在液体和固体电解解解解液和固体电解解解液和固态电解解解液分析过程中,在TiS2中进行相互交错(化学-化学)机械联动</w:t>
        </w:r>
      </w:hyperlink>
    </w:p>
    <w:p>
      <w:pPr>
        <w:spacing w:before="0" w:after="80"/>
      </w:pPr>
      <w:r>
        <w:rPr>
          <w:i/>
          <w:sz w:val="20"/>
        </w:rPr>
        <w:t>EN: [ASAP] Correlating (Chemo-)Mechanical Coupling in TiS2 during Li+ Intercalation across Liquid and Solid Electrolytes Via Operando Analysis</w:t>
      </w:r>
    </w:p>
    <w:p>
      <w:pPr>
        <w:spacing w:before="0" w:after="120"/>
      </w:pPr>
      <w:r>
        <w:rPr>
          <w:b/>
        </w:rPr>
        <w:t xml:space="preserve">Source: </w:t>
      </w:r>
      <w:r>
        <w:t>ACS Energy Letters: Latest Articles (ACS Publications)</w:t>
      </w:r>
      <w:r>
        <w:t xml:space="preserve">    </w:t>
      </w:r>
      <w:r>
        <w:rPr>
          <w:b/>
        </w:rPr>
        <w:t xml:space="preserve">Pub date: </w:t>
      </w:r>
      <w:r>
        <w:t>2026-01-09 16:22:26+00:00</w:t>
      </w:r>
      <w:r>
        <w:t xml:space="preserve">    </w:t>
      </w:r>
      <w:r>
        <w:rPr>
          <w:b/>
        </w:rPr>
        <w:t xml:space="preserve">DOI: </w:t>
      </w:r>
      <w:hyperlink r:id="rId1003">
        <w:r>
          <w:rPr>
            <w:color w:val="1155CC"/>
            <w:u w:val="single"/>
          </w:rPr>
          <w:t>10.1021/acsenergylett.5c02943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[609] </w:t>
      </w:r>
      <w:hyperlink r:id="rId1004">
        <w:r>
          <w:rPr>
            <w:color w:val="1155CC"/>
            <w:u w:val="single"/>
          </w:rPr>
          <w:t>[ASAP] Helmholtz Plane工程使冷冻无和亚零位表水体Zn电池能</w:t>
        </w:r>
      </w:hyperlink>
    </w:p>
    <w:p>
      <w:pPr>
        <w:spacing w:before="0" w:after="80"/>
      </w:pPr>
      <w:r>
        <w:rPr>
          <w:i/>
          <w:sz w:val="20"/>
        </w:rPr>
        <w:t>EN: [ASAP] Helmholtz Plane Engineering Enables Dendrite-Free and Subzero-Stable Aqueous Zn Batteries</w:t>
      </w:r>
    </w:p>
    <w:p>
      <w:pPr>
        <w:spacing w:before="0" w:after="120"/>
      </w:pPr>
      <w:r>
        <w:rPr>
          <w:b/>
        </w:rPr>
        <w:t xml:space="preserve">Source: </w:t>
      </w:r>
      <w:r>
        <w:t>ACS Energy Letters: Latest Articles (ACS Publications)</w:t>
      </w:r>
      <w:r>
        <w:t xml:space="preserve">    </w:t>
      </w:r>
      <w:r>
        <w:rPr>
          <w:b/>
        </w:rPr>
        <w:t xml:space="preserve">Pub date: </w:t>
      </w:r>
      <w:r>
        <w:t>2026-01-09 17:11:39+00:00</w:t>
      </w:r>
      <w:r>
        <w:t xml:space="preserve">    </w:t>
      </w:r>
      <w:r>
        <w:rPr>
          <w:b/>
        </w:rPr>
        <w:t xml:space="preserve">DOI: </w:t>
      </w:r>
      <w:hyperlink r:id="rId1005">
        <w:r>
          <w:rPr>
            <w:color w:val="1155CC"/>
            <w:u w:val="single"/>
          </w:rPr>
          <w:t>10.1021/acsenergylett.5c03049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[610] </w:t>
      </w:r>
      <w:hyperlink r:id="rId1006">
        <w:r>
          <w:rPr>
            <w:color w:val="1155CC"/>
            <w:u w:val="single"/>
          </w:rPr>
          <w:t>[ASAP]微粒中N、S-和N、O-Heter循环加速和绿色合成</w:t>
        </w:r>
      </w:hyperlink>
    </w:p>
    <w:p>
      <w:pPr>
        <w:spacing w:before="0" w:after="80"/>
      </w:pPr>
      <w:r>
        <w:rPr>
          <w:i/>
          <w:sz w:val="20"/>
        </w:rPr>
        <w:t>EN: [ASAP] Accelerated and Green Synthesis of N,S- and N,O-Heterocycles in Microdroplets</w:t>
      </w:r>
    </w:p>
    <w:p>
      <w:pPr>
        <w:spacing w:before="0" w:after="120"/>
      </w:pPr>
      <w:r>
        <w:rPr>
          <w:b/>
        </w:rPr>
        <w:t xml:space="preserve">Source: </w:t>
      </w:r>
      <w:r>
        <w:t>Journal of the American Chemical Society: Latest Articles (ACS Publications)</w:t>
      </w:r>
      <w:r>
        <w:t xml:space="preserve">    </w:t>
      </w:r>
      <w:r>
        <w:rPr>
          <w:b/>
        </w:rPr>
        <w:t xml:space="preserve">Pub date: </w:t>
      </w:r>
      <w:r>
        <w:t>2026-01-09 18:33:13+00:00</w:t>
      </w:r>
      <w:r>
        <w:t xml:space="preserve">    </w:t>
      </w:r>
      <w:r>
        <w:rPr>
          <w:b/>
        </w:rPr>
        <w:t xml:space="preserve">DOI: </w:t>
      </w:r>
      <w:hyperlink r:id="rId1007">
        <w:r>
          <w:rPr>
            <w:color w:val="1155CC"/>
            <w:u w:val="single"/>
          </w:rPr>
          <w:t>10.1021/jacs.5c12522</w:t>
        </w:r>
      </w:hyperlink>
    </w:p>
    <w:p>
      <w:pPr>
        <w:spacing w:before="0" w:after="120"/>
      </w:pPr>
      <w:r>
        <w:rPr>
          <w:b/>
        </w:rPr>
        <w:t xml:space="preserve">Notes: </w:t>
      </w:r>
      <w:r>
        <w:t>abstract_source=pubmed</w:t>
      </w:r>
    </w:p>
    <w:p>
      <w:pPr>
        <w:spacing w:before="0" w:after="80" w:lineRule="auto" w:line="276"/>
      </w:pPr>
      <w:r>
        <w:rPr>
          <w:b/>
        </w:rPr>
        <w:t xml:space="preserve">摘要（ZH）: </w:t>
      </w:r>
      <w:r>
        <w:t>在制药和农产品中,基于氮的乙基乙基循环十分普遍,但合成方法往往效率低下,需要较长的反应时间、高温和催化剂。在这里,我们报告了一种加速、简单和通用的绿色合成方法,用于将一系列氨转化为不同的N、S-和N、O-乙基乙基循环(硫酰碱、氧素、硫津、氧化氮、氨基甲卓类和硫化碘)在微粒中进行。这些化学转化发生在投放液向大规模光谱仪飞行的毫秒飞行期间,以便进行在线分析或沉积到采集器表面。微粒的空气-液体界面的内在超酸性能有利于反应,并能够形成高纯度的形成。</w:t>
      </w:r>
    </w:p>
    <w:p>
      <w:pPr>
        <w:spacing w:before="0" w:after="200" w:lineRule="auto" w:line="276"/>
      </w:pPr>
      <w:r>
        <w:rPr>
          <w:b/>
        </w:rPr>
        <w:t xml:space="preserve">Abstract (EN): </w:t>
      </w:r>
      <w:r>
        <w:t>Nitrogen-based heterocycles are widespread in pharmaceutical and agricultural products, yet methods to synthesize them are often inefficient, requiring long reaction times, high temperatures, and catalysts. Here, we report an accelerated, simple, and generalized green synthetic method for the conversion of a series of amines into diverse N,S- and N,O-heterocycles (thiazolines, oxazolines, thiazines, oxazines, aminothiazoles, and thiazolidines) in microdroplets. These chemical transformations occur under ambient conditions during the millisecond flight time of the droplets to the mass spectrometer for online analysis or deposition onto a collector surface. The intrinsic superacidity at the air-liquid interface of microdroplets facilitates the reaction and enables the formation of highly pure products without the need for additional purification, as evidenced by mass spectrometry (MS), infrared (IR) spectroscopy, and nuclear magnetic resonance (NMR) analyses. High-throughput (HT) reaction screening based on desorption electrospray ionization (DESI) MS shows a wide scope (24 amines, four functionalization reagents, and four solvents), producing ca. 90% yields for the best solvent (acetonitrile) in a 25 min experiment covering 1536 samples (including 4 replicates of 384 reaction combinations). We also demonstrate the application of this methodology to site-selective modification of peptides.</w:t>
      </w:r>
    </w:p>
    <w:p>
      <w:pPr>
        <w:spacing w:before="120" w:after="120"/>
      </w:pPr>
      <w:r>
        <w:rPr>
          <w:sz w:val="18"/>
        </w:rPr>
        <w:t>——————————————————————————————————————————————————————————————————————</w:t>
      </w:r>
    </w:p>
    <w:p>
      <w:pPr>
        <w:spacing w:before="160" w:after="40" w:line="240" w:lineRule="auto"/>
      </w:pPr>
      <w:r>
        <w:rPr>
          <w:b/>
        </w:rPr>
        <w:t xml:space="preserve">[611] </w:t>
      </w:r>
      <w:hyperlink r:id="rId1008">
        <w:r>
          <w:rPr>
            <w:color w:val="1155CC"/>
            <w:u w:val="single"/>
          </w:rPr>
          <w:t>[ASAP]电子系统1,2,3-替代的1,2,3-替代的Cyclompentadienyl Ligonds Decouples Sterics统一综合平台</w:t>
        </w:r>
      </w:hyperlink>
    </w:p>
    <w:p>
      <w:pPr>
        <w:spacing w:before="0" w:after="80"/>
      </w:pPr>
      <w:r>
        <w:rPr>
          <w:i/>
          <w:sz w:val="20"/>
        </w:rPr>
        <w:t>EN: [ASAP] Unified Synthesis Platform for 1,2,3-Trisubstituted Cyclopentadienyl Ligands Decouples Sterics from Electronics</w:t>
      </w:r>
    </w:p>
    <w:p>
      <w:pPr>
        <w:spacing w:before="0" w:after="120"/>
      </w:pPr>
      <w:r>
        <w:rPr>
          <w:b/>
        </w:rPr>
        <w:t xml:space="preserve">Source: </w:t>
      </w:r>
      <w:r>
        <w:t>Journal of the American Chemical Society: Latest Articles (ACS Publications)</w:t>
      </w:r>
      <w:r>
        <w:t xml:space="preserve">    </w:t>
      </w:r>
      <w:r>
        <w:rPr>
          <w:b/>
        </w:rPr>
        <w:t xml:space="preserve">Pub date: </w:t>
      </w:r>
      <w:r>
        <w:t>2026-01-09 19:13:43+00:00</w:t>
      </w:r>
      <w:r>
        <w:t xml:space="preserve">    </w:t>
      </w:r>
      <w:r>
        <w:rPr>
          <w:b/>
        </w:rPr>
        <w:t xml:space="preserve">DOI: </w:t>
      </w:r>
      <w:hyperlink r:id="rId1009">
        <w:r>
          <w:rPr>
            <w:color w:val="1155CC"/>
            <w:u w:val="single"/>
          </w:rPr>
          <w:t>10.1021/jacs.5c20631</w:t>
        </w:r>
      </w:hyperlink>
    </w:p>
    <w:p>
      <w:pPr>
        <w:spacing w:before="0" w:after="120"/>
      </w:pPr>
      <w:r>
        <w:rPr>
          <w:b/>
        </w:rPr>
        <w:t xml:space="preserve">Notes: </w:t>
      </w:r>
      <w:r>
        <w:t>abstract_source=pubmed</w:t>
      </w:r>
    </w:p>
    <w:p>
      <w:pPr>
        <w:spacing w:before="0" w:after="80" w:lineRule="auto" w:line="276"/>
      </w:pPr>
      <w:r>
        <w:rPr>
          <w:b/>
        </w:rPr>
        <w:t xml:space="preserve">摘要（ZH）: </w:t>
      </w:r>
      <w:r>
        <w:t>Cyclompentadienyl (Cp)ligands (Cyclopentadieny(Cp)ligands (Cyclopentadieny (Cp) ligands) 是协调化学和过渡性金属催化的基石,它们的调整深刻地影响化学和生物反应、诱导选择性和相应的金属化合物的稳定性,然而,与磷等相比,Cps的可获取化学空间相当狭窄,在替代物的性质、形态和数量方面显示出重大限制。 极有必要采取统一合成战略,以部分替代具有不同功能和缩小化学空间差距的Cps。 在此,我们报告了一项精简的总体战略,以从一个廉价的中央前体制成1,2,3个三分代环开丁二甲苯(1,2,3个-Cps) 。</w:t>
      </w:r>
    </w:p>
    <w:p>
      <w:pPr>
        <w:spacing w:before="0" w:after="200" w:lineRule="auto" w:line="276"/>
      </w:pPr>
      <w:r>
        <w:rPr>
          <w:b/>
        </w:rPr>
        <w:t xml:space="preserve">Abstract (EN): </w:t>
      </w:r>
      <w:r>
        <w:t>Cyclopentadienyl (Cp) ligands are a cornerstone of coordination chemistry and transition-metal catalysis. Their tuning profoundly influences the chemical and biological reactivity, the induced selectivity, and the stability of the corresponding metal complexes. However, compared to phosphines for instance, the accessible chemical space of Cps is rather narrow, exhibiting major limitations regarding the nature, pattern, and number of Cp substituents. A unified synthetic strategy toward partially substituted Cps bearing diverse functionalities and closing gaps in chemical space is highly desirable. Herein, we report a streamlined general strategy to prepare 1,2,3-trisubstituted cyclopentadienes (1,2,3-Cps) from a central inexpensive precursor. Operationally straightforward reactions and purifications ensure scalable sequences. The robust and versatile synthesis platform opens access to underexplored Cp substitution patterns - including flexible incorporation of diverse alkyls, aryls, and previously elusive or rare functionalities such as halogens, chalcogens, and alkynes - with a profound ligand tunability and decoupling of sterics from electronics. The complexation ability with a selection of catalytically relevant early and late transition metals was demonstrated, and parametrization of the Cps with respect to their stereoelectronic environment was performed via the corresponding Cp rhodium phosphite species. In exemplary selected benchmark catalytic transformations, the cobalt and rhodium complexes directly outperformed classical Cp ligands with respect to individual reactivity, regioselectivity, and catalyst loading. Regarding catalytic turnover, a 1,2,3-Cp cobalt complex achieved an attractive turnover number (TON) of 180 for a benchmark C-H annulation.</w:t>
      </w:r>
    </w:p>
    <w:p>
      <w:pPr>
        <w:spacing w:before="120" w:after="120"/>
      </w:pPr>
      <w:r>
        <w:rPr>
          <w:sz w:val="18"/>
        </w:rPr>
        <w:t>——————————————————————————————————————————————————————————————————————</w:t>
      </w:r>
    </w:p>
    <w:p>
      <w:pPr>
        <w:spacing w:before="160" w:after="40" w:line="240" w:lineRule="auto"/>
      </w:pPr>
      <w:r>
        <w:rPr>
          <w:b/>
        </w:rPr>
        <w:t xml:space="preserve">[612] </w:t>
      </w:r>
      <w:hyperlink r:id="rId1010">
        <w:r>
          <w:rPr>
            <w:color w:val="1155CC"/>
            <w:u w:val="single"/>
          </w:rPr>
          <w:t>[ASAP] 高性能盐水合水下热化化学能源储存材料和系统的途径</w:t>
        </w:r>
      </w:hyperlink>
    </w:p>
    <w:p>
      <w:pPr>
        <w:spacing w:before="0" w:after="80"/>
      </w:pPr>
      <w:r>
        <w:rPr>
          <w:i/>
          <w:sz w:val="20"/>
        </w:rPr>
        <w:t>EN: [ASAP] Pathways to High-Performance Salt Hydrate Thermochemical Energy Storage Materials and Systems</w:t>
      </w:r>
    </w:p>
    <w:p>
      <w:pPr>
        <w:spacing w:before="0" w:after="120"/>
      </w:pPr>
      <w:r>
        <w:rPr>
          <w:b/>
        </w:rPr>
        <w:t xml:space="preserve">Source: </w:t>
      </w:r>
      <w:r>
        <w:t>ACS Energy Letters: Latest Articles (ACS Publications)</w:t>
      </w:r>
      <w:r>
        <w:t xml:space="preserve">    </w:t>
      </w:r>
      <w:r>
        <w:rPr>
          <w:b/>
        </w:rPr>
        <w:t xml:space="preserve">Pub date: </w:t>
      </w:r>
      <w:r>
        <w:t>2026-01-09 19:15:37+00:00</w:t>
      </w:r>
      <w:r>
        <w:t xml:space="preserve">    </w:t>
      </w:r>
      <w:r>
        <w:rPr>
          <w:b/>
        </w:rPr>
        <w:t xml:space="preserve">DOI: </w:t>
      </w:r>
      <w:hyperlink r:id="rId1011">
        <w:r>
          <w:rPr>
            <w:color w:val="1155CC"/>
            <w:u w:val="single"/>
          </w:rPr>
          <w:t>10.1021/acsenergylett.5c03249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[613] </w:t>
      </w:r>
      <w:hyperlink r:id="rId1012">
        <w:r>
          <w:rPr>
            <w:color w:val="1155CC"/>
            <w:u w:val="single"/>
          </w:rPr>
          <w:t>JULGI通过对MIR1165/166的非细胞自治条例,协调血管发育和树叶结构图案</w:t>
        </w:r>
      </w:hyperlink>
    </w:p>
    <w:p>
      <w:pPr>
        <w:spacing w:before="0" w:after="80"/>
      </w:pPr>
      <w:r>
        <w:rPr>
          <w:i/>
          <w:sz w:val="20"/>
        </w:rPr>
        <w:t>EN: JULGI coordinates vascular development and leaf patterning through non-cell-autonomous regulation of miR165/166</w:t>
      </w:r>
    </w:p>
    <w:p>
      <w:pPr>
        <w:spacing w:before="0" w:after="120"/>
      </w:pPr>
      <w:r>
        <w:rPr>
          <w:b/>
        </w:rPr>
        <w:t xml:space="preserve">Source: </w:t>
      </w:r>
      <w:r>
        <w:t>Nature Communications</w:t>
      </w:r>
      <w:r>
        <w:t xml:space="preserve">    </w:t>
      </w:r>
      <w:r>
        <w:rPr>
          <w:b/>
        </w:rPr>
        <w:t xml:space="preserve">Pub date: </w:t>
      </w:r>
      <w:r>
        <w:t>2026-01-10 00:00:00+00:00</w:t>
      </w:r>
    </w:p>
    <w:p>
      <w:pPr>
        <w:spacing w:before="0" w:after="120"/>
      </w:pPr>
      <w:r>
        <w:rPr>
          <w:b/>
        </w:rPr>
        <w:t xml:space="preserve">Notes: </w:t>
      </w:r>
      <w:r>
        <w:t>abstract_source=nature_html</w:t>
      </w:r>
    </w:p>
    <w:p>
      <w:pPr>
        <w:spacing w:before="0" w:after="80" w:lineRule="auto" w:line="276"/>
      </w:pPr>
      <w:r>
        <w:rPr>
          <w:b/>
        </w:rPr>
        <w:t xml:space="preserve">摘要（ZH）: </w:t>
      </w:r>
      <w:r>
        <w:t>血管发育和叶叶发育之间的相互作用是血管植物进化成功的关键,但基本机制仍然不甚清楚。在这里,我们确定RNA结合的蛋白质JULGI1(JUL1)是阿拉伯双栖动物血管和叶叶发育的关键融合体。JUL1被转录在叶静脉中,而蛋白质则分布在整个叶片中,它将高G地区Pri-MIR165a记录片粘合在呼吸道一侧。这种相互作用扰乱了发夹形成并抑制了DICER-LIKE1(DCL1)的中间处理,降低了MIR165/166的水平。因此,目标的笔数水平,即三级原生利素拉链(HD-ZIP III),增加,强化了亚氧-氧化极。我们的调查结果揭示了一种非细胞自主机制。</w:t>
      </w:r>
    </w:p>
    <w:p>
      <w:pPr>
        <w:spacing w:before="0" w:after="200" w:lineRule="auto" w:line="276"/>
      </w:pPr>
      <w:r>
        <w:rPr>
          <w:b/>
        </w:rPr>
        <w:t xml:space="preserve">Abstract (EN): </w:t>
      </w:r>
      <w:r>
        <w:t>The interplay between vascular development and leaf development is central to the evolutionary success of vascular plants, yet the underlying mechanisms remain poorly understood. Here, we identify the RNA-binding protein JULGI1 (JUL1) as a key integrator of vascular and leaf development in Arabidopsis. JUL1 is transcribed in leaf veins, while the protein distributes throughout the leaf, where it binds G-rich regions of pri-MIR165a transcripts on the abaxial side. This interaction disrupts hairpin formation and inhibits DICER-LIKE1 (DCL1)-mediated processing, reducing miR165/166 levels. Consequently, transcript levels of their targets, the Class III homeodomain leucine zipper (HD-ZIP III), increase, reinforcing adaxial-abaxial polarity. Our findings reveal a non-cell-autonomous mechanism by which vascular-derived JUL1 modulates miRNA biogenesis to coordinate leaf patterning with vascular development.</w:t>
      </w:r>
    </w:p>
    <w:p>
      <w:pPr>
        <w:spacing w:before="120" w:after="120"/>
      </w:pPr>
      <w:r>
        <w:rPr>
          <w:sz w:val="18"/>
        </w:rPr>
        <w:t>——————————————————————————————————————————————————————————————————————</w:t>
      </w:r>
    </w:p>
    <w:p>
      <w:pPr>
        <w:spacing w:before="160" w:after="40" w:line="240" w:lineRule="auto"/>
      </w:pPr>
      <w:r>
        <w:rPr>
          <w:b/>
        </w:rPr>
        <w:t xml:space="preserve">[614] </w:t>
      </w:r>
      <w:hyperlink r:id="rId1013">
        <w:r>
          <w:rPr>
            <w:color w:val="1155CC"/>
            <w:u w:val="single"/>
          </w:rPr>
          <w:t>迫切需要非洲在药品质量方面的研究协作</w:t>
        </w:r>
      </w:hyperlink>
    </w:p>
    <w:p>
      <w:pPr>
        <w:spacing w:before="0" w:after="80"/>
      </w:pPr>
      <w:r>
        <w:rPr>
          <w:i/>
          <w:sz w:val="20"/>
        </w:rPr>
        <w:t>EN: The urgent need for African research collaboration on medicine quality</w:t>
      </w:r>
    </w:p>
    <w:p>
      <w:pPr>
        <w:spacing w:before="0" w:after="120"/>
      </w:pPr>
      <w:r>
        <w:rPr>
          <w:b/>
        </w:rPr>
        <w:t xml:space="preserve">Source: </w:t>
      </w:r>
      <w:r>
        <w:t>Nature Communications</w:t>
      </w:r>
      <w:r>
        <w:t xml:space="preserve">    </w:t>
      </w:r>
      <w:r>
        <w:rPr>
          <w:b/>
        </w:rPr>
        <w:t xml:space="preserve">Pub date: </w:t>
      </w:r>
      <w:r>
        <w:t>2026-01-10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[615] </w:t>
      </w:r>
      <w:hyperlink r:id="rId1014">
        <w:r>
          <w:rPr>
            <w:color w:val="1155CC"/>
            <w:u w:val="single"/>
          </w:rPr>
          <w:t>放大振动和机械内存的地磁不稳定</w:t>
        </w:r>
      </w:hyperlink>
    </w:p>
    <w:p>
      <w:pPr>
        <w:spacing w:before="0" w:after="80"/>
      </w:pPr>
      <w:r>
        <w:rPr>
          <w:i/>
          <w:sz w:val="20"/>
        </w:rPr>
        <w:t>EN: Elasto-magnetic instabilities for amplified actuation and mechanical memory</w:t>
      </w:r>
    </w:p>
    <w:p>
      <w:pPr>
        <w:spacing w:before="0" w:after="120"/>
      </w:pPr>
      <w:r>
        <w:rPr>
          <w:b/>
        </w:rPr>
        <w:t xml:space="preserve">Source: </w:t>
      </w:r>
      <w:r>
        <w:t>Nature Communications</w:t>
      </w:r>
      <w:r>
        <w:t xml:space="preserve">    </w:t>
      </w:r>
      <w:r>
        <w:rPr>
          <w:b/>
        </w:rPr>
        <w:t xml:space="preserve">Pub date: </w:t>
      </w:r>
      <w:r>
        <w:t>2026-01-10 00:00:00+00:00</w:t>
      </w:r>
    </w:p>
    <w:p>
      <w:pPr>
        <w:spacing w:before="0" w:after="120"/>
      </w:pPr>
      <w:r>
        <w:rPr>
          <w:b/>
        </w:rPr>
        <w:t xml:space="preserve">Notes: </w:t>
      </w:r>
      <w:r>
        <w:t>abstract_source=nature_html</w:t>
      </w:r>
    </w:p>
    <w:p>
      <w:pPr>
        <w:spacing w:before="0" w:after="80" w:lineRule="auto" w:line="276"/>
      </w:pPr>
      <w:r>
        <w:rPr>
          <w:b/>
        </w:rPr>
        <w:t xml:space="preserve">摘要（ZH）: </w:t>
      </w:r>
      <w:r>
        <w:t>不稳定性可以在机械系统中产生快速和放大的动作。 在这里, 我们展示了一种超磁性不稳定性, 将磁吸引和弹性紧张力结合起来, 以创造可平衡的动态。 为了证明这一点, 我们建造了一个结合的超磁性振动系统, 产生放大的运动, 比一个控制系统在广泛的频率范围内产生更大的变异和力量。 我们还建立了设计原则, 通过研究磁力和弹性力之间的平衡, 可用于不同的配置。 这个系统还展示了惯性歇斯底里, 通过用可调整的阈值储存挥发和非挥发模式的外部投入, 使机械内存成为机械性。 这个振动和记忆的双重功能显示了不稳定性是如何可能发生的 。</w:t>
      </w:r>
    </w:p>
    <w:p>
      <w:pPr>
        <w:spacing w:before="0" w:after="200" w:lineRule="auto" w:line="276"/>
      </w:pPr>
      <w:r>
        <w:rPr>
          <w:b/>
        </w:rPr>
        <w:t xml:space="preserve">Abstract (EN): </w:t>
      </w:r>
      <w:r>
        <w:t>Instabilities can generate fast and amplified motion in mechanical systems. Here, we present an elasto-magnetic instability that combines magnetic attraction and elastic tension to create bistable dynamics. To demonstrate this, we built a coupled elasto-magnetic vibration system that produces amplified motion and greater displacement and force than a control system across a wide frequency range. We also establish design principles that can be applied to different configurations by studying the balance between magnetic and elastic forces. The system also shows inertial hysteresis, which enables mechanical memory by storing external inputs in volatile and non-volatile modes with adjustable thresholds. This dual function of amplification and memory shows how instabilities can be potentially used for programmable and adaptive soft actuation.</w:t>
      </w:r>
    </w:p>
    <w:p>
      <w:pPr>
        <w:spacing w:before="120" w:after="120"/>
      </w:pPr>
      <w:r>
        <w:rPr>
          <w:sz w:val="18"/>
        </w:rPr>
        <w:t>——————————————————————————————————————————————————————————————————————</w:t>
      </w:r>
    </w:p>
    <w:p>
      <w:pPr>
        <w:spacing w:before="160" w:after="40" w:line="240" w:lineRule="auto"/>
      </w:pPr>
      <w:r>
        <w:rPr>
          <w:b/>
        </w:rPr>
        <w:t xml:space="preserve">[616] </w:t>
      </w:r>
      <w:hyperlink r:id="rId1015">
        <w:r>
          <w:rPr>
            <w:color w:val="1155CC"/>
            <w:u w:val="single"/>
          </w:rPr>
          <w:t>通过Van der Waals隧道接触,通过高效喷灌</w:t>
        </w:r>
      </w:hyperlink>
    </w:p>
    <w:p>
      <w:pPr>
        <w:spacing w:before="0" w:after="80"/>
      </w:pPr>
      <w:r>
        <w:rPr>
          <w:i/>
          <w:sz w:val="20"/>
        </w:rPr>
        <w:t>EN: Room-temperature high-efficiency spin injection via van der Waals tunnel contact</w:t>
      </w:r>
    </w:p>
    <w:p>
      <w:pPr>
        <w:spacing w:before="0" w:after="120"/>
      </w:pPr>
      <w:r>
        <w:rPr>
          <w:b/>
        </w:rPr>
        <w:t xml:space="preserve">Source: </w:t>
      </w:r>
      <w:r>
        <w:t>Nature Communications</w:t>
      </w:r>
      <w:r>
        <w:t xml:space="preserve">    </w:t>
      </w:r>
      <w:r>
        <w:rPr>
          <w:b/>
        </w:rPr>
        <w:t xml:space="preserve">Pub date: </w:t>
      </w:r>
      <w:r>
        <w:t>2026-01-10 00:00:00+00:00</w:t>
      </w:r>
    </w:p>
    <w:p>
      <w:pPr>
        <w:spacing w:before="0" w:after="120"/>
      </w:pPr>
      <w:r>
        <w:rPr>
          <w:b/>
        </w:rPr>
        <w:t xml:space="preserve">Notes: </w:t>
      </w:r>
      <w:r>
        <w:t>abstract_source=nature_html</w:t>
      </w:r>
    </w:p>
    <w:p>
      <w:pPr>
        <w:spacing w:before="0" w:after="80" w:lineRule="auto" w:line="276"/>
      </w:pPr>
      <w:r>
        <w:rPr>
          <w:b/>
        </w:rPr>
        <w:t xml:space="preserve">摘要（ZH）: </w:t>
      </w:r>
      <w:r>
        <w:t>在具有可伸缩性的房间温度下有效且可靠的旋转注射对脊柱性应用至关重要,但仍具有挑战性。二维材料的直接铁磁金属沉积往往导致低效率的透明接触。在这里,我们引入了铁磁钴(Co)和石墨之间一个缓冲层,以建立高效的范德华(VdW)隧道接触。这一缓冲层有助于在具有明确界定的VdW差距的CO和石墨之间建立一个物理吸附界面,该差距可起到有效的旋转隧道屏障的作用。通过缓冲层厚度优化,我们实现了在石墨中大约25%的室温旋转喷射效率,与最佳的单晶氧化铁管基装置相近。</w:t>
      </w:r>
    </w:p>
    <w:p>
      <w:pPr>
        <w:spacing w:before="0" w:after="200" w:lineRule="auto" w:line="276"/>
      </w:pPr>
      <w:r>
        <w:rPr>
          <w:b/>
        </w:rPr>
        <w:t xml:space="preserve">Abstract (EN): </w:t>
      </w:r>
      <w:r>
        <w:t>Efficient and reliable spin injection at room temperature with scalability is crucial for spintronic applications but remains challenging. Direct ferromagnetic metal deposition on two-dimensional materials often leads to inefficient transparent contacts. Here, we introduce an indium buffer layer between ferromagnetic cobalt (Co) and graphene to establish high-efficiency van der Waals (vdW) tunnel contacts. This buffer layer facilitates a physisorption interface between Co and graphene with a well-defined vdW gap, which functions as an effective spin tunnel barrier. Through buffer layer thickness optimization, we achieved a room-temperature spin injection efficiency of approximately 25% in graphene, comparable to the best single-crystalline oxide-tunnel-barrier-based devices, alongside explicit nonlocal spin valve signals and Hanle spin precession. We further demonstrate the scalability of our approach through uniform performance across multi-channel graphene spin valves and its versatility by achieving efficient spin injection in semiconducting MoS2 with an average efficiency of about 19.7%. Our strategy offers a simple, cost-efficient, and industry-compatible method for future large-scale and efficient spintronic applications.</w:t>
      </w:r>
    </w:p>
    <w:p>
      <w:pPr>
        <w:spacing w:before="120" w:after="120"/>
      </w:pPr>
      <w:r>
        <w:rPr>
          <w:sz w:val="18"/>
        </w:rPr>
        <w:t>——————————————————————————————————————————————————————————————————————</w:t>
      </w:r>
    </w:p>
    <w:p>
      <w:pPr>
        <w:spacing w:before="160" w:after="40" w:line="240" w:lineRule="auto"/>
      </w:pPr>
      <w:r>
        <w:rPr>
          <w:b/>
        </w:rPr>
        <w:t xml:space="preserve">[617] </w:t>
      </w:r>
      <w:hyperlink r:id="rId1016">
        <w:r>
          <w:rPr>
            <w:color w:val="1155CC"/>
            <w:u w:val="single"/>
          </w:rPr>
          <w:t>整合大型愿景语言模型,以高效地评估和报告灾后损失后评估和报告</w:t>
        </w:r>
      </w:hyperlink>
    </w:p>
    <w:p>
      <w:pPr>
        <w:spacing w:before="0" w:after="80"/>
      </w:pPr>
      <w:r>
        <w:rPr>
          <w:i/>
          <w:sz w:val="20"/>
        </w:rPr>
        <w:t>EN: Integration of large vision language models for efficient post-disaster damage assessment and reporting</w:t>
      </w:r>
    </w:p>
    <w:p>
      <w:pPr>
        <w:spacing w:before="0" w:after="120"/>
      </w:pPr>
      <w:r>
        <w:rPr>
          <w:b/>
        </w:rPr>
        <w:t xml:space="preserve">Source: </w:t>
      </w:r>
      <w:r>
        <w:t>Nature Communications</w:t>
      </w:r>
      <w:r>
        <w:t xml:space="preserve">    </w:t>
      </w:r>
      <w:r>
        <w:rPr>
          <w:b/>
        </w:rPr>
        <w:t xml:space="preserve">Pub date: </w:t>
      </w:r>
      <w:r>
        <w:t>2026-01-10 00:00:00+00:00</w:t>
      </w:r>
    </w:p>
    <w:p>
      <w:pPr>
        <w:spacing w:before="0" w:after="120"/>
      </w:pPr>
      <w:r>
        <w:rPr>
          <w:b/>
        </w:rPr>
        <w:t xml:space="preserve">Notes: </w:t>
      </w:r>
      <w:r>
        <w:t>abstract_source=nature_html</w:t>
      </w:r>
    </w:p>
    <w:p>
      <w:pPr>
        <w:spacing w:before="0" w:after="80" w:lineRule="auto" w:line="276"/>
      </w:pPr>
      <w:r>
        <w:rPr>
          <w:b/>
        </w:rPr>
        <w:t xml:space="preserve">摘要（ZH）: </w:t>
      </w:r>
      <w:r>
        <w:t>传统的自然灾害应对工作需要大力协调,速度和效率是关键,但是,人的局限性可能延误关键行动,无意中增加人和经济损失。 大型有远见的典型模式(LVLM)为应对这一挑战提供了一条途径,有可能产生巨大的社会经济影响,特别是通过改善欠发达区域的复原力和资源获取机会。 我们引入了Diseller,这是一个由多个LVLM驱动的多功能框架,旨在将灾后管理的任务自动化,包括现场评估、紧急警报、资源分配和恢复规划。通过协调以GPT-4为核心的四个专门的LVM代理,Disasteller可以加快救灾活动,减少h。</w:t>
      </w:r>
    </w:p>
    <w:p>
      <w:pPr>
        <w:spacing w:before="0" w:after="200" w:lineRule="auto" w:line="276"/>
      </w:pPr>
      <w:r>
        <w:rPr>
          <w:b/>
        </w:rPr>
        <w:t xml:space="preserve">Abstract (EN): </w:t>
      </w:r>
      <w:r>
        <w:t>Traditional natural disaster response involves significant coordinated teamwork, where speed and efficiency are key. Nonetheless, human limitations can delay critical actions and inadvertently increase human and economic losses. Agentic Large Vision Language Models (LVLMs) offer an avenue to address this challenge, with the potential for substantial socio-economic impact, particularly by improving resilience and resource access in underdeveloped regions. We introduce DisasTeller, a multi-LVLM-powered framework designed to automate tasks in post-disaster management, including on-site assessment, emergency alerts, resource allocation, and recovery planning. By coordinating four specialised LVLM agents with GPT-4 as the core, DisasTeller can accelerate disaster response activities, reducing human execution time and structuring information flow. Our evaluation shows both benefits and challenges: while DisasTeller streamlines coordination and report generation, errors in early-stage assessments may propagate downstream, highlighting the need for human validation and improved LVLM accuracy. This framework acts as a complementary support system to expert teams, bridging the gap between traditional response methods and emerging LVLM-driven efficiency, while highlighting the importance of continued refinement and collaboration for safe, trustworthy deployment.</w:t>
      </w:r>
    </w:p>
    <w:p>
      <w:pPr>
        <w:spacing w:before="120" w:after="120"/>
      </w:pPr>
      <w:r>
        <w:rPr>
          <w:sz w:val="18"/>
        </w:rPr>
        <w:t>——————————————————————————————————————————————————————————————————————</w:t>
      </w:r>
    </w:p>
    <w:p>
      <w:pPr>
        <w:spacing w:before="160" w:after="40" w:line="240" w:lineRule="auto"/>
      </w:pPr>
      <w:r>
        <w:rPr>
          <w:b/>
        </w:rPr>
        <w:t xml:space="preserve">[618] </w:t>
      </w:r>
      <w:hyperlink r:id="rId1017">
        <w:r>
          <w:rPr>
            <w:color w:val="1155CC"/>
            <w:u w:val="single"/>
          </w:rPr>
          <w:t>工业规模用用过的锂离子电池的多元阴极材料的灵活直接再生</w:t>
        </w:r>
      </w:hyperlink>
    </w:p>
    <w:p>
      <w:pPr>
        <w:spacing w:before="0" w:after="80"/>
      </w:pPr>
      <w:r>
        <w:rPr>
          <w:i/>
          <w:sz w:val="20"/>
        </w:rPr>
        <w:t>EN: Flexible direct regeneration of heterogeneous cathode materials of spent lithium-ion batteries at industrial scale</w:t>
      </w:r>
    </w:p>
    <w:p>
      <w:pPr>
        <w:spacing w:before="0" w:after="120"/>
      </w:pPr>
      <w:r>
        <w:rPr>
          <w:b/>
        </w:rPr>
        <w:t xml:space="preserve">Source: </w:t>
      </w:r>
      <w:r>
        <w:t>National Science Review Advance Access</w:t>
      </w:r>
      <w:r>
        <w:t xml:space="preserve">    </w:t>
      </w:r>
      <w:r>
        <w:rPr>
          <w:b/>
        </w:rPr>
        <w:t xml:space="preserve">Pub date: </w:t>
      </w:r>
      <w:r>
        <w:t>2026-01-10 00:00:00+00:00</w:t>
      </w:r>
      <w:r>
        <w:t xml:space="preserve">    </w:t>
      </w:r>
      <w:r>
        <w:rPr>
          <w:b/>
        </w:rPr>
        <w:t xml:space="preserve">DOI: </w:t>
      </w:r>
      <w:hyperlink r:id="rId1018">
        <w:r>
          <w:rPr>
            <w:color w:val="1155CC"/>
            <w:u w:val="single"/>
          </w:rPr>
          <w:t>10.1093/nsr/nwag017/8419698</w:t>
        </w:r>
      </w:hyperlink>
    </w:p>
    <w:p>
      <w:pPr>
        <w:spacing w:before="0" w:after="120"/>
      </w:pPr>
      <w:r>
        <w:rPr>
          <w:b/>
        </w:rPr>
        <w:t xml:space="preserve">Notes: </w:t>
      </w:r>
      <w:r>
        <w:t>abstract_source=rss_oup</w:t>
      </w:r>
    </w:p>
    <w:p>
      <w:pPr>
        <w:spacing w:before="0" w:after="80" w:lineRule="auto" w:line="276"/>
      </w:pPr>
      <w:r>
        <w:rPr>
          <w:b/>
        </w:rPr>
        <w:t xml:space="preserve">摘要（ZH）: </w:t>
      </w:r>
      <w:r>
        <w:t>直接再循环因其简单和成本效益而成为现有回收方法的一个很有希望的替代物,但它的可伸缩应用仍然是一个争论的主题,主要原因是混合降解的阴极材料在实际中的复杂性,原因是具有不同成分的退化材料极难修理成成分和性能均匀的阴极材料。我们在此成功地从工业规模的不同来源直接恢复了混杂的已降解的LiNi0.5Coo0.2Mn0.3O2。首先,通过Li-1-甲基-2-丙烯酮和LiNi-00.2Mn0.3O2分子之间的范德尔瓦电压,实现了统一的接触点光化,使其处于一个统一的锂富集分子状态。</w:t>
      </w:r>
    </w:p>
    <w:p>
      <w:pPr>
        <w:spacing w:before="0" w:after="200" w:lineRule="auto" w:line="276"/>
      </w:pPr>
      <w:r>
        <w:rPr>
          <w:b/>
        </w:rPr>
        <w:t xml:space="preserve">Abstract (EN): </w:t>
      </w:r>
      <w:r>
        <w:t>Direct recycling has emerged as a promising alternative to existing recycling methods due to its simplicity and cost-effectiveness. However, its scalable application remains a subject of debate, primarily due to the complexity of mixed degraded cathode materials in practice. The reason is that degraded materials with different compositions are extremely difficult to be repaired to cathode materials with uniform composition and performance. Herein, we have successfully realized direct regeneration of mixed heterogeneous degraded LiNi0.5Co0.2Mn0.3O2 from different sources at industrial scale. First, uniform contact lithiation is achieved through the van der Waals force between Li-1-methyl-2-pyrrolidinone and LiNi0.5Co0.2Mn0.3O2 molecules, leaving it in a uniform lithium-rich state. A self-saturating synthetic lithiation process occurs during subsequent heating, ensuring that each particle from various sources is repaired as needed. This method has been demonstrated to treat 50 kg of cathode materials per batch, and the regenerated products show uniform and excellent performance, achieving a retention rate of 90.7% after 1500 cycles in Ah level pouch cells. This performance is the best result reported to date and sets a new benchmark for regenerated LiNixCoyMn1-x-yO2 cathode materials, which have reached the standard for direct commercial use.</w:t>
      </w:r>
    </w:p>
    <w:p>
      <w:pPr>
        <w:spacing w:before="120" w:after="120"/>
      </w:pPr>
      <w:r>
        <w:rPr>
          <w:sz w:val="18"/>
        </w:rPr>
        <w:t>——————————————————————————————————————————————————————————————————————</w:t>
      </w:r>
    </w:p>
    <w:p>
      <w:pPr>
        <w:spacing w:before="160" w:after="40" w:line="240" w:lineRule="auto"/>
      </w:pPr>
      <w:r>
        <w:rPr>
          <w:b/>
        </w:rPr>
        <w:t xml:space="preserve">[619] </w:t>
      </w:r>
      <w:hyperlink r:id="rId1019">
        <w:r>
          <w:rPr>
            <w:color w:val="1155CC"/>
            <w:u w:val="single"/>
          </w:rPr>
          <w:t>工业机器人的绿色和棕色两面:创新、AI驱动专利、能源政策干预和排放动态</w:t>
        </w:r>
      </w:hyperlink>
    </w:p>
    <w:p>
      <w:pPr>
        <w:spacing w:before="0" w:after="80"/>
      </w:pPr>
      <w:r>
        <w:rPr>
          <w:i/>
          <w:sz w:val="20"/>
        </w:rPr>
        <w:t>EN: The green and brown sides of industrial robots: Innovations, AI-Driven patents, energy policy interventions, and emissions dynamics</w:t>
      </w:r>
    </w:p>
    <w:p>
      <w:pPr>
        <w:spacing w:before="0" w:after="120"/>
      </w:pPr>
      <w:r>
        <w:rPr>
          <w:b/>
        </w:rPr>
        <w:t xml:space="preserve">Source: </w:t>
      </w:r>
      <w:r>
        <w:t>ScienceDirect Publication: Energy Policy</w:t>
      </w:r>
      <w:r>
        <w:t xml:space="preserve">    </w:t>
      </w:r>
      <w:r>
        <w:rPr>
          <w:b/>
        </w:rPr>
        <w:t xml:space="preserve">Pub date: </w:t>
      </w:r>
      <w:r>
        <w:t>2026-01-10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[620] </w:t>
      </w:r>
      <w:hyperlink r:id="rId1020">
        <w:r>
          <w:rPr>
            <w:color w:val="1155CC"/>
            <w:u w:val="single"/>
          </w:rPr>
          <w:t>通过Argyrodite电解槽技术工程,对超稳定、所有固体固态锂电池实行空间收费条例</w:t>
        </w:r>
      </w:hyperlink>
    </w:p>
    <w:p>
      <w:pPr>
        <w:spacing w:before="0" w:after="80"/>
      </w:pPr>
      <w:r>
        <w:rPr>
          <w:i/>
          <w:sz w:val="20"/>
        </w:rPr>
        <w:t>EN: Space charge regulation for ultra-stable all-solid-state lithium batteries by engineering of argyrodite electrolyte</w:t>
      </w:r>
    </w:p>
    <w:p>
      <w:pPr>
        <w:spacing w:before="0" w:after="120"/>
      </w:pPr>
      <w:r>
        <w:rPr>
          <w:b/>
        </w:rPr>
        <w:t xml:space="preserve">Source: </w:t>
      </w:r>
      <w:r>
        <w:t>National Science Review Advance Access</w:t>
      </w:r>
      <w:r>
        <w:t xml:space="preserve">    </w:t>
      </w:r>
      <w:r>
        <w:rPr>
          <w:b/>
        </w:rPr>
        <w:t xml:space="preserve">Pub date: </w:t>
      </w:r>
      <w:r>
        <w:t>2026-01-10 00:00:00+00:00</w:t>
      </w:r>
      <w:r>
        <w:t xml:space="preserve">    </w:t>
      </w:r>
      <w:r>
        <w:rPr>
          <w:b/>
        </w:rPr>
        <w:t xml:space="preserve">DOI: </w:t>
      </w:r>
      <w:hyperlink r:id="rId1021">
        <w:r>
          <w:rPr>
            <w:color w:val="1155CC"/>
            <w:u w:val="single"/>
          </w:rPr>
          <w:t>10.1093/nsr/nwag015/8419696</w:t>
        </w:r>
      </w:hyperlink>
    </w:p>
    <w:p>
      <w:pPr>
        <w:spacing w:before="0" w:after="120"/>
      </w:pPr>
      <w:r>
        <w:rPr>
          <w:b/>
        </w:rPr>
        <w:t xml:space="preserve">Notes: </w:t>
      </w:r>
      <w:r>
        <w:t>abstract_source=rss_oup</w:t>
      </w:r>
    </w:p>
    <w:p>
      <w:pPr>
        <w:spacing w:before="0" w:after="80" w:lineRule="auto" w:line="276"/>
      </w:pPr>
      <w:r>
        <w:rPr>
          <w:b/>
        </w:rPr>
        <w:t xml:space="preserve">摘要（ZH）: </w:t>
      </w:r>
      <w:r>
        <w:t>在阴极-电解介面形成的空间充电器层(SCL)严重限制了基于硫化物的全固体硅电池(ASSLBs)的性能。虽然常规战略侧重于对阴极的修改,但我们提议一种新型电解中枢方法,将WO3纳入Argyrodite电解器(Li5.49P0.99W0.01S4.47O0.03Cl1.5),在5 000个周期(5C)后保留92%的容量(1C)和80%的容量。这一设计在O替代的Argyrodite电子解析器中达到13.5 mScm-1(在25°C)。当与LiNi0.92.92C.0.05Mn0.03O2相配时,整个电池在0.1C时会交付217 mAhg-1,在1000周期(1C)后保留92%的容量和在5 000周期(5C)后保留了80%的容量。在经常使用的L5.5PS4.5C4.5Cl1.5argyrodite电解解解解器(0.1时200 mAh-1</w:t>
      </w:r>
    </w:p>
    <w:p>
      <w:pPr>
        <w:spacing w:before="0" w:after="200" w:lineRule="auto" w:line="276"/>
      </w:pPr>
      <w:r>
        <w:rPr>
          <w:b/>
        </w:rPr>
        <w:t xml:space="preserve">Abstract (EN): </w:t>
      </w:r>
      <w:r>
        <w:t>Space charge layer (SCL) formation at cathode–electrolyte interfaces severely limits the performance of sulfide-based all-solid-state Li batteries (ASSLBs). While conventional strategies focus on cathode modifications, we propose a novel electrolyte-centric approach by incorporating WO3 into argyrodite electrolyte (Li5.49P0.99W0.01S4.47O0.03Cl1.5). This design achieves a record-high ionic conductivity of 13.5 mS cm−1 (at 25°C) among O-substituted argyrodites. When paired with a LiNi0.92Co0.05Mn0.03O2 cathode, the full cell delivers 217 mAh g−1 at 0.1C, and retains 92% capacity after 1000 cycles (1C) and 80% capacity after 5000 cycles (5C), far outperforming the cells with frequently-used Li5.5PS4.5Cl1.5 argyrodite electrolytes (200 mAh g−1 at 0.1C; failure at 408 cycles at 1C). Mechanistic studies reveal that WO3 substitution modulates the electrolyte’s chemical potential to align with the cathode, reducing interfacial energy barriers and inhibiting Li+ depletion, and then significantly suppresses SCL effects. This work pioneers an electrolyte engineering strategy to mitigate SCL issues, enabling high-energy-density, ultra-stable ASSLBs.</w:t>
      </w:r>
    </w:p>
    <w:p>
      <w:pPr>
        <w:spacing w:before="120" w:after="120"/>
      </w:pPr>
      <w:r>
        <w:rPr>
          <w:sz w:val="18"/>
        </w:rPr>
        <w:t>——————————————————————————————————————————————————————————————————————</w:t>
      </w:r>
    </w:p>
    <w:p>
      <w:pPr>
        <w:spacing w:before="160" w:after="40" w:line="240" w:lineRule="auto"/>
      </w:pPr>
      <w:r>
        <w:rPr>
          <w:b/>
        </w:rPr>
        <w:t xml:space="preserve">[621] </w:t>
      </w:r>
      <w:hyperlink r:id="rId1022">
        <w:r>
          <w:rPr>
            <w:color w:val="1155CC"/>
            <w:u w:val="single"/>
          </w:rPr>
          <w:t>含有伪塑料吸收带的分子金属纳米粒子</w:t>
        </w:r>
      </w:hyperlink>
    </w:p>
    <w:p>
      <w:pPr>
        <w:spacing w:before="0" w:after="80"/>
      </w:pPr>
      <w:r>
        <w:rPr>
          <w:i/>
          <w:sz w:val="20"/>
        </w:rPr>
        <w:t>EN: Molecular metal nanoparticles with pseudo-plasma absorption band</w:t>
      </w:r>
    </w:p>
    <w:p>
      <w:pPr>
        <w:spacing w:before="0" w:after="120"/>
      </w:pPr>
      <w:r>
        <w:rPr>
          <w:b/>
        </w:rPr>
        <w:t xml:space="preserve">Source: </w:t>
      </w:r>
      <w:r>
        <w:t>National Science Review Advance Access</w:t>
      </w:r>
      <w:r>
        <w:t xml:space="preserve">    </w:t>
      </w:r>
      <w:r>
        <w:rPr>
          <w:b/>
        </w:rPr>
        <w:t xml:space="preserve">Pub date: </w:t>
      </w:r>
      <w:r>
        <w:t>2026-01-10 00:00:00+00:00</w:t>
      </w:r>
      <w:r>
        <w:t xml:space="preserve">    </w:t>
      </w:r>
      <w:r>
        <w:rPr>
          <w:b/>
        </w:rPr>
        <w:t xml:space="preserve">DOI: </w:t>
      </w:r>
      <w:hyperlink r:id="rId1023">
        <w:r>
          <w:rPr>
            <w:color w:val="1155CC"/>
            <w:u w:val="single"/>
          </w:rPr>
          <w:t>10.1093/nsr/nwag001/8419693</w:t>
        </w:r>
      </w:hyperlink>
    </w:p>
    <w:p>
      <w:pPr>
        <w:spacing w:before="0" w:after="120"/>
      </w:pPr>
      <w:r>
        <w:rPr>
          <w:b/>
        </w:rPr>
        <w:t xml:space="preserve">Notes: </w:t>
      </w:r>
      <w:r>
        <w:t>abstract_source=rss_oup</w:t>
      </w:r>
    </w:p>
    <w:p>
      <w:pPr>
        <w:spacing w:before="0" w:after="80" w:lineRule="auto" w:line="276"/>
      </w:pPr>
      <w:r>
        <w:rPr>
          <w:b/>
        </w:rPr>
        <w:t xml:space="preserve">摘要（ZH）: </w:t>
      </w:r>
      <w:r>
        <w:t>金属纳米粒子包括分子纳米团和金属纳米内晶体。 调查从纳米团到纳米内晶体的关键过渡体积是吸引人心的。 然而,在关键体积区域附近实现精确的大小控制仍然具有挑战性,特别是对于不那么高贵的金属纳米粒子(Ag、Cu等)来说。 在这里,我们引入了一种积极的金属抗加银兴奋剂战略,以解决稳定性和多分布性问题,并展示了1796-Agn纳米粒子(Ag、Cu等)中100个金属原子纳米粒子的现有晶体输出记录200倍以上(2.40克晶体,超过200倍)。 此外,我们成功地取消了对Agn纳米粒子的配置,通过悬浮交换法使结构基本保持不变,获得了1.03克。</w:t>
      </w:r>
    </w:p>
    <w:p>
      <w:pPr>
        <w:spacing w:before="0" w:after="200" w:lineRule="auto" w:line="276"/>
      </w:pPr>
      <w:r>
        <w:rPr>
          <w:b/>
        </w:rPr>
        <w:t xml:space="preserve">Abstract (EN): </w:t>
      </w:r>
      <w:r>
        <w:t>Metal nanoparticles include molecular nanoclusters and metallic nanocrystals. Investigating the critical transition sizes from nanoclusters to nanocrystals is appealing. However, achieving precise size control near the critical size region remains challenging, especially for not so noble metal nanoparticles (Ag, Cu, etc.). Herein, we introduced an active metal anti-galvanic doping strategy to resolve both stability and multi-dispersity issues and demonstrated the gram-scale synthesis (2.40 g of crystals, more than 200 times the existing crystal output record for over 100-metal atom nanoparticles) of a 1796-atom Ag–Zn nanoparticle. Furthermore, we successfully de-alloyed the Ag–Zn nanoparticles with the remained structure essentially unchanged via a ligand-exchange method, obtaining 1.03 g of mono-silver nanoparticle crystals in a one-pot reaction. Such a surgery-like delloying was not previously reported. Both the as-obtained nanoparticles exhibit penta-twinned face-centered cubic (fcc</w:t>
      </w:r>
    </w:p>
    <w:p>
      <w:pPr>
        <w:spacing w:before="120" w:after="120"/>
      </w:pPr>
      <w:r>
        <w:rPr>
          <w:sz w:val="18"/>
        </w:rPr>
        <w:t>——————————————————————————————————————————————————————————————————————</w:t>
      </w:r>
    </w:p>
    <w:p>
      <w:pPr>
        <w:spacing w:before="160" w:after="40" w:line="240" w:lineRule="auto"/>
      </w:pPr>
      <w:r>
        <w:rPr>
          <w:b/>
        </w:rPr>
        <w:t xml:space="preserve">[622] </w:t>
      </w:r>
      <w:hyperlink r:id="rId1024">
        <w:r>
          <w:rPr>
            <w:color w:val="1155CC"/>
            <w:u w:val="single"/>
          </w:rPr>
          <w:t>电子皮肤可缩放激光诱发石墨</w:t>
        </w:r>
      </w:hyperlink>
    </w:p>
    <w:p>
      <w:pPr>
        <w:spacing w:before="0" w:after="80"/>
      </w:pPr>
      <w:r>
        <w:rPr>
          <w:i/>
          <w:sz w:val="20"/>
        </w:rPr>
        <w:t>EN: Universal modulus-free transfer of scalable laser-induced graphene for electronic skins</w:t>
      </w:r>
    </w:p>
    <w:p>
      <w:pPr>
        <w:spacing w:before="0" w:after="120"/>
      </w:pPr>
      <w:r>
        <w:rPr>
          <w:b/>
        </w:rPr>
        <w:t xml:space="preserve">Source: </w:t>
      </w:r>
      <w:r>
        <w:t>Nature Communications</w:t>
      </w:r>
      <w:r>
        <w:t xml:space="preserve">    </w:t>
      </w:r>
      <w:r>
        <w:rPr>
          <w:b/>
        </w:rPr>
        <w:t xml:space="preserve">Pub date: </w:t>
      </w:r>
      <w:r>
        <w:t>2026-01-10 00:00:00+00:00</w:t>
      </w:r>
    </w:p>
    <w:p>
      <w:pPr>
        <w:spacing w:before="0" w:after="120"/>
      </w:pPr>
      <w:r>
        <w:rPr>
          <w:b/>
        </w:rPr>
        <w:t xml:space="preserve">Notes: </w:t>
      </w:r>
      <w:r>
        <w:t>abstract_source=nature_html</w:t>
      </w:r>
    </w:p>
    <w:p>
      <w:pPr>
        <w:spacing w:before="0" w:after="80" w:lineRule="auto" w:line="276"/>
      </w:pPr>
      <w:r>
        <w:rPr>
          <w:b/>
        </w:rPr>
        <w:t xml:space="preserve">摘要（ZH）: </w:t>
      </w:r>
      <w:r>
        <w:t>具有多功能和大型功能的电子皮肤(E-sckin)对于人体机器相互作用和可磨损的健康监测非常可取。激光诱发的石墨(LIG)为这些装置提供了可裁量的物理和化学特性。然而,较高的来自LIG的先质模量妨碍了其应用设想。在这里,我们报告LIG通过调节玻璃转换温度或转移介质的冷点,普遍采用低温转移方法。热扩张引起的相互隔热、相互分离的方便和多石墨层内强烈的静电相互作用解释了转移机制。这有助于将LIG高质量地转移到弹性体、水文凝胶和注入电源的织物。</w:t>
      </w:r>
    </w:p>
    <w:p>
      <w:pPr>
        <w:spacing w:before="0" w:after="200" w:lineRule="auto" w:line="276"/>
      </w:pPr>
      <w:r>
        <w:rPr>
          <w:b/>
        </w:rPr>
        <w:t xml:space="preserve">Abstract (EN): </w:t>
      </w:r>
      <w:r>
        <w:t>Electronic skin (E-skin) with multifunctionality and large-scale features is highly desirable for human-machine interactions and wearable health monitoring. Laser-induced graphene (LIG) affords such devices with tailorable physical and chemical properties. However, relatively high Young’s modulus of precursors that derive LIG hinders its application scenarios. Here, we report a universal cryogenic transfer approach for LIG via regulating the glass transition temperature or freezing point of the transfer media. The thermal expansion-induced interlocking, ease of interfacial separation and strong electrostatic interactions within the multiple graphene layers explain the transfer mechanisms. This contributes to the high-quality transfer of LIG onto elastomers, hydrogels and fabrics infused with various fluids. The thickness of typical elastomer can be down to 6.7 μm with its Young’s modulus ranging from 4.5 MPa to 3.9 kPa. Using this transfer technique, we create large-scale and double-layer E-skins integrated on a humanoid robot face, achieving emotional interactions with humans. The proposed strategy for merging LIG with broad categories of media affords on-demand designs of wearable and implantable electronics.</w:t>
      </w:r>
    </w:p>
    <w:p>
      <w:pPr>
        <w:spacing w:before="120" w:after="120"/>
      </w:pPr>
      <w:r>
        <w:rPr>
          <w:sz w:val="18"/>
        </w:rPr>
        <w:t>——————————————————————————————————————————————————————————————————————</w:t>
      </w:r>
    </w:p>
    <w:p>
      <w:pPr>
        <w:spacing w:before="160" w:after="40" w:line="240" w:lineRule="auto"/>
      </w:pPr>
      <w:r>
        <w:rPr>
          <w:b/>
        </w:rPr>
        <w:t xml:space="preserve">[623] </w:t>
      </w:r>
      <w:hyperlink r:id="rId1025">
        <w:r>
          <w:rPr>
            <w:color w:val="1155CC"/>
            <w:u w:val="single"/>
          </w:rPr>
          <w:t>超高速硫化物光氧化作用的银 -- -- Porphyrin单氧化物单氧化催化剂</w:t>
        </w:r>
      </w:hyperlink>
    </w:p>
    <w:p>
      <w:pPr>
        <w:spacing w:before="0" w:after="80"/>
      </w:pPr>
      <w:r>
        <w:rPr>
          <w:i/>
          <w:sz w:val="20"/>
        </w:rPr>
        <w:t>EN: Selective Singlet Oxygen Generation over a Silver–Porphyrin Single‐Atom‐Site Catalyst for Ultrafast Sulfide Photooxidation</w:t>
      </w:r>
    </w:p>
    <w:p>
      <w:pPr>
        <w:spacing w:before="0" w:after="120"/>
      </w:pPr>
      <w:r>
        <w:rPr>
          <w:b/>
        </w:rPr>
        <w:t xml:space="preserve">Source: </w:t>
      </w:r>
      <w:r>
        <w:t>Wiley: Angewandte Chemie International Edition: Table of Contents</w:t>
      </w:r>
      <w:r>
        <w:t xml:space="preserve">    </w:t>
      </w:r>
      <w:r>
        <w:rPr>
          <w:b/>
        </w:rPr>
        <w:t xml:space="preserve">Pub date: </w:t>
      </w:r>
      <w:r>
        <w:t>2026-01-10 13:48:03+00:00</w:t>
      </w:r>
      <w:r>
        <w:t xml:space="preserve">    </w:t>
      </w:r>
      <w:r>
        <w:rPr>
          <w:b/>
        </w:rPr>
        <w:t xml:space="preserve">DOI: </w:t>
      </w:r>
      <w:hyperlink r:id="rId1026">
        <w:r>
          <w:rPr>
            <w:color w:val="1155CC"/>
            <w:u w:val="single"/>
          </w:rPr>
          <w:t>10.1002/anie.202523736</w:t>
        </w:r>
      </w:hyperlink>
    </w:p>
    <w:p>
      <w:pPr>
        <w:spacing w:before="0" w:after="120"/>
      </w:pPr>
      <w:r>
        <w:rPr>
          <w:b/>
        </w:rPr>
        <w:t xml:space="preserve">Notes: </w:t>
      </w:r>
      <w:r>
        <w:t>abstract_source=crossref</w:t>
      </w:r>
    </w:p>
    <w:p>
      <w:pPr>
        <w:spacing w:before="0" w:after="80" w:lineRule="auto" w:line="276"/>
      </w:pPr>
      <w:r>
        <w:rPr>
          <w:b/>
        </w:rPr>
        <w:t xml:space="preserve">摘要（ZH）: </w:t>
      </w:r>
      <w:r>
        <w:t>硫化物选择性氧化为二氧化物,是合成化学和制药化学的一个根本转变,但大多数催化系统需要苛刻的条件或长时间反应时间。在这里,我们报告了一种银-磷素单原子催化剂(AgTMPP;TPP2=四基(4-甲基苯基)磷酸盐),这种催化剂能够在温和条件下对硫化物进行超快光氧化。AGTMPP通过AGNO 3和TMPPH 2的简单溶液自行组装很容易获得,它提供了一种由C-H相互作用稳定下来的井状三维框架。</w:t>
      </w:r>
    </w:p>
    <w:p>
      <w:pPr>
        <w:spacing w:before="0" w:after="200" w:lineRule="auto" w:line="276"/>
      </w:pPr>
      <w:r>
        <w:rPr>
          <w:b/>
        </w:rPr>
        <w:t xml:space="preserve">Abstract (EN): </w:t>
      </w:r>
      <w:r>
        <w:t>The selective oxidation of sulfides to sulfoxides represents a fundamental transformation in synthetic and pharmaceutical chemistry, yet most catalytic systems require harsh conditions or long reaction times. Herein, we report a silver–porphyrin single‐atom‐site catalyst (Ag‐TMPP; TMPPH</w:t>
      </w:r>
      <w:r>
        <w:rPr>
          <w:vertAlign w:val="subscript"/>
        </w:rPr>
        <w:t>2</w:t>
      </w:r>
      <w:r>
        <w:t>= tetrakis(4‐methylphenyl)porphyrin) that enables ultrafast photooxidation of sulfides under mild conditions. Ag‐TMPP is readily obtained by a simple solution‐phase self‐assembly of AgNO</w:t>
      </w:r>
      <w:r>
        <w:rPr>
          <w:vertAlign w:val="subscript"/>
        </w:rPr>
        <w:t>3</w:t>
      </w:r>
      <w:r>
        <w:t>and TMPPH</w:t>
      </w:r>
      <w:r>
        <w:rPr>
          <w:vertAlign w:val="subscript"/>
        </w:rPr>
        <w:t>2</w:t>
      </w:r>
      <w:r>
        <w:t>, affording a well‐ordered three‐dimensional framework stabilized by C─H···π interactions. The catalyst achieves nearly quantitative conversion of methyl phenyl sulfide to sulfoxide within 15 min, delivering a turnover frequency of 3112 h</w:t>
      </w:r>
      <w:r>
        <w:t xml:space="preserve"> </w:t>
      </w:r>
      <w:r>
        <w:t>−1</w:t>
      </w:r>
      <w:r>
        <w:t xml:space="preserve"> </w:t>
      </w:r>
      <w:r>
        <w:t>—among the highest reported for heterogeneous metal‐based systems. It exhibits excellent recyclability and broad substrate tolerance, efficiently oxidizing both aryl and alkyl sulfides. Mechanistic investigations supported by electron paramagnetic resonance (EPR) spectroscopy and density functional theory (DFT) calculations reveal that the exceptional performance originates from the highly selective generation of singlet oxygen (</w:t>
      </w:r>
      <w:r>
        <w:rPr>
          <w:vertAlign w:val="subscript"/>
        </w:rPr>
        <w:t>1</w:t>
      </w:r>
      <w:r>
        <w:t>O</w:t>
      </w:r>
      <w:r>
        <w:rPr>
          <w:vertAlign w:val="subscript"/>
        </w:rPr>
        <w:t>2</w:t>
      </w:r>
      <w:r>
        <w:t>), whereas other metalloporphyrins (M = Cu, Co, Zn</w:t>
      </w:r>
      <w:r>
        <w:t xml:space="preserve"> </w:t>
      </w:r>
      <w:r>
        <w:t>etc</w:t>
      </w:r>
      <w:r>
        <w:t xml:space="preserve"> </w:t>
      </w:r>
      <w:r>
        <w:t>.) favor competing reactive oxygen species. This study provides an accessible and efficient strategy for harnessing</w:t>
      </w:r>
      <w:r>
        <w:rPr>
          <w:vertAlign w:val="subscript"/>
        </w:rPr>
        <w:t>1</w:t>
      </w:r>
      <w:r>
        <w:t>O</w:t>
      </w:r>
      <w:r>
        <w:rPr>
          <w:vertAlign w:val="subscript"/>
        </w:rPr>
        <w:t>2</w:t>
      </w:r>
      <w:r>
        <w:t>in photooxidation catalysis.</w:t>
      </w:r>
    </w:p>
    <w:p>
      <w:pPr>
        <w:spacing w:before="120" w:after="120"/>
      </w:pPr>
      <w:r>
        <w:rPr>
          <w:sz w:val="18"/>
        </w:rPr>
        <w:t>——————————————————————————————————————————————————————————————————————</w:t>
      </w:r>
    </w:p>
    <w:p>
      <w:pPr>
        <w:spacing w:before="160" w:after="40" w:line="240" w:lineRule="auto"/>
      </w:pPr>
      <w:r>
        <w:rPr>
          <w:b/>
        </w:rPr>
        <w:t xml:space="preserve">[624] </w:t>
      </w:r>
      <w:hyperlink r:id="rId1027">
        <w:r>
          <w:rPr>
            <w:color w:val="1155CC"/>
            <w:u w:val="single"/>
          </w:rPr>
          <w:t>Lipidic中继器中封闭的水动态</w:t>
        </w:r>
      </w:hyperlink>
    </w:p>
    <w:p>
      <w:pPr>
        <w:spacing w:before="0" w:after="80"/>
      </w:pPr>
      <w:r>
        <w:rPr>
          <w:i/>
          <w:sz w:val="20"/>
        </w:rPr>
        <w:t>EN: Geometry Controls Confined Water Dynamics in Lipidic Mesophases</w:t>
      </w:r>
    </w:p>
    <w:p>
      <w:pPr>
        <w:spacing w:before="0" w:after="120"/>
      </w:pPr>
      <w:r>
        <w:rPr>
          <w:b/>
        </w:rPr>
        <w:t xml:space="preserve">Source: </w:t>
      </w:r>
      <w:r>
        <w:t>Wiley: Angewandte Chemie International Edition: Table of Contents</w:t>
      </w:r>
      <w:r>
        <w:t xml:space="preserve">    </w:t>
      </w:r>
      <w:r>
        <w:rPr>
          <w:b/>
        </w:rPr>
        <w:t xml:space="preserve">Pub date: </w:t>
      </w:r>
      <w:r>
        <w:t>2026-01-10 13:50:13+00:00</w:t>
      </w:r>
      <w:r>
        <w:t xml:space="preserve">    </w:t>
      </w:r>
      <w:r>
        <w:rPr>
          <w:b/>
        </w:rPr>
        <w:t xml:space="preserve">DOI: </w:t>
      </w:r>
      <w:hyperlink r:id="rId1028">
        <w:r>
          <w:rPr>
            <w:color w:val="1155CC"/>
            <w:u w:val="single"/>
          </w:rPr>
          <w:t>10.1002/anie.202522757</w:t>
        </w:r>
      </w:hyperlink>
    </w:p>
    <w:p>
      <w:pPr>
        <w:spacing w:before="0" w:after="120"/>
      </w:pPr>
      <w:r>
        <w:rPr>
          <w:b/>
        </w:rPr>
        <w:t xml:space="preserve">Notes: </w:t>
      </w:r>
      <w:r>
        <w:t>abstract_source=crossref</w:t>
      </w:r>
    </w:p>
    <w:p>
      <w:pPr>
        <w:spacing w:before="0" w:after="80" w:lineRule="auto" w:line="276"/>
      </w:pPr>
      <w:r>
        <w:rPr>
          <w:b/>
        </w:rPr>
        <w:t xml:space="preserve">摘要（ZH）: </w:t>
      </w:r>
      <w:r>
        <w:t>纳米级封闭下的抽象水是生物功能、催解和软材料的核心,然而,几何如何决定其结构和动态仍然有待解决。在这里,我们利用一个受考古启发的植物性磷酸盐水脂性中间线平台,在跨轴弯曲与封闭水行为之间建立直接的联系。通过系统地调整横跨瘸子、双环环球立体和反向小鼠相,以及整合结构、热动力学和超长谱谱谱谱,我们表明几何控制着氢孔网的维度和流动性。 平板界面实施2D网络,通过空间限制减缓跨轴水,而曲线的双尾和小鼠地形学则促进3D网络。</w:t>
      </w:r>
    </w:p>
    <w:p>
      <w:pPr>
        <w:spacing w:before="0" w:after="200" w:lineRule="auto" w:line="276"/>
      </w:pPr>
      <w:r>
        <w:rPr>
          <w:b/>
        </w:rPr>
        <w:t xml:space="preserve">Abstract (EN): </w:t>
      </w:r>
      <w:r>
        <w:t>Water under nanoscale confinement is central to biological function, catalysis, and soft materials, yet how geometry dictates its structure and dynamics remains unresolved. Here, we establish a direct link between interfacial curvature and confined water behavior using an archaeal‐inspired phytantriol‐water lipidic mesophase platform. By systematically tuning curvature across lamellar, double‐gyroid cubic, and reverse micellar phases, and integrating structural, thermodynamic, and ultrafast spectroscopies, we show that geometry controls the dimensionality and mobility of the hydrogen‐bond network. Planar interfaces enforce 2D networks that slow down interfacial water through spatial constrain, whereas curved bicontinuous and micellar topologies promote 3D networks with accelerated reorientation. These findings reveal a geometric principle for governing water dynamics in soft nanoconfinement, providing molecular level design rules for confined transport and reactivity in membranes and functional materials.</w:t>
      </w:r>
    </w:p>
    <w:p>
      <w:pPr>
        <w:spacing w:before="120" w:after="120"/>
      </w:pPr>
      <w:r>
        <w:rPr>
          <w:sz w:val="18"/>
        </w:rPr>
        <w:t>——————————————————————————————————————————————————————————————————————</w:t>
      </w:r>
    </w:p>
    <w:p>
      <w:pPr>
        <w:spacing w:before="160" w:after="40" w:line="240" w:lineRule="auto"/>
      </w:pPr>
      <w:r>
        <w:rPr>
          <w:b/>
        </w:rPr>
        <w:t xml:space="preserve">[625] </w:t>
      </w:r>
      <w:hyperlink r:id="rId1029">
        <w:r>
          <w:rPr>
            <w:color w:val="1155CC"/>
            <w:u w:val="single"/>
          </w:rPr>
          <w:t>为强力和高效电化学气进化催化而填充的纳米表阵列</w:t>
        </w:r>
      </w:hyperlink>
    </w:p>
    <w:p>
      <w:pPr>
        <w:spacing w:before="0" w:after="80"/>
      </w:pPr>
      <w:r>
        <w:rPr>
          <w:i/>
          <w:sz w:val="20"/>
        </w:rPr>
        <w:t>EN: Earthing‐Inspired Nanoparticle‐Filled Nanosheet Arrays for Robust and Efficient Electrochemical Gas Evolution Catalysis</w:t>
      </w:r>
    </w:p>
    <w:p>
      <w:pPr>
        <w:spacing w:before="0" w:after="120"/>
      </w:pPr>
      <w:r>
        <w:rPr>
          <w:b/>
        </w:rPr>
        <w:t xml:space="preserve">Source: </w:t>
      </w:r>
      <w:r>
        <w:t>Wiley: Advanced Materials: Table of Contents</w:t>
      </w:r>
      <w:r>
        <w:t xml:space="preserve">    </w:t>
      </w:r>
      <w:r>
        <w:rPr>
          <w:b/>
        </w:rPr>
        <w:t xml:space="preserve">Pub date: </w:t>
      </w:r>
      <w:r>
        <w:t>2026-01-10 13:50:15+00:00</w:t>
      </w:r>
      <w:r>
        <w:t xml:space="preserve">    </w:t>
      </w:r>
      <w:r>
        <w:rPr>
          <w:b/>
        </w:rPr>
        <w:t xml:space="preserve">DOI: </w:t>
      </w:r>
      <w:hyperlink r:id="rId1030">
        <w:r>
          <w:rPr>
            <w:color w:val="1155CC"/>
            <w:u w:val="single"/>
          </w:rPr>
          <w:t>10.1002/adma.202514596</w:t>
        </w:r>
      </w:hyperlink>
    </w:p>
    <w:p>
      <w:pPr>
        <w:spacing w:before="0" w:after="120"/>
      </w:pPr>
      <w:r>
        <w:rPr>
          <w:b/>
        </w:rPr>
        <w:t xml:space="preserve">Notes: </w:t>
      </w:r>
      <w:r>
        <w:t>abstract_source=crossref</w:t>
      </w:r>
    </w:p>
    <w:p>
      <w:pPr>
        <w:spacing w:before="0" w:after="80" w:lineRule="auto" w:line="276"/>
      </w:pPr>
      <w:r>
        <w:rPr>
          <w:b/>
        </w:rPr>
        <w:t xml:space="preserve">摘要（ZH）: </w:t>
      </w:r>
      <w:r>
        <w:t>抽象工业气体进化反应(GERs)是能源转换和储存技术的核心,但经常受到催化剂在高时密度下快速和连续的泡沫分离造成的催化脱色和性能退化的阻碍。在农业土崩起的启发下,报告了通过磷化-受控制的有限增长战略建造的中微粒充填纳米表阵列结构,通过纳米粒子-纳米表共生性实现双重间歇优化。实验和有限元素模拟显示,纳米表空隙内泡沫不稳定引起的电解流动有利于有效气体释放,从而减少电催化的相互影响。实验和有限元素模拟显示,纳米表空隙内泡沫不稳定引发的电解流动有利于有效气体释放,从而减少电催化剂的释放。</w:t>
      </w:r>
    </w:p>
    <w:p>
      <w:pPr>
        <w:spacing w:before="0" w:after="200" w:lineRule="auto" w:line="276"/>
      </w:pPr>
      <w:r>
        <w:rPr>
          <w:b/>
        </w:rPr>
        <w:t xml:space="preserve">Abstract (EN): </w:t>
      </w:r>
      <w:r>
        <w:t>Industrial‐scale gas evolution reactions (GERs) are central to energy conversion and storage technologies, yet are often hindered by catalyst delamination and performance degradation caused by rapid and continuous bubble detachment under high current densities. Inspired by earthing‐up in agriculture, a moderately nanoparticle‐filled nanosheet array architecture is reported, constructed via a phosphorization‐controlled confined‐growth strategy, that achieves dual interfacial optimization through nanoparticle‐nanosheet cooperativity. Experimental and finite element simulations reveal that electrolyte flow induced by bubble destabilization within the nanosheet voids facilitates efficient gas release, thereby reducing electrocatalyst‐bubble interfacial adhesion force. Simultaneously, embedded nanoparticles with larger critical buckling forces enhance the structural rigidity of the nanosheet arrays, significantly strengthening the electrocatalyst‐support interfacial binding force. When applied as the electrocatalyst for oxygen evolution reaction (OER), the resulting electrode exhibits a low overpotential of 256 mV at 1000 mA cm</w:t>
      </w:r>
      <w:r>
        <w:t xml:space="preserve"> </w:t>
      </w:r>
      <w:r>
        <w:t>−2</w:t>
      </w:r>
      <w:r>
        <w:t xml:space="preserve"> </w:t>
      </w:r>
      <w:r>
        <w:t>and maintains stable operation for 2400 h, which ranks among the best reported for OER electrocatalysts under high‐current densities. Likewise, this design strategy can be universally extended to other GERs, including hydrogen evolution reaction, urea oxidation reaction, and hydrazine oxidation reaction. This work underscores the potential of nanoparticle‐filled nanoarchitectures in optimizing interfacial mechanics and advancing durable, high‐performance electrocatalysts for GERs.</w:t>
      </w:r>
    </w:p>
    <w:p>
      <w:pPr>
        <w:spacing w:before="120" w:after="120"/>
      </w:pPr>
      <w:r>
        <w:rPr>
          <w:sz w:val="18"/>
        </w:rPr>
        <w:t>——————————————————————————————————————————————————————————————————————</w:t>
      </w:r>
    </w:p>
    <w:p>
      <w:pPr>
        <w:spacing w:before="160" w:after="40" w:line="240" w:lineRule="auto"/>
      </w:pPr>
      <w:r>
        <w:rPr>
          <w:b/>
        </w:rPr>
        <w:t xml:space="preserve">[626] </w:t>
      </w:r>
      <w:hyperlink r:id="rId1031">
        <w:r>
          <w:rPr>
            <w:color w:val="1155CC"/>
            <w:u w:val="single"/>
          </w:rPr>
          <w:t>银质集群化MOF公司通过激光工程加强酸性CO2电压的DBand中心条例</w:t>
        </w:r>
      </w:hyperlink>
    </w:p>
    <w:p>
      <w:pPr>
        <w:spacing w:before="0" w:after="80"/>
      </w:pPr>
      <w:r>
        <w:rPr>
          <w:i/>
          <w:sz w:val="20"/>
        </w:rPr>
        <w:t>EN: Regulation of the D‐Band Center Through Ligand Engineering in Silver Cluster‐Based MOFs Enhances Acidic CO2 Electroreduction</w:t>
      </w:r>
    </w:p>
    <w:p>
      <w:pPr>
        <w:spacing w:before="0" w:after="120"/>
      </w:pPr>
      <w:r>
        <w:rPr>
          <w:b/>
        </w:rPr>
        <w:t xml:space="preserve">Source: </w:t>
      </w:r>
      <w:r>
        <w:t>Wiley: Angewandte Chemie International Edition: Table of Contents</w:t>
      </w:r>
      <w:r>
        <w:t xml:space="preserve">    </w:t>
      </w:r>
      <w:r>
        <w:rPr>
          <w:b/>
        </w:rPr>
        <w:t xml:space="preserve">Pub date: </w:t>
      </w:r>
      <w:r>
        <w:t>2026-01-10 13:50:49+00:00</w:t>
      </w:r>
      <w:r>
        <w:t xml:space="preserve">    </w:t>
      </w:r>
      <w:r>
        <w:rPr>
          <w:b/>
        </w:rPr>
        <w:t xml:space="preserve">DOI: </w:t>
      </w:r>
      <w:hyperlink r:id="rId1032">
        <w:r>
          <w:rPr>
            <w:color w:val="1155CC"/>
            <w:u w:val="single"/>
          </w:rPr>
          <w:t>10.1002/anie.202518779</w:t>
        </w:r>
      </w:hyperlink>
    </w:p>
    <w:p>
      <w:pPr>
        <w:spacing w:before="0" w:after="120"/>
      </w:pPr>
      <w:r>
        <w:rPr>
          <w:b/>
        </w:rPr>
        <w:t xml:space="preserve">Notes: </w:t>
      </w:r>
      <w:r>
        <w:t>abstract_source=crossref</w:t>
      </w:r>
    </w:p>
    <w:p>
      <w:pPr>
        <w:spacing w:before="0" w:after="80" w:lineRule="auto" w:line="276"/>
      </w:pPr>
      <w:r>
        <w:rPr>
          <w:b/>
        </w:rPr>
        <w:t xml:space="preserve">摘要（ZH）: </w:t>
      </w:r>
      <w:r>
        <w:t>抽象酸化电电化学CO2减少反应(eCO 2 RR)为实现高CO2利用率和绕过碳酸盐沉积问题提供了一个很有希望的途径,然而,由于氢进化反应严重(HER),碳酸盐沉积问题受到催化性能的损害。</w:t>
      </w:r>
    </w:p>
    <w:p>
      <w:pPr>
        <w:spacing w:before="0" w:after="200" w:lineRule="auto" w:line="276"/>
      </w:pPr>
      <w:r>
        <w:rPr>
          <w:b/>
        </w:rPr>
        <w:t xml:space="preserve">Abstract (EN): </w:t>
      </w:r>
      <w:r>
        <w:t>Acidic electrochemical CO</w:t>
      </w:r>
      <w:r>
        <w:rPr>
          <w:vertAlign w:val="subscript"/>
        </w:rPr>
        <w:t>2</w:t>
      </w:r>
      <w:r>
        <w:t>reduction reaction (eCO</w:t>
      </w:r>
      <w:r>
        <w:rPr>
          <w:vertAlign w:val="subscript"/>
        </w:rPr>
        <w:t>2</w:t>
      </w:r>
      <w:r>
        <w:t>RR) offers a promising way for achieving high CO</w:t>
      </w:r>
      <w:r>
        <w:rPr>
          <w:vertAlign w:val="subscript"/>
        </w:rPr>
        <w:t>2</w:t>
      </w:r>
      <w:r>
        <w:t>utilization efficiency and circumventing carbonate deposition issues. However, it is plagued by a compromised catalytic performance due to the severe hydrogen evolution reaction (HER). Here, two types of silver chalcogenolate cluster‐based MOFs were synthesized through ligand engineering by anchoring Ag</w:t>
      </w:r>
      <w:r>
        <w:rPr>
          <w:vertAlign w:val="subscript"/>
        </w:rPr>
        <w:t>12</w:t>
      </w:r>
      <w:r>
        <w:t>clusters with tri‐topic imidazole and pyridyl ligands respectively. The imidazole‐based MOF</w:t>
      </w:r>
      <w:r>
        <w:t xml:space="preserve"> </w:t>
      </w:r>
      <w:r>
        <w:t>Ag</w:t>
      </w:r>
      <w:r>
        <w:rPr>
          <w:vertAlign w:val="subscript"/>
        </w:rPr>
        <w:t>12</w:t>
      </w:r>
      <w:r>
        <w:t>THIT</w:t>
      </w:r>
      <w:r>
        <w:t xml:space="preserve"> </w:t>
      </w:r>
      <w:r>
        <w:t>demonstrated outstanding performance for the electroreduction of CO</w:t>
      </w:r>
      <w:r>
        <w:rPr>
          <w:vertAlign w:val="subscript"/>
        </w:rPr>
        <w:t>2</w:t>
      </w:r>
      <w:r>
        <w:t>to CO. In acidic electrolyte of pH ≈ 2, it achieved a Faradaic efficiency (FE) of 98.5% with a commercial current density of 328.0 mA cm</w:t>
      </w:r>
      <w:r>
        <w:t xml:space="preserve"> </w:t>
      </w:r>
      <w:r>
        <w:t>−2</w:t>
      </w:r>
      <w:r>
        <w:t xml:space="preserve"> </w:t>
      </w:r>
      <w:r>
        <w:t>at − 1.6 V versus RHE. Moreover, the CO partial current density (</w:t>
      </w:r>
      <w:r>
        <w:t xml:space="preserve"> </w:t>
      </w:r>
      <w:r>
        <w:t>j</w:t>
      </w:r>
      <w:r>
        <w:t xml:space="preserve"> </w:t>
      </w:r>
      <w:r>
        <w:t>CO</w:t>
      </w:r>
      <w:r>
        <w:t xml:space="preserve"> </w:t>
      </w:r>
      <w:r>
        <w:t>) reached a maximum of 447.2 mA cm</w:t>
      </w:r>
      <w:r>
        <w:t xml:space="preserve"> </w:t>
      </w:r>
      <w:r>
        <w:t>−2</w:t>
      </w:r>
      <w:r>
        <w:t xml:space="preserve"> </w:t>
      </w:r>
      <w:r>
        <w:t>with a FE</w:t>
      </w:r>
      <w:r>
        <w:t xml:space="preserve"> </w:t>
      </w:r>
      <w:r>
        <w:t>CO</w:t>
      </w:r>
      <w:r>
        <w:t xml:space="preserve"> </w:t>
      </w:r>
      <w:r>
        <w:t>of 96.8% at − 1.7 V versus RHE. No obvious degradation was observed during 70 h of continuous operation, and the performance significantly outperformed those of pyridyl‐based MOFs</w:t>
      </w:r>
      <w:r>
        <w:t xml:space="preserve"> </w:t>
      </w:r>
      <w:r>
        <w:t>Ag</w:t>
      </w:r>
      <w:r>
        <w:rPr>
          <w:vertAlign w:val="subscript"/>
        </w:rPr>
        <w:t>12</w:t>
      </w:r>
      <w:r>
        <w:t>TPEB</w:t>
      </w:r>
      <w:r>
        <w:t xml:space="preserve"> </w:t>
      </w:r>
      <w:r>
        <w:t>and</w:t>
      </w:r>
      <w:r>
        <w:t xml:space="preserve"> </w:t>
      </w:r>
      <w:r>
        <w:t>Ag</w:t>
      </w:r>
      <w:r>
        <w:rPr>
          <w:vertAlign w:val="subscript"/>
        </w:rPr>
        <w:t>12</w:t>
      </w:r>
      <w:r>
        <w:t>TPMA</w:t>
      </w:r>
      <w:r>
        <w:t xml:space="preserve"> </w:t>
      </w:r>
      <w:r>
        <w:t>. Mechanistic studies revealed that the imidazole ligand endows</w:t>
      </w:r>
      <w:r>
        <w:t xml:space="preserve"> </w:t>
      </w:r>
      <w:r>
        <w:t>Ag</w:t>
      </w:r>
      <w:r>
        <w:rPr>
          <w:vertAlign w:val="subscript"/>
        </w:rPr>
        <w:t>12</w:t>
      </w:r>
      <w:r>
        <w:t>THIT</w:t>
      </w:r>
      <w:r>
        <w:t xml:space="preserve"> </w:t>
      </w:r>
      <w:r>
        <w:t>with enhanced Lewis basicity and superior</w:t>
      </w:r>
      <w:r>
        <w:t xml:space="preserve"> </w:t>
      </w:r>
      <w:r>
        <w:t>σ</w:t>
      </w:r>
      <w:r>
        <w:t xml:space="preserve"> </w:t>
      </w:r>
      <w:r>
        <w:t>‐donating ability, thereby strengthening the ligand field with an upshifted</w:t>
      </w:r>
      <w:r>
        <w:t xml:space="preserve"> </w:t>
      </w:r>
      <w:r>
        <w:t>d</w:t>
      </w:r>
      <w:r>
        <w:t xml:space="preserve"> </w:t>
      </w:r>
      <w:r>
        <w:t>‐band center and reduced energy barriers. This ligand effect facilitates more efficient electron transfer to *COOH intermediates, thus promoting acidic CO</w:t>
      </w:r>
      <w:r>
        <w:rPr>
          <w:vertAlign w:val="subscript"/>
        </w:rPr>
        <w:t>2</w:t>
      </w:r>
      <w:r>
        <w:t>to CO conversion.</w:t>
      </w:r>
    </w:p>
    <w:p>
      <w:pPr>
        <w:spacing w:before="120" w:after="120"/>
      </w:pPr>
      <w:r>
        <w:rPr>
          <w:sz w:val="18"/>
        </w:rPr>
        <w:t>——————————————————————————————————————————————————————————————————————</w:t>
      </w:r>
    </w:p>
    <w:p>
      <w:pPr>
        <w:spacing w:before="160" w:after="40" w:line="240" w:lineRule="auto"/>
      </w:pPr>
      <w:r>
        <w:rPr>
          <w:b/>
        </w:rPr>
        <w:t xml:space="preserve">[627] </w:t>
      </w:r>
      <w:hyperlink r:id="rId1033">
        <w:r>
          <w:rPr>
            <w:color w:val="1155CC"/>
            <w:u w:val="single"/>
          </w:rPr>
          <w:t>在Perovskite谷物高高效能和稳定的Perovskite太阳能电池上加封的 Cdte 量度点点</w:t>
        </w:r>
      </w:hyperlink>
    </w:p>
    <w:p>
      <w:pPr>
        <w:spacing w:before="0" w:after="80"/>
      </w:pPr>
      <w:r>
        <w:rPr>
          <w:i/>
          <w:sz w:val="20"/>
        </w:rPr>
        <w:t>EN: CdTe Quantum Dots Encapsulated on Perovskite Grains Enable Highly Efficient and Stable Perovskite Solar Cells</w:t>
      </w:r>
    </w:p>
    <w:p>
      <w:pPr>
        <w:spacing w:before="0" w:after="120"/>
      </w:pPr>
      <w:r>
        <w:rPr>
          <w:b/>
        </w:rPr>
        <w:t xml:space="preserve">Source: </w:t>
      </w:r>
      <w:r>
        <w:t>Wiley: Advanced Materials: Table of Contents</w:t>
      </w:r>
      <w:r>
        <w:t xml:space="preserve">    </w:t>
      </w:r>
      <w:r>
        <w:rPr>
          <w:b/>
        </w:rPr>
        <w:t xml:space="preserve">Pub date: </w:t>
      </w:r>
      <w:r>
        <w:t>2026-01-10 13:51:51+00:00</w:t>
      </w:r>
      <w:r>
        <w:t xml:space="preserve">    </w:t>
      </w:r>
      <w:r>
        <w:rPr>
          <w:b/>
        </w:rPr>
        <w:t xml:space="preserve">DOI: </w:t>
      </w:r>
      <w:hyperlink r:id="rId1034">
        <w:r>
          <w:rPr>
            <w:color w:val="1155CC"/>
            <w:u w:val="single"/>
          </w:rPr>
          <w:t>10.1002/adma.202521104</w:t>
        </w:r>
      </w:hyperlink>
    </w:p>
    <w:p>
      <w:pPr>
        <w:spacing w:before="0" w:after="120"/>
      </w:pPr>
      <w:r>
        <w:rPr>
          <w:b/>
        </w:rPr>
        <w:t xml:space="preserve">Notes: </w:t>
      </w:r>
      <w:r>
        <w:t>abstract_source=crossref</w:t>
      </w:r>
    </w:p>
    <w:p>
      <w:pPr>
        <w:spacing w:before="0" w:after="80" w:lineRule="auto" w:line="276"/>
      </w:pPr>
      <w:r>
        <w:rPr>
          <w:b/>
        </w:rPr>
        <w:t xml:space="preserve">摘要（ZH）: </w:t>
      </w:r>
      <w:r>
        <w:t>溶解处理的多晶体多晶体极多洛夫斯基在外隔膜装置上不可避免地具有内在的不连续性,这造成了许多界面部分,需要精心设计元元性间跨面配置,然而,在同步操控跨轴微规模载体管理的同时,在操作压力下保持微结构完整性方面,仍然存在着严峻的挑战。 在这里,我们展示了一种战略,通过在 n 型渗透质颗粒上封装明确界定的cdTe量点(QDs),通过在电场上封装明确定义的p&amp;dTe量点(QDs),制造具有高度一致性和离子连接性的地方微型显微相面界面,通过这种QDs的表面嵌入将单向构造在电场中建立单向一致的构造。</w:t>
      </w:r>
    </w:p>
    <w:p>
      <w:pPr>
        <w:spacing w:before="0" w:after="200" w:lineRule="auto" w:line="276"/>
      </w:pPr>
      <w:r>
        <w:rPr>
          <w:b/>
        </w:rPr>
        <w:t xml:space="preserve">Abstract (EN): </w:t>
      </w:r>
      <w:r>
        <w:t>Solution‐processed polycrystalline perovskites are inevitably endowed with inherent discontinuity at device heterointerfaces, which creates numerous interface segments that demand deliberate engineering of metastable interfacial configurations. Nevertheless, critical challenge remains in synchronously manipulating interfacial microscale carrier management while maintaining their microstructural integrity under operational stresses. Herein we demonstrate a strategy to fabricate localized microscopic p‐n heterointerfaces with high coherence and ionic bridging through encapsulating well‐defined p‐type CdTe quantum dots (QDs) on n‐type perovskite grains. Surface embeddings of such QDs establish unidirectionally aligned built‐in electric fields that facilitate directional carrier transport across micro‐heterointerfaces while expanding depletion regions to minimize recombination loss. Moreover, CdTe‐induced heteroepitaxial growth yields dislocation‐less interfaces between CdTe and perovskite, simultaneously passivating accessible defects of iodine vacancies and undercoordinated Pb</w:t>
      </w:r>
      <w:r>
        <w:t xml:space="preserve"> </w:t>
      </w:r>
      <w:r>
        <w:t>2+</w:t>
      </w:r>
      <w:r>
        <w:t xml:space="preserve"> </w:t>
      </w:r>
      <w:r>
        <w:t>at both the surface and grain boundaries, enabling high‐crystallinity perovskite films with robust microstructures. Given these striking merits, a record‐high efficiency of 26.73% (certified 26.02%) with a remarkable open‐circuit voltage of 1.222 V is achieved, setting a new performance benchmark among regular perovskite solar cells, along with pronounced operational stability with negligible efficiency degradation after nearly 700 h. This work pioneers a transformative laser‐mediated microscopic heterointerface engineering strategy that fundamentally reengineers microstructural carrier management and long‐term durability in advanced optoelectronics.</w:t>
      </w:r>
    </w:p>
    <w:p>
      <w:pPr>
        <w:spacing w:before="120" w:after="120"/>
      </w:pPr>
      <w:r>
        <w:rPr>
          <w:sz w:val="18"/>
        </w:rPr>
        <w:t>——————————————————————————————————————————————————————————————————————</w:t>
      </w:r>
    </w:p>
    <w:p>
      <w:pPr>
        <w:spacing w:before="160" w:after="40" w:line="240" w:lineRule="auto"/>
      </w:pPr>
      <w:r>
        <w:rPr>
          <w:b/>
        </w:rPr>
        <w:t xml:space="preserve">[628] </w:t>
      </w:r>
      <w:hyperlink r:id="rId1035">
        <w:r>
          <w:rPr>
            <w:color w:val="1155CC"/>
            <w:u w:val="single"/>
          </w:rPr>
          <w:t>可编程的DNA DNA 用于生活细胞中 HTT 融合和迁移的纳米结构</w:t>
        </w:r>
      </w:hyperlink>
    </w:p>
    <w:p>
      <w:pPr>
        <w:spacing w:before="0" w:after="80"/>
      </w:pPr>
      <w:r>
        <w:rPr>
          <w:i/>
          <w:sz w:val="20"/>
        </w:rPr>
        <w:t>EN: Programmable DNA Nanostructures for hTERT Compartmentalization and Translocation in Living Cells</w:t>
      </w:r>
    </w:p>
    <w:p>
      <w:pPr>
        <w:spacing w:before="0" w:after="120"/>
      </w:pPr>
      <w:r>
        <w:rPr>
          <w:b/>
        </w:rPr>
        <w:t xml:space="preserve">Source: </w:t>
      </w:r>
      <w:r>
        <w:t>Wiley: Angewandte Chemie International Edition: Table of Contents</w:t>
      </w:r>
      <w:r>
        <w:t xml:space="preserve">    </w:t>
      </w:r>
      <w:r>
        <w:rPr>
          <w:b/>
        </w:rPr>
        <w:t xml:space="preserve">Pub date: </w:t>
      </w:r>
      <w:r>
        <w:t>2026-01-10 13:52:18+00:00</w:t>
      </w:r>
      <w:r>
        <w:t xml:space="preserve">    </w:t>
      </w:r>
      <w:r>
        <w:rPr>
          <w:b/>
        </w:rPr>
        <w:t xml:space="preserve">DOI: </w:t>
      </w:r>
      <w:hyperlink r:id="rId1036">
        <w:r>
          <w:rPr>
            <w:color w:val="1155CC"/>
            <w:u w:val="single"/>
          </w:rPr>
          <w:t>10.1002/anie.202525891</w:t>
        </w:r>
      </w:hyperlink>
    </w:p>
    <w:p>
      <w:pPr>
        <w:spacing w:before="0" w:after="120"/>
      </w:pPr>
      <w:r>
        <w:rPr>
          <w:b/>
        </w:rPr>
        <w:t xml:space="preserve">Notes: </w:t>
      </w:r>
      <w:r>
        <w:t>abstract_source=crossref</w:t>
      </w:r>
    </w:p>
    <w:p>
      <w:pPr>
        <w:spacing w:before="0" w:after="80" w:lineRule="auto" w:line="276"/>
      </w:pPr>
      <w:r>
        <w:rPr>
          <w:b/>
        </w:rPr>
        <w:t xml:space="preserve">摘要（ZH）: </w:t>
      </w:r>
      <w:r>
        <w:t>抽象蛋白迁移对于细胞功能至关重要,蛋白质分解可以调节它们的活动。然而,建造人工细胞内隔板以控制这一过程仍是一个重大挑战。在这里,我们报告在细胞图拉斯姆的DNA凝聚器的人工动态组合,使人类调聚酶反转转转转录酶(hTERT)得以具体分解,并有效抑制其光学和非环境性活动。基于DNA的凝聚器通过分解DNA结构的动态组合形成,其中含有三苯基苯丙胺和调聚苯酶识别的调聚苯乙烯基。在癌症细胞吸收后,原体会与调聚酶发生相互作用,触发直径。</w:t>
      </w:r>
    </w:p>
    <w:p>
      <w:pPr>
        <w:spacing w:before="0" w:after="200" w:lineRule="auto" w:line="276"/>
      </w:pPr>
      <w:r>
        <w:rPr>
          <w:b/>
        </w:rPr>
        <w:t xml:space="preserve">Abstract (EN): </w:t>
      </w:r>
      <w:r>
        <w:t>Protein translocation is essential for cellular function, and compartmentalizing proteins can regulate their activity. However, constructing artificial intracellular compartments to control this process remains a significant challenge. Herein, we report the artificial dynamic assembly of DNA condensates in the cytoplasm, enabling the specific compartmentalization of human telomerase reverse transcriptase (hTERT) and effectively inhibiting its canonical and non‐canonical activities. DNA‐based condensates are formed through the dynamic assembly of branched DNA structures incorporating a mitochondria‐targeting triphenylphosphine and a telomerase primer for telomerase recognition. Upon uptake by cancer cells, the primer interacts with telomerase, triggering a strand displacement reaction that releases X‐shaped DNA. The sticky palindromic sequences in the X‐shaped DNA promote self‐assembly, forming DNA condensates on mitochondria. These condensates disrupt mitochondria functions, increasing reactive oxygen species (ROS) and stimulating the export of hTERT from the nucleus to the cytoplasm. Once in the cytoplasm, hTERT is specifically captured by the DNA condensates, preventing its translocation to mitochondria. The reduction of hTERT in both nucleus and mitochondria further results in impaired cellular proliferation and mitochondrial dysfunction in cancer cells. This work provides a highly controllable strategy for manipulating protein translocation through compartmentalization in living cells, offering a promising new avenue for modulating cellular behavior.</w:t>
      </w:r>
    </w:p>
    <w:p>
      <w:pPr>
        <w:spacing w:before="120" w:after="120"/>
      </w:pPr>
      <w:r>
        <w:rPr>
          <w:sz w:val="18"/>
        </w:rPr>
        <w:t>——————————————————————————————————————————————————————————————————————</w:t>
      </w:r>
    </w:p>
    <w:p>
      <w:pPr>
        <w:spacing w:before="160" w:after="40" w:line="240" w:lineRule="auto"/>
      </w:pPr>
      <w:r>
        <w:rPr>
          <w:b/>
        </w:rPr>
        <w:t xml:space="preserve">[629] </w:t>
      </w:r>
      <w:hyperlink r:id="rId1037">
        <w:r>
          <w:rPr>
            <w:color w:val="1155CC"/>
            <w:u w:val="single"/>
          </w:rPr>
          <w:t>选择性丙烯氢化过程中 Pd 和 Pd-Au 横向凝聚催化器的外生催化研究:碳的作用</w:t>
        </w:r>
      </w:hyperlink>
    </w:p>
    <w:p>
      <w:pPr>
        <w:spacing w:before="0" w:after="80"/>
      </w:pPr>
      <w:r>
        <w:rPr>
          <w:i/>
          <w:sz w:val="20"/>
        </w:rPr>
        <w:t>EN: Operando X‐ray Spectroscopy Study of Pd and Pd–Au Laterally Condensed Catalysts during Selective Acetylene Hydrogenation: The Role of Carbon</w:t>
      </w:r>
    </w:p>
    <w:p>
      <w:pPr>
        <w:spacing w:before="0" w:after="120"/>
      </w:pPr>
      <w:r>
        <w:rPr>
          <w:b/>
        </w:rPr>
        <w:t xml:space="preserve">Source: </w:t>
      </w:r>
      <w:r>
        <w:t>Wiley: Advanced Materials: Table of Contents</w:t>
      </w:r>
      <w:r>
        <w:t xml:space="preserve">    </w:t>
      </w:r>
      <w:r>
        <w:rPr>
          <w:b/>
        </w:rPr>
        <w:t xml:space="preserve">Pub date: </w:t>
      </w:r>
      <w:r>
        <w:t>2026-01-10 13:52:52+00:00</w:t>
      </w:r>
      <w:r>
        <w:t xml:space="preserve">    </w:t>
      </w:r>
      <w:r>
        <w:rPr>
          <w:b/>
        </w:rPr>
        <w:t xml:space="preserve">DOI: </w:t>
      </w:r>
      <w:hyperlink r:id="rId1038">
        <w:r>
          <w:rPr>
            <w:color w:val="1155CC"/>
            <w:u w:val="single"/>
          </w:rPr>
          <w:t>10.1002/adma.202517227</w:t>
        </w:r>
      </w:hyperlink>
    </w:p>
    <w:p>
      <w:pPr>
        <w:spacing w:before="0" w:after="120"/>
      </w:pPr>
      <w:r>
        <w:rPr>
          <w:b/>
        </w:rPr>
        <w:t xml:space="preserve">Notes: </w:t>
      </w:r>
      <w:r>
        <w:t>abstract_source=crossref</w:t>
      </w:r>
    </w:p>
    <w:p>
      <w:pPr>
        <w:spacing w:before="0" w:after="80" w:lineRule="auto" w:line="276"/>
      </w:pPr>
      <w:r>
        <w:rPr>
          <w:b/>
        </w:rPr>
        <w:t xml:space="preserve">摘要（ZH）: </w:t>
      </w:r>
      <w:r>
        <w:t>ABSTACT 在本研究中,在Pd和Pd-Pd-Au横向压缩催化剂的选择性乙炔氢反应过程中,在接近环境压力X光光电和X光吸收光谱(NAPXPS和NAPXAS)的情况下,对Pd和PdAu横向压缩催化剂进行了选择性乙炔氢反应,这种反应的活动和选择性受到碳融入Pd和Pd-Pd-Au lattice的强烈影响,后者由实验和理论来调查。我们发现Pd可以吸收比PdAu多得多的碳,PdAu可用来调节氢化反应过程中的催化剂活动。 Pd和Pd-Pd-Au lattice溶解的碳性物种的数量已经量化,它们对化学和电子结构的影响是通过整个软体光谱法跟踪的。</w:t>
      </w:r>
    </w:p>
    <w:p>
      <w:pPr>
        <w:spacing w:before="0" w:after="200" w:lineRule="auto" w:line="276"/>
      </w:pPr>
      <w:r>
        <w:rPr>
          <w:b/>
        </w:rPr>
        <w:t xml:space="preserve">Abstract (EN): </w:t>
      </w:r>
      <w:r>
        <w:t>In this study, near ambient pressure X‐ray photoelectron and X‐ray absorption spectroscopy (NAP‐XPS and NAP‐XAS) were performed during the selective acetylene hydrogenation reaction on Pd and Pd‐Au laterally condensed catalysts. The activity and selectivity of this reaction are strongly influenced by the incorporation of carbon into the Pd and Pd–Au lattice, which is investigated by both experiment and theory. We find that Pd can take up much more carbon than Pd‐Au, which can be used to tune the activity of the catalyst during the hydrogenation reactions. The amount of the carbonaceous species dissolved in the Pd and Pd–Au lattice was quantified and their effect on the chemical and the electronic structure was tracked by means of operando spectroscopy throughout different stages of the acetylene hydrogenation reaction.</w:t>
      </w:r>
    </w:p>
    <w:p>
      <w:pPr>
        <w:spacing w:before="120" w:after="120"/>
      </w:pPr>
      <w:r>
        <w:rPr>
          <w:sz w:val="18"/>
        </w:rPr>
        <w:t>——————————————————————————————————————————————————————————————————————</w:t>
      </w:r>
    </w:p>
    <w:p>
      <w:pPr>
        <w:spacing w:before="160" w:after="40" w:line="240" w:lineRule="auto"/>
      </w:pPr>
      <w:r>
        <w:rPr>
          <w:b/>
        </w:rPr>
        <w:t xml:space="preserve">[630] </w:t>
      </w:r>
      <w:hyperlink r:id="rId1039">
        <w:r>
          <w:rPr>
            <w:color w:val="1155CC"/>
            <w:u w:val="single"/>
          </w:rPr>
          <w:t>设计事项:电池技术的性能、成本和环境影响如何形成细胞结构</w:t>
        </w:r>
      </w:hyperlink>
    </w:p>
    <w:p>
      <w:pPr>
        <w:spacing w:before="0" w:after="80"/>
      </w:pPr>
      <w:r>
        <w:rPr>
          <w:i/>
          <w:sz w:val="20"/>
        </w:rPr>
        <w:t>EN: Design Matters: How Cell Architecture Shapes the Performance, Cost, and Environmental Impact of Battery Technologies</w:t>
      </w:r>
    </w:p>
    <w:p>
      <w:pPr>
        <w:spacing w:before="0" w:after="120"/>
      </w:pPr>
      <w:r>
        <w:rPr>
          <w:b/>
        </w:rPr>
        <w:t xml:space="preserve">Source: </w:t>
      </w:r>
      <w:r>
        <w:t>Wiley: Advanced Energy Materials: Table of Contents</w:t>
      </w:r>
      <w:r>
        <w:t xml:space="preserve">    </w:t>
      </w:r>
      <w:r>
        <w:rPr>
          <w:b/>
        </w:rPr>
        <w:t xml:space="preserve">Pub date: </w:t>
      </w:r>
      <w:r>
        <w:t>2026-01-10 13:55:30+00:00</w:t>
      </w:r>
      <w:r>
        <w:t xml:space="preserve">    </w:t>
      </w:r>
      <w:r>
        <w:rPr>
          <w:b/>
        </w:rPr>
        <w:t xml:space="preserve">DOI: </w:t>
      </w:r>
      <w:hyperlink r:id="rId1040">
        <w:r>
          <w:rPr>
            <w:color w:val="1155CC"/>
            <w:u w:val="single"/>
          </w:rPr>
          <w:t>10.1002/aenm.202505532</w:t>
        </w:r>
      </w:hyperlink>
    </w:p>
    <w:p>
      <w:pPr>
        <w:spacing w:before="0" w:after="120"/>
      </w:pPr>
      <w:r>
        <w:rPr>
          <w:b/>
        </w:rPr>
        <w:t xml:space="preserve">Notes: </w:t>
      </w:r>
      <w:r>
        <w:t>abstract_source=crossref</w:t>
      </w:r>
    </w:p>
    <w:p>
      <w:pPr>
        <w:spacing w:before="0" w:after="80" w:lineRule="auto" w:line="276"/>
      </w:pPr>
      <w:r>
        <w:rPr>
          <w:b/>
        </w:rPr>
        <w:t xml:space="preserve">摘要（ZH）: </w:t>
      </w:r>
      <w:r>
        <w:t>在能源转型背景下对电池的需求不断增加,这就要求评价方法超越单纯的性能衡量标准,这项工作提出了一个多层面框架,同时将电力性能、经济成本和生命周期评估纳入对真实和虚拟电池的一致分析中,总共建模了140个电池,包括商业化学和系统化的配置。这个框架使得能够在没有意外副作用的一致边界条件下,以不同的细胞参数对实际商业电池进行系统比较和虚拟重新设计。产生了超高能量电池,在理想设计假设下实现了极高的能量密度。</w:t>
      </w:r>
    </w:p>
    <w:p>
      <w:pPr>
        <w:spacing w:before="0" w:after="200" w:lineRule="auto" w:line="276"/>
      </w:pPr>
      <w:r>
        <w:rPr>
          <w:b/>
        </w:rPr>
        <w:t xml:space="preserve">Abstract (EN): </w:t>
      </w:r>
      <w:r>
        <w:t>The mounting demand for battery cells in the context of the energy transition necessitates evaluation methodologies that extend beyond mere performance metrics. This work presents a multidimensional framework that simultaneously integrates electrical performance, economic costs, and life cycle assessment into a consistent analysis of real and virtual cells. In total 140 cells were modeled, covering commercial chemistries and systematically permuted configurations. The framework enables systematic comparisons of real commercial cells and virtual redesigns by varying cell parameters under consistent boundary conditions without unintended side effects. Ultra high energy cells were generated, achieving very high energy densities under idealized design assumptions. Lithium‐iron‐phosphate (LFP) battery cells exhibit global warming potential values of , while sodium‐ion batteries (SiB) show a slightly higher range of . Depending on housing and anode composition, production costs range from – for LFP and – for SiB. SiB cells achieve mineral resource scarcity values of about , three times lower than lithium‐ion batteries. Cathode chemistry proves decisive for ecological performance, with nickel sulfate‐based precursors showing the highest acidification values and LFP cells showing the lowest. Housing design plays an important role: pouch formats minimize costs and emissions. Systematic permutations show that increasing energy density is a key lever to lower environmental burdens.</w:t>
      </w:r>
    </w:p>
    <w:p>
      <w:pPr>
        <w:spacing w:before="120" w:after="120"/>
      </w:pPr>
      <w:r>
        <w:rPr>
          <w:sz w:val="18"/>
        </w:rPr>
        <w:t>——————————————————————————————————————————————————————————————————————</w:t>
      </w:r>
    </w:p>
    <w:p>
      <w:pPr>
        <w:spacing w:before="160" w:after="40" w:line="240" w:lineRule="auto"/>
      </w:pPr>
      <w:r>
        <w:rPr>
          <w:b/>
        </w:rPr>
        <w:t xml:space="preserve">[631] </w:t>
      </w:r>
      <w:hyperlink r:id="rId1041">
        <w:r>
          <w:rPr>
            <w:color w:val="1155CC"/>
            <w:u w:val="single"/>
          </w:rPr>
          <w:t>金属-高高效臭氧分解有机框架金属中代谢 MnO2纳米集束体的双重生成的合成封闭合成</w:t>
        </w:r>
      </w:hyperlink>
    </w:p>
    <w:p>
      <w:pPr>
        <w:spacing w:before="0" w:after="80"/>
      </w:pPr>
      <w:r>
        <w:rPr>
          <w:i/>
          <w:sz w:val="20"/>
        </w:rPr>
        <w:t>EN: Dual‐Induced Confined Synthesis of Metastable γ‐MnO2 Nanoclusters in Metal–Organic Frameworks for Highly Efficient Ozone Decomposition</w:t>
      </w:r>
    </w:p>
    <w:p>
      <w:pPr>
        <w:spacing w:before="0" w:after="120"/>
      </w:pPr>
      <w:r>
        <w:rPr>
          <w:b/>
        </w:rPr>
        <w:t xml:space="preserve">Source: </w:t>
      </w:r>
      <w:r>
        <w:t>Wiley: Angewandte Chemie International Edition: Table of Contents</w:t>
      </w:r>
      <w:r>
        <w:t xml:space="preserve">    </w:t>
      </w:r>
      <w:r>
        <w:rPr>
          <w:b/>
        </w:rPr>
        <w:t xml:space="preserve">Pub date: </w:t>
      </w:r>
      <w:r>
        <w:t>2026-01-10 13:57:29+00:00</w:t>
      </w:r>
      <w:r>
        <w:t xml:space="preserve">    </w:t>
      </w:r>
      <w:r>
        <w:rPr>
          <w:b/>
        </w:rPr>
        <w:t xml:space="preserve">DOI: </w:t>
      </w:r>
      <w:hyperlink r:id="rId1042">
        <w:r>
          <w:rPr>
            <w:color w:val="1155CC"/>
            <w:u w:val="single"/>
          </w:rPr>
          <w:t>10.1002/anie.5562966</w:t>
        </w:r>
      </w:hyperlink>
    </w:p>
    <w:p>
      <w:pPr>
        <w:spacing w:before="0" w:after="120"/>
      </w:pPr>
      <w:r>
        <w:rPr>
          <w:b/>
        </w:rPr>
        <w:t xml:space="preserve">Notes: </w:t>
      </w:r>
      <w:r>
        <w:t>abstract_source=crossref</w:t>
      </w:r>
    </w:p>
    <w:p>
      <w:pPr>
        <w:spacing w:before="0" w:after="80" w:lineRule="auto" w:line="276"/>
      </w:pPr>
      <w:r>
        <w:rPr>
          <w:b/>
        </w:rPr>
        <w:t xml:space="preserve">摘要（ZH）: </w:t>
      </w:r>
      <w:r>
        <w:t>抽象超链金属氧化物纳米集束(UMONs)由于其地表面积高而具有显著的催化潜力;然而,精确控制UMONs的大小和水晶阶段仍是一项重大挑战。 在这里,我们制定了一种双重诱发的封闭性合成战略,即夫妇对水分疏松和热触发的阶段转换将UMONs精确地限制在金属-有机框架的孔隙内。 13个UMONs@MOF复合材料成功地与UMONs中跨越周期表不同区域的金属板块合成。 值得注意的是,3 nm 元元件MnO 2首次被稳定并限制在MIL101(Fe)范围内。</w:t>
      </w:r>
    </w:p>
    <w:p>
      <w:pPr>
        <w:spacing w:before="0" w:after="200" w:lineRule="auto" w:line="276"/>
      </w:pPr>
      <w:r>
        <w:rPr>
          <w:b/>
        </w:rPr>
        <w:t xml:space="preserve">Abstract (EN): </w:t>
      </w:r>
      <w:r>
        <w:t>Ultrafine metal oxide nanoclusters (UMONs) exhibit remarkable catalytic potential due to their high specific surface area; however, achieving precise control over both the size and crystal phase of UMONs remains a significant challenge. Herein, we developed a dual‐induced confined synthesis strategy that couples hydrophobic gating with thermally triggered phase transformation to precisely confine UMONs within the pores of a metal–organic framework (MOF). 13 UMONs@MOF composites were successfully synthesized with the metal cations in UMONs spanning different regions of the periodic table. Notably, sub‐3 nm metastable γ‐MnO</w:t>
      </w:r>
      <w:r>
        <w:rPr>
          <w:vertAlign w:val="subscript"/>
        </w:rPr>
        <w:t>2</w:t>
      </w:r>
      <w:r>
        <w:t>was stabilized and confined within MIL‐101(Fe) for the first time. The optimized 15% γ‐MnO</w:t>
      </w:r>
      <w:r>
        <w:rPr>
          <w:vertAlign w:val="subscript"/>
        </w:rPr>
        <w:t>2</w:t>
      </w:r>
      <w:r>
        <w:t>@MIL‐101(Fe) showed a durable 100% O</w:t>
      </w:r>
      <w:r>
        <w:rPr>
          <w:vertAlign w:val="subscript"/>
        </w:rPr>
        <w:t>3</w:t>
      </w:r>
      <w:r>
        <w:t>removal efficiency for over 100 h. This performance was maintained in a continuous air flow containing 40 ppm O</w:t>
      </w:r>
      <w:r>
        <w:rPr>
          <w:vertAlign w:val="subscript"/>
        </w:rPr>
        <w:t>3</w:t>
      </w:r>
      <w:r>
        <w:t>at a high gas hourly space velocity of 1.7 × 10</w:t>
      </w:r>
      <w:r>
        <w:rPr>
          <w:vertAlign w:val="subscript"/>
        </w:rPr>
        <w:t>5</w:t>
      </w:r>
      <w:r>
        <w:t>h</w:t>
      </w:r>
      <w:r>
        <w:t xml:space="preserve"> </w:t>
      </w:r>
      <w:r>
        <w:t>−1</w:t>
      </w:r>
      <w:r>
        <w:t xml:space="preserve"> </w:t>
      </w:r>
      <w:r>
        <w:t>over a wide humidity range of 10%–90%. Mechanistic studies reveal that its superior catalytic activity originates from the synergistic effect between the confined γ‐MnO</w:t>
      </w:r>
      <w:r>
        <w:rPr>
          <w:vertAlign w:val="subscript"/>
        </w:rPr>
        <w:t>2</w:t>
      </w:r>
      <w:r>
        <w:t>active sites and the Fe</w:t>
      </w:r>
      <w:r>
        <w:rPr>
          <w:vertAlign w:val="subscript"/>
        </w:rPr>
        <w:t>3</w:t>
      </w:r>
      <w:r>
        <w:t>O clusters in the MIL‐101(Fe). This work provides a universal approach for the precise control of the size and crystal phase of UMONs, paving the way for designing high‐performance catalysts.</w:t>
      </w:r>
    </w:p>
    <w:p>
      <w:pPr>
        <w:spacing w:before="120" w:after="120"/>
      </w:pPr>
      <w:r>
        <w:rPr>
          <w:sz w:val="18"/>
        </w:rPr>
        <w:t>——————————————————————————————————————————————————————————————————————</w:t>
      </w:r>
    </w:p>
    <w:p>
      <w:pPr>
        <w:spacing w:before="160" w:after="40" w:line="240" w:lineRule="auto"/>
      </w:pPr>
      <w:r>
        <w:rPr>
          <w:b/>
        </w:rPr>
        <w:t xml:space="preserve">[632] </w:t>
      </w:r>
      <w:hyperlink r:id="rId1043">
        <w:r>
          <w:rPr>
            <w:color w:val="1155CC"/>
            <w:u w:val="single"/>
          </w:rPr>
          <w:t>光化金属自由道尔-Kirmse再安排中的 Alkynyltriatzes</w:t>
        </w:r>
      </w:hyperlink>
    </w:p>
    <w:p>
      <w:pPr>
        <w:spacing w:before="0" w:after="80"/>
      </w:pPr>
      <w:r>
        <w:rPr>
          <w:i/>
          <w:sz w:val="20"/>
        </w:rPr>
        <w:t>EN: Alkynyltriazenes in Photochemical Metal‐Free Doyle–Kirmse Rearrangements</w:t>
      </w:r>
    </w:p>
    <w:p>
      <w:pPr>
        <w:spacing w:before="0" w:after="120"/>
      </w:pPr>
      <w:r>
        <w:rPr>
          <w:b/>
        </w:rPr>
        <w:t xml:space="preserve">Source: </w:t>
      </w:r>
      <w:r>
        <w:t>Wiley: Angewandte Chemie International Edition: Table of Contents</w:t>
      </w:r>
      <w:r>
        <w:t xml:space="preserve">    </w:t>
      </w:r>
      <w:r>
        <w:rPr>
          <w:b/>
        </w:rPr>
        <w:t xml:space="preserve">Pub date: </w:t>
      </w:r>
      <w:r>
        <w:t>2026-01-10 13:58:27+00:00</w:t>
      </w:r>
      <w:r>
        <w:t xml:space="preserve">    </w:t>
      </w:r>
      <w:r>
        <w:rPr>
          <w:b/>
        </w:rPr>
        <w:t xml:space="preserve">DOI: </w:t>
      </w:r>
      <w:hyperlink r:id="rId1044">
        <w:r>
          <w:rPr>
            <w:color w:val="1155CC"/>
            <w:u w:val="single"/>
          </w:rPr>
          <w:t>10.1002/anie.202521012</w:t>
        </w:r>
      </w:hyperlink>
    </w:p>
    <w:p>
      <w:pPr>
        <w:spacing w:before="0" w:after="120"/>
      </w:pPr>
      <w:r>
        <w:rPr>
          <w:b/>
        </w:rPr>
        <w:t xml:space="preserve">Notes: </w:t>
      </w:r>
      <w:r>
        <w:t>abstract_source=crossref</w:t>
      </w:r>
    </w:p>
    <w:p>
      <w:pPr>
        <w:spacing w:before="0" w:after="80" w:lineRule="auto" w:line="276"/>
      </w:pPr>
      <w:r>
        <w:rPr>
          <w:b/>
        </w:rPr>
        <w:t xml:space="preserve">摘要（ZH）: </w:t>
      </w:r>
      <w:r>
        <w:t>抽象道尔-Kirmse重新排列反应被公认为多功能和强大的合成工具,促进了C-C和C-S债券的同时生成。 虽然已经取得了显著的进展,但多尔-Kirmse重新排列反应涉及三氯苯的三甲苯,由于用于制作三氯苯前体及其内在受限制的活性的战略有限,很少被报告。 我们在这里报告了光化化学杜尔-Kirmse重新排列反应,在金属和无添加剂条件下通过中间三甲苯进行三甲苯,导致在一般中度收成中有价值的mercaptonitriles。 与使用替代三氯苯前体的现有方法不同,这一方法提供了pp。</w:t>
      </w:r>
    </w:p>
    <w:p>
      <w:pPr>
        <w:spacing w:before="0" w:after="200" w:lineRule="auto" w:line="276"/>
      </w:pPr>
      <w:r>
        <w:rPr>
          <w:b/>
        </w:rPr>
        <w:t xml:space="preserve">Abstract (EN): </w:t>
      </w:r>
      <w:r>
        <w:t>Doyle–Kirmse rearrangement reactions are widely recognized as versatile and powerful synthetic tools, promoting the simultaneous generation of C─C and C─S bonds. While notable progress has been attained, Doyle–Kirmse rearrangement reactions involving cyanocarbenes have rarely been reported owing to the limited strategies available for the preparation of cyanocarbene precursors and its inherently restricted reactivity. Herein, we report photochemical Doyle–Kirmse rearrangement reactions of alkynyl triazenes via intermediate cyanocarbenes under metal‐ and additive‐free conditions, leading to valuable α‐mercapto‐nitriles in generally moderate‐to‐good yields. In contrast to existing methods that utilize alternative cyanocarbene precurors, this approach delivers the possibility to access highly substituted stereogenic carbon centers and it offers a safer alternative by avoiding hazardous reagents. The reactions proceed under mild conditions, and demonstrate broad substrate compatibility. In addition, upscaling of the reaction was successfully demonstrated. Besides the use of allylsulfides, propargyl as well as allenylsulfides were also feasible substrates demonstrating the great synthetic potential of the transformation.</w:t>
      </w:r>
    </w:p>
    <w:p>
      <w:pPr>
        <w:spacing w:before="120" w:after="120"/>
      </w:pPr>
      <w:r>
        <w:rPr>
          <w:sz w:val="18"/>
        </w:rPr>
        <w:t>——————————————————————————————————————————————————————————————————————</w:t>
      </w:r>
    </w:p>
    <w:p>
      <w:pPr>
        <w:spacing w:before="160" w:after="40" w:line="240" w:lineRule="auto"/>
      </w:pPr>
      <w:r>
        <w:rPr>
          <w:b/>
        </w:rPr>
        <w:t xml:space="preserve">[633] </w:t>
      </w:r>
      <w:hyperlink r:id="rId1045">
        <w:r>
          <w:rPr>
            <w:color w:val="1155CC"/>
            <w:u w:val="single"/>
          </w:rPr>
          <w:t>用于高效CO2分离的吸附性设计</w:t>
        </w:r>
      </w:hyperlink>
    </w:p>
    <w:p>
      <w:pPr>
        <w:spacing w:before="0" w:after="80"/>
      </w:pPr>
      <w:r>
        <w:rPr>
          <w:i/>
          <w:sz w:val="20"/>
        </w:rPr>
        <w:t>EN: Design of Adsorption‒Diffusion Dual‐Driven MOF Membranes for Efficient CO2 Separation</w:t>
      </w:r>
    </w:p>
    <w:p>
      <w:pPr>
        <w:spacing w:before="0" w:after="120"/>
      </w:pPr>
      <w:r>
        <w:rPr>
          <w:b/>
        </w:rPr>
        <w:t xml:space="preserve">Source: </w:t>
      </w:r>
      <w:r>
        <w:t>Wiley: Angewandte Chemie International Edition: Table of Contents</w:t>
      </w:r>
      <w:r>
        <w:t xml:space="preserve">    </w:t>
      </w:r>
      <w:r>
        <w:rPr>
          <w:b/>
        </w:rPr>
        <w:t xml:space="preserve">Pub date: </w:t>
      </w:r>
      <w:r>
        <w:t>2026-01-10 13:59:17+00:00</w:t>
      </w:r>
      <w:r>
        <w:t xml:space="preserve">    </w:t>
      </w:r>
      <w:r>
        <w:rPr>
          <w:b/>
        </w:rPr>
        <w:t xml:space="preserve">DOI: </w:t>
      </w:r>
      <w:hyperlink r:id="rId1046">
        <w:r>
          <w:rPr>
            <w:color w:val="1155CC"/>
            <w:u w:val="single"/>
          </w:rPr>
          <w:t>10.1002/anie.202521250</w:t>
        </w:r>
      </w:hyperlink>
    </w:p>
    <w:p>
      <w:pPr>
        <w:spacing w:before="0" w:after="120"/>
      </w:pPr>
      <w:r>
        <w:rPr>
          <w:b/>
        </w:rPr>
        <w:t xml:space="preserve">Notes: </w:t>
      </w:r>
      <w:r>
        <w:t>abstract_source=crossref</w:t>
      </w:r>
    </w:p>
    <w:p>
      <w:pPr>
        <w:spacing w:before="0" w:after="80" w:lineRule="auto" w:line="276"/>
      </w:pPr>
      <w:r>
        <w:rPr>
          <w:b/>
        </w:rPr>
        <w:t xml:space="preserve">摘要（ZH）: </w:t>
      </w:r>
      <w:r>
        <w:t>金属-机密抽象框架(MOFs)在孔隙结构和功能方面提供了特殊的金枪鱼,具有先进的气体分离膜的巨大潜力。 然而,它们的进步受到渗透性 — — 选择性交易和低效率的经验筛选 — — 选择性交易和低效率的经验筛选的限制。 此处我们提议了一种吸附 — — 扩散双驱动设计战略,平衡中度CO2吸附近性(1 &amp; lt; α adds, HTCS &amp; lt; 10)和高度CO 2 diffliversive选择性(α diff, HTCS &amp; gt; 10),在3.8 - 4.4 的孔径范围内。 高端点证实了这一理由。</w:t>
      </w:r>
    </w:p>
    <w:p>
      <w:pPr>
        <w:spacing w:before="0" w:after="200" w:lineRule="auto" w:line="276"/>
      </w:pPr>
      <w:r>
        <w:rPr>
          <w:b/>
        </w:rPr>
        <w:t xml:space="preserve">Abstract (EN): </w:t>
      </w:r>
      <w:r>
        <w:t>Metal–organic frameworks (MOFs) offer exceptional tunability in pore structure and functionality, holding considerable potential for advanced gas separation membranes. However, their advancement is restricted by the permeability–selectivity trade‐off and inefficient empirical screening. Herein, we propose an adsorption–diffusion dual‐driven design strategy balancing moderate CO</w:t>
      </w:r>
      <w:r>
        <w:rPr>
          <w:vertAlign w:val="subscript"/>
        </w:rPr>
        <w:t>2</w:t>
      </w:r>
      <w:r>
        <w:t>adsorption affinity (1 &amp;lt; α</w:t>
      </w:r>
      <w:r>
        <w:t xml:space="preserve"> </w:t>
      </w:r>
      <w:r>
        <w:t>ads,HTCS</w:t>
      </w:r>
      <w:r>
        <w:t xml:space="preserve"> </w:t>
      </w:r>
      <w:r>
        <w:t>&amp;lt; 10) and high CO</w:t>
      </w:r>
      <w:r>
        <w:rPr>
          <w:vertAlign w:val="subscript"/>
        </w:rPr>
        <w:t>2</w:t>
      </w:r>
      <w:r>
        <w:t>diffusivity selectivity (α</w:t>
      </w:r>
      <w:r>
        <w:t xml:space="preserve"> </w:t>
      </w:r>
      <w:r>
        <w:t>diff,HTCS</w:t>
      </w:r>
      <w:r>
        <w:t xml:space="preserve"> </w:t>
      </w:r>
      <w:r>
        <w:t>&amp;gt; 10) within a pore‐limiting diameter range of 3.8–4.4 Å. This rationale is corroborated by high‐throughput computational screening and experimental membrane performance. Three</w:t>
      </w:r>
      <w:r>
        <w:t xml:space="preserve"> </w:t>
      </w:r>
      <w:r>
        <w:t>yfm</w:t>
      </w:r>
      <w:r>
        <w:t xml:space="preserve"> </w:t>
      </w:r>
      <w:r>
        <w:t>‐topology MOF membranes—CAU‐10H, CAU‐10pydc, and KMF‐1 with finely tuned pore microenvironments were synthesized, with the former two meeting the proposed criteria and KMF‐1 serving as a counterexample. As anticipated, CAU‐10H and CAU‐10pydc exceed the 2019 upper bound for CO</w:t>
      </w:r>
      <w:r>
        <w:rPr>
          <w:vertAlign w:val="subscript"/>
        </w:rPr>
        <w:t>2</w:t>
      </w:r>
      <w:r>
        <w:t>/CH</w:t>
      </w:r>
      <w:r>
        <w:rPr>
          <w:vertAlign w:val="subscript"/>
        </w:rPr>
        <w:t>4</w:t>
      </w:r>
      <w:r>
        <w:t>separation, with CAU‐10pydc exhibiting a remarkable CO</w:t>
      </w:r>
      <w:r>
        <w:rPr>
          <w:vertAlign w:val="subscript"/>
        </w:rPr>
        <w:t>2</w:t>
      </w:r>
      <w:r>
        <w:t>permeability of ∼2847 Barrer and a selectivity of 185, outperforming most state‐of‐the‐art membranes. Moreover, despite sharing the same kinetic diameter as CO</w:t>
      </w:r>
      <w:r>
        <w:rPr>
          <w:vertAlign w:val="subscript"/>
        </w:rPr>
        <w:t>2</w:t>
      </w:r>
      <w:r>
        <w:t>, C</w:t>
      </w:r>
      <w:r>
        <w:rPr>
          <w:vertAlign w:val="subscript"/>
        </w:rPr>
        <w:t>2</w:t>
      </w:r>
      <w:r>
        <w:t>H</w:t>
      </w:r>
      <w:r>
        <w:rPr>
          <w:vertAlign w:val="subscript"/>
        </w:rPr>
        <w:t>2</w:t>
      </w:r>
      <w:r>
        <w:t>exhibits 1.5 times higher adsorption affinity, resulting in a significantly lower permeability of only 39 Barrer under the same conditions. These results confirm the adsorption–diffusion dual‐driven design principle, providing both theoretical insight and practical guidance for other challenging gas separation scenarios.</w:t>
      </w:r>
    </w:p>
    <w:p>
      <w:pPr>
        <w:spacing w:before="120" w:after="120"/>
      </w:pPr>
      <w:r>
        <w:rPr>
          <w:sz w:val="18"/>
        </w:rPr>
        <w:t>——————————————————————————————————————————————————————————————————————</w:t>
      </w:r>
    </w:p>
    <w:p>
      <w:pPr>
        <w:spacing w:before="160" w:after="40" w:line="240" w:lineRule="auto"/>
      </w:pPr>
      <w:r>
        <w:rPr>
          <w:b/>
        </w:rPr>
        <w:t xml:space="preserve">[634] </w:t>
      </w:r>
      <w:hyperlink r:id="rId1047">
        <w:r>
          <w:rPr>
            <w:color w:val="1155CC"/>
            <w:u w:val="single"/>
          </w:rPr>
          <w:t>3d5dOrbital混合:持久高效AEM水电解和Zn-Air电池</w:t>
        </w:r>
      </w:hyperlink>
    </w:p>
    <w:p>
      <w:pPr>
        <w:spacing w:before="0" w:after="80"/>
      </w:pPr>
      <w:r>
        <w:rPr>
          <w:i/>
          <w:sz w:val="20"/>
        </w:rPr>
        <w:t>EN: Decoupling Adsorption of Key Intermediates Enabled by Asymmetric 3d‐5d‐Orbital Hybridization: Durable High‐Performance AEM Water Electrolysis and Zn–Air Batteries</w:t>
      </w:r>
    </w:p>
    <w:p>
      <w:pPr>
        <w:spacing w:before="0" w:after="120"/>
      </w:pPr>
      <w:r>
        <w:rPr>
          <w:b/>
        </w:rPr>
        <w:t xml:space="preserve">Source: </w:t>
      </w:r>
      <w:r>
        <w:t>Wiley: Angewandte Chemie International Edition: Table of Contents</w:t>
      </w:r>
      <w:r>
        <w:t xml:space="preserve">    </w:t>
      </w:r>
      <w:r>
        <w:rPr>
          <w:b/>
        </w:rPr>
        <w:t xml:space="preserve">Pub date: </w:t>
      </w:r>
      <w:r>
        <w:t>2026-01-10 14:00:17+00:00</w:t>
      </w:r>
      <w:r>
        <w:t xml:space="preserve">    </w:t>
      </w:r>
      <w:r>
        <w:rPr>
          <w:b/>
        </w:rPr>
        <w:t xml:space="preserve">DOI: </w:t>
      </w:r>
      <w:hyperlink r:id="rId1048">
        <w:r>
          <w:rPr>
            <w:color w:val="1155CC"/>
            <w:u w:val="single"/>
          </w:rPr>
          <w:t>10.1002/anie.202524805</w:t>
        </w:r>
      </w:hyperlink>
    </w:p>
    <w:p>
      <w:pPr>
        <w:spacing w:before="0" w:after="120"/>
      </w:pPr>
      <w:r>
        <w:rPr>
          <w:b/>
        </w:rPr>
        <w:t xml:space="preserve">Notes: </w:t>
      </w:r>
      <w:r>
        <w:t>abstract_source=crossref</w:t>
      </w:r>
    </w:p>
    <w:p>
      <w:pPr>
        <w:spacing w:before="0" w:after="80" w:lineRule="auto" w:line="276"/>
      </w:pPr>
      <w:r>
        <w:rPr>
          <w:b/>
        </w:rPr>
        <w:t xml:space="preserve">摘要（ZH）: </w:t>
      </w:r>
      <w:r>
        <w:t>通过3d5d-轨道混合化对关键中间体进行抽象脱钩的吸附,克服了内在的缩缩关系瓶颈,使高性能、耐久多功能电动解析器(AEMWES)和Zn-Air电池(ZABs)得以合理设计,用于对离子交换膜水电解解导器(AEMWES)和Zn-Air电池(ZABs)的持久多功能电动解析器(AEMWES)和Zn-Air电池(ZABs )得以合理设计。 这里,我们揭示了不对称的3d5d-5d-轨道混合化,这是通过氮化碳聚碳支持的PtCo合金(PtCo@NPC)的拉链菌菌菌株和缺陷结构(LatC)的协同设计,有效地分离了关键中间体的这些吸附能。 PtC@NPC展示了氢进反应、氧进反应和减少氧反应的超多功能电解性反应。</w:t>
      </w:r>
    </w:p>
    <w:p>
      <w:pPr>
        <w:spacing w:before="0" w:after="200" w:lineRule="auto" w:line="276"/>
      </w:pPr>
      <w:r>
        <w:rPr>
          <w:b/>
        </w:rPr>
        <w:t xml:space="preserve">Abstract (EN): </w:t>
      </w:r>
      <w:r>
        <w:t>Decoupling key intermediates’ adsorption via asymmetric 3d‐5d‐orbital hybridization overcomes the intrinsic scaling relation bottleneck, enabling rational design of high‐performance, durable multifunctional electrocatalysts for anion exchange membrane water electrolyzers (AEMWEs) and Zn–air batteries (ZABs). Here, we reveal that asymmetric 3d‐5d‐orbital hybridization, engineered through the synergy of lattice strain and defect structures in a nitrogen‐doped carbon‐supported PtCo alloy (PtCo@NPC), effectively decouples these adsorption energies of key intermediates. PtCo@NPC demonstrates exceptional multifunctional electrocatalytic performance for the hydrogen evolution reaction, oxygen evolution reaction, and oxygen reduction reaction in alkaline media. Density functional theory calculations suggest that electronic structure modulation tunes the adsorption characteristics of intermediates, while X‐ray absorption fine structure spectroscopy confirms the corresponding changes in the electronic states of surface Pt and Co atoms. When deployed in devices, PtCo@NPC enables AEMWEs to operate stably for 522 h at 1000 mA cm</w:t>
      </w:r>
      <w:r>
        <w:t xml:space="preserve"> </w:t>
      </w:r>
      <w:r>
        <w:t>−2</w:t>
      </w:r>
      <w:r>
        <w:t xml:space="preserve"> </w:t>
      </w:r>
      <w:r>
        <w:t>with a voltage decay rate of only 0.103 mV h</w:t>
      </w:r>
      <w:r>
        <w:t xml:space="preserve"> </w:t>
      </w:r>
      <w:r>
        <w:t>−1</w:t>
      </w:r>
      <w:r>
        <w:t xml:space="preserve"> </w:t>
      </w:r>
      <w:r>
        <w:t>and empowers ZABs to achieve a long cycle life of over 2520 cycles at 5.0 mA cm</w:t>
      </w:r>
      <w:r>
        <w:t xml:space="preserve"> </w:t>
      </w:r>
      <w:r>
        <w:t>−2</w:t>
      </w:r>
      <w:r>
        <w:t xml:space="preserve"> </w:t>
      </w:r>
      <w:r>
        <w:t>. This study highlights electronic‐structure modulation as a powerful strategy for advanced energy technologies.</w:t>
      </w:r>
    </w:p>
    <w:p>
      <w:pPr>
        <w:spacing w:before="120" w:after="120"/>
      </w:pPr>
      <w:r>
        <w:rPr>
          <w:sz w:val="18"/>
        </w:rPr>
        <w:t>——————————————————————————————————————————————————————————————————————</w:t>
      </w:r>
    </w:p>
    <w:p>
      <w:pPr>
        <w:spacing w:before="160" w:after="40" w:line="240" w:lineRule="auto"/>
      </w:pPr>
      <w:r>
        <w:rPr>
          <w:b/>
        </w:rPr>
        <w:t xml:space="preserve">[635] </w:t>
      </w:r>
      <w:hyperlink r:id="rId1049">
        <w:r>
          <w:rPr>
            <w:color w:val="1155CC"/>
            <w:u w:val="single"/>
          </w:rPr>
          <w:t>通过定向水流运输和提高高Yield太阳能驱动大气水收集的水吸收能力,引导水流运输和增强水吸收能力,使微氟化物</w:t>
        </w:r>
      </w:hyperlink>
    </w:p>
    <w:p>
      <w:pPr>
        <w:spacing w:before="0" w:after="80"/>
      </w:pPr>
      <w:r>
        <w:rPr>
          <w:i/>
          <w:sz w:val="20"/>
        </w:rPr>
        <w:t>EN: Anisotropic Biomass Microfluidics via Directed Moisture Transport and Enhanced Water‐Binding Capacity for High‐Yield Solar‐driven Atmospheric Water Harvesting</w:t>
      </w:r>
    </w:p>
    <w:p>
      <w:pPr>
        <w:spacing w:before="0" w:after="120"/>
      </w:pPr>
      <w:r>
        <w:rPr>
          <w:b/>
        </w:rPr>
        <w:t xml:space="preserve">Source: </w:t>
      </w:r>
      <w:r>
        <w:t>Wiley: Advanced Materials: Table of Contents</w:t>
      </w:r>
      <w:r>
        <w:t xml:space="preserve">    </w:t>
      </w:r>
      <w:r>
        <w:rPr>
          <w:b/>
        </w:rPr>
        <w:t xml:space="preserve">Pub date: </w:t>
      </w:r>
      <w:r>
        <w:t>2026-01-10 14:01:20+00:00</w:t>
      </w:r>
      <w:r>
        <w:t xml:space="preserve">    </w:t>
      </w:r>
      <w:r>
        <w:rPr>
          <w:b/>
        </w:rPr>
        <w:t xml:space="preserve">DOI: </w:t>
      </w:r>
      <w:hyperlink r:id="rId1050">
        <w:r>
          <w:rPr>
            <w:color w:val="1155CC"/>
            <w:u w:val="single"/>
          </w:rPr>
          <w:t>10.1002/adma.202522241</w:t>
        </w:r>
      </w:hyperlink>
    </w:p>
    <w:p>
      <w:pPr>
        <w:spacing w:before="0" w:after="120"/>
      </w:pPr>
      <w:r>
        <w:rPr>
          <w:b/>
        </w:rPr>
        <w:t xml:space="preserve">Notes: </w:t>
      </w:r>
      <w:r>
        <w:t>abstract_source=crossref</w:t>
      </w:r>
    </w:p>
    <w:p>
      <w:pPr>
        <w:spacing w:before="0" w:after="80" w:lineRule="auto" w:line="276"/>
      </w:pPr>
      <w:r>
        <w:rPr>
          <w:b/>
        </w:rPr>
        <w:t xml:space="preserve">摘要（ZH）: </w:t>
      </w:r>
      <w:r>
        <w:t>ABSTACT 太阳能驱动吸附 — — 以大气吸收为基础的大气水收集(ADAWH)是可持续淡水生产的一个大有希望的战略。然而,常规的湿质材料通常以内部结构混乱为主,严重妨碍蒸气扩散和热传输。 这些结构性限制限制了吸附活性,提高了对解吸的能源需求。 我们在这里报告了一种基于生物量的湿质血压凝胶(BHA ), 由垂直对齐的微氟化渠道组成,通过定向冷冻制造。 这种厌食性建筑使得直接的垂直水分迁移,同时将辐射扩散到二级孔中,有效地减少了蒸气迁移的异常性。</w:t>
      </w:r>
    </w:p>
    <w:p>
      <w:pPr>
        <w:spacing w:before="0" w:after="200" w:lineRule="auto" w:line="276"/>
      </w:pPr>
      <w:r>
        <w:rPr>
          <w:b/>
        </w:rPr>
        <w:t xml:space="preserve">Abstract (EN): </w:t>
      </w:r>
      <w:r>
        <w:t>Solar‐driven adsorption–desorption‐based atmospheric water harvesting (AD‐AWH) presents a promising strategy for sustainable freshwater production. However, conventional hygroscopic materials typically feature disordered internal architectures, severely hindering vapor diffusion and heat transfer. These structural limitations constrain adsorption kinetics and elevate the energy demand for desorption. Here, we report a biomass‐based hygroscopic aerogel (BHA) with vertically aligned microfluidic channels, fabricated via directional freeze‐drying. This anisotropic architecture enables directed vertical moisture transport combined with radial diffusion into secondary pores, effectively reducing vapor transport tortuosity while simultaneously increasing water‐binding capacity. As a result, the BHA achieves a high‐water uptake of 3.18 g g</w:t>
      </w:r>
      <w:r>
        <w:t xml:space="preserve"> </w:t>
      </w:r>
      <w:r>
        <w:t>−1</w:t>
      </w:r>
      <w:r>
        <w:t xml:space="preserve"> </w:t>
      </w:r>
      <w:r>
        <w:t>at 80% RH and a rapid adsorption rate of 0.25 g g</w:t>
      </w:r>
      <w:r>
        <w:t xml:space="preserve"> </w:t>
      </w:r>
      <w:r>
        <w:t>−1</w:t>
      </w:r>
      <w:r>
        <w:t xml:space="preserve"> </w:t>
      </w:r>
      <w:r>
        <w:t>within 6 h at 30% RH. Upon surface modification with a photothermal ink, the evaporation rate increases to 2.89 kg m</w:t>
      </w:r>
      <w:r>
        <w:t xml:space="preserve"> </w:t>
      </w:r>
      <w:r>
        <w:t>−2</w:t>
      </w:r>
      <w:r>
        <w:t xml:space="preserve"> </w:t>
      </w:r>
      <w:r>
        <w:t>h</w:t>
      </w:r>
      <w:r>
        <w:t xml:space="preserve"> </w:t>
      </w:r>
      <w:r>
        <w:t>−1</w:t>
      </w:r>
      <w:r>
        <w:t xml:space="preserve"> </w:t>
      </w:r>
      <w:r>
        <w:t>, and the desorption ratio reaches 76.63% under one sun irradiation. Outdoor field tests confirm a high daily water yield of 1.51 L m</w:t>
      </w:r>
      <w:r>
        <w:t xml:space="preserve"> </w:t>
      </w:r>
      <w:r>
        <w:t>−2</w:t>
      </w:r>
      <w:r>
        <w:t xml:space="preserve"> </w:t>
      </w:r>
      <w:r>
        <w:t>day</w:t>
      </w:r>
      <w:r>
        <w:t xml:space="preserve"> </w:t>
      </w:r>
      <w:r>
        <w:t>−1</w:t>
      </w:r>
      <w:r>
        <w:t xml:space="preserve"> </w:t>
      </w:r>
      <w:r>
        <w:t>. Furthermore, the incorporation of montmorillonite significantly reinforces the mechanical robustness of the aerogel. This work presents a structurally engineered strategy for optimizing internal fluidic and thermal dynamics in hygroscopic materials, offering a scalable and energy‐efficient pathway for AD‐AWH in water‐stressed regions.</w:t>
      </w:r>
    </w:p>
    <w:p>
      <w:pPr>
        <w:spacing w:before="120" w:after="120"/>
      </w:pPr>
      <w:r>
        <w:rPr>
          <w:sz w:val="18"/>
        </w:rPr>
        <w:t>——————————————————————————————————————————————————————————————————————</w:t>
      </w:r>
    </w:p>
    <w:p>
      <w:pPr>
        <w:spacing w:before="160" w:after="40" w:line="240" w:lineRule="auto"/>
      </w:pPr>
      <w:r>
        <w:rPr>
          <w:b/>
        </w:rPr>
        <w:t xml:space="preserve">[636] </w:t>
      </w:r>
      <w:hyperlink r:id="rId1051">
        <w:r>
          <w:rPr>
            <w:color w:val="1155CC"/>
            <w:u w:val="single"/>
          </w:rPr>
          <w:t>聚氨酯热塞:聚氨酯的第二寿命</w:t>
        </w:r>
      </w:hyperlink>
    </w:p>
    <w:p>
      <w:pPr>
        <w:spacing w:before="0" w:after="80"/>
      </w:pPr>
      <w:r>
        <w:rPr>
          <w:i/>
          <w:sz w:val="20"/>
        </w:rPr>
        <w:t>EN: Recycling and Upcycling of Polyurethane Thermosets: The Second Life of Polymers</w:t>
      </w:r>
    </w:p>
    <w:p>
      <w:pPr>
        <w:spacing w:before="0" w:after="120"/>
      </w:pPr>
      <w:r>
        <w:rPr>
          <w:b/>
        </w:rPr>
        <w:t xml:space="preserve">Source: </w:t>
      </w:r>
      <w:r>
        <w:t>Wiley: Advanced Materials: Table of Contents</w:t>
      </w:r>
      <w:r>
        <w:t xml:space="preserve">    </w:t>
      </w:r>
      <w:r>
        <w:rPr>
          <w:b/>
        </w:rPr>
        <w:t xml:space="preserve">Pub date: </w:t>
      </w:r>
      <w:r>
        <w:t>2026-01-10 14:02:36+00:00</w:t>
      </w:r>
      <w:r>
        <w:t xml:space="preserve">    </w:t>
      </w:r>
      <w:r>
        <w:rPr>
          <w:b/>
        </w:rPr>
        <w:t xml:space="preserve">DOI: </w:t>
      </w:r>
      <w:hyperlink r:id="rId1052">
        <w:r>
          <w:rPr>
            <w:color w:val="1155CC"/>
            <w:u w:val="single"/>
          </w:rPr>
          <w:t>10.1002/adma.202515809</w:t>
        </w:r>
      </w:hyperlink>
    </w:p>
    <w:p>
      <w:pPr>
        <w:spacing w:before="0" w:after="120"/>
      </w:pPr>
      <w:r>
        <w:rPr>
          <w:b/>
        </w:rPr>
        <w:t xml:space="preserve">Notes: </w:t>
      </w:r>
      <w:r>
        <w:t>abstract_source=crossref</w:t>
      </w:r>
    </w:p>
    <w:p>
      <w:pPr>
        <w:spacing w:before="0" w:after="80" w:lineRule="auto" w:line="276"/>
      </w:pPr>
      <w:r>
        <w:rPr>
          <w:b/>
        </w:rPr>
        <w:t xml:space="preserve">摘要（ZH）: </w:t>
      </w:r>
      <w:r>
        <w:t>聚氨酯(PU)在从绝缘、弹性体、粘合剂和涂层到土木工程材料等各种先进部门广泛使用,但是,在循环经济的框架内,鉴于迫切需要减少塑料对环境的影响,设计、评估和开发了回收和再循环废弃的聚苯乙烯热塞的技术,这些热塞是化学交叉的,难以再处理。这一审查全面审查了聚苯乙烯热塞的现状,讨论了各种回收技术,并突出了新形成的循环战略,这些战略有望将低值废物转化为高性能产品。此外,还涉及设计具有再处理功能的智能聚苯乙烯衍生物。</w:t>
      </w:r>
    </w:p>
    <w:p>
      <w:pPr>
        <w:spacing w:before="0" w:after="200" w:lineRule="auto" w:line="276"/>
      </w:pPr>
      <w:r>
        <w:rPr>
          <w:b/>
        </w:rPr>
        <w:t xml:space="preserve">Abstract (EN): </w:t>
      </w:r>
      <w:r>
        <w:t>Polyurethanes (PU) have been widely utilized in various advanced sectors, from insulation, elastomers, adhesives, and coatings to civil engineering materials. However, within the framework of the circular economy and in light of the urgent need to reduce the environmental impact of plastics, technologies have been designed, assessed, and exploited for the recycling and upcycling of discarded PU thermosets, which are chemically crosslinked and difficult to reprocess. This review comprehensively examines the current state of PU thermosets, discusses various recycling technologies, and highlights emerging upcycling strategies that promise to transform low‐value waste into high‐performance products. By also addressing the design of smart PU derivatives featuring reversible covalent and non‐covalent bonds, this paper provides a detailed analysis of how innovative material design can promote a more sustainable and circular life cycle for PU thermosets. Finally, the review offers perspectives on future research directions and industrial implementation of recycled/upcycled PU thermosets, providing readers with some perspectives about the possible future developments.</w:t>
      </w:r>
    </w:p>
    <w:p>
      <w:pPr>
        <w:spacing w:before="120" w:after="120"/>
      </w:pPr>
      <w:r>
        <w:rPr>
          <w:sz w:val="18"/>
        </w:rPr>
        <w:t>——————————————————————————————————————————————————————————————————————</w:t>
      </w:r>
    </w:p>
    <w:p>
      <w:pPr>
        <w:spacing w:before="160" w:after="40" w:line="240" w:lineRule="auto"/>
      </w:pPr>
      <w:r>
        <w:rPr>
          <w:b/>
        </w:rPr>
        <w:t xml:space="preserve">[637] </w:t>
      </w:r>
      <w:hyperlink r:id="rId1053">
        <w:r>
          <w:rPr>
            <w:color w:val="1155CC"/>
            <w:u w:val="single"/>
          </w:rPr>
          <w:t>超长速和稳定水态质子电池的质子迁移</w:t>
        </w:r>
      </w:hyperlink>
    </w:p>
    <w:p>
      <w:pPr>
        <w:spacing w:before="0" w:after="80"/>
      </w:pPr>
      <w:r>
        <w:rPr>
          <w:i/>
          <w:sz w:val="20"/>
        </w:rPr>
        <w:t>EN: Geometric Preorganization Enables Entropy‐Constrained Proton Migration for Ultrafast and Stable Aqueous Proton Batteries</w:t>
      </w:r>
    </w:p>
    <w:p>
      <w:pPr>
        <w:spacing w:before="0" w:after="120"/>
      </w:pPr>
      <w:r>
        <w:rPr>
          <w:b/>
        </w:rPr>
        <w:t xml:space="preserve">Source: </w:t>
      </w:r>
      <w:r>
        <w:t>Wiley: Angewandte Chemie International Edition: Table of Contents</w:t>
      </w:r>
      <w:r>
        <w:t xml:space="preserve">    </w:t>
      </w:r>
      <w:r>
        <w:rPr>
          <w:b/>
        </w:rPr>
        <w:t xml:space="preserve">Pub date: </w:t>
      </w:r>
      <w:r>
        <w:t>2026-01-10 14:02:37+00:00</w:t>
      </w:r>
      <w:r>
        <w:t xml:space="preserve">    </w:t>
      </w:r>
      <w:r>
        <w:rPr>
          <w:b/>
        </w:rPr>
        <w:t xml:space="preserve">DOI: </w:t>
      </w:r>
      <w:hyperlink r:id="rId1054">
        <w:r>
          <w:rPr>
            <w:color w:val="1155CC"/>
            <w:u w:val="single"/>
          </w:rPr>
          <w:t>10.1002/anie.202525809</w:t>
        </w:r>
      </w:hyperlink>
    </w:p>
    <w:p>
      <w:pPr>
        <w:spacing w:before="0" w:after="120"/>
      </w:pPr>
      <w:r>
        <w:rPr>
          <w:b/>
        </w:rPr>
        <w:t xml:space="preserve">Notes: </w:t>
      </w:r>
      <w:r>
        <w:t>abstract_source=crossref</w:t>
      </w:r>
    </w:p>
    <w:p>
      <w:pPr>
        <w:spacing w:before="0" w:after="80" w:lineRule="auto" w:line="276"/>
      </w:pPr>
      <w:r>
        <w:rPr>
          <w:b/>
        </w:rPr>
        <w:t xml:space="preserve">摘要（ZH）: </w:t>
      </w:r>
      <w:r>
        <w:t>水质电池(APBs)的开发由于能够调节质子迁移的电极材料稀缺而受阻,尽管有机电极是很有希望的候选物,但往往会受到库伦反射和酶诱发的紊乱,导致性能退化。在此,我们提议了一项分子工程战略,以几何预设为基础,通过设计一个C 3-对称三角分子、1、3、5-立方体(2、6-dioxo1、2、2、5、6-tryhychy_3、4-di-di-Hydrydrazinyl)苯(DBH)。</w:t>
      </w:r>
    </w:p>
    <w:p>
      <w:pPr>
        <w:spacing w:before="0" w:after="200" w:lineRule="auto" w:line="276"/>
      </w:pPr>
      <w:r>
        <w:rPr>
          <w:b/>
        </w:rPr>
        <w:t xml:space="preserve">Abstract (EN): </w:t>
      </w:r>
      <w:r>
        <w:t>The development of aqueous proton batteries (APBs) is hindered by the scarcity of electrode materials capable of regulating proton migration. Although organic electrodes are promising candidates, they often suffer from Coulombic repulsion and entropy‐induced disorder, leading to performance degradation. Herein, we propose a molecular‐engineering strategy based on geometric preorganization to construct low‐entropy proton transport pathways by designing a</w:t>
      </w:r>
      <w:r>
        <w:t xml:space="preserve"> </w:t>
      </w:r>
      <w:r>
        <w:t>C</w:t>
      </w:r>
      <w:r>
        <w:rPr>
          <w:vertAlign w:val="subscript"/>
        </w:rPr>
        <w:t>3</w:t>
      </w:r>
      <w:r>
        <w:t xml:space="preserve"> </w:t>
      </w:r>
      <w:r>
        <w:t>‐symmetric triangular molecule, 1, 3, 5‐tris (2, 6‐dioxo‐1, 2, 5, 6‐tetrahydro‐3, 4‐dihydropyrazinyl) benzene (DBH). Its rigid trigonal scaffold preorganizes C═N and C═O redox centers, enabling symmetric charge distribution to mitigate repulsion. Moreover, geometric confinement reduces configurational disorder and restricts accessible microstates, directing proton migration along defined pathways while preserving electronic delocalization. As a result, the DBH electrode delivers high and ultrafast proton‐storage capacity, reaching 277.9 mAh g</w:t>
      </w:r>
      <w:r>
        <w:t xml:space="preserve"> </w:t>
      </w:r>
      <w:r>
        <w:t>−1</w:t>
      </w:r>
      <w:r>
        <w:t xml:space="preserve"> </w:t>
      </w:r>
      <w:r>
        <w:t>at 1 A g</w:t>
      </w:r>
      <w:r>
        <w:t xml:space="preserve"> </w:t>
      </w:r>
      <w:r>
        <w:t>−1</w:t>
      </w:r>
      <w:r>
        <w:t xml:space="preserve"> </w:t>
      </w:r>
      <w:r>
        <w:t>and retaining 207.8 mAh g</w:t>
      </w:r>
      <w:r>
        <w:t xml:space="preserve"> </w:t>
      </w:r>
      <w:r>
        <w:t>−1</w:t>
      </w:r>
      <w:r>
        <w:t xml:space="preserve"> </w:t>
      </w:r>
      <w:r>
        <w:t>even at 100 A g</w:t>
      </w:r>
      <w:r>
        <w:t xml:space="preserve"> </w:t>
      </w:r>
      <w:r>
        <w:t>−1</w:t>
      </w:r>
      <w:r>
        <w:t xml:space="preserve"> </w:t>
      </w:r>
      <w:r>
        <w:t>. When assembled into a full cell, the device achieves 100% capacity retention after 30 000 cycles, along with an energy density of 111.97 Wh kg</w:t>
      </w:r>
      <w:r>
        <w:t xml:space="preserve"> </w:t>
      </w:r>
      <w:r>
        <w:t>−1</w:t>
      </w:r>
      <w:r>
        <w:t xml:space="preserve"> </w:t>
      </w:r>
      <w:r>
        <w:t>and a power density of 40 441.2 W kg</w:t>
      </w:r>
      <w:r>
        <w:t xml:space="preserve"> </w:t>
      </w:r>
      <w:r>
        <w:t>−1</w:t>
      </w:r>
      <w:r>
        <w:t xml:space="preserve"> </w:t>
      </w:r>
      <w:r>
        <w:t>. These results demonstrate that triangular preorganization combined with entropy regulation enables organic electrodes to exhibit high proton‐storage capacity, rapid kinetics, and exceptional long‐term stability.</w:t>
      </w:r>
    </w:p>
    <w:p>
      <w:pPr>
        <w:spacing w:before="120" w:after="120"/>
      </w:pPr>
      <w:r>
        <w:rPr>
          <w:sz w:val="18"/>
        </w:rPr>
        <w:t>——————————————————————————————————————————————————————————————————————</w:t>
      </w:r>
    </w:p>
    <w:p>
      <w:pPr>
        <w:spacing w:before="160" w:after="40" w:line="240" w:lineRule="auto"/>
      </w:pPr>
      <w:r>
        <w:rPr>
          <w:b/>
        </w:rPr>
        <w:t xml:space="preserve">[638] </w:t>
      </w:r>
      <w:hyperlink r:id="rId1055">
        <w:r>
          <w:rPr>
            <w:color w:val="1155CC"/>
            <w:u w:val="single"/>
          </w:rPr>
          <w:t>Thiourea 功成形的、不可变的、使系统能使系统氨基RNA能够输送到二级淋巴器官和双分子淋巴淋巴代谢成像</w:t>
        </w:r>
      </w:hyperlink>
    </w:p>
    <w:p>
      <w:pPr>
        <w:spacing w:before="0" w:after="80"/>
      </w:pPr>
      <w:r>
        <w:rPr>
          <w:i/>
          <w:sz w:val="20"/>
        </w:rPr>
        <w:t>EN: Thiourea‐Functionalized Ionizable Lipids Enable Systemic mRNA Delivery to Secondary Lymphoid Organs and Dual‐Modal Lymphatic Metastasis Imaging</w:t>
      </w:r>
    </w:p>
    <w:p>
      <w:pPr>
        <w:spacing w:before="0" w:after="120"/>
      </w:pPr>
      <w:r>
        <w:rPr>
          <w:b/>
        </w:rPr>
        <w:t xml:space="preserve">Source: </w:t>
      </w:r>
      <w:r>
        <w:t>Wiley: Angewandte Chemie International Edition: Table of Contents</w:t>
      </w:r>
      <w:r>
        <w:t xml:space="preserve">    </w:t>
      </w:r>
      <w:r>
        <w:rPr>
          <w:b/>
        </w:rPr>
        <w:t xml:space="preserve">Pub date: </w:t>
      </w:r>
      <w:r>
        <w:t>2026-01-10 14:02:40+00:00</w:t>
      </w:r>
      <w:r>
        <w:t xml:space="preserve">    </w:t>
      </w:r>
      <w:r>
        <w:rPr>
          <w:b/>
        </w:rPr>
        <w:t xml:space="preserve">DOI: </w:t>
      </w:r>
      <w:hyperlink r:id="rId1056">
        <w:r>
          <w:rPr>
            <w:color w:val="1155CC"/>
            <w:u w:val="single"/>
          </w:rPr>
          <w:t>10.1002/anie.202523579</w:t>
        </w:r>
      </w:hyperlink>
    </w:p>
    <w:p>
      <w:pPr>
        <w:spacing w:before="0" w:after="120"/>
      </w:pPr>
      <w:r>
        <w:rPr>
          <w:b/>
        </w:rPr>
        <w:t xml:space="preserve">Notes: </w:t>
      </w:r>
      <w:r>
        <w:t>abstract_source=crossref</w:t>
      </w:r>
    </w:p>
    <w:p>
      <w:pPr>
        <w:spacing w:before="0" w:after="80" w:lineRule="auto" w:line="276"/>
      </w:pPr>
      <w:r>
        <w:rPr>
          <w:b/>
        </w:rPr>
        <w:t xml:space="preserve">摘要（ZH）: </w:t>
      </w:r>
      <w:r>
        <w:t>利用脂纳米粒子(LNPs)向非肝细胞细胞发送信使RNA(mRNA)的抽象系统化传送仍然具有挑战性。受阴离协调化学的启发,我们在此报告硫尿尿可功能化可连成脂脂(TUILs)的合理化学设计,以有力和具体地向二级淋巴器官(SLOs)输送mRNA。主要的TUIL,即4A3LNSC8,具有一个令人印象深刻的硫尿基连接器,能够与各种卤化蚂蚁(F--、Cl-、I-)结合,通过氢-苯化相互作用对液化有机作物主义进行精确监管。</w:t>
      </w:r>
    </w:p>
    <w:p>
      <w:pPr>
        <w:spacing w:before="0" w:after="200" w:lineRule="auto" w:line="276"/>
      </w:pPr>
      <w:r>
        <w:rPr>
          <w:b/>
        </w:rPr>
        <w:t xml:space="preserve">Abstract (EN): </w:t>
      </w:r>
      <w:r>
        <w:t>Systemic delivery of messenger RNA (mRNA) to non‐hepatocytes using lipid nanoparticles (LNPs) remains challenging. Inspired by anion coordination chemistry, here we report the rational chemical design of thiourea‐functionalized ionizable lipids (TUILs) for delivering mRNA potently and specifically to the secondary lymphoid organs (SLOs). The leading TUIL, namely 4A3‐LNSC8, features an impressive thiourea‐based linker capable of binding with various halide anions (F</w:t>
      </w:r>
      <w:r>
        <w:t xml:space="preserve"> </w:t>
      </w:r>
      <w:r>
        <w:t>−</w:t>
      </w:r>
      <w:r>
        <w:t>, Cl</w:t>
      </w:r>
      <w:r>
        <w:t xml:space="preserve"> </w:t>
      </w:r>
      <w:r>
        <w:t>−</w:t>
      </w:r>
      <w:r>
        <w:t>, I</w:t>
      </w:r>
      <w:r>
        <w:t xml:space="preserve"> </w:t>
      </w:r>
      <w:r>
        <w:t>−</w:t>
      </w:r>
      <w:r>
        <w:t>) through hydrogen‐bonding interaction, enabling precise regulation of LNP organotropism in vivo. When administered systemically, the representative Cl‐4A3‐LNSC8 LNPs exclusively redirected mRNA delivery from the liver to SLOs, yielding a 65‐fold and 29‐fold increase in splenic mRNA expression compared to DLin‐MC3‐DMA and SM102 LNPs with the addition of anionic lipid (18PA). Notably, upon intravenous injection of 0.2 mg kg</w:t>
      </w:r>
      <w:r>
        <w:t xml:space="preserve"> </w:t>
      </w:r>
      <w:r>
        <w:t>−1</w:t>
      </w:r>
      <w:r>
        <w:t xml:space="preserve"> </w:t>
      </w:r>
      <w:r>
        <w:t>Cre mRNA, Cl‐4A3‐LNSC8 LNPs demonstrated strong tropism for splenic macrophages with high gene editing efficiency up to 65.7%, outperforming the current state‐of‐the‐art spleen‐targeted LNPs. Moreover, by leveraging iodine's CT contrast properties, I‐4A3‐LNSC8 LNPs mediated efficient theranostic mRNA delivery to lymph nodes, allowing early detection of lymphatic metastasis via dual‐modal CT and bioluminescence imaging. This work provides new insights into the development of cell‐specific ionizable lipids, advancing future applications of macrophage‐targeted therapies.</w:t>
      </w:r>
    </w:p>
    <w:p>
      <w:pPr>
        <w:spacing w:before="120" w:after="120"/>
      </w:pPr>
      <w:r>
        <w:rPr>
          <w:sz w:val="18"/>
        </w:rPr>
        <w:t>——————————————————————————————————————————————————————————————————————</w:t>
      </w:r>
    </w:p>
    <w:p>
      <w:pPr>
        <w:spacing w:before="160" w:after="40" w:line="240" w:lineRule="auto"/>
      </w:pPr>
      <w:r>
        <w:rPr>
          <w:b/>
        </w:rPr>
        <w:t xml:space="preserve">[639] </w:t>
      </w:r>
      <w:hyperlink r:id="rId1057">
        <w:r>
          <w:rPr>
            <w:color w:val="1155CC"/>
            <w:u w:val="single"/>
          </w:rPr>
          <w:t>校正为“I型活性摄影敏化器,配有排队摄影敏化前和光动力后治疗法”</w:t>
        </w:r>
      </w:hyperlink>
    </w:p>
    <w:p>
      <w:pPr>
        <w:spacing w:before="0" w:after="80"/>
      </w:pPr>
      <w:r>
        <w:rPr>
          <w:i/>
          <w:sz w:val="20"/>
        </w:rPr>
        <w:t>EN: Correction to “Activatable Type I Photosensitizer with Quenched Photosensitization Pre and Post Photodynamic Therapy”</w:t>
      </w:r>
    </w:p>
    <w:p>
      <w:pPr>
        <w:spacing w:before="0" w:after="120"/>
      </w:pPr>
      <w:r>
        <w:rPr>
          <w:b/>
        </w:rPr>
        <w:t xml:space="preserve">Source: </w:t>
      </w:r>
      <w:r>
        <w:t>Wiley: Angewandte Chemie International Edition: Table of Contents</w:t>
      </w:r>
      <w:r>
        <w:t xml:space="preserve">    </w:t>
      </w:r>
      <w:r>
        <w:rPr>
          <w:b/>
        </w:rPr>
        <w:t xml:space="preserve">Pub date: </w:t>
      </w:r>
      <w:r>
        <w:t>2026-01-10 14:03:31+00:00</w:t>
      </w:r>
      <w:r>
        <w:t xml:space="preserve">    </w:t>
      </w:r>
      <w:r>
        <w:rPr>
          <w:b/>
        </w:rPr>
        <w:t xml:space="preserve">DOI: </w:t>
      </w:r>
      <w:hyperlink r:id="rId1058">
        <w:r>
          <w:rPr>
            <w:color w:val="1155CC"/>
            <w:u w:val="single"/>
          </w:rPr>
          <w:t>10.1002/anie.4736588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[640] </w:t>
      </w:r>
      <w:hyperlink r:id="rId1059">
        <w:r>
          <w:rPr>
            <w:color w:val="1155CC"/>
            <w:u w:val="single"/>
          </w:rPr>
          <w:t>Peptide- 由电源中产生的电能- 转让 超分子材料中的电能- 电能- 电能- 电能- 电能- 电能- 电导- 电导- 电导- 电导- 电导- 电导- 电导- 电导- 电导- 电导- 电导- 电导- 电导- 电导- 电导- 电导- 电导- 电导- 电导- 电导-电导</w:t>
        </w:r>
      </w:hyperlink>
    </w:p>
    <w:p>
      <w:pPr>
        <w:spacing w:before="0" w:after="80"/>
      </w:pPr>
      <w:r>
        <w:rPr>
          <w:i/>
          <w:sz w:val="20"/>
        </w:rPr>
        <w:t>EN: Peptide‐Induced Ferroelectricity in Charge‐Transfer Supramolecular Materials</w:t>
      </w:r>
    </w:p>
    <w:p>
      <w:pPr>
        <w:spacing w:before="0" w:after="120"/>
      </w:pPr>
      <w:r>
        <w:rPr>
          <w:b/>
        </w:rPr>
        <w:t xml:space="preserve">Source: </w:t>
      </w:r>
      <w:r>
        <w:t>Wiley: Advanced Materials: Table of Contents</w:t>
      </w:r>
      <w:r>
        <w:t xml:space="preserve">    </w:t>
      </w:r>
      <w:r>
        <w:rPr>
          <w:b/>
        </w:rPr>
        <w:t xml:space="preserve">Pub date: </w:t>
      </w:r>
      <w:r>
        <w:t>2026-01-10 14:03:47+00:00</w:t>
      </w:r>
      <w:r>
        <w:t xml:space="preserve">    </w:t>
      </w:r>
      <w:r>
        <w:rPr>
          <w:b/>
        </w:rPr>
        <w:t xml:space="preserve">DOI: </w:t>
      </w:r>
      <w:hyperlink r:id="rId1060">
        <w:r>
          <w:rPr>
            <w:color w:val="1155CC"/>
            <w:u w:val="single"/>
          </w:rPr>
          <w:t>10.1002/adma.202514940</w:t>
        </w:r>
      </w:hyperlink>
    </w:p>
    <w:p>
      <w:pPr>
        <w:spacing w:before="0" w:after="120"/>
      </w:pPr>
      <w:r>
        <w:rPr>
          <w:b/>
        </w:rPr>
        <w:t xml:space="preserve">Notes: </w:t>
      </w:r>
      <w:r>
        <w:t>abstract_source=crossref</w:t>
      </w:r>
    </w:p>
    <w:p>
      <w:pPr>
        <w:spacing w:before="0" w:after="80" w:lineRule="auto" w:line="276"/>
      </w:pPr>
      <w:r>
        <w:rPr>
          <w:b/>
        </w:rPr>
        <w:t xml:space="preserve">摘要（ZH）: </w:t>
      </w:r>
      <w:r>
        <w:t>ABSTACT 有机电组织对可持续能源转换、信息储存、灵活电子和潜在的生物医学应用等许多应用非常感兴趣,这些应用包括软植入,尽管具有广泛潜力,但有机电的发展仍然有限,固态系统中仅有几个已知例子,主要原因是缺乏与无机系统相比完善的设计战略。 生物受启发的超分子化学为创建可水处理和生物兼容的功能纳米结构提供了一条道路。 我们在此报告超分子电荷转移(CT)系统,在该系统中,与电子施用和电接收细胞的衰变有着共生联系,并创建了薄荷。</w:t>
      </w:r>
    </w:p>
    <w:p>
      <w:pPr>
        <w:spacing w:before="0" w:after="200" w:lineRule="auto" w:line="276"/>
      </w:pPr>
      <w:r>
        <w:rPr>
          <w:b/>
        </w:rPr>
        <w:t xml:space="preserve">Abstract (EN): </w:t>
      </w:r>
      <w:r>
        <w:t>Organic ferroelectrics are of great interest in sustainable energy conversion, information storage, flexible electronics, and potential biomedical applications as soft implants, among many other applications. Despite their broad potential, the development of organic ferroelectrics has remained limited, with only a few known examples in solid‐state systems, primarily due to the lack of well‐established design strategies compared to inorganic systems. Bio‐inspired supramolecular chemistry offers a path to create functional nanostructures that are water‐processable and biocompatible. We report here on supramolecular charge transfer (CT) systems in which peptides are covalently linked to dyads of electron‐donating and electron‐accepting moieties, creating amphiphiles that self‐assemble into nanoscale ribbons in water. The peptide chirality‐induced symmetry breaking in these crystalline nanostructures not only results in second harmonic activity but also generates ferroelectric behavior across multiple CT systems, demonstrating a versatile supramolecular approach to the design of new organic ferroelectrics. Furthermore, culturing primary neuron cells on coatings of the ferroelectric materials promoted axonal growth and enhanced action potentials, indicating improved neuronal maturity facilitated by the polar structure of the ferroelectric nanomaterials. The supramolecular strategy used here holds promise to create new water‐processable ferroelectric biomaterials, opening avenues for innovative applications in cell charge transfer, neuronal axon growth, peptide symmetry breaking, self‐assembling peptides, supramolecular ferroelectrics proliferation, and bioelectronics.</w:t>
      </w:r>
    </w:p>
    <w:p>
      <w:pPr>
        <w:spacing w:before="120" w:after="120"/>
      </w:pPr>
      <w:r>
        <w:rPr>
          <w:sz w:val="18"/>
        </w:rPr>
        <w:t>——————————————————————————————————————————————————————————————————————</w:t>
      </w:r>
    </w:p>
    <w:p>
      <w:pPr>
        <w:spacing w:before="160" w:after="40" w:line="240" w:lineRule="auto"/>
      </w:pPr>
      <w:r>
        <w:rPr>
          <w:b/>
        </w:rPr>
        <w:t xml:space="preserve">[641] </w:t>
      </w:r>
      <w:hyperlink r:id="rId1061">
        <w:r>
          <w:rPr>
            <w:color w:val="1155CC"/>
            <w:u w:val="single"/>
          </w:rPr>
          <w:t>水晶增长条例和高性能反光无机 Perovskite太阳能电池碘管理</w:t>
        </w:r>
      </w:hyperlink>
    </w:p>
    <w:p>
      <w:pPr>
        <w:spacing w:before="0" w:after="80"/>
      </w:pPr>
      <w:r>
        <w:rPr>
          <w:i/>
          <w:sz w:val="20"/>
        </w:rPr>
        <w:t>EN: Crystal Growth Regulation and Iodine Management for High Performance Inverted Inorganic Perovskite Solar Cells</w:t>
      </w:r>
    </w:p>
    <w:p>
      <w:pPr>
        <w:spacing w:before="0" w:after="120"/>
      </w:pPr>
      <w:r>
        <w:rPr>
          <w:b/>
        </w:rPr>
        <w:t xml:space="preserve">Source: </w:t>
      </w:r>
      <w:r>
        <w:t>Wiley: Advanced Energy Materials: Table of Contents</w:t>
      </w:r>
      <w:r>
        <w:t xml:space="preserve">    </w:t>
      </w:r>
      <w:r>
        <w:rPr>
          <w:b/>
        </w:rPr>
        <w:t xml:space="preserve">Pub date: </w:t>
      </w:r>
      <w:r>
        <w:t>2026-01-10 14:03:52+00:00</w:t>
      </w:r>
      <w:r>
        <w:t xml:space="preserve">    </w:t>
      </w:r>
      <w:r>
        <w:rPr>
          <w:b/>
        </w:rPr>
        <w:t xml:space="preserve">DOI: </w:t>
      </w:r>
      <w:hyperlink r:id="rId1062">
        <w:r>
          <w:rPr>
            <w:color w:val="1155CC"/>
            <w:u w:val="single"/>
          </w:rPr>
          <w:t>10.1002/aenm.202506630</w:t>
        </w:r>
      </w:hyperlink>
    </w:p>
    <w:p>
      <w:pPr>
        <w:spacing w:before="0" w:after="120"/>
      </w:pPr>
      <w:r>
        <w:rPr>
          <w:b/>
        </w:rPr>
        <w:t xml:space="preserve">Notes: </w:t>
      </w:r>
      <w:r>
        <w:t>abstract_source=crossref</w:t>
      </w:r>
    </w:p>
    <w:p>
      <w:pPr>
        <w:spacing w:before="0" w:after="80" w:lineRule="auto" w:line="276"/>
      </w:pPr>
      <w:r>
        <w:rPr>
          <w:b/>
        </w:rPr>
        <w:t xml:space="preserve">摘要（ZH）: </w:t>
      </w:r>
      <w:r>
        <w:t>ABSTACT 铅协调化学环境以及前体溶液中分子间相互作用,会影响无机透夫斯基的结晶动动能和缺陷分布;同时,抑制与碘有关的物种的形成对于减轻无机透氧分解至关重要;在此,我们向无机透氧透氧化学环境并实行碘管理的无机透氧透氧化学环境的无机透氧前体解决方案引入了具有强大协调能力的刘易斯基四氯苯硫酸(CBSA),以调节Pb 2+化学环境并实施碘管理。 CBSA 和[PBI 6] 4-八赫德拉之间的有力互动促进了离子交换过程。</w:t>
      </w:r>
    </w:p>
    <w:p>
      <w:pPr>
        <w:spacing w:before="0" w:after="200" w:lineRule="auto" w:line="276"/>
      </w:pPr>
      <w:r>
        <w:rPr>
          <w:b/>
        </w:rPr>
        <w:t xml:space="preserve">Abstract (EN): </w:t>
      </w:r>
      <w:r>
        <w:t>Lead coordination chemical environment and intermolecular interactions in the precursor solution influence crystallization kinetics and defect distribution of inorganic perovskite. Meanwhile, inhibiting the formation of iodine related species is crucial for mitigating inorganic perovskite decomposition. Here, we introduce 4‐chlorobenzenesulfinic acid (CBSA), a Lewis base with strong coordination ability, into the inorganic perovskite precursor solution to modulate Pb</w:t>
      </w:r>
      <w:r>
        <w:t xml:space="preserve"> </w:t>
      </w:r>
      <w:r>
        <w:t>2+</w:t>
      </w:r>
      <w:r>
        <w:t xml:space="preserve"> </w:t>
      </w:r>
      <w:r>
        <w:t>chemistry environment and implement iodine management. The robust interaction between CBSA and [PbI</w:t>
      </w:r>
      <w:r>
        <w:rPr>
          <w:vertAlign w:val="subscript"/>
        </w:rPr>
        <w:t>6</w:t>
      </w:r>
      <w:r>
        <w:t>]</w:t>
      </w:r>
      <w:r>
        <w:t xml:space="preserve"> </w:t>
      </w:r>
      <w:r>
        <w:t>4−</w:t>
      </w:r>
      <w:r>
        <w:t>octahedra promotes the ion exchange process dominated by DMAI volatilization and cesium ion intercalation, inducing uniform nucleation and the formation of large grains size. Moreover, CBSA locks iodide ions through hydrogen bonding to reduce the formation of iodine defects and iodine species, while reducing trap density and alleviating perovskite decomposition by passivating undercoordinated lead defects. Ultimately, the power conversion efficiency (PCE) of inverted inorganic perovskite solar cells (IPSCs) with CBSA is increased from 18.88% to 21.67%. More importantly, unencapsulated devices maintained 95% of their initial efficiency after 550 h of maximum power point tracking (MPPT) under continuous 1‐sun illumination, demonstrating exceptional operational stability.</w:t>
      </w:r>
    </w:p>
    <w:p>
      <w:pPr>
        <w:spacing w:before="120" w:after="120"/>
      </w:pPr>
      <w:r>
        <w:rPr>
          <w:sz w:val="18"/>
        </w:rPr>
        <w:t>——————————————————————————————————————————————————————————————————————</w:t>
      </w:r>
    </w:p>
    <w:p>
      <w:pPr>
        <w:spacing w:before="160" w:after="40" w:line="240" w:lineRule="auto"/>
      </w:pPr>
      <w:r>
        <w:rPr>
          <w:b/>
        </w:rPr>
        <w:t xml:space="preserve">[642] </w:t>
      </w:r>
      <w:hyperlink r:id="rId1063">
        <w:r>
          <w:rPr>
            <w:color w:val="1155CC"/>
            <w:u w:val="single"/>
          </w:rPr>
          <w:t>作为无碳、宽球金(I)催化作用的超分子分子氯化受体的 anthracene Bisurea</w:t>
        </w:r>
      </w:hyperlink>
    </w:p>
    <w:p>
      <w:pPr>
        <w:spacing w:before="0" w:after="80"/>
      </w:pPr>
      <w:r>
        <w:rPr>
          <w:i/>
          <w:sz w:val="20"/>
        </w:rPr>
        <w:t>EN: Anthracene Bisurea as a Supramolecular Chloride Receptor for Additive‐Free, Broad‐Scope Gold(I) Catalysis</w:t>
      </w:r>
    </w:p>
    <w:p>
      <w:pPr>
        <w:spacing w:before="0" w:after="120"/>
      </w:pPr>
      <w:r>
        <w:rPr>
          <w:b/>
        </w:rPr>
        <w:t xml:space="preserve">Source: </w:t>
      </w:r>
      <w:r>
        <w:t>Wiley: Angewandte Chemie International Edition: Table of Contents</w:t>
      </w:r>
      <w:r>
        <w:t xml:space="preserve">    </w:t>
      </w:r>
      <w:r>
        <w:rPr>
          <w:b/>
        </w:rPr>
        <w:t xml:space="preserve">Pub date: </w:t>
      </w:r>
      <w:r>
        <w:t>2026-01-10 14:04:05+00:00</w:t>
      </w:r>
      <w:r>
        <w:t xml:space="preserve">    </w:t>
      </w:r>
      <w:r>
        <w:rPr>
          <w:b/>
        </w:rPr>
        <w:t xml:space="preserve">DOI: </w:t>
      </w:r>
      <w:hyperlink r:id="rId1064">
        <w:r>
          <w:rPr>
            <w:color w:val="1155CC"/>
            <w:u w:val="single"/>
          </w:rPr>
          <w:t>10.1002/anie.202523431</w:t>
        </w:r>
      </w:hyperlink>
    </w:p>
    <w:p>
      <w:pPr>
        <w:spacing w:before="0" w:after="120"/>
      </w:pPr>
      <w:r>
        <w:rPr>
          <w:b/>
        </w:rPr>
        <w:t xml:space="preserve">Notes: </w:t>
      </w:r>
      <w:r>
        <w:t>abstract_source=crossref</w:t>
      </w:r>
    </w:p>
    <w:p>
      <w:pPr>
        <w:spacing w:before="0" w:after="80" w:lineRule="auto" w:line="276"/>
      </w:pPr>
      <w:r>
        <w:rPr>
          <w:b/>
        </w:rPr>
        <w:t xml:space="preserve">摘要（ZH）: </w:t>
      </w:r>
      <w:r>
        <w:t>抽象黄金催化(Chelectal Gold) 催化(Chold cateris) 提供了大量惊人的复杂碳脚架,但使用银盐来激活金(I)氯化催化器可能会由于Ag(I) 光敏度、 湿度、 红氧化活性以及干扰所期望的催化过程而产生问题。 虽然Hübond 捐赠者是银盐的一种很有希望的替代物,但是它们的活动量仍然低得多,适用性也更窄,因为Au-Cl裂痕率仍然有限。 为了解决这些限制,我们合理设计了一个自活化磷Au(I) 氯化物综合体,该综合体以炭疽树脂五核素为形式的超分子受体。 在没有任何添加剂的情况下,该综合体会促进多种内部和期分子的产生。</w:t>
      </w:r>
    </w:p>
    <w:p>
      <w:pPr>
        <w:spacing w:before="0" w:after="200" w:lineRule="auto" w:line="276"/>
      </w:pPr>
      <w:r>
        <w:rPr>
          <w:b/>
        </w:rPr>
        <w:t xml:space="preserve">Abstract (EN): </w:t>
      </w:r>
      <w:r>
        <w:t>Gold catalysis provides access to a remarkable array of complex carbon scaffolds, but the use of silver salts to activate gold(I) chloride precatalysts can be problematic due to Ag(I) light sensitivity, hygroscopicity, redox activity, and interference with the desired catalysis. Although H‐bond donors are a promising alternative to silver salts, they still suffer from much lower activity and narrower applicability, as Au–Cl cleavage remains rate limiting. To address these limitations, we have rationally designed a self‐activating phosphine Au(I) chloride complex that incorporates a supramolecular chloride receptor in the form of an anthracene bisurea quintuple H‐bond donor. In the absence of any additive, this complex promotes multiple intra‐ and intermolecular reactions, with a catalytic activity rivalling traditional inorganic chloride scavengers. Mechanistic studies for the model reaction show that the exceptional chloride binding ability of the anthracene bisurea unlocks access to a zwitterionic catalyst resting state where the Au─Cl bond has been cleaved, thus significantly reducing barriers for catalysis. The principles uncovered in this work show how supramolecular anion recognition moieties impact catalyst speciation and enhance performance, enabling for the first time H‐bond donors to compete with inorganic chloride scavengers in terms of activity and generality.</w:t>
      </w:r>
    </w:p>
    <w:p>
      <w:pPr>
        <w:spacing w:before="120" w:after="120"/>
      </w:pPr>
      <w:r>
        <w:rPr>
          <w:sz w:val="18"/>
        </w:rPr>
        <w:t>——————————————————————————————————————————————————————————————————————</w:t>
      </w:r>
    </w:p>
    <w:p>
      <w:pPr>
        <w:spacing w:before="160" w:after="40" w:line="240" w:lineRule="auto"/>
      </w:pPr>
      <w:r>
        <w:rPr>
          <w:b/>
        </w:rPr>
        <w:t xml:space="preserve">[643] </w:t>
      </w:r>
      <w:hyperlink r:id="rId1065">
        <w:r>
          <w:rPr>
            <w:color w:val="1155CC"/>
            <w:u w:val="single"/>
          </w:rPr>
          <w:t>利用皇家金属和金属协调-有机框架实现的生物模拟 NaK 光膜频道</w:t>
        </w:r>
      </w:hyperlink>
    </w:p>
    <w:p>
      <w:pPr>
        <w:spacing w:before="0" w:after="80"/>
      </w:pPr>
      <w:r>
        <w:rPr>
          <w:i/>
          <w:sz w:val="20"/>
        </w:rPr>
        <w:t>EN: Biomimetic NaK Channel Membrane Enabled by a Crown Ether‐Coordinated Metal–Organic Framework</w:t>
      </w:r>
    </w:p>
    <w:p>
      <w:pPr>
        <w:spacing w:before="0" w:after="120"/>
      </w:pPr>
      <w:r>
        <w:rPr>
          <w:b/>
        </w:rPr>
        <w:t xml:space="preserve">Source: </w:t>
      </w:r>
      <w:r>
        <w:t>Wiley: Angewandte Chemie International Edition: Table of Contents</w:t>
      </w:r>
      <w:r>
        <w:t xml:space="preserve">    </w:t>
      </w:r>
      <w:r>
        <w:rPr>
          <w:b/>
        </w:rPr>
        <w:t xml:space="preserve">Pub date: </w:t>
      </w:r>
      <w:r>
        <w:t>2026-01-10 14:04:30+00:00</w:t>
      </w:r>
      <w:r>
        <w:t xml:space="preserve">    </w:t>
      </w:r>
      <w:r>
        <w:rPr>
          <w:b/>
        </w:rPr>
        <w:t xml:space="preserve">DOI: </w:t>
      </w:r>
      <w:hyperlink r:id="rId1066">
        <w:r>
          <w:rPr>
            <w:color w:val="1155CC"/>
            <w:u w:val="single"/>
          </w:rPr>
          <w:t>10.1002/anie.202521527</w:t>
        </w:r>
      </w:hyperlink>
    </w:p>
    <w:p>
      <w:pPr>
        <w:spacing w:before="0" w:after="120"/>
      </w:pPr>
      <w:r>
        <w:rPr>
          <w:b/>
        </w:rPr>
        <w:t xml:space="preserve">Notes: </w:t>
      </w:r>
      <w:r>
        <w:t>abstract_source=crossref</w:t>
      </w:r>
    </w:p>
    <w:p>
      <w:pPr>
        <w:spacing w:before="0" w:after="80" w:lineRule="auto" w:line="276"/>
      </w:pPr>
      <w:r>
        <w:rPr>
          <w:b/>
        </w:rPr>
        <w:t xml:space="preserve">摘要（ZH）: </w:t>
      </w:r>
      <w:r>
        <w:t>抽象生物纳克生物频道将精密的离子选择结合了精密的离子选择,并动态地调节生命过程,然而在合成通道中实现这种多功能性仍是一项艰巨的挑战。 在这里,我们展示了一个金属-有机框架(MOF)渠道膜,它结合了两个互补的离子-导体模型:来自UiO66COOH和carboxybenzo15crorown5(15C5COOH)的carboxyl 团体,它们组成了一个单步协调战略。这个混合结构重新概括了纳克通道的基本功能,提供了超高离子选择性和可控的聚合。膜使得能够有高度选择性地进行单价计算,同时有效地排除了Mg 2+,产生M。</w:t>
      </w:r>
    </w:p>
    <w:p>
      <w:pPr>
        <w:spacing w:before="0" w:after="200" w:lineRule="auto" w:line="276"/>
      </w:pPr>
      <w:r>
        <w:rPr>
          <w:b/>
        </w:rPr>
        <w:t xml:space="preserve">Abstract (EN): </w:t>
      </w:r>
      <w:r>
        <w:t>Biological NaK channels integrate exquisite ion selectivity with dynamic gating to regulate life processes, yet achieving such multifunctionality in synthetic channels has remained a formidable challenge. Here, we present a metal–organic framework (MOF) channel membrane that combines two complementary ion‐conduction motifs: carboxyl groups from UiO‐66‐COOH and carboxybenzo‐15‐crown‐5 (15C5‐COOH), assembled in a one‐step coordination strategy. This hybrid architecture recapitulates essential NaK channel functions, offering both ultrahigh ion selectivity and controllable gating. The membrane enables highly selective conduction of monovalent cations while effectively excluding Mg</w:t>
      </w:r>
      <w:r>
        <w:t xml:space="preserve"> </w:t>
      </w:r>
      <w:r>
        <w:t>2+</w:t>
      </w:r>
      <w:r>
        <w:t xml:space="preserve"> </w:t>
      </w:r>
      <w:r>
        <w:t>, yielding M</w:t>
      </w:r>
      <w:r>
        <w:t xml:space="preserve"> </w:t>
      </w:r>
      <w:r>
        <w:t>+</w:t>
      </w:r>
      <w:r>
        <w:t xml:space="preserve"> </w:t>
      </w:r>
      <w:r>
        <w:t>/Mg</w:t>
      </w:r>
      <w:r>
        <w:t xml:space="preserve"> </w:t>
      </w:r>
      <w:r>
        <w:t>2+</w:t>
      </w:r>
      <w:r>
        <w:t xml:space="preserve"> </w:t>
      </w:r>
      <w:r>
        <w:t>selectivity above 10</w:t>
      </w:r>
      <w:r>
        <w:rPr>
          <w:vertAlign w:val="subscript"/>
        </w:rPr>
        <w:t>2</w:t>
      </w:r>
      <w:r>
        <w:t>. Under mixed‐ion conditions, it achieves unprecedented Na⁺/K⁺ selectivity exceeding 10</w:t>
      </w:r>
      <w:r>
        <w:rPr>
          <w:vertAlign w:val="subscript"/>
        </w:rPr>
        <w:t>3</w:t>
      </w:r>
      <w:r>
        <w:t>, far surpassing reported artificial ion channels. Remarkably, Mg</w:t>
      </w:r>
      <w:r>
        <w:t xml:space="preserve"> </w:t>
      </w:r>
      <w:r>
        <w:t>2+</w:t>
      </w:r>
      <w:r>
        <w:t xml:space="preserve"> </w:t>
      </w:r>
      <w:r>
        <w:t>ions dynamically gate Na⁺ and K⁺ transport with sustainable on–off ratios around 30. These outstanding performances arise from the synergistic interplay of crown ether and carboxyl groups confined within subnanometer MOF pores. This work establishes a versatile strategy for designing multifunctional artificial ion channels, opening avenues toward advanced ionic devices for artificial cells and biomedical technologies.</w:t>
      </w:r>
    </w:p>
    <w:p>
      <w:pPr>
        <w:spacing w:before="120" w:after="120"/>
      </w:pPr>
      <w:r>
        <w:rPr>
          <w:sz w:val="18"/>
        </w:rPr>
        <w:t>——————————————————————————————————————————————————————————————————————</w:t>
      </w:r>
    </w:p>
    <w:p>
      <w:pPr>
        <w:spacing w:before="160" w:after="40" w:line="240" w:lineRule="auto"/>
      </w:pPr>
      <w:r>
        <w:rPr>
          <w:b/>
        </w:rPr>
        <w:t xml:space="preserve">[644] </w:t>
      </w:r>
      <w:hyperlink r:id="rId1067">
        <w:r>
          <w:rPr>
            <w:color w:val="1155CC"/>
            <w:u w:val="single"/>
          </w:rPr>
          <w:t>碳化聚合聚碳多点作为Versatile Nanocarryr 用于不相兼容的全氟氟光成像</w:t>
        </w:r>
      </w:hyperlink>
    </w:p>
    <w:p>
      <w:pPr>
        <w:spacing w:before="0" w:after="80"/>
      </w:pPr>
      <w:r>
        <w:rPr>
          <w:i/>
          <w:sz w:val="20"/>
        </w:rPr>
        <w:t>EN: Carbonized Polymer Dots as Versatile Nanocarrier for Bioincompatible Fluorophore Imaging</w:t>
      </w:r>
    </w:p>
    <w:p>
      <w:pPr>
        <w:spacing w:before="0" w:after="120"/>
      </w:pPr>
      <w:r>
        <w:rPr>
          <w:b/>
        </w:rPr>
        <w:t xml:space="preserve">Source: </w:t>
      </w:r>
      <w:r>
        <w:t>Wiley: Angewandte Chemie International Edition: Table of Contents</w:t>
      </w:r>
      <w:r>
        <w:t xml:space="preserve">    </w:t>
      </w:r>
      <w:r>
        <w:rPr>
          <w:b/>
        </w:rPr>
        <w:t xml:space="preserve">Pub date: </w:t>
      </w:r>
      <w:r>
        <w:t>2026-01-10 14:05:05+00:00</w:t>
      </w:r>
      <w:r>
        <w:t xml:space="preserve">    </w:t>
      </w:r>
      <w:r>
        <w:rPr>
          <w:b/>
        </w:rPr>
        <w:t xml:space="preserve">DOI: </w:t>
      </w:r>
      <w:hyperlink r:id="rId1068">
        <w:r>
          <w:rPr>
            <w:color w:val="1155CC"/>
            <w:u w:val="single"/>
          </w:rPr>
          <w:t>10.1002/anie.202525245</w:t>
        </w:r>
      </w:hyperlink>
    </w:p>
    <w:p>
      <w:pPr>
        <w:spacing w:before="0" w:after="120"/>
      </w:pPr>
      <w:r>
        <w:rPr>
          <w:b/>
        </w:rPr>
        <w:t xml:space="preserve">Notes: </w:t>
      </w:r>
      <w:r>
        <w:t>abstract_source=crossref</w:t>
      </w:r>
    </w:p>
    <w:p>
      <w:pPr>
        <w:spacing w:before="0" w:after="80" w:lineRule="auto" w:line="276"/>
      </w:pPr>
      <w:r>
        <w:rPr>
          <w:b/>
        </w:rPr>
        <w:t xml:space="preserve">摘要（ZH）: </w:t>
      </w:r>
      <w:r>
        <w:t>碳化聚合点(CPDs)可以作为一个多功能、非共价的转置平台,用于其他各种不易渗透的氟化磷。我们的调查始于一种不切实际的观察,即一个新的分子,1(2-羟基乙基)5°oxo1,2,3,5trohyimidazo [1,2a] 7cboxylic 酸(HECA),形成一种稳定、可细胞和碳化聚合点(CPDs_280)的纳米复合体(CPDs_280),通过非covalent 的相互作用(装载容量=50.8%),这促成了系统的探索。</w:t>
      </w:r>
    </w:p>
    <w:p>
      <w:pPr>
        <w:spacing w:before="0" w:after="200" w:lineRule="auto" w:line="276"/>
      </w:pPr>
      <w:r>
        <w:rPr>
          <w:b/>
        </w:rPr>
        <w:t xml:space="preserve">Abstract (EN): </w:t>
      </w:r>
      <w:r>
        <w:t>Fluorophores with excellent emission often come at the cost of cell permeability, and this long‐standing dilemma has limited their effective applications in fluorescence bioimaging to some degree. We report a paradigm‐shifting discovery that carbonized polymer dots (CPDs) can function as a versatile, noncovalent translocation platform for a vast spectrum of otherwise impermeable fluorophores. Our investigation began with the serendipitous observation that a new molecule, 1‐(2‐hydroxyethyl)‐5‐oxo‐1,2,3,5‐tetrahydroimidazo[1,2‐a]pyridine‐7‐carboxylic acid (HECA), forms a stable, cell‐permeable nanocomplex with carbonized polymer dots (CPDs‐280) via noncovalent interactions (loading capacity ∼50.8%). This prompted a systematic exploration, which revealed that CPDs‐280 possess a remarkable capacity to override the innate targeting signals of diverse organelle‐specific dyes, rerouting them to the cytosol and demonstrating a carrier‐dominated localization mechanism. The platform's generality was rigorously proven by delivering custom‐designed, membrane‐impermeable amphiphilic dyes (ESY‐Na</w:t>
      </w:r>
      <w:r>
        <w:t xml:space="preserve"> </w:t>
      </w:r>
      <w:r>
        <w:t>+</w:t>
      </w:r>
      <w:r>
        <w:t xml:space="preserve"> </w:t>
      </w:r>
      <w:r>
        <w:t>and ESY), which remained inert alone but produced intense intracellular luminescence upon noncovalent complexation. This robust, cargo‐agnostic delivery capability is rooted in the abundant orthogonal anchor domains on the CPD's surface, enabling multimodal binding without chemical modification. This work unveils a generic strategy to breach biological barriers, instantly unlocking the vast repository of underutilized fluorescent probes for advanced bioimaging and theranostics.</w:t>
      </w:r>
    </w:p>
    <w:p>
      <w:pPr>
        <w:spacing w:before="120" w:after="120"/>
      </w:pPr>
      <w:r>
        <w:rPr>
          <w:sz w:val="18"/>
        </w:rPr>
        <w:t>——————————————————————————————————————————————————————————————————————</w:t>
      </w:r>
    </w:p>
    <w:p>
      <w:pPr>
        <w:spacing w:before="160" w:after="40" w:line="240" w:lineRule="auto"/>
      </w:pPr>
      <w:r>
        <w:rPr>
          <w:b/>
        </w:rPr>
        <w:t xml:space="preserve">[645] </w:t>
      </w:r>
      <w:hyperlink r:id="rId1069">
        <w:r>
          <w:rPr>
            <w:color w:val="1155CC"/>
            <w:u w:val="single"/>
          </w:rPr>
          <w:t>单临床氧氧化通过同位素替代对超双曲剪切极极地球的光谱图</w:t>
        </w:r>
      </w:hyperlink>
    </w:p>
    <w:p>
      <w:pPr>
        <w:spacing w:before="0" w:after="80"/>
      </w:pPr>
      <w:r>
        <w:rPr>
          <w:i/>
          <w:sz w:val="20"/>
        </w:rPr>
        <w:t>EN: Spectral Tuning of Hyperbolic Shear Polaritons in Monoclinic Gallium Oxide via Isotopic Substitution</w:t>
      </w:r>
    </w:p>
    <w:p>
      <w:pPr>
        <w:spacing w:before="0" w:after="120"/>
      </w:pPr>
      <w:r>
        <w:rPr>
          <w:b/>
        </w:rPr>
        <w:t xml:space="preserve">Source: </w:t>
      </w:r>
      <w:r>
        <w:t>Wiley: Advanced Materials: Table of Contents</w:t>
      </w:r>
      <w:r>
        <w:t xml:space="preserve">    </w:t>
      </w:r>
      <w:r>
        <w:rPr>
          <w:b/>
        </w:rPr>
        <w:t xml:space="preserve">Pub date: </w:t>
      </w:r>
      <w:r>
        <w:t>2026-01-10 14:05:07+00:00</w:t>
      </w:r>
      <w:r>
        <w:t xml:space="preserve">    </w:t>
      </w:r>
      <w:r>
        <w:rPr>
          <w:b/>
        </w:rPr>
        <w:t xml:space="preserve">DOI: </w:t>
      </w:r>
      <w:hyperlink r:id="rId1070">
        <w:r>
          <w:rPr>
            <w:color w:val="1155CC"/>
            <w:u w:val="single"/>
          </w:rPr>
          <w:t>10.1002/adma.202514561</w:t>
        </w:r>
      </w:hyperlink>
    </w:p>
    <w:p>
      <w:pPr>
        <w:spacing w:before="0" w:after="120"/>
      </w:pPr>
      <w:r>
        <w:rPr>
          <w:b/>
        </w:rPr>
        <w:t xml:space="preserve">Notes: </w:t>
      </w:r>
      <w:r>
        <w:t>abstract_source=crossref</w:t>
      </w:r>
    </w:p>
    <w:p>
      <w:pPr>
        <w:spacing w:before="0" w:after="80" w:lineRule="auto" w:line="276"/>
      </w:pPr>
      <w:r>
        <w:rPr>
          <w:b/>
        </w:rPr>
        <w:t xml:space="preserve">摘要（ZH）: </w:t>
      </w:r>
      <w:r>
        <w:t>ABSTACT 超强红外线光极极极极极极极极极极极极极极极极极极极极极极极极极极极极极极极极极极极极极极极极极极极极极极极极极极极极极极极极地结合,形成超强电离红外光极极极极极极极极极的混合模式,使得光线能够限制在低损耗和方向性高的纳米尺度上。在单点2 O 3 (bGO)等较低对称材料中,双向剪极极极极极(HshPs)进一步增强了方向性。然而,HSHPs的内在支持仅在东道材料的光频频率所限定的狭窄频率范围内得到支持。在这里,我们通过同位素替代报告BGO的HSHPs光谱的光谱调。</w:t>
      </w:r>
    </w:p>
    <w:p>
      <w:pPr>
        <w:spacing w:before="0" w:after="200" w:lineRule="auto" w:line="276"/>
      </w:pPr>
      <w:r>
        <w:rPr>
          <w:b/>
        </w:rPr>
        <w:t xml:space="preserve">Abstract (EN): </w:t>
      </w:r>
      <w:r>
        <w:t>Hyperbolic phonon polaritons ‐ hybridized modes arising from the ultrastrong coupling of infrared light to strongly anisotropic lattice vibrations in uniaxial or biaxial polar crystals ‐ enable to confine light to the nanoscale with low losses and high directionality. In even lower symmetry materials, such as monoclinic ‐Ga</w:t>
      </w:r>
      <w:r>
        <w:rPr>
          <w:vertAlign w:val="subscript"/>
        </w:rPr>
        <w:t>2</w:t>
      </w:r>
      <w:r>
        <w:t>O</w:t>
      </w:r>
      <w:r>
        <w:rPr>
          <w:vertAlign w:val="subscript"/>
        </w:rPr>
        <w:t>3</w:t>
      </w:r>
      <w:r>
        <w:t>(bGO), hyperbolic shear polaritons (HShPs) further enhance the directionality. Yet, HShPs are intrinsically supported only within narrow frequency ranges defined by the phonon frequencies of the host material. Here, we report spectral tuning of HShPs in bGO by isotopic substitution. Employing near‐field optical microscopy to image HShPs in</w:t>
      </w:r>
      <w:r>
        <w:rPr>
          <w:vertAlign w:val="subscript"/>
        </w:rPr>
        <w:t>18</w:t>
      </w:r>
      <w:r>
        <w:t>O bGO films homoepitaxially grown on a</w:t>
      </w:r>
      <w:r>
        <w:rPr>
          <w:vertAlign w:val="subscript"/>
        </w:rPr>
        <w:t>16</w:t>
      </w:r>
      <w:r>
        <w:t>O bGO substrate, we demonstrate a spectral redshift of 40 cm</w:t>
      </w:r>
      <w:r>
        <w:t xml:space="preserve"> </w:t>
      </w:r>
      <w:r>
        <w:t>−1</w:t>
      </w:r>
      <w:r>
        <w:t xml:space="preserve"> </w:t>
      </w:r>
      <w:r>
        <w:t>for the</w:t>
      </w:r>
      <w:r>
        <w:rPr>
          <w:vertAlign w:val="subscript"/>
        </w:rPr>
        <w:t>18</w:t>
      </w:r>
      <w:r>
        <w:t>O bGO, compared to</w:t>
      </w:r>
      <w:r>
        <w:rPr>
          <w:vertAlign w:val="subscript"/>
        </w:rPr>
        <w:t>16</w:t>
      </w:r>
      <w:r>
        <w:t>O bGO. The technique allows for direct observation and a model‐free estimation of the spectral shift driven by isotopic substitution without the need for knowledge of the dielectric tensor. Complementary far‐field measurements and ab initio calculations ‐ in good agreement with the near‐field data ‐ confirm the effectiveness of this estimation. This multifaceted study demonstrates a significant isotopic substitution induced spectral tuning of HShPs into a previously inaccessible frequency range, creating new avenues for technological applications of such highly directional polaritons.</w:t>
      </w:r>
    </w:p>
    <w:p>
      <w:pPr>
        <w:spacing w:before="120" w:after="120"/>
      </w:pPr>
      <w:r>
        <w:rPr>
          <w:sz w:val="18"/>
        </w:rPr>
        <w:t>——————————————————————————————————————————————————————————————————————</w:t>
      </w:r>
    </w:p>
    <w:p>
      <w:pPr>
        <w:spacing w:before="160" w:after="40" w:line="240" w:lineRule="auto"/>
      </w:pPr>
      <w:r>
        <w:rPr>
          <w:b/>
        </w:rPr>
        <w:t xml:space="preserve">[646] </w:t>
      </w:r>
      <w:hyperlink r:id="rId1071">
        <w:r>
          <w:rPr>
            <w:color w:val="1155CC"/>
            <w:u w:val="single"/>
          </w:rPr>
          <w:t>通过国家的预测密度计算,在催化高成性金属 -- -- 有机框架(HEMOFs)中实现鸡尾效应</w:t>
        </w:r>
      </w:hyperlink>
    </w:p>
    <w:p>
      <w:pPr>
        <w:spacing w:before="0" w:after="80"/>
      </w:pPr>
      <w:r>
        <w:rPr>
          <w:i/>
          <w:sz w:val="20"/>
        </w:rPr>
        <w:t>EN: Realizing Cocktail Effects in Catalytic High‐Entropy Metal–Organic Frameworks (HEMOFs) via Predictive Density of State Calculations</w:t>
      </w:r>
    </w:p>
    <w:p>
      <w:pPr>
        <w:spacing w:before="0" w:after="120"/>
      </w:pPr>
      <w:r>
        <w:rPr>
          <w:b/>
        </w:rPr>
        <w:t xml:space="preserve">Source: </w:t>
      </w:r>
      <w:r>
        <w:t>Wiley: Angewandte Chemie International Edition: Table of Contents</w:t>
      </w:r>
      <w:r>
        <w:t xml:space="preserve">    </w:t>
      </w:r>
      <w:r>
        <w:rPr>
          <w:b/>
        </w:rPr>
        <w:t xml:space="preserve">Pub date: </w:t>
      </w:r>
      <w:r>
        <w:t>2026-01-10 14:06:01+00:00</w:t>
      </w:r>
      <w:r>
        <w:t xml:space="preserve">    </w:t>
      </w:r>
      <w:r>
        <w:rPr>
          <w:b/>
        </w:rPr>
        <w:t xml:space="preserve">DOI: </w:t>
      </w:r>
      <w:hyperlink r:id="rId1072">
        <w:r>
          <w:rPr>
            <w:color w:val="1155CC"/>
            <w:u w:val="single"/>
          </w:rPr>
          <w:t>10.1002/anie.202519320</w:t>
        </w:r>
      </w:hyperlink>
    </w:p>
    <w:p>
      <w:pPr>
        <w:spacing w:before="0" w:after="120"/>
      </w:pPr>
      <w:r>
        <w:rPr>
          <w:b/>
        </w:rPr>
        <w:t xml:space="preserve">Notes: </w:t>
      </w:r>
      <w:r>
        <w:t>abstract_source=crossref</w:t>
      </w:r>
    </w:p>
    <w:p>
      <w:pPr>
        <w:spacing w:before="0" w:after="80" w:lineRule="auto" w:line="276"/>
      </w:pPr>
      <w:r>
        <w:rPr>
          <w:b/>
        </w:rPr>
        <w:t xml:space="preserve">摘要（ZH）: </w:t>
      </w:r>
      <w:r>
        <w:t>高湿度摘要材料,特别是高湿金属-有机框架(HEMOFs),代表着一种极有希望的催化剂类别,能够通过利用鸡尾酒效应传播高活度活动。然而,最佳利用这些效应仍然是一项突出的挑战。在这里,我们为在催化性HEMOF中合理选择金属成分引入了一个充满希望的、由计算驱动的路线图。 密度功能理论(DFT)首先用于在一系列与成分相关的高湿度多核集群中探测CO2 电子天花化的关键催化剂中间体。 组成和预测的催化活动趋势之间建立了直接联系,利用了明确的 d 。</w:t>
      </w:r>
    </w:p>
    <w:p>
      <w:pPr>
        <w:spacing w:before="0" w:after="200" w:lineRule="auto" w:line="276"/>
      </w:pPr>
      <w:r>
        <w:rPr>
          <w:b/>
        </w:rPr>
        <w:t xml:space="preserve">Abstract (EN): </w:t>
      </w:r>
      <w:r>
        <w:t>High‐entropy materials, particularly high‐entropy metal–organic frameworks (HEMOFs), represent a promising class of catalysts amenable to imparting superior activity via harnessing cocktail effects. However, optimal leveraging of these effects remains an outstanding challenge. Here, we introduce a promising, computationally driven roadmap for the rational selection of metal compositions in catalytic HEMOFs. Density functional theory (DFT) was first used to probe a key catalytic intermediate for CO</w:t>
      </w:r>
      <w:r>
        <w:rPr>
          <w:vertAlign w:val="subscript"/>
        </w:rPr>
        <w:t>2</w:t>
      </w:r>
      <w:r>
        <w:t>epoxidation in a series of compositionally related high‐entropy polynuclear clusters. A direct correlation between composition and predicted catalytic activity trends was established, capitalizing on clear differences in a new valence edge peak in the band gap as function of active metal site. Following that, a series of HEMOFs with DFT‐predetermined compositions were successfully synthesized. Remarkably, catalytic tests demonstrated the trends predicted by DFT, emphasizing the direct correlation between electronic structure and activity. The DFT‐predicted optimal HEMOF composition was validated experimentally and shown to exhibit over 40% greater activity than the least active variant. The strategy described herein demonstrates the immense promise of harnessing cocktail effects in HEMOFs, wherein synergistic intermetallic effects impart superior catalytic activity. Finally, this work serves as a first step toward enabling machine learning‐driven approaches to optimize catalytic performance through tailored metal compositions.</w:t>
      </w:r>
    </w:p>
    <w:p>
      <w:pPr>
        <w:spacing w:before="120" w:after="120"/>
      </w:pPr>
      <w:r>
        <w:rPr>
          <w:sz w:val="18"/>
        </w:rPr>
        <w:t>——————————————————————————————————————————————————————————————————————</w:t>
      </w:r>
    </w:p>
    <w:p>
      <w:pPr>
        <w:spacing w:before="160" w:after="40" w:line="240" w:lineRule="auto"/>
      </w:pPr>
      <w:r>
        <w:rPr>
          <w:b/>
        </w:rPr>
        <w:t xml:space="preserve">[647] </w:t>
      </w:r>
      <w:hyperlink r:id="rId1073">
        <w:r>
          <w:rPr>
            <w:color w:val="1155CC"/>
            <w:u w:val="single"/>
          </w:rPr>
          <w:t>D. 设计对分散异同物的观测</w:t>
        </w:r>
      </w:hyperlink>
    </w:p>
    <w:p>
      <w:pPr>
        <w:spacing w:before="0" w:after="80"/>
      </w:pPr>
      <w:r>
        <w:rPr>
          <w:i/>
          <w:sz w:val="20"/>
        </w:rPr>
        <w:t>EN: Observation of Dispersion Anomalies by Design</w:t>
      </w:r>
    </w:p>
    <w:p>
      <w:pPr>
        <w:spacing w:before="0" w:after="120"/>
      </w:pPr>
      <w:r>
        <w:rPr>
          <w:b/>
        </w:rPr>
        <w:t xml:space="preserve">Source: </w:t>
      </w:r>
      <w:r>
        <w:t>Wiley: Advanced Materials: Table of Contents</w:t>
      </w:r>
      <w:r>
        <w:t xml:space="preserve">    </w:t>
      </w:r>
      <w:r>
        <w:rPr>
          <w:b/>
        </w:rPr>
        <w:t xml:space="preserve">Pub date: </w:t>
      </w:r>
      <w:r>
        <w:t>2026-01-10 14:06:14+00:00</w:t>
      </w:r>
      <w:r>
        <w:t xml:space="preserve">    </w:t>
      </w:r>
      <w:r>
        <w:rPr>
          <w:b/>
        </w:rPr>
        <w:t xml:space="preserve">DOI: </w:t>
      </w:r>
      <w:hyperlink r:id="rId1074">
        <w:r>
          <w:rPr>
            <w:color w:val="1155CC"/>
            <w:u w:val="single"/>
          </w:rPr>
          <w:t>10.1002/adma.202510365</w:t>
        </w:r>
      </w:hyperlink>
    </w:p>
    <w:p>
      <w:pPr>
        <w:spacing w:before="0" w:after="120"/>
      </w:pPr>
      <w:r>
        <w:rPr>
          <w:b/>
        </w:rPr>
        <w:t xml:space="preserve">Notes: </w:t>
      </w:r>
      <w:r>
        <w:t>abstract_source=crossref</w:t>
      </w:r>
    </w:p>
    <w:p>
      <w:pPr>
        <w:spacing w:before="0" w:after="80" w:lineRule="auto" w:line="276"/>
      </w:pPr>
      <w:r>
        <w:rPr>
          <w:b/>
        </w:rPr>
        <w:t xml:space="preserve">摘要（ZH）: </w:t>
      </w:r>
      <w:r>
        <w:t>乐队结构将物质的电子、光学和声学特性编码成电子、光学和声学特性,并可作为材料发现和设计的基本工具。频率波序关系中的分散异常现象尖锐、非标准特征历来与光电相联或长距离相互作用有关。这里通过实验、数字和分析方法的结合,可以显示磁性结合如何引致负僵化和雕刻分散关系,以支持任意、非零波数的零频率异常。这种方法使得能够在没有时间调节、电子-光电相联或长距离相互作用的情况下实现完整的波数波段。</w:t>
      </w:r>
    </w:p>
    <w:p>
      <w:pPr>
        <w:spacing w:before="0" w:after="200" w:lineRule="auto" w:line="276"/>
      </w:pPr>
      <w:r>
        <w:rPr>
          <w:b/>
        </w:rPr>
        <w:t xml:space="preserve">Abstract (EN): </w:t>
      </w:r>
      <w:r>
        <w:t>Band structures encode electronic, optical, and acoustic properties of matter and can serve as an essential tool in material discovery and design. Dispersion anomalies‐ sharp, non‐standard features in the frequency‐wavenumber relation‐ have been historically correlated with phonon‐electron coupling or long‐range interaction. Here, through a combination of experimental, numerical, and analytical methods, it is shown how magnetic couplings can induce negative stiffness and sculpt dispersion relations to support zero‐frequency phonon anomalies at arbitrary, non‐zero wavenumbers. The approach enables the realization of complete wavenumber bandgaps without time‐modulation, electron–phonon coupling, or long‐range interactions. The conditions under which non‐differentiable zero‐frequency phonons exist away from the high‐symmetry points are identified. The framework generalizes across monoatomic and diatomic lattices, locally resonant metamaterials, non‐local systems, as well as higher dimensional crystals. In addition, the first‐ passive or active‐ experimental observation of wavenumber bandgaps in higher dimensions is reported. This work establishes a new paradigm in dispersion engineering and provides means for understanding wave‐matter interaction in both the frequency and wavenumber domains.</w:t>
      </w:r>
    </w:p>
    <w:p>
      <w:pPr>
        <w:spacing w:before="120" w:after="120"/>
      </w:pPr>
      <w:r>
        <w:rPr>
          <w:sz w:val="18"/>
        </w:rPr>
        <w:t>——————————————————————————————————————————————————————————————————————</w:t>
      </w:r>
    </w:p>
    <w:p>
      <w:pPr>
        <w:spacing w:before="160" w:after="40" w:line="240" w:lineRule="auto"/>
      </w:pPr>
      <w:r>
        <w:rPr>
          <w:b/>
        </w:rPr>
        <w:t xml:space="preserve">[648] </w:t>
      </w:r>
      <w:hyperlink r:id="rId1075">
        <w:r>
          <w:rPr>
            <w:color w:val="1155CC"/>
            <w:u w:val="single"/>
          </w:rPr>
          <w:t>用于电池电离电动电动电动电动相交点的 AIQD 生成的大数据框架</w:t>
        </w:r>
      </w:hyperlink>
    </w:p>
    <w:p>
      <w:pPr>
        <w:spacing w:before="0" w:after="80"/>
      </w:pPr>
      <w:r>
        <w:rPr>
          <w:i/>
          <w:sz w:val="20"/>
        </w:rPr>
        <w:t>EN: AI‐Driven Big Data Frameworks for Electrode–Electrolyte Interphases in Batteries</w:t>
      </w:r>
    </w:p>
    <w:p>
      <w:pPr>
        <w:spacing w:before="0" w:after="120"/>
      </w:pPr>
      <w:r>
        <w:rPr>
          <w:b/>
        </w:rPr>
        <w:t xml:space="preserve">Source: </w:t>
      </w:r>
      <w:r>
        <w:t>Wiley: Advanced Materials: Table of Contents</w:t>
      </w:r>
      <w:r>
        <w:t xml:space="preserve">    </w:t>
      </w:r>
      <w:r>
        <w:rPr>
          <w:b/>
        </w:rPr>
        <w:t xml:space="preserve">Pub date: </w:t>
      </w:r>
      <w:r>
        <w:t>2026-01-10 14:06:54+00:00</w:t>
      </w:r>
      <w:r>
        <w:t xml:space="preserve">    </w:t>
      </w:r>
      <w:r>
        <w:rPr>
          <w:b/>
        </w:rPr>
        <w:t xml:space="preserve">DOI: </w:t>
      </w:r>
      <w:hyperlink r:id="rId1076">
        <w:r>
          <w:rPr>
            <w:color w:val="1155CC"/>
            <w:u w:val="single"/>
          </w:rPr>
          <w:t>10.1002/adma.202521975</w:t>
        </w:r>
      </w:hyperlink>
    </w:p>
    <w:p>
      <w:pPr>
        <w:spacing w:before="0" w:after="120"/>
      </w:pPr>
      <w:r>
        <w:rPr>
          <w:b/>
        </w:rPr>
        <w:t xml:space="preserve">Notes: </w:t>
      </w:r>
      <w:r>
        <w:t>abstract_source=crossref</w:t>
      </w:r>
    </w:p>
    <w:p>
      <w:pPr>
        <w:spacing w:before="0" w:after="80" w:lineRule="auto" w:line="276"/>
      </w:pPr>
      <w:r>
        <w:rPr>
          <w:b/>
        </w:rPr>
        <w:t xml:space="preserve">摘要（ZH）: </w:t>
      </w:r>
      <w:r>
        <w:t>ABSTACT ABSTACT 本审查从一个全面的角度介绍了AI和海量数据战略如何改变可再充电电池电极-电极间链(EEI)的理解和设计,突出了其在电池性能和寿命方面的关键作用。 通过联合高通量实验和高通量计算(HTC),包括自动细胞制造、高级特征鉴定、大型高通量筛选和反应网络建模,可以生成多种数据集,以揭示干涉过程的机械基础。这些数据集与人工智能化工作流程和机器学习模型(如闭路优化和大型语言模型)的整合,如闭路优化和大型语言模型辅助的缺陷。</w:t>
      </w:r>
    </w:p>
    <w:p>
      <w:pPr>
        <w:spacing w:before="0" w:after="200" w:lineRule="auto" w:line="276"/>
      </w:pPr>
      <w:r>
        <w:rPr>
          <w:b/>
        </w:rPr>
        <w:t xml:space="preserve">Abstract (EN): </w:t>
      </w:r>
      <w:r>
        <w:t>This review presents a comprehensive perspective on how AI and big data strategies can transform the understanding and design of the electrode–electrolyte interphases (EEI) in rechargeable batteries, highlighting their pivotal role in battery performance and longevity. Through uniting high‐throughput experimentation and high‐throughput computation (HTC), which includes automated cell fabrication, advanced characterization, large‐scale HTC screening, and reaction network modeling, diverse datasets can be generated to reveal the mechanistic foundations of interfacial processes. The integration of these datasets with artificial intelligence‐orchestrated workflows and machine learning models, such as closed‐loop optimization and large language model‐assisted hypothesis generation, enables the prediction of interphase behavior, linking molecular‐level EEI understanding and macroscale device performance, and data‐driven discovery of optimal material combinations. Critically, the review identifies persistent challenges, including limited data standardization, a shortage of high‐quality interoperable datasets, the gap between optimization and generalizable understanding, the limits of currently available self‐driving labs, and outlines mitigation strategies for building intelligent, data‐centric frameworks for rational engineering of next‐generation battery systems.</w:t>
      </w:r>
    </w:p>
    <w:p>
      <w:pPr>
        <w:spacing w:before="120" w:after="120"/>
      </w:pPr>
      <w:r>
        <w:rPr>
          <w:sz w:val="18"/>
        </w:rPr>
        <w:t>——————————————————————————————————————————————————————————————————————</w:t>
      </w:r>
    </w:p>
    <w:p>
      <w:pPr>
        <w:spacing w:before="160" w:after="40" w:line="240" w:lineRule="auto"/>
      </w:pPr>
      <w:r>
        <w:rPr>
          <w:b/>
        </w:rPr>
        <w:t xml:space="preserve">[649] </w:t>
      </w:r>
      <w:hyperlink r:id="rId1077">
        <w:r>
          <w:rPr>
            <w:color w:val="1155CC"/>
            <w:u w:val="single"/>
          </w:rPr>
          <w:t>活中中微子和有机体中单卵贮存和子大气分解新乙酰胆碱纳米传感器</w:t>
        </w:r>
      </w:hyperlink>
    </w:p>
    <w:p>
      <w:pPr>
        <w:spacing w:before="0" w:after="80"/>
      </w:pPr>
      <w:r>
        <w:rPr>
          <w:i/>
          <w:sz w:val="20"/>
        </w:rPr>
        <w:t>EN: A Novel Acetylcholine Nanosensor for Single Vesicle Storage and Sub‐Quantal Exocytosis in Living Neurons and Organoids</w:t>
      </w:r>
    </w:p>
    <w:p>
      <w:pPr>
        <w:spacing w:before="0" w:after="120"/>
      </w:pPr>
      <w:r>
        <w:rPr>
          <w:b/>
        </w:rPr>
        <w:t xml:space="preserve">Source: </w:t>
      </w:r>
      <w:r>
        <w:t>Wiley: Angewandte Chemie International Edition: Table of Contents</w:t>
      </w:r>
      <w:r>
        <w:t xml:space="preserve">    </w:t>
      </w:r>
      <w:r>
        <w:rPr>
          <w:b/>
        </w:rPr>
        <w:t xml:space="preserve">Pub date: </w:t>
      </w:r>
      <w:r>
        <w:t>2026-01-10 14:09:14+00:00</w:t>
      </w:r>
      <w:r>
        <w:t xml:space="preserve">    </w:t>
      </w:r>
      <w:r>
        <w:rPr>
          <w:b/>
        </w:rPr>
        <w:t xml:space="preserve">DOI: </w:t>
      </w:r>
      <w:hyperlink r:id="rId1078">
        <w:r>
          <w:rPr>
            <w:color w:val="1155CC"/>
            <w:u w:val="single"/>
          </w:rPr>
          <w:t>10.1002/anie.202520854</w:t>
        </w:r>
      </w:hyperlink>
    </w:p>
    <w:p>
      <w:pPr>
        <w:spacing w:before="0" w:after="120"/>
      </w:pPr>
      <w:r>
        <w:rPr>
          <w:b/>
        </w:rPr>
        <w:t xml:space="preserve">Notes: </w:t>
      </w:r>
      <w:r>
        <w:t>abstract_source=crossref</w:t>
      </w:r>
    </w:p>
    <w:p>
      <w:pPr>
        <w:spacing w:before="0" w:after="80" w:lineRule="auto" w:line="276"/>
      </w:pPr>
      <w:r>
        <w:rPr>
          <w:b/>
        </w:rPr>
        <w:t xml:space="preserve">摘要（ZH）: </w:t>
      </w:r>
      <w:r>
        <w:t>乙酰胆碱(ACh)是一个重要的神经分质,它通过合成传播调节多种生理功能,例如认知和肌肉收缩,但单细胞一级单球储存和释放动态的现场定量化学分析仍是一个重大技术挑战,妨碍对生理和病理各状态的胆碱性合成可塑性的机械性理解。为了解决这个问题,我们开发了一种Ti 3 C 2 T x MXene/enzyme功能化(M@E@CF)纳米传感器(M@E@CF),使得能够实时监测主要胆碱的卵巢ACH储存和排出物释放。</w:t>
      </w:r>
    </w:p>
    <w:p>
      <w:pPr>
        <w:spacing w:before="0" w:after="200" w:lineRule="auto" w:line="276"/>
      </w:pPr>
      <w:r>
        <w:rPr>
          <w:b/>
        </w:rPr>
        <w:t xml:space="preserve">Abstract (EN): </w:t>
      </w:r>
      <w:r>
        <w:t>Acetylcholine (ACh) is a critical neurotransmitter that regulates diverse physiological functions, such as cognition and muscle contraction, through synaptic transmission. However, in situ quantitative chemical analysis of single‐vesicle storage and release dynamics at single‐cell level remains a major technical challenge, hindering mechanistic understanding of cholinergic synaptic plasticity across physiological and pathological states. To address this, we developed an Ti</w:t>
      </w:r>
      <w:r>
        <w:rPr>
          <w:vertAlign w:val="subscript"/>
        </w:rPr>
        <w:t>3</w:t>
      </w:r>
      <w:r>
        <w:t>C</w:t>
      </w:r>
      <w:r>
        <w:rPr>
          <w:vertAlign w:val="subscript"/>
        </w:rPr>
        <w:t>2</w:t>
      </w:r>
      <w:r>
        <w:t>T</w:t>
      </w:r>
      <w:r>
        <w:t xml:space="preserve"> </w:t>
      </w:r>
      <w:r>
        <w:t>x</w:t>
      </w:r>
      <w:r>
        <w:t xml:space="preserve"> </w:t>
      </w:r>
      <w:r>
        <w:t>MXene/enzyme‐functionalized (M@E@CF) nanosensor, enabling real‐time monitoring of vesicular ACh storage and exocytotic release in primary cholinergic neurons and human spinal cord organoids. Our findings reveal a sub‐quantal release mode in both mouse and human‐derived neurons. To further elucidate the regulatory principles of exocytosis kinetics, we classified single‐vesicle exocytosis patterns based on signal peak shapes using a 1D convolutional neural network (1D‐CNN) deep learning model, uncovering significant differences in the number of released molecules and kinetic parameters across modes. Critically, in Down syndrome models, we observed significantly reduced single vesicle ACh storage and release alongside an elevated release fraction, concurrent with shortened fusion pore durations during exocytosis. Thus, the M@E@CF nanosensor platform establishes a versatile tool for spatiotemporal investigation of neurotransmitter storage and release dynamics, providing a critical technical foundation for exploring physiological functions and pathological mechanisms of the cholinergic system.</w:t>
      </w:r>
    </w:p>
    <w:p>
      <w:pPr>
        <w:spacing w:before="120" w:after="120"/>
      </w:pPr>
      <w:r>
        <w:rPr>
          <w:sz w:val="18"/>
        </w:rPr>
        <w:t>——————————————————————————————————————————————————————————————————————</w:t>
      </w:r>
    </w:p>
    <w:p>
      <w:pPr>
        <w:spacing w:before="160" w:after="40" w:line="240" w:lineRule="auto"/>
      </w:pPr>
      <w:r>
        <w:rPr>
          <w:b/>
        </w:rPr>
        <w:t xml:space="preserve">[650] </w:t>
      </w:r>
      <w:hyperlink r:id="rId1079">
        <w:r>
          <w:rPr>
            <w:color w:val="1155CC"/>
            <w:u w:val="single"/>
          </w:rPr>
          <w:t>机器学习驱动器 高水压对亚对称二核核钴进行高压筛选,以近100%的选择性率降低纳米技术将原子-原子-大气减少</w:t>
        </w:r>
      </w:hyperlink>
    </w:p>
    <w:p>
      <w:pPr>
        <w:spacing w:before="0" w:after="80"/>
      </w:pPr>
      <w:r>
        <w:rPr>
          <w:i/>
          <w:sz w:val="20"/>
        </w:rPr>
        <w:t>EN: Machine Learning Driven High‐Throughput Screening of Asymmetric Dinuclear Cobalt for Nitrate‐to‐Ammonia Reduction with Near‐100% Selectivity</w:t>
      </w:r>
    </w:p>
    <w:p>
      <w:pPr>
        <w:spacing w:before="0" w:after="120"/>
      </w:pPr>
      <w:r>
        <w:rPr>
          <w:b/>
        </w:rPr>
        <w:t xml:space="preserve">Source: </w:t>
      </w:r>
      <w:r>
        <w:t>Wiley: Advanced Energy Materials: Table of Contents</w:t>
      </w:r>
      <w:r>
        <w:t xml:space="preserve">    </w:t>
      </w:r>
      <w:r>
        <w:rPr>
          <w:b/>
        </w:rPr>
        <w:t xml:space="preserve">Pub date: </w:t>
      </w:r>
      <w:r>
        <w:t>2026-01-10 14:09:28+00:00</w:t>
      </w:r>
      <w:r>
        <w:t xml:space="preserve">    </w:t>
      </w:r>
      <w:r>
        <w:rPr>
          <w:b/>
        </w:rPr>
        <w:t xml:space="preserve">DOI: </w:t>
      </w:r>
      <w:hyperlink r:id="rId1080">
        <w:r>
          <w:rPr>
            <w:color w:val="1155CC"/>
            <w:u w:val="single"/>
          </w:rPr>
          <w:t>10.1002/aenm.202506009</w:t>
        </w:r>
      </w:hyperlink>
    </w:p>
    <w:p>
      <w:pPr>
        <w:spacing w:before="0" w:after="120"/>
      </w:pPr>
      <w:r>
        <w:rPr>
          <w:b/>
        </w:rPr>
        <w:t xml:space="preserve">Notes: </w:t>
      </w:r>
      <w:r>
        <w:t>abstract_source=crossref</w:t>
      </w:r>
    </w:p>
    <w:p>
      <w:pPr>
        <w:spacing w:before="0" w:after="80" w:lineRule="auto" w:line="276"/>
      </w:pPr>
      <w:r>
        <w:rPr>
          <w:b/>
        </w:rPr>
        <w:t xml:space="preserve">摘要（ZH）: </w:t>
      </w:r>
      <w:r>
        <w:t>电催化硝酸减少反应(NO 3 RR)为减少污染物和合成氨提供了一个很有希望的方法,然而,它却充满了不平衡的吸附-中间体吸附、H*供应不足和氢进化相互竞争等问题。 双原子催化剂(DACs)已成为有希望的候选物,但是它们的合理设计在平衡元素选择和性能方面面临着障碍。 为了解决这个问题,我们采用了高通量计算和机器学习来筛选一系列的三氧化铀(NO 3 RR.), d m1 dm2, 并被确定为关键特征。 根据可解释的 SHAP, 一种可解释的 SHAP 。</w:t>
      </w:r>
    </w:p>
    <w:p>
      <w:pPr>
        <w:spacing w:before="0" w:after="200" w:lineRule="auto" w:line="276"/>
      </w:pPr>
      <w:r>
        <w:rPr>
          <w:b/>
        </w:rPr>
        <w:t xml:space="preserve">Abstract (EN): </w:t>
      </w:r>
      <w:r>
        <w:t>The electrocatalytic nitrate reduction reaction (NO</w:t>
      </w:r>
      <w:r>
        <w:rPr>
          <w:vertAlign w:val="subscript"/>
        </w:rPr>
        <w:t>3</w:t>
      </w:r>
      <w:r>
        <w:t>RR) offers a promising way to reduce pollutants and synthesis ammonia. However, it is fraught with problems such as unbalanced adsorption–desorption of intermediates, insufficient H* supply, and competing hydrogen evolution. Dual‐atom catalysts (DACs) have emerged as promising candidates, but their rational design faces obstacles in balancing element selection and performance. To address this, we employed high‐throughput calculations and machine learning to screen a series of DACs for NO</w:t>
      </w:r>
      <w:r>
        <w:rPr>
          <w:vertAlign w:val="subscript"/>
        </w:rPr>
        <w:t>3</w:t>
      </w:r>
      <w:r>
        <w:t>RR. , d</w:t>
      </w:r>
      <w:r>
        <w:t xml:space="preserve"> </w:t>
      </w:r>
      <w:r>
        <w:t>m1‐dm2</w:t>
      </w:r>
      <w:r>
        <w:t xml:space="preserve"> </w:t>
      </w:r>
      <w:r>
        <w:t>and  were identified as key features. Based on interpretable SHAP analysis, we predicted and developed a sulphur‐doped, asymmetric, dinuclear cobalt catalyst (Co</w:t>
      </w:r>
      <w:r>
        <w:rPr>
          <w:vertAlign w:val="subscript"/>
        </w:rPr>
        <w:t>2</w:t>
      </w:r>
      <w:r>
        <w:t>/NSC). Experiments show that this catalyst achieves a Faradaic efficiency of 99.95% for NH</w:t>
      </w:r>
      <w:r>
        <w:rPr>
          <w:vertAlign w:val="subscript"/>
        </w:rPr>
        <w:t>3</w:t>
      </w:r>
      <w:r>
        <w:t>production at −0.2 V vs. RHE, with a maximum yield of 101.19 mg h</w:t>
      </w:r>
      <w:r>
        <w:t xml:space="preserve"> </w:t>
      </w:r>
      <w:r>
        <w:t>−1</w:t>
      </w:r>
      <w:r>
        <w:t xml:space="preserve"> </w:t>
      </w:r>
      <w:r>
        <w:t>mgcat</w:t>
      </w:r>
      <w:r>
        <w:t xml:space="preserve"> </w:t>
      </w:r>
      <w:r>
        <w:t>−1</w:t>
      </w:r>
      <w:r>
        <w:t xml:space="preserve"> </w:t>
      </w:r>
      <w:r>
        <w:t>at −0.4 V vs. RHE. The underlying mechanism and DFT calculations indicate that dinuclear Co sites enhance *NO</w:t>
      </w:r>
      <w:r>
        <w:rPr>
          <w:vertAlign w:val="subscript"/>
        </w:rPr>
        <w:t>3</w:t>
      </w:r>
      <w:r>
        <w:t>−</w:t>
      </w:r>
      <w:r>
        <w:t>adsorption and reduce the energy barrier of the rate‐determining step *NO→*NHO; sulphur doping facilitates active *H supply and stabilizes the *NHO intermediate via an S─H/O─H hydrogen bonding network, suppressing side reactions. In addition, the integrated membrane electrode assembly system and the technical‐economic analysis confirm the practical applicability and economic viability of this process.</w:t>
      </w:r>
    </w:p>
    <w:p>
      <w:pPr>
        <w:spacing w:before="120" w:after="120"/>
      </w:pPr>
      <w:r>
        <w:rPr>
          <w:sz w:val="18"/>
        </w:rPr>
        <w:t>——————————————————————————————————————————————————————————————————————</w:t>
      </w:r>
    </w:p>
    <w:p>
      <w:pPr>
        <w:spacing w:before="160" w:after="40" w:line="240" w:lineRule="auto"/>
      </w:pPr>
      <w:r>
        <w:rPr>
          <w:b/>
        </w:rPr>
        <w:t xml:space="preserve">[651] </w:t>
      </w:r>
      <w:hyperlink r:id="rId1081">
        <w:r>
          <w:rPr>
            <w:color w:val="1155CC"/>
            <w:u w:val="single"/>
          </w:rPr>
          <w:t>具有快速反向跨系统跨系统以便高效解决处理的 OLEDs的TDAF Edisters</w:t>
        </w:r>
      </w:hyperlink>
    </w:p>
    <w:p>
      <w:pPr>
        <w:spacing w:before="0" w:after="80"/>
      </w:pPr>
      <w:r>
        <w:rPr>
          <w:i/>
          <w:sz w:val="20"/>
        </w:rPr>
        <w:t>EN: Heptazine‐Assisted Multi‐Resonance TADF Emitters With Fast Reverse Intersystem Crossing for Efficient Solution‐Processed OLEDs</w:t>
      </w:r>
    </w:p>
    <w:p>
      <w:pPr>
        <w:spacing w:before="0" w:after="120"/>
      </w:pPr>
      <w:r>
        <w:rPr>
          <w:b/>
        </w:rPr>
        <w:t xml:space="preserve">Source: </w:t>
      </w:r>
      <w:r>
        <w:t>Wiley: Advanced Materials: Table of Contents</w:t>
      </w:r>
      <w:r>
        <w:t xml:space="preserve">    </w:t>
      </w:r>
      <w:r>
        <w:rPr>
          <w:b/>
        </w:rPr>
        <w:t xml:space="preserve">Pub date: </w:t>
      </w:r>
      <w:r>
        <w:t>2026-01-10 14:13:01+00:00</w:t>
      </w:r>
      <w:r>
        <w:t xml:space="preserve">    </w:t>
      </w:r>
      <w:r>
        <w:rPr>
          <w:b/>
        </w:rPr>
        <w:t xml:space="preserve">DOI: </w:t>
      </w:r>
      <w:hyperlink r:id="rId1082">
        <w:r>
          <w:rPr>
            <w:color w:val="1155CC"/>
            <w:u w:val="single"/>
          </w:rPr>
          <w:t>10.1002/adma.202516214</w:t>
        </w:r>
      </w:hyperlink>
    </w:p>
    <w:p>
      <w:pPr>
        <w:spacing w:before="0" w:after="120"/>
      </w:pPr>
      <w:r>
        <w:rPr>
          <w:b/>
        </w:rPr>
        <w:t xml:space="preserve">Notes: </w:t>
      </w:r>
      <w:r>
        <w:t>abstract_source=crossref</w:t>
      </w:r>
    </w:p>
    <w:p>
      <w:pPr>
        <w:spacing w:before="0" w:after="80" w:lineRule="auto" w:line="276"/>
      </w:pPr>
      <w:r>
        <w:rPr>
          <w:b/>
        </w:rPr>
        <w:t xml:space="preserve">摘要（ZH）: </w:t>
      </w:r>
      <w:r>
        <w:t>ABSTACT 开发具有窄带排放、高亮度和最小效率滚动作用的溶液-处理有机光排放二极管(SPOLEDs), 仍然是一项重大挑战。 我们在此报告了一系列高性能SPOLED的热发热延迟荧光弹(MRTADF)发射源。 通过将七硝基苯核心与一至三MR单位(tBUCzBN)结合,我们合成了三个发射源(HAPCzBN、HAPQQ2CzBN和HAPQZBN),展示了极好的光光照量产量并逐渐缩小了单倍能量差距(E) 。</w:t>
      </w:r>
    </w:p>
    <w:p>
      <w:pPr>
        <w:spacing w:before="0" w:after="200" w:lineRule="auto" w:line="276"/>
      </w:pPr>
      <w:r>
        <w:rPr>
          <w:b/>
        </w:rPr>
        <w:t xml:space="preserve">Abstract (EN): </w:t>
      </w:r>
      <w:r>
        <w:t>The development of solution‐processed organic light‐emitting diodes (SP‐OLEDs) with narrowband emission, high brightness, and minimal efficiency roll‐off remains a significant challenge. Herein, we report a series of heptazine‐assisted multi‐resonance thermally activated delayed fluorescence (MR‐TADF) emitters for high‐performance SP‐OLEDs. By integrating a heptazine core with one to three MR units (tBuCzBN), we synthesized three emitters (</w:t>
      </w:r>
      <w:r>
        <w:t xml:space="preserve"> </w:t>
      </w:r>
      <w:r>
        <w:t>HAP‐CzBN</w:t>
      </w:r>
      <w:r>
        <w:t xml:space="preserve"> </w:t>
      </w:r>
      <w:r>
        <w:t>,</w:t>
      </w:r>
      <w:r>
        <w:t xml:space="preserve"> </w:t>
      </w:r>
      <w:r>
        <w:t>HAP‐2CzBN</w:t>
      </w:r>
      <w:r>
        <w:t xml:space="preserve"> </w:t>
      </w:r>
      <w:r>
        <w:t>, and</w:t>
      </w:r>
      <w:r>
        <w:t xml:space="preserve"> </w:t>
      </w:r>
      <w:r>
        <w:t>HAP‐3CzBN</w:t>
      </w:r>
      <w:r>
        <w:t xml:space="preserve"> </w:t>
      </w:r>
      <w:r>
        <w:t>) exhibiting excellent photoluminescence quantum yields and progressively reduced singlet–triplet energy gaps (Δ</w:t>
      </w:r>
      <w:r>
        <w:t xml:space="preserve"> </w:t>
      </w:r>
      <w:r>
        <w:t>E</w:t>
      </w:r>
      <w:r>
        <w:t xml:space="preserve"> </w:t>
      </w:r>
      <w:r>
        <w:t>ST</w:t>
      </w:r>
      <w:r>
        <w:t xml:space="preserve"> </w:t>
      </w:r>
      <w:r>
        <w:t>) with increasing MR content. Among these,</w:t>
      </w:r>
      <w:r>
        <w:t xml:space="preserve"> </w:t>
      </w:r>
      <w:r>
        <w:t>HAP‐2CzBN</w:t>
      </w:r>
      <w:r>
        <w:t xml:space="preserve"> </w:t>
      </w:r>
      <w:r>
        <w:t>and</w:t>
      </w:r>
      <w:r>
        <w:t xml:space="preserve"> </w:t>
      </w:r>
      <w:r>
        <w:t>HAP‐3CzBN</w:t>
      </w:r>
      <w:r>
        <w:t xml:space="preserve"> </w:t>
      </w:r>
      <w:r>
        <w:t>show green and yellow emission at 537 and 556 nm with small full widths at half maximum (FWHM) of 43 and 45 nm in toluene, respectively. Notably, both emitters exhibit concentration‐ and temperature‐dependent dual emission with TADF behavior in n‐hexane, suggesting potential for optical temperature sensing. In the solid state,</w:t>
      </w:r>
      <w:r>
        <w:t xml:space="preserve"> </w:t>
      </w:r>
      <w:r>
        <w:t>HAP‐3CzBN</w:t>
      </w:r>
      <w:r>
        <w:t xml:space="preserve"> </w:t>
      </w:r>
      <w:r>
        <w:t>achieves the shortest reported delayed lifetime of 0.92 µs and a record‐high reverse intersystem crossing (RISC) rate constant of 1.19 × 10</w:t>
      </w:r>
      <w:r>
        <w:rPr>
          <w:vertAlign w:val="subscript"/>
        </w:rPr>
        <w:t>6</w:t>
      </w:r>
      <w:r>
        <w:t>s</w:t>
      </w:r>
      <w:r>
        <w:t xml:space="preserve"> </w:t>
      </w:r>
      <w:r>
        <w:t>−1</w:t>
      </w:r>
      <w:r>
        <w:t xml:space="preserve"> </w:t>
      </w:r>
      <w:r>
        <w:t>among MR‐TADF emitters without heavy atoms with long‐wavelength emission. SP‐OLEDs based on</w:t>
      </w:r>
      <w:r>
        <w:t xml:space="preserve"> </w:t>
      </w:r>
      <w:r>
        <w:t>HAP‐3CzBN</w:t>
      </w:r>
      <w:r>
        <w:t xml:space="preserve"> </w:t>
      </w:r>
      <w:r>
        <w:t>exhibit a peak external quantum efficiency (EQE) of 15.5%, negligible roll‐off at 1000 cd m</w:t>
      </w:r>
      <w:r>
        <w:t xml:space="preserve"> </w:t>
      </w:r>
      <w:r>
        <w:t>−</w:t>
      </w:r>
      <w:r>
        <w:rPr>
          <w:vertAlign w:val="subscript"/>
        </w:rPr>
        <w:t>2</w:t>
      </w:r>
      <w:r>
        <w:t>(EQE</w:t>
      </w:r>
      <w:r>
        <w:rPr>
          <w:vertAlign w:val="subscript"/>
        </w:rPr>
        <w:t>1000</w:t>
      </w:r>
      <w:r>
        <w:t>= 15.4%), and maintain 11.2% EQE at 10,000 cd m</w:t>
      </w:r>
      <w:r>
        <w:t xml:space="preserve"> </w:t>
      </w:r>
      <w:r>
        <w:t>−2</w:t>
      </w:r>
      <w:r>
        <w:t xml:space="preserve"> </w:t>
      </w:r>
      <w:r>
        <w:t>, setting a new benchmark for high brightness MR‐TADF devices via solution processing. An OLED employing a trap‐free transport layer configuration further increases the EQE</w:t>
      </w:r>
      <w:r>
        <w:t xml:space="preserve"> </w:t>
      </w:r>
      <w:r>
        <w:t>max</w:t>
      </w:r>
      <w:r>
        <w:t xml:space="preserve"> </w:t>
      </w:r>
      <w:r>
        <w:t>to 20.3%, along with exceptional current efficiencies of 90.2 cd A</w:t>
      </w:r>
      <w:r>
        <w:t xml:space="preserve"> </w:t>
      </w:r>
      <w:r>
        <w:t>−1</w:t>
      </w:r>
      <w:r>
        <w:t xml:space="preserve"> </w:t>
      </w:r>
      <w:r>
        <w:t>.</w:t>
      </w:r>
    </w:p>
    <w:p>
      <w:pPr>
        <w:spacing w:before="120" w:after="120"/>
      </w:pPr>
      <w:r>
        <w:rPr>
          <w:sz w:val="18"/>
        </w:rPr>
        <w:t>——————————————————————————————————————————————————————————————————————</w:t>
      </w:r>
    </w:p>
    <w:p>
      <w:pPr>
        <w:spacing w:before="160" w:after="40" w:line="240" w:lineRule="auto"/>
      </w:pPr>
      <w:r>
        <w:rPr>
          <w:b/>
        </w:rPr>
        <w:t xml:space="preserve">[652] </w:t>
      </w:r>
      <w:hyperlink r:id="rId1083">
        <w:r>
          <w:rPr>
            <w:color w:val="1155CC"/>
            <w:u w:val="single"/>
          </w:rPr>
          <w:t>重组区在有机光发射装置中的作用</w:t>
        </w:r>
      </w:hyperlink>
    </w:p>
    <w:p>
      <w:pPr>
        <w:spacing w:before="0" w:after="80"/>
      </w:pPr>
      <w:r>
        <w:rPr>
          <w:i/>
          <w:sz w:val="20"/>
        </w:rPr>
        <w:t>EN: Role of the Recombination Zone in Organic Light‐Emitting Devices</w:t>
      </w:r>
    </w:p>
    <w:p>
      <w:pPr>
        <w:spacing w:before="0" w:after="120"/>
      </w:pPr>
      <w:r>
        <w:rPr>
          <w:b/>
        </w:rPr>
        <w:t xml:space="preserve">Source: </w:t>
      </w:r>
      <w:r>
        <w:t>Wiley: Advanced Materials: Table of Contents</w:t>
      </w:r>
      <w:r>
        <w:t xml:space="preserve">    </w:t>
      </w:r>
      <w:r>
        <w:rPr>
          <w:b/>
        </w:rPr>
        <w:t xml:space="preserve">Pub date: </w:t>
      </w:r>
      <w:r>
        <w:t>2026-01-10 14:13:06+00:00</w:t>
      </w:r>
      <w:r>
        <w:t xml:space="preserve">    </w:t>
      </w:r>
      <w:r>
        <w:rPr>
          <w:b/>
        </w:rPr>
        <w:t xml:space="preserve">DOI: </w:t>
      </w:r>
      <w:hyperlink r:id="rId1084">
        <w:r>
          <w:rPr>
            <w:color w:val="1155CC"/>
            <w:u w:val="single"/>
          </w:rPr>
          <w:t>10.1002/adma.202517883</w:t>
        </w:r>
      </w:hyperlink>
    </w:p>
    <w:p>
      <w:pPr>
        <w:spacing w:before="0" w:after="120"/>
      </w:pPr>
      <w:r>
        <w:rPr>
          <w:b/>
        </w:rPr>
        <w:t xml:space="preserve">Notes: </w:t>
      </w:r>
      <w:r>
        <w:t>abstract_source=crossref</w:t>
      </w:r>
    </w:p>
    <w:p>
      <w:pPr>
        <w:spacing w:before="0" w:after="80" w:lineRule="auto" w:line="276"/>
      </w:pPr>
      <w:r>
        <w:rPr>
          <w:b/>
        </w:rPr>
        <w:t xml:space="preserve">摘要（ZH）: </w:t>
      </w:r>
      <w:r>
        <w:t>讨论了有机发光装置中再组合区对设备效率和稳定性的影响。我们首先总结了低极模型的基本想法,以描述平板有机发光二极管(OLEDs)与薄再组合区的光分离效率。这一模型与弱洞中的共振干扰效应进一步进行了比较,表明当装置的洞穴接近建设性干扰条件时,可以实现最大装置分离。我们进一步总结了在理解聚光电离聚变与广泛再组合区的光分离效率方面的最新进展,指出载体运输在此至关重要。对于具有平衡电和孔的传导系统来说,具有平衡电和孔的传导系统至关重要。</w:t>
      </w:r>
    </w:p>
    <w:p>
      <w:pPr>
        <w:spacing w:before="0" w:after="200" w:lineRule="auto" w:line="276"/>
      </w:pPr>
      <w:r>
        <w:rPr>
          <w:b/>
        </w:rPr>
        <w:t xml:space="preserve">Abstract (EN): </w:t>
      </w:r>
      <w:r>
        <w:t>The impact of the recombination zone in organic light‐emitting devices on the device efficiency and stability is discussed. We first summarize the basic idea of the dipole model to describe the optical outcoupling efficiency in planar organic light‐emitting diodes (OLEDs) with a thin recombination zone. This model is further compared with the resonance interference effect in weak cavities, showing that maximum device outcoupling can be achieved when the device cavity is close to the condition of constructive interference. Recent developments in understanding the optical outcoupling efficiency for OLEDs with a broad recombination zone are further summarized, pointing out that carrier transport is crucial here. For emissive systems with balanced electron and hole transport, the broadening of the recombination zone has only a minor effect on the optical outcoupling efficiency. However, for emissive systems with inferior electron transport due to trapping effects, the recombination zone is located close to the metallic cathode side, leading to pronounced optical losses. Inverted device structures can reduce optical losses and therefore improve device performance. Based on emissive materials with balanced charge transport, high device efficiency and a long operational lifetime can be simultaneously achieved in OLEDs with a broad recombination zone. Potential research directions related to the recombination zone to achieve efficient and stable organic light‐emitting devices are discussed as well.</w:t>
      </w:r>
    </w:p>
    <w:p>
      <w:pPr>
        <w:spacing w:before="120" w:after="120"/>
      </w:pPr>
      <w:r>
        <w:rPr>
          <w:sz w:val="18"/>
        </w:rPr>
        <w:t>——————————————————————————————————————————————————————————————————————</w:t>
      </w:r>
    </w:p>
    <w:p>
      <w:pPr>
        <w:spacing w:before="160" w:after="40" w:line="240" w:lineRule="auto"/>
      </w:pPr>
      <w:r>
        <w:rPr>
          <w:b/>
        </w:rPr>
        <w:t xml:space="preserve">[653] </w:t>
      </w:r>
      <w:hyperlink r:id="rId1085">
        <w:r>
          <w:rPr>
            <w:color w:val="1155CC"/>
            <w:u w:val="single"/>
          </w:rPr>
          <w:t>通过镍合金促进高效等离子体热解CO2氢化,克服铜的不稳定</w:t>
        </w:r>
      </w:hyperlink>
    </w:p>
    <w:p>
      <w:pPr>
        <w:spacing w:before="0" w:after="80"/>
      </w:pPr>
      <w:r>
        <w:rPr>
          <w:i/>
          <w:sz w:val="20"/>
        </w:rPr>
        <w:t>EN: Overcoming Copper Instability via Nickel Alloying for Efficient Plasmon‐Catalytic CO2 Hydrogenation</w:t>
      </w:r>
    </w:p>
    <w:p>
      <w:pPr>
        <w:spacing w:before="0" w:after="120"/>
      </w:pPr>
      <w:r>
        <w:rPr>
          <w:b/>
        </w:rPr>
        <w:t xml:space="preserve">Source: </w:t>
      </w:r>
      <w:r>
        <w:t>Wiley: Angewandte Chemie International Edition: Table of Contents</w:t>
      </w:r>
      <w:r>
        <w:t xml:space="preserve">    </w:t>
      </w:r>
      <w:r>
        <w:rPr>
          <w:b/>
        </w:rPr>
        <w:t xml:space="preserve">Pub date: </w:t>
      </w:r>
      <w:r>
        <w:t>2026-01-10 14:14:07+00:00</w:t>
      </w:r>
      <w:r>
        <w:t xml:space="preserve">    </w:t>
      </w:r>
      <w:r>
        <w:rPr>
          <w:b/>
        </w:rPr>
        <w:t xml:space="preserve">DOI: </w:t>
      </w:r>
      <w:hyperlink r:id="rId1086">
        <w:r>
          <w:rPr>
            <w:color w:val="1155CC"/>
            <w:u w:val="single"/>
          </w:rPr>
          <w:t>10.1002/anie.202521576</w:t>
        </w:r>
      </w:hyperlink>
    </w:p>
    <w:p>
      <w:pPr>
        <w:spacing w:before="0" w:after="120"/>
      </w:pPr>
      <w:r>
        <w:rPr>
          <w:b/>
        </w:rPr>
        <w:t xml:space="preserve">Notes: </w:t>
      </w:r>
      <w:r>
        <w:t>abstract_source=crossref</w:t>
      </w:r>
    </w:p>
    <w:p>
      <w:pPr>
        <w:spacing w:before="0" w:after="80" w:lineRule="auto" w:line="276"/>
      </w:pPr>
      <w:r>
        <w:rPr>
          <w:b/>
        </w:rPr>
        <w:t xml:space="preserve">摘要（ZH）: </w:t>
      </w:r>
      <w:r>
        <w:t>摘要:通过逆向水气转换(RWGS)反应,开发高效、稳定、低瓦气压催化二氢化的高效、稳定、低瓦气压催化器,仍然是一项重大挑战;常规库奇气态催化剂由于价格波动、纳米粒子交融和二氧化碳中毒而不稳定;在此,我们报告了一种低成本库尼双金属催化器(CuNi/Al 2 O 3),它解决了这些瓶颈问题,在相对低的温度(300°C)下,在轻度辐照下实现了4813微克/克/小时的显著CO产量;常规库尼双金属催化剂的性能优异。</w:t>
      </w:r>
    </w:p>
    <w:p>
      <w:pPr>
        <w:spacing w:before="0" w:after="200" w:lineRule="auto" w:line="276"/>
      </w:pPr>
      <w:r>
        <w:rPr>
          <w:b/>
        </w:rPr>
        <w:t xml:space="preserve">Abstract (EN): </w:t>
      </w:r>
      <w:r>
        <w:t>The development of efficient, stable, and low‐coat plasmonic catalysts for CO</w:t>
      </w:r>
      <w:r>
        <w:rPr>
          <w:vertAlign w:val="subscript"/>
        </w:rPr>
        <w:t>2</w:t>
      </w:r>
      <w:r>
        <w:t>hydrogenation via the reverse water‐gas shift (RWGS) reaction remains a significant challenge. Conventional Cu‐based plasmonic catalysts suffer from poor stability due to the valence state fluctuation, nanoparticle sintering, and CO poisoning. Herein, we report a low‐cost CuNi bimetallic plasmonic catalyst (CuNi/Al</w:t>
      </w:r>
      <w:r>
        <w:rPr>
          <w:vertAlign w:val="subscript"/>
        </w:rPr>
        <w:t>2</w:t>
      </w:r>
      <w:r>
        <w:t>O</w:t>
      </w:r>
      <w:r>
        <w:rPr>
          <w:vertAlign w:val="subscript"/>
        </w:rPr>
        <w:t>3</w:t>
      </w:r>
      <w:r>
        <w:t>) that address these bottlenecks, achieving a remarkable CO production rate of 4813 µmol/g/h under light irradiation at a relatively low temperature (300 °C), outperforming conventional Cu‐based and noble metal catalysts. Systematic experimental and theoretical studies reveal that Ni incorporation enhances catalytic activity and stability by reducing activation energy, maintaining surface valence stability and suppressing nanoparticle sintering. In situ characterization further confirms that light not only drives the CO</w:t>
      </w:r>
      <w:r>
        <w:rPr>
          <w:vertAlign w:val="subscript"/>
        </w:rPr>
        <w:t>2</w:t>
      </w:r>
      <w:r>
        <w:t>hydrogenation via the localized surface plasmon resonance (LSPR) effect of Cu but also synergizes with Ni to suppress CO poisoning and promote surface reducibility, ensuring long‐term stability. This work provides a rational design strategy for low‐cost, stable Cu‐based plasmonic catalysts and deepens the mechanistic understanding of alloy‐mediated plasmonic CO</w:t>
      </w:r>
      <w:r>
        <w:rPr>
          <w:vertAlign w:val="subscript"/>
        </w:rPr>
        <w:t>2</w:t>
      </w:r>
      <w:r>
        <w:t>conversion, offering insights for advancing solar‐driven CO</w:t>
      </w:r>
      <w:r>
        <w:rPr>
          <w:vertAlign w:val="subscript"/>
        </w:rPr>
        <w:t>2</w:t>
      </w:r>
      <w:r>
        <w:t>valorization.</w:t>
      </w:r>
    </w:p>
    <w:p>
      <w:pPr>
        <w:spacing w:before="120" w:after="120"/>
      </w:pPr>
      <w:r>
        <w:rPr>
          <w:sz w:val="18"/>
        </w:rPr>
        <w:t>——————————————————————————————————————————————————————————————————————</w:t>
      </w:r>
    </w:p>
    <w:p>
      <w:pPr>
        <w:spacing w:before="160" w:after="40" w:line="240" w:lineRule="auto"/>
      </w:pPr>
      <w:r>
        <w:rPr>
          <w:b/>
        </w:rPr>
        <w:t xml:space="preserve">[654] </w:t>
      </w:r>
      <w:hyperlink r:id="rId1087">
        <w:r>
          <w:rPr>
            <w:color w:val="1155CC"/>
            <w:u w:val="single"/>
          </w:rPr>
          <w:t>尽管有谷物边界,但CsPbBBr3 Perovskite Ray 探测器的光谱性能</w:t>
        </w:r>
      </w:hyperlink>
    </w:p>
    <w:p>
      <w:pPr>
        <w:spacing w:before="0" w:after="80"/>
      </w:pPr>
      <w:r>
        <w:rPr>
          <w:i/>
          <w:sz w:val="20"/>
        </w:rPr>
        <w:t>EN: Spectroscopic Performance of CsPbBr3 Perovskite γ‐Ray Detectors Despite Grain Boundaries</w:t>
      </w:r>
    </w:p>
    <w:p>
      <w:pPr>
        <w:spacing w:before="0" w:after="120"/>
      </w:pPr>
      <w:r>
        <w:rPr>
          <w:b/>
        </w:rPr>
        <w:t xml:space="preserve">Source: </w:t>
      </w:r>
      <w:r>
        <w:t>Wiley: Advanced Materials: Table of Contents</w:t>
      </w:r>
      <w:r>
        <w:t xml:space="preserve">    </w:t>
      </w:r>
      <w:r>
        <w:rPr>
          <w:b/>
        </w:rPr>
        <w:t xml:space="preserve">Pub date: </w:t>
      </w:r>
      <w:r>
        <w:t>2026-01-10 14:20:20+00:00</w:t>
      </w:r>
      <w:r>
        <w:t xml:space="preserve">    </w:t>
      </w:r>
      <w:r>
        <w:rPr>
          <w:b/>
        </w:rPr>
        <w:t xml:space="preserve">DOI: </w:t>
      </w:r>
      <w:hyperlink r:id="rId1088">
        <w:r>
          <w:rPr>
            <w:color w:val="1155CC"/>
            <w:u w:val="single"/>
          </w:rPr>
          <w:t>10.1002/adma.202518137</w:t>
        </w:r>
      </w:hyperlink>
    </w:p>
    <w:p>
      <w:pPr>
        <w:spacing w:before="0" w:after="120"/>
      </w:pPr>
      <w:r>
        <w:rPr>
          <w:b/>
        </w:rPr>
        <w:t xml:space="preserve">Notes: </w:t>
      </w:r>
      <w:r>
        <w:t>abstract_source=crossref</w:t>
      </w:r>
    </w:p>
    <w:p>
      <w:pPr>
        <w:spacing w:before="0" w:after="80" w:lineRule="auto" w:line="276"/>
      </w:pPr>
      <w:r>
        <w:rPr>
          <w:b/>
        </w:rPr>
        <w:t xml:space="preserve">摘要（ZH）: </w:t>
      </w:r>
      <w:r>
        <w:t>ABSTACT CsPBBBB3 perovskite 3 Perovskite 由于其高阻力、宽带宽和精华的充电运输特性,已经成为下一代射线探测的有希望的材料。 与传统的半导体不同,在常规半导体中,谷物边界(GBs)会降解反应,我们观察到,CsPBBR 3 保留了在它们面前的功能光谱性能,表现出显著的缺陷耐受度。 我们系统地调查GBs对基于CsPBBR 3 的探测器的性能和稳定性的影响。 含有GBs的探测器在室内温度上表现出可测量的光谱性,包括解析的照片。</w:t>
      </w:r>
    </w:p>
    <w:p>
      <w:pPr>
        <w:spacing w:before="0" w:after="200" w:lineRule="auto" w:line="276"/>
      </w:pPr>
      <w:r>
        <w:rPr>
          <w:b/>
        </w:rPr>
        <w:t xml:space="preserve">Abstract (EN): </w:t>
      </w:r>
      <w:r>
        <w:t>The CsPbBr</w:t>
      </w:r>
      <w:r>
        <w:rPr>
          <w:vertAlign w:val="subscript"/>
        </w:rPr>
        <w:t>3</w:t>
      </w:r>
      <w:r>
        <w:t>perovskite has emerged as a promising material for next‐generation γ‐ray detection owing to its high stopping power, wide bandgap, and excellent charge‐transport properties. Unlike conventional semiconductors, in which grain boundaries (GBs) degrade response, we observed that CsPbBr</w:t>
      </w:r>
      <w:r>
        <w:rPr>
          <w:vertAlign w:val="subscript"/>
        </w:rPr>
        <w:t>3</w:t>
      </w:r>
      <w:r>
        <w:t>retains functional spectroscopic performance in their presence, demonstrating remarkable defect tolerance. We systematically investigate the impact of GBs on the performance and stability of CsPbBr</w:t>
      </w:r>
      <w:r>
        <w:rPr>
          <w:vertAlign w:val="subscript"/>
        </w:rPr>
        <w:t>3</w:t>
      </w:r>
      <w:r>
        <w:t>‐based detectors. Detectors containing GBs exhibit measurable spectroscopic performance at room temperature, including resolved photopeaks at 59.5 keV (</w:t>
      </w:r>
      <w:r>
        <w:rPr>
          <w:vertAlign w:val="subscript"/>
        </w:rPr>
        <w:t>241</w:t>
      </w:r>
      <w:r>
        <w:t>Am) and 122 keV (</w:t>
      </w:r>
      <w:r>
        <w:rPr>
          <w:vertAlign w:val="subscript"/>
        </w:rPr>
        <w:t>57</w:t>
      </w:r>
      <w:r>
        <w:t>Co), along with hole mobility‐lifetime products (</w:t>
      </w:r>
      <w:r>
        <w:t xml:space="preserve"> </w:t>
      </w:r>
      <w:r>
        <w:t>µτ</w:t>
      </w:r>
      <w:r>
        <w:t xml:space="preserve"> </w:t>
      </w:r>
      <w:r>
        <w:t>)</w:t>
      </w:r>
      <w:r>
        <w:t xml:space="preserve"> </w:t>
      </w:r>
      <w:r>
        <w:t>h</w:t>
      </w:r>
      <w:r>
        <w:t xml:space="preserve"> </w:t>
      </w:r>
      <w:r>
        <w:t>on the order of ∼10</w:t>
      </w:r>
      <w:r>
        <w:t xml:space="preserve"> </w:t>
      </w:r>
      <w:r>
        <w:t>−4</w:t>
      </w:r>
      <w:r>
        <w:t xml:space="preserve"> </w:t>
      </w:r>
      <w:r>
        <w:t>cm</w:t>
      </w:r>
      <w:r>
        <w:rPr>
          <w:vertAlign w:val="subscript"/>
        </w:rPr>
        <w:t>2</w:t>
      </w:r>
      <w:r>
        <w:t>·V</w:t>
      </w:r>
      <w:r>
        <w:t xml:space="preserve"> </w:t>
      </w:r>
      <w:r>
        <w:t>−1</w:t>
      </w:r>
      <w:r>
        <w:t xml:space="preserve"> </w:t>
      </w:r>
      <w:r>
        <w:t>, highlighting the defect‐tolerant nature of CsPbBr</w:t>
      </w:r>
      <w:r>
        <w:rPr>
          <w:vertAlign w:val="subscript"/>
        </w:rPr>
        <w:t>3</w:t>
      </w:r>
      <w:r>
        <w:t>. Two‐photon excitation PL microscopy shows asymmetric carrier diffusion near GBs (under zero field bias), indicative of impeded charge transport, while transient waveform analysis captures field‐assisted detrapping that recovers charge collection on application‐relevant timescales. Our measurements indicate that device engineering choices, pixel placement/size, guard rings, field shaping, and electrode work‐function design can help drift paths and electric fields away from defects, and may reduce GB impacts.</w:t>
      </w:r>
    </w:p>
    <w:p>
      <w:pPr>
        <w:spacing w:before="120" w:after="120"/>
      </w:pPr>
      <w:r>
        <w:rPr>
          <w:sz w:val="18"/>
        </w:rPr>
        <w:t>——————————————————————————————————————————————————————————————————————</w:t>
      </w:r>
    </w:p>
    <w:p>
      <w:pPr>
        <w:spacing w:before="160" w:after="40" w:line="240" w:lineRule="auto"/>
      </w:pPr>
      <w:r>
        <w:rPr>
          <w:b/>
        </w:rPr>
        <w:t xml:space="preserve">[655] </w:t>
      </w:r>
      <w:hyperlink r:id="rId1089">
        <w:r>
          <w:rPr>
            <w:color w:val="1155CC"/>
            <w:u w:val="single"/>
          </w:rPr>
          <w:t>将Cyclic Ketones 迁移到受控的Cyclo丙烷中环</w:t>
        </w:r>
      </w:hyperlink>
    </w:p>
    <w:p>
      <w:pPr>
        <w:spacing w:before="0" w:after="80"/>
      </w:pPr>
      <w:r>
        <w:rPr>
          <w:i/>
          <w:sz w:val="20"/>
        </w:rPr>
        <w:t>EN: Energy‐Transfer‐Enabled Skeletal Rearrangement of Cyclic Ketones into Strained Cyclopropane‐Fused Medium Rings</w:t>
      </w:r>
    </w:p>
    <w:p>
      <w:pPr>
        <w:spacing w:before="0" w:after="120"/>
      </w:pPr>
      <w:r>
        <w:rPr>
          <w:b/>
        </w:rPr>
        <w:t xml:space="preserve">Source: </w:t>
      </w:r>
      <w:r>
        <w:t>Wiley: Angewandte Chemie International Edition: Table of Contents</w:t>
      </w:r>
      <w:r>
        <w:t xml:space="preserve">    </w:t>
      </w:r>
      <w:r>
        <w:rPr>
          <w:b/>
        </w:rPr>
        <w:t xml:space="preserve">Pub date: </w:t>
      </w:r>
      <w:r>
        <w:t>2026-01-10 14:22:39+00:00</w:t>
      </w:r>
      <w:r>
        <w:t xml:space="preserve">    </w:t>
      </w:r>
      <w:r>
        <w:rPr>
          <w:b/>
        </w:rPr>
        <w:t xml:space="preserve">DOI: </w:t>
      </w:r>
      <w:hyperlink r:id="rId1090">
        <w:r>
          <w:rPr>
            <w:color w:val="1155CC"/>
            <w:u w:val="single"/>
          </w:rPr>
          <w:t>10.1002/anie.202522620</w:t>
        </w:r>
      </w:hyperlink>
    </w:p>
    <w:p>
      <w:pPr>
        <w:spacing w:before="0" w:after="120"/>
      </w:pPr>
      <w:r>
        <w:rPr>
          <w:b/>
        </w:rPr>
        <w:t xml:space="preserve">Notes: </w:t>
      </w:r>
      <w:r>
        <w:t>abstract_source=crossref</w:t>
      </w:r>
    </w:p>
    <w:p>
      <w:pPr>
        <w:spacing w:before="0" w:after="80" w:lineRule="auto" w:line="276"/>
      </w:pPr>
      <w:r>
        <w:rPr>
          <w:b/>
        </w:rPr>
        <w:t xml:space="preserve">摘要（ZH）: </w:t>
      </w:r>
      <w:r>
        <w:t>Cyclopane-ffused 中环(CFMR)是具有吸引力的结构元体,将高压与独特的三个维度结合起来,但其高效和模块合成仍是一项艰巨的挑战。 在这里,我们提出了一个光催化骨骼编辑总体战略,可以直接地在地表上跳跃 — — 单步重组,同时改变环形大小和聚变表层 — — 从现成的五到八成环状环形圆球骨质组成多样化的七到十成环状环形环状中环形环形环形环形环形环形环形环形环形环形环状。 这一转变通过新型的能量转移、由二变中间介介型的1,1,4-碳基迁移,通过“环状扩张-折叠动”串联,形成紧凑的双环形框架,这是Su。</w:t>
      </w:r>
    </w:p>
    <w:p>
      <w:pPr>
        <w:spacing w:before="0" w:after="200" w:lineRule="auto" w:line="276"/>
      </w:pPr>
      <w:r>
        <w:rPr>
          <w:b/>
        </w:rPr>
        <w:t xml:space="preserve">Abstract (EN): </w:t>
      </w:r>
      <w:r>
        <w:t>Cyclopropane‐fused medium rings (CFMR) are attractive structural motifs that combine high strain with unique three dimensionality, however their efficient and modular synthesis remains a formidable challenge. Herein, we present a general photocatalytic skeletal editing strategy that enables a direct topological leap—a single‐step reorganization that simultaneously alters both ring size and fusion topology—from readily available five‐ to eight‐membered cyclic ketones into diverse seven‐ to ten‐membered cyclopropane‐fused medium rings. This transformation proceeds through a novel energy‐transfer‐induced, diradical‐mediated 1,4‐carbonyl migration, orchestrating a “ring expansion–collapse” cascade to forge the strained bicyclic frameworks straightforward, which is supported by DFT calculations. This strategy features broad substrate scope, excellent functional‐group compatibility, and high efficiency, enabling the late‐stage diversification of complex molecules and exploration of CFMR chemical space that was previously inaccessible. Moreover, integration of this strategy with further skeletal modification enables rapid construction of versatile [n.3.0] bicycles.</w:t>
      </w:r>
    </w:p>
    <w:p>
      <w:pPr>
        <w:spacing w:before="120" w:after="120"/>
      </w:pPr>
      <w:r>
        <w:rPr>
          <w:sz w:val="18"/>
        </w:rPr>
        <w:t>——————————————————————————————————————————————————————————————————————</w:t>
      </w:r>
    </w:p>
    <w:p>
      <w:pPr>
        <w:spacing w:before="160" w:after="40" w:line="240" w:lineRule="auto"/>
      </w:pPr>
      <w:r>
        <w:rPr>
          <w:b/>
        </w:rPr>
        <w:t xml:space="preserve">[656] </w:t>
      </w:r>
      <w:hyperlink r:id="rId1091">
        <w:r>
          <w:rPr>
            <w:color w:val="1155CC"/>
            <w:u w:val="single"/>
          </w:rPr>
          <w:t>生物碳酸盐集成CO2捕获和电解过程中的电热反应微环境控制</w:t>
        </w:r>
      </w:hyperlink>
    </w:p>
    <w:p>
      <w:pPr>
        <w:spacing w:before="0" w:after="80"/>
      </w:pPr>
      <w:r>
        <w:rPr>
          <w:i/>
          <w:sz w:val="20"/>
        </w:rPr>
        <w:t>EN: Ionomer‐Driven Reaction Microenvironment Control in Bicarbonate‐Mediated Integrated CO2 Capture and Electrolysis</w:t>
      </w:r>
    </w:p>
    <w:p>
      <w:pPr>
        <w:spacing w:before="0" w:after="120"/>
      </w:pPr>
      <w:r>
        <w:rPr>
          <w:b/>
        </w:rPr>
        <w:t xml:space="preserve">Source: </w:t>
      </w:r>
      <w:r>
        <w:t>Wiley: Angewandte Chemie International Edition: Table of Contents</w:t>
      </w:r>
      <w:r>
        <w:t xml:space="preserve">    </w:t>
      </w:r>
      <w:r>
        <w:rPr>
          <w:b/>
        </w:rPr>
        <w:t xml:space="preserve">Pub date: </w:t>
      </w:r>
      <w:r>
        <w:t>2026-01-10 14:23:37+00:00</w:t>
      </w:r>
      <w:r>
        <w:t xml:space="preserve">    </w:t>
      </w:r>
      <w:r>
        <w:rPr>
          <w:b/>
        </w:rPr>
        <w:t xml:space="preserve">DOI: </w:t>
      </w:r>
      <w:hyperlink r:id="rId1092">
        <w:r>
          <w:rPr>
            <w:color w:val="1155CC"/>
            <w:u w:val="single"/>
          </w:rPr>
          <w:t>10.1002/anie.202523118</w:t>
        </w:r>
      </w:hyperlink>
    </w:p>
    <w:p>
      <w:pPr>
        <w:spacing w:before="0" w:after="120"/>
      </w:pPr>
      <w:r>
        <w:rPr>
          <w:b/>
        </w:rPr>
        <w:t xml:space="preserve">Notes: </w:t>
      </w:r>
      <w:r>
        <w:t>abstract_source=crossref</w:t>
      </w:r>
    </w:p>
    <w:p>
      <w:pPr>
        <w:spacing w:before="0" w:after="80" w:lineRule="auto" w:line="276"/>
      </w:pPr>
      <w:r>
        <w:rPr>
          <w:b/>
        </w:rPr>
        <w:t xml:space="preserve">摘要（ZH）: </w:t>
      </w:r>
      <w:r>
        <w:t>生物碳酸盐电解与上游碳2电解结合,与捕获的二氧化碳2电化学转换相捕获,是现有二氧化碳2电解途径的一种节能替代物,然而,其实际应用却受到不令人满意的反应率和能效的阻碍。在这里,我们通过将离聚物引入钴phthalocyanine(CoPc)电极电极,通过操纵反应微型环境,改善了碳酸盐电解性能。Nafioninciond CoPc电极显示,在3.09的低电压下,二氧化碳最大部分电流密度为410立方米-2厘米。</w:t>
      </w:r>
    </w:p>
    <w:p>
      <w:pPr>
        <w:spacing w:before="0" w:after="200" w:lineRule="auto" w:line="276"/>
      </w:pPr>
      <w:r>
        <w:rPr>
          <w:b/>
        </w:rPr>
        <w:t xml:space="preserve">Abstract (EN): </w:t>
      </w:r>
      <w:r>
        <w:t>Bicarbonate electrolysis coupling upstream CO</w:t>
      </w:r>
      <w:r>
        <w:rPr>
          <w:vertAlign w:val="subscript"/>
        </w:rPr>
        <w:t>2</w:t>
      </w:r>
      <w:r>
        <w:t>capture with electrochemical conversion of captured CO</w:t>
      </w:r>
      <w:r>
        <w:rPr>
          <w:vertAlign w:val="subscript"/>
        </w:rPr>
        <w:t>2</w:t>
      </w:r>
      <w:r>
        <w:t>presents an energy‐efficient alternative to existing CO</w:t>
      </w:r>
      <w:r>
        <w:rPr>
          <w:vertAlign w:val="subscript"/>
        </w:rPr>
        <w:t>2</w:t>
      </w:r>
      <w:r>
        <w:t>electrolysis route. Yet, its practical application is impeded by unsatisfactory reaction rate and energy efficiency. Here, we have improved the bicarbonate electrolysis performance through manipulating reaction microenvironments by introducing ionomers into cobalt phthalocyanine (CoPc) electrodes. The Nafion‐incorporated CoPc electrode exhibits a maximum CO partial current density of 410 mA cm</w:t>
      </w:r>
      <w:r>
        <w:t xml:space="preserve"> </w:t>
      </w:r>
      <w:r>
        <w:t>−2</w:t>
      </w:r>
      <w:r>
        <w:t xml:space="preserve"> </w:t>
      </w:r>
      <w:r>
        <w:t>at a low cell voltage of 3.09 V in a cation exchange membrane‐based zero‐gap electrolyzer. Electrode structure characterization and finite element simulation results indicate that the proton conductivity of the Nafion ionomer increases the local concentration of in situ generated CO</w:t>
      </w:r>
      <w:r>
        <w:rPr>
          <w:vertAlign w:val="subscript"/>
        </w:rPr>
        <w:t>2</w:t>
      </w:r>
      <w:r>
        <w:t>around CoPc catalyst, resulting in impressive CO production performance. A closed‐loop demonstration using the Nafion‐incorporated CoPc electrode and a simulated flue gas underscores the great promise of the bicarbonate‐mediated integrated CO</w:t>
      </w:r>
      <w:r>
        <w:rPr>
          <w:vertAlign w:val="subscript"/>
        </w:rPr>
        <w:t>2</w:t>
      </w:r>
      <w:r>
        <w:t>capture and electrolysis process.</w:t>
      </w:r>
    </w:p>
    <w:p>
      <w:pPr>
        <w:spacing w:before="120" w:after="120"/>
      </w:pPr>
      <w:r>
        <w:rPr>
          <w:sz w:val="18"/>
        </w:rPr>
        <w:t>——————————————————————————————————————————————————————————————————————</w:t>
      </w:r>
    </w:p>
    <w:p>
      <w:pPr>
        <w:spacing w:before="160" w:after="40" w:line="240" w:lineRule="auto"/>
      </w:pPr>
      <w:r>
        <w:rPr>
          <w:b/>
        </w:rPr>
        <w:t xml:space="preserve">[657] </w:t>
      </w:r>
      <w:hyperlink r:id="rId1093">
        <w:r>
          <w:rPr>
            <w:color w:val="1155CC"/>
            <w:u w:val="single"/>
          </w:rPr>
          <w:t>[ASAP]经微镜和分光化学EPR和Mössbauer方法鉴定的FENC催化器中校正的反再氧化-活性铁氧化铁结构</w:t>
        </w:r>
      </w:hyperlink>
    </w:p>
    <w:p>
      <w:pPr>
        <w:spacing w:before="0" w:after="80"/>
      </w:pPr>
      <w:r>
        <w:rPr>
          <w:i/>
          <w:sz w:val="20"/>
        </w:rPr>
        <w:t>EN: [ASAP] Reversibly Redox-Active Iron Oxide Structures in FeNC Catalysts Identified by Microscopy and Spectroelectrochemical EPR and Mössbauer Methods</w:t>
      </w:r>
    </w:p>
    <w:p>
      <w:pPr>
        <w:spacing w:before="0" w:after="120"/>
      </w:pPr>
      <w:r>
        <w:rPr>
          <w:b/>
        </w:rPr>
        <w:t xml:space="preserve">Source: </w:t>
      </w:r>
      <w:r>
        <w:t>Journal of the American Chemical Society: Latest Articles (ACS Publications)</w:t>
      </w:r>
      <w:r>
        <w:t xml:space="preserve">    </w:t>
      </w:r>
      <w:r>
        <w:rPr>
          <w:b/>
        </w:rPr>
        <w:t xml:space="preserve">Pub date: </w:t>
      </w:r>
      <w:r>
        <w:t>2026-01-10 14:27:48+00:00</w:t>
      </w:r>
      <w:r>
        <w:t xml:space="preserve">    </w:t>
      </w:r>
      <w:r>
        <w:rPr>
          <w:b/>
        </w:rPr>
        <w:t xml:space="preserve">DOI: </w:t>
      </w:r>
      <w:hyperlink r:id="rId1094">
        <w:r>
          <w:rPr>
            <w:color w:val="1155CC"/>
            <w:u w:val="single"/>
          </w:rPr>
          <w:t>10.1021/jacs.5c12396</w:t>
        </w:r>
      </w:hyperlink>
    </w:p>
    <w:p>
      <w:pPr>
        <w:spacing w:before="0" w:after="120"/>
      </w:pPr>
      <w:r>
        <w:rPr>
          <w:b/>
        </w:rPr>
        <w:t xml:space="preserve">Notes: </w:t>
      </w:r>
      <w:r>
        <w:t>abstract_source=pubmed</w:t>
      </w:r>
    </w:p>
    <w:p>
      <w:pPr>
        <w:spacing w:before="0" w:after="80" w:lineRule="auto" w:line="276"/>
      </w:pPr>
      <w:r>
        <w:rPr>
          <w:b/>
        </w:rPr>
        <w:t xml:space="preserve">摘要（ZH）: </w:t>
      </w:r>
      <w:r>
        <w:t>在这项工作中,高分辨率传输电子显微显微镜(TEM)与57Fe Mössbauer和半磁共振电子谱谱(EPR)相结合,对高性能FENC催化剂中的铁中心的结构、协调、氧化和旋转状态进行调查。</w:t>
      </w:r>
    </w:p>
    <w:p>
      <w:pPr>
        <w:spacing w:before="0" w:after="200" w:lineRule="auto" w:line="276"/>
      </w:pPr>
      <w:r>
        <w:rPr>
          <w:b/>
        </w:rPr>
        <w:t xml:space="preserve">Abstract (EN): </w:t>
      </w:r>
      <w:r>
        <w:t>Identifying active sites in FeNC catalysts for oxygen reduction reactions (ORR) and active site changes during preparation, storage, and electrochemical cycling are key challenges in the quest for improved catalysts. In this work, high-resolution transmission electron microscopy (TEM) is combined with 57Fe Mössbauer and electron paramagnetic resonance (EPR) spectroscopies to investigate iron centers in high-performance FeNC catalysts with regard to their structure, coordination, and oxidation and spin states. Reversible and irreversible changes during storage, the preparation of FeNC electrodes, and their use in electrochemical cells are investigated by complementary spectroelectrochemical Mössbauer and EPR methods. Microscopy of the as-prepared FeNC materials reveals iron to be evenly distributed in isolated sites or a few atoms containing sites. Mössbauer and EPR identify weakly and strongly magnetically coupled high-spin Fe(III) in rhombically distorted octahedral coordination or superparamagnetic clusters, high-spin Fe(II) sixfold coordinated in iron oxides, and intermediate-spin Fe(II) in square planar coordination. Upon oxygen exposure, a notable oxidation state change from Fe(II) to Fe(III) is observed, the iron is less evenly distributed, and larger iron oxide nanoparticles are formed. It is noted that for this catalyst, before and after oxygen exposure, most of the iron is bound in iron oxide structures. Under the applied potential, Fe(III) is partially reduced to Fe(II) in clustered and isolated or weakly coupled sites. This change is mostly reversible, suggesting structural retention of the majority of the catalyst.</w:t>
      </w:r>
    </w:p>
    <w:p>
      <w:pPr>
        <w:spacing w:before="120" w:after="120"/>
      </w:pPr>
      <w:r>
        <w:rPr>
          <w:sz w:val="18"/>
        </w:rPr>
        <w:t>——————————————————————————————————————————————————————————————————————</w:t>
      </w:r>
    </w:p>
    <w:p>
      <w:pPr>
        <w:spacing w:before="160" w:after="40" w:line="240" w:lineRule="auto"/>
      </w:pPr>
      <w:r>
        <w:rPr>
          <w:b/>
        </w:rPr>
        <w:t xml:space="preserve">[658] </w:t>
      </w:r>
      <w:hyperlink r:id="rId1095">
        <w:r>
          <w:rPr>
            <w:color w:val="1155CC"/>
            <w:u w:val="single"/>
          </w:rPr>
          <w:t>[ASAP] Nickelocene和钴乙烯的溴经测量的旋状态控制</w:t>
        </w:r>
      </w:hyperlink>
    </w:p>
    <w:p>
      <w:pPr>
        <w:spacing w:before="0" w:after="80"/>
      </w:pPr>
      <w:r>
        <w:rPr>
          <w:i/>
          <w:sz w:val="20"/>
        </w:rPr>
        <w:t>EN: [ASAP] Br-Mediated Spin-State Control in Nickelocene and Cobaltocene</w:t>
      </w:r>
    </w:p>
    <w:p>
      <w:pPr>
        <w:spacing w:before="0" w:after="120"/>
      </w:pPr>
      <w:r>
        <w:rPr>
          <w:b/>
        </w:rPr>
        <w:t xml:space="preserve">Source: </w:t>
      </w:r>
      <w:r>
        <w:t>Journal of the American Chemical Society: Latest Articles (ACS Publications)</w:t>
      </w:r>
      <w:r>
        <w:t xml:space="preserve">    </w:t>
      </w:r>
      <w:r>
        <w:rPr>
          <w:b/>
        </w:rPr>
        <w:t xml:space="preserve">Pub date: </w:t>
      </w:r>
      <w:r>
        <w:t>2026-01-10 14:28:35+00:00</w:t>
      </w:r>
      <w:r>
        <w:t xml:space="preserve">    </w:t>
      </w:r>
      <w:r>
        <w:rPr>
          <w:b/>
        </w:rPr>
        <w:t xml:space="preserve">DOI: </w:t>
      </w:r>
      <w:hyperlink r:id="rId1096">
        <w:r>
          <w:rPr>
            <w:color w:val="1155CC"/>
            <w:u w:val="single"/>
          </w:rPr>
          <w:t>10.1021/jacs.5c17873</w:t>
        </w:r>
      </w:hyperlink>
    </w:p>
    <w:p>
      <w:pPr>
        <w:spacing w:before="0" w:after="120"/>
      </w:pPr>
      <w:r>
        <w:rPr>
          <w:b/>
        </w:rPr>
        <w:t xml:space="preserve">Notes: </w:t>
      </w:r>
      <w:r>
        <w:t>abstract_source=pubmed</w:t>
      </w:r>
    </w:p>
    <w:p>
      <w:pPr>
        <w:spacing w:before="0" w:after="80" w:lineRule="auto" w:line="276"/>
      </w:pPr>
      <w:r>
        <w:rPr>
          <w:b/>
        </w:rPr>
        <w:t xml:space="preserve">摘要（ZH）: </w:t>
      </w:r>
      <w:r>
        <w:t>单分子磁体由于其稳定的磁性状态和长时间的放松时间,代表着有前途的材料。精确地设计其量子特性对于实现先进的电子设备,例如高密度数据存储、量数计算和脊柱体等非常重要。在这里,我们调查了镍基分子(NiCp2)和钴分子(CoCp2)的旋转状态。通过扫描隧道显微镜和密度功能理论计算相结合,我们发现,Br原子的高电子密度极大地改变了NiCp2和CoCp2的磁性。对于NiCp2来说,当分子的底部的溴原子由五个以上原子组成时,旋转状态从S=1到S=1/2。</w:t>
      </w:r>
    </w:p>
    <w:p>
      <w:pPr>
        <w:spacing w:before="0" w:after="200" w:lineRule="auto" w:line="276"/>
      </w:pPr>
      <w:r>
        <w:rPr>
          <w:b/>
        </w:rPr>
        <w:t xml:space="preserve">Abstract (EN): </w:t>
      </w:r>
      <w:r>
        <w:t>Single-molecule magnets represent promising materials due to their stable magnetic states and long relaxation times. Precise engineering of their quantum properties is of importance to realize advanced electronic devices, such as high-density data storage, quantum computing, and spintronics. Here, we investigate the spin state of nickelocene (NiCp2) and cobaltocene (CoCp2) molecules manipulated by Br atoms. With a combination of scanning tunneling microscopy and density functional theory calculations, we reveal that the high electronegativity of Br atoms significantly changes the magnetic properties of both NiCp2 and CoCp2. For NiCp2, the spin-state transition from its intrinsic S = 1 to S = 1/2 occurs when the Br atoms underlying the molecule consist of more than five atoms. The spin state is further shifted to S = 0 by approaching a Br-terminated tip toward the molecule. In contrast, a strong hybridization between CoCp2 and Br atoms leads to a complete quenching of its spin moment. This strategy for tuning molecular spin states provides a promising route toward the scalable design of molecular spintronic devices.</w:t>
      </w:r>
    </w:p>
    <w:p>
      <w:pPr>
        <w:spacing w:before="120" w:after="120"/>
      </w:pPr>
      <w:r>
        <w:rPr>
          <w:sz w:val="18"/>
        </w:rPr>
        <w:t>——————————————————————————————————————————————————————————————————————</w:t>
      </w:r>
    </w:p>
    <w:p>
      <w:pPr>
        <w:spacing w:before="160" w:after="40" w:line="240" w:lineRule="auto"/>
      </w:pPr>
      <w:r>
        <w:rPr>
          <w:b/>
        </w:rPr>
        <w:t xml:space="preserve">[659] </w:t>
      </w:r>
      <w:hyperlink r:id="rId1097">
        <w:r>
          <w:rPr>
            <w:color w:val="1155CC"/>
            <w:u w:val="single"/>
          </w:rPr>
          <w:t>[ASAP] β-甘基西辛基氨酰胺和β-甘基胆固醇的联系-计算:β-选择性C-甘合物和电能微粒长柱的开发</w:t>
        </w:r>
      </w:hyperlink>
    </w:p>
    <w:p>
      <w:pPr>
        <w:spacing w:before="0" w:after="80"/>
      </w:pPr>
      <w:r>
        <w:rPr>
          <w:i/>
          <w:sz w:val="20"/>
        </w:rPr>
        <w:t>EN: [ASAP] Linkage-Editing of β-Glucosylceramide and β-Glucosylcholesterol: Development of β-Selective C-Glucosylation and Potent Mincle Ligands</w:t>
      </w:r>
    </w:p>
    <w:p>
      <w:pPr>
        <w:spacing w:before="0" w:after="120"/>
      </w:pPr>
      <w:r>
        <w:rPr>
          <w:b/>
        </w:rPr>
        <w:t xml:space="preserve">Source: </w:t>
      </w:r>
      <w:r>
        <w:t>Journal of the American Chemical Society: Latest Articles (ACS Publications)</w:t>
      </w:r>
      <w:r>
        <w:t xml:space="preserve">    </w:t>
      </w:r>
      <w:r>
        <w:rPr>
          <w:b/>
        </w:rPr>
        <w:t xml:space="preserve">Pub date: </w:t>
      </w:r>
      <w:r>
        <w:t>2026-01-10 14:28:47+00:00</w:t>
      </w:r>
      <w:r>
        <w:t xml:space="preserve">    </w:t>
      </w:r>
      <w:r>
        <w:rPr>
          <w:b/>
        </w:rPr>
        <w:t xml:space="preserve">DOI: </w:t>
      </w:r>
      <w:hyperlink r:id="rId1098">
        <w:r>
          <w:rPr>
            <w:color w:val="1155CC"/>
            <w:u w:val="single"/>
          </w:rPr>
          <w:t>10.1021/jacs.5c17740</w:t>
        </w:r>
      </w:hyperlink>
    </w:p>
    <w:p>
      <w:pPr>
        <w:spacing w:before="0" w:after="120"/>
      </w:pPr>
      <w:r>
        <w:rPr>
          <w:b/>
        </w:rPr>
        <w:t xml:space="preserve">Notes: </w:t>
      </w:r>
      <w:r>
        <w:t>abstract_source=pubmed</w:t>
      </w:r>
    </w:p>
    <w:p>
      <w:pPr>
        <w:spacing w:before="0" w:after="80" w:lineRule="auto" w:line="276"/>
      </w:pPr>
      <w:r>
        <w:rPr>
          <w:b/>
        </w:rPr>
        <w:t xml:space="preserve">摘要（ZH）: </w:t>
      </w:r>
      <w:r>
        <w:t>尽管最近取得了一些进展,但具有高度立体选择性的C-凝胶,用于合成具有多种C-甘烃结链的胶合胶合胶合胶合胶合胶合胶合物(链-经编辑的伪甘油)仍是一个相当大的挑战。在这里,我们提出了一种使用2,4-双(三异丙基)保护的甘基溴捐献者的β选择性C-甘醇环凝胶方法。与氰化物和源自胆固醇的溴氟烯烃直接结合,可以获取β-甘油(susudo-β-GlcCer)和β-glucosylchoolesterol(psedo-β-Glcchol)的类似物,其中含有CH2-、(R)-CHF-和(S)-CHF-链接。在鼠标骨髓衍生的宏观phage和密度比本地β-Glcer更强大的密度细胞,其独特的免疫活动模式取决于链接的类型。</w:t>
      </w:r>
    </w:p>
    <w:p>
      <w:pPr>
        <w:spacing w:before="0" w:after="200" w:lineRule="auto" w:line="276"/>
      </w:pPr>
      <w:r>
        <w:rPr>
          <w:b/>
        </w:rPr>
        <w:t xml:space="preserve">Abstract (EN): </w:t>
      </w:r>
      <w:r>
        <w:t>Despite recent advances, highly stereoselective C-glucosylation for the synthesis of glycan analogs with diverse C-glycoside linkages (linkage-edited pseudoglycans) remains a considerable challenge. Here, we present a β-selective C-glucosylation method using a 2,4-bis(triisopropylsilyl)-protected glucosyl bromide donor. Direct coupling with ceramide and cholesterol-derived bromofluoroolefins provides access to analogs of β-glucosylceramide (pseudo-β-GlcCer) and β-glucosylcholesterol (pseudo-β-GlcChol) containing CH2-, (R)-CHF-, and (S)-CHF-linkages. Pseudo-β-GlcCers activated immune responses in mouse bone marrow-derived macrophages and dendritic cells more potently than native β-GlcCer, with distinct immune activity patterns, depending on the linkage type.</w:t>
      </w:r>
    </w:p>
    <w:p>
      <w:pPr>
        <w:spacing w:before="120" w:after="120"/>
      </w:pPr>
      <w:r>
        <w:rPr>
          <w:sz w:val="18"/>
        </w:rPr>
        <w:t>——————————————————————————————————————————————————————————————————————</w:t>
      </w:r>
    </w:p>
    <w:p>
      <w:pPr>
        <w:spacing w:before="160" w:after="40" w:line="240" w:lineRule="auto"/>
      </w:pPr>
      <w:r>
        <w:rPr>
          <w:b/>
        </w:rPr>
        <w:t xml:space="preserve">[660] </w:t>
      </w:r>
      <w:hyperlink r:id="rId1099">
        <w:r>
          <w:rPr>
            <w:color w:val="1155CC"/>
            <w:u w:val="single"/>
          </w:rPr>
          <w:t>水晶和成像晶晶和成像晶体的协同行动加强了蛋白质晶体的生产和成像</w:t>
        </w:r>
      </w:hyperlink>
    </w:p>
    <w:p>
      <w:pPr>
        <w:spacing w:before="0" w:after="80"/>
      </w:pPr>
      <w:r>
        <w:rPr>
          <w:i/>
          <w:sz w:val="20"/>
        </w:rPr>
        <w:t>EN: Synergistic Action of Crystallophore and Imaging‐Crystallophore Enhances the Production and Imaging of Protein Crystals</w:t>
      </w:r>
    </w:p>
    <w:p>
      <w:pPr>
        <w:spacing w:before="0" w:after="120"/>
      </w:pPr>
      <w:r>
        <w:rPr>
          <w:b/>
        </w:rPr>
        <w:t xml:space="preserve">Source: </w:t>
      </w:r>
      <w:r>
        <w:t>Wiley: Angewandte Chemie International Edition: Table of Contents</w:t>
      </w:r>
      <w:r>
        <w:t xml:space="preserve">    </w:t>
      </w:r>
      <w:r>
        <w:rPr>
          <w:b/>
        </w:rPr>
        <w:t xml:space="preserve">Pub date: </w:t>
      </w:r>
      <w:r>
        <w:t>2026-01-10 14:28:57+00:00</w:t>
      </w:r>
      <w:r>
        <w:t xml:space="preserve">    </w:t>
      </w:r>
      <w:r>
        <w:rPr>
          <w:b/>
        </w:rPr>
        <w:t xml:space="preserve">DOI: </w:t>
      </w:r>
      <w:hyperlink r:id="rId1100">
        <w:r>
          <w:rPr>
            <w:color w:val="1155CC"/>
            <w:u w:val="single"/>
          </w:rPr>
          <w:t>10.1002/anie.202525011</w:t>
        </w:r>
      </w:hyperlink>
    </w:p>
    <w:p>
      <w:pPr>
        <w:spacing w:before="0" w:after="120"/>
      </w:pPr>
      <w:r>
        <w:rPr>
          <w:b/>
        </w:rPr>
        <w:t xml:space="preserve">Notes: </w:t>
      </w:r>
      <w:r>
        <w:t>abstract_source=crossref</w:t>
      </w:r>
    </w:p>
    <w:p>
      <w:pPr>
        <w:spacing w:before="0" w:after="80" w:lineRule="auto" w:line="276"/>
      </w:pPr>
      <w:r>
        <w:rPr>
          <w:b/>
        </w:rPr>
        <w:t xml:space="preserve">摘要（ZH）: </w:t>
      </w:r>
      <w:r>
        <w:t>报告了以相合天线替代的称为晶晶体(III)复合物的新系列的合成和光物理定性,以前的晶体磷变异物(如TbXo4)显示了非常有趣的核核特性,以获得高质量的蛋白晶体;此外,在绿色和蛋白质晶体中积聚的氮晶体中,成像晶体在绿色中释放,从而能够利用一磷下的荧光显微镜进行非常容易的晶体检测,但也可以在2个磷探照下进行。</w:t>
      </w:r>
    </w:p>
    <w:p>
      <w:pPr>
        <w:spacing w:before="0" w:after="200" w:lineRule="auto" w:line="276"/>
      </w:pPr>
      <w:r>
        <w:rPr>
          <w:b/>
        </w:rPr>
        <w:t xml:space="preserve">Abstract (EN): </w:t>
      </w:r>
      <w:r>
        <w:t>The synthesis and photophysical characterization of a new family of terbium(III) complexes called</w:t>
      </w:r>
      <w:r>
        <w:t xml:space="preserve"> </w:t>
      </w:r>
      <w:r>
        <w:t>Imaging</w:t>
      </w:r>
      <w:r>
        <w:t xml:space="preserve"> </w:t>
      </w:r>
      <w:r>
        <w:t>‐crystallophore, substituted by π‐conjugated antennas, is reported. Previous crystallophore variants (such as Tb‐Xo4) have shown very interesting nucleating properties to obtain high‐quality protein crystals. In addition, the</w:t>
      </w:r>
      <w:r>
        <w:t xml:space="preserve"> </w:t>
      </w:r>
      <w:r>
        <w:t>Imaging</w:t>
      </w:r>
      <w:r>
        <w:t xml:space="preserve"> </w:t>
      </w:r>
      <w:r>
        <w:t>‐crystallophore emits in the green and accumulates in the protein crystals, enabling very easy crystal detection using fluorescence microscopy under one‐photon but also under two‐photon excitations. X‐ray diffraction crystallography and molecular dynamics simulations demonstrate that the binding site of the</w:t>
      </w:r>
      <w:r>
        <w:t xml:space="preserve"> </w:t>
      </w:r>
      <w:r>
        <w:t>Imaging</w:t>
      </w:r>
      <w:r>
        <w:t xml:space="preserve"> </w:t>
      </w:r>
      <w:r>
        <w:t>‐crystallophore in hen‐egg white lysozyme (HEWL) is similar to that of the Tb‐Xo4 but present additional hydrophobic interactions with the conjugated antennas. However, its nucleating properties are not as effective as those of Tb‐Xo4. Finally, we emphasize the synergy between the two generations of crystallophore by preparing and analyzing the properties of the</w:t>
      </w:r>
      <w:r>
        <w:t xml:space="preserve"> </w:t>
      </w:r>
      <w:r>
        <w:t>mix</w:t>
      </w:r>
      <w:r>
        <w:t xml:space="preserve"> </w:t>
      </w:r>
      <w:r>
        <w:t>(10/0.2) corresponding to a mixture of Tb‐Xo4 and</w:t>
      </w:r>
      <w:r>
        <w:t xml:space="preserve"> </w:t>
      </w:r>
      <w:r>
        <w:t>Imaging</w:t>
      </w:r>
      <w:r>
        <w:t xml:space="preserve"> </w:t>
      </w:r>
      <w:r>
        <w:t>‐crystallophore. By combining the best of nucleating and imaging properties, we can easily obtain and detect high‐quality protein crystals</w:t>
      </w:r>
    </w:p>
    <w:p>
      <w:pPr>
        <w:spacing w:before="120" w:after="120"/>
      </w:pPr>
      <w:r>
        <w:rPr>
          <w:sz w:val="18"/>
        </w:rPr>
        <w:t>——————————————————————————————————————————————————————————————————————</w:t>
      </w:r>
    </w:p>
    <w:p>
      <w:pPr>
        <w:spacing w:before="160" w:after="40" w:line="240" w:lineRule="auto"/>
      </w:pPr>
      <w:r>
        <w:rPr>
          <w:b/>
        </w:rPr>
        <w:t xml:space="preserve">[661] </w:t>
      </w:r>
      <w:hyperlink r:id="rId1101">
        <w:r>
          <w:rPr>
            <w:color w:val="1155CC"/>
            <w:u w:val="single"/>
          </w:rPr>
          <w:t>[ASAP]稳定和基于退化的Proteome Proteome 剖析卡纳比妥醇,作为有希望的CDC123-eIF2G-Inhibitor,用于直肠癌治疗</w:t>
        </w:r>
      </w:hyperlink>
    </w:p>
    <w:p>
      <w:pPr>
        <w:spacing w:before="0" w:after="80"/>
      </w:pPr>
      <w:r>
        <w:rPr>
          <w:i/>
          <w:sz w:val="20"/>
        </w:rPr>
        <w:t>EN: [ASAP] Stability and Degradation-based Proteome Profiling Reveals Cannabidiol as a Promising CDC123-eIF2γ Inhibitor for Colorectal Cancer Therapy</w:t>
      </w:r>
    </w:p>
    <w:p>
      <w:pPr>
        <w:spacing w:before="0" w:after="120"/>
      </w:pPr>
      <w:r>
        <w:rPr>
          <w:b/>
        </w:rPr>
        <w:t xml:space="preserve">Source: </w:t>
      </w:r>
      <w:r>
        <w:t>Journal of the American Chemical Society: Latest Articles (ACS Publications)</w:t>
      </w:r>
      <w:r>
        <w:t xml:space="preserve">    </w:t>
      </w:r>
      <w:r>
        <w:rPr>
          <w:b/>
        </w:rPr>
        <w:t xml:space="preserve">Pub date: </w:t>
      </w:r>
      <w:r>
        <w:t>2026-01-10 14:29:11+00:00</w:t>
      </w:r>
      <w:r>
        <w:t xml:space="preserve">    </w:t>
      </w:r>
      <w:r>
        <w:rPr>
          <w:b/>
        </w:rPr>
        <w:t xml:space="preserve">DOI: </w:t>
      </w:r>
      <w:hyperlink r:id="rId1102">
        <w:r>
          <w:rPr>
            <w:color w:val="1155CC"/>
            <w:u w:val="single"/>
          </w:rPr>
          <w:t>10.1021/jacs.5c20040</w:t>
        </w:r>
      </w:hyperlink>
    </w:p>
    <w:p>
      <w:pPr>
        <w:spacing w:before="0" w:after="120"/>
      </w:pPr>
      <w:r>
        <w:rPr>
          <w:b/>
        </w:rPr>
        <w:t xml:space="preserve">Notes: </w:t>
      </w:r>
      <w:r>
        <w:t>abstract_source=pubmed</w:t>
      </w:r>
    </w:p>
    <w:p>
      <w:pPr>
        <w:spacing w:before="0" w:after="80" w:lineRule="auto" w:line="276"/>
      </w:pPr>
      <w:r>
        <w:rPr>
          <w:b/>
        </w:rPr>
        <w:t xml:space="preserve">摘要（ZH）: </w:t>
      </w:r>
      <w:r>
        <w:t>天然产品(NPs)长期以来一直是药物发现的基础,提供了无与伦比的分子多样性和复杂的行动机制,然而,为NPs确定分子目标仍是一项重大挑战,本研究报告介绍了基于稳定性和降解的蛋白质特征分析(SDPP),其中结合了热稳定性和降解活动等正方位原则,以提高目标识别精确度并扩大NP目标景观,调解蛋白稳定性的双重调控:通过小型分子-约束性诱导热动力稳定,通过离子和触发的蛋白质降解在细胞内部稳定,利用SDPPP(CBD),确定Cannabidiol(CBD)是一种新颖的蛋白质-蛋白相互作用(PPI),目的是抑制CDC123-eIF2-Compl。</w:t>
      </w:r>
    </w:p>
    <w:p>
      <w:pPr>
        <w:spacing w:before="0" w:after="200" w:lineRule="auto" w:line="276"/>
      </w:pPr>
      <w:r>
        <w:rPr>
          <w:b/>
        </w:rPr>
        <w:t xml:space="preserve">Abstract (EN): </w:t>
      </w:r>
      <w:r>
        <w:t>Natural products (NPs) have long been foundational in drug discovery, offering unparalleled molecular diversity and complex mechanisms of action. However, identifying molecular targets for NPs remains a significant challenge. This study introduces stability- and degradation-based proteome profiling (SDPP), which integrates orthogonal principles of thermal stability and degradation activity to enhance target identification precision and expand the NP target landscape, mediating dual regulation of protein stability: extracellularly through small-molecule-binding-induced thermodynamic stabilization and intracellularly via ligand-triggered proteolytic degradation. Using SDPP, cannabidiol (CBD) is identified as a novel protein-protein interaction (PPI) inhibitor targeting the CDC123-eIF2γ complex, leading to sustained activation of the integrated stress response and apoptosis in colorectal cancer (CRC) cells. Disruption of the CDC123-eIF2γ complex by CBD offers a selective therapeutic strategy for CRC. Importantly, CDC123 is recognized as an oncogenic driver in CRC, with elevated expression correlating with poor patient prognosis. These findings establish SDPP as a robust framework for NP target identification and position CBD as a first-in-class natural PPI inhibitor with a promising therapeutic potential.</w:t>
      </w:r>
    </w:p>
    <w:p>
      <w:pPr>
        <w:spacing w:before="120" w:after="120"/>
      </w:pPr>
      <w:r>
        <w:rPr>
          <w:sz w:val="18"/>
        </w:rPr>
        <w:t>——————————————————————————————————————————————————————————————————————</w:t>
      </w:r>
    </w:p>
    <w:p>
      <w:pPr>
        <w:spacing w:before="160" w:after="40" w:line="240" w:lineRule="auto"/>
      </w:pPr>
      <w:r>
        <w:rPr>
          <w:b/>
        </w:rPr>
        <w:t xml:space="preserve">[662] </w:t>
      </w:r>
      <w:hyperlink r:id="rId1103">
        <w:r>
          <w:rPr>
            <w:color w:val="1155CC"/>
            <w:u w:val="single"/>
          </w:rPr>
          <w:t>[ASAP] 用于研究李金属界面的简单易变参考电极</w:t>
        </w:r>
      </w:hyperlink>
    </w:p>
    <w:p>
      <w:pPr>
        <w:spacing w:before="0" w:after="80"/>
      </w:pPr>
      <w:r>
        <w:rPr>
          <w:i/>
          <w:sz w:val="20"/>
        </w:rPr>
        <w:t>EN: [ASAP] Simply Fabricatable Reference Electrode for Studying Li Metal Interfaces Operando</w:t>
      </w:r>
    </w:p>
    <w:p>
      <w:pPr>
        <w:spacing w:before="0" w:after="120"/>
      </w:pPr>
      <w:r>
        <w:rPr>
          <w:b/>
        </w:rPr>
        <w:t xml:space="preserve">Source: </w:t>
      </w:r>
      <w:r>
        <w:t>ACS Energy Letters: Latest Articles (ACS Publications)</w:t>
      </w:r>
      <w:r>
        <w:t xml:space="preserve">    </w:t>
      </w:r>
      <w:r>
        <w:rPr>
          <w:b/>
        </w:rPr>
        <w:t xml:space="preserve">Pub date: </w:t>
      </w:r>
      <w:r>
        <w:t>2026-01-10 14:57:10+00:00</w:t>
      </w:r>
      <w:r>
        <w:t xml:space="preserve">    </w:t>
      </w:r>
      <w:r>
        <w:rPr>
          <w:b/>
        </w:rPr>
        <w:t xml:space="preserve">DOI: </w:t>
      </w:r>
      <w:hyperlink r:id="rId1104">
        <w:r>
          <w:rPr>
            <w:color w:val="1155CC"/>
            <w:u w:val="single"/>
          </w:rPr>
          <w:t>10.1021/acsenergylett.5c03496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[663] </w:t>
      </w:r>
      <w:hyperlink r:id="rId1105">
        <w:r>
          <w:rPr>
            <w:color w:val="1155CC"/>
            <w:u w:val="single"/>
          </w:rPr>
          <w:t>[ASAP]关于选择性光动力化生物量估价的地表设计战略的视角</w:t>
        </w:r>
      </w:hyperlink>
    </w:p>
    <w:p>
      <w:pPr>
        <w:spacing w:before="0" w:after="80"/>
      </w:pPr>
      <w:r>
        <w:rPr>
          <w:i/>
          <w:sz w:val="20"/>
        </w:rPr>
        <w:t>EN: [ASAP] A Perspective on Surface-Engineering Strategies for Selective Photocatalytic Biomass Valorization</w:t>
      </w:r>
    </w:p>
    <w:p>
      <w:pPr>
        <w:spacing w:before="0" w:after="120"/>
      </w:pPr>
      <w:r>
        <w:rPr>
          <w:b/>
        </w:rPr>
        <w:t xml:space="preserve">Source: </w:t>
      </w:r>
      <w:r>
        <w:t>ACS Energy Letters: Latest Articles (ACS Publications)</w:t>
      </w:r>
      <w:r>
        <w:t xml:space="preserve">    </w:t>
      </w:r>
      <w:r>
        <w:rPr>
          <w:b/>
        </w:rPr>
        <w:t xml:space="preserve">Pub date: </w:t>
      </w:r>
      <w:r>
        <w:t>2026-01-10 14:58:08+00:00</w:t>
      </w:r>
      <w:r>
        <w:t xml:space="preserve">    </w:t>
      </w:r>
      <w:r>
        <w:rPr>
          <w:b/>
        </w:rPr>
        <w:t xml:space="preserve">DOI: </w:t>
      </w:r>
      <w:hyperlink r:id="rId1106">
        <w:r>
          <w:rPr>
            <w:color w:val="1155CC"/>
            <w:u w:val="single"/>
          </w:rPr>
          <w:t>10.1021/acsenergylett.5c03687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[664] </w:t>
      </w:r>
      <w:hyperlink r:id="rId1107">
        <w:r>
          <w:rPr>
            <w:color w:val="1155CC"/>
            <w:u w:val="single"/>
          </w:rPr>
          <w:t>[ASAP] 含金属锂电池具有受控溶脱无能特性的氟化弹性保护层</w:t>
        </w:r>
      </w:hyperlink>
    </w:p>
    <w:p>
      <w:pPr>
        <w:spacing w:before="0" w:after="80"/>
      </w:pPr>
      <w:r>
        <w:rPr>
          <w:i/>
          <w:sz w:val="20"/>
        </w:rPr>
        <w:t>EN: [ASAP] Fluorinated Elastomeric Protective Layers with Controlled Solvophobic Properties for Lithium Metal Batteries</w:t>
      </w:r>
    </w:p>
    <w:p>
      <w:pPr>
        <w:spacing w:before="0" w:after="120"/>
      </w:pPr>
      <w:r>
        <w:rPr>
          <w:b/>
        </w:rPr>
        <w:t xml:space="preserve">Source: </w:t>
      </w:r>
      <w:r>
        <w:t>ACS Energy Letters: Latest Articles (ACS Publications)</w:t>
      </w:r>
      <w:r>
        <w:t xml:space="preserve">    </w:t>
      </w:r>
      <w:r>
        <w:rPr>
          <w:b/>
        </w:rPr>
        <w:t xml:space="preserve">Pub date: </w:t>
      </w:r>
      <w:r>
        <w:t>2026-01-10 14:58:23+00:00</w:t>
      </w:r>
      <w:r>
        <w:t xml:space="preserve">    </w:t>
      </w:r>
      <w:r>
        <w:rPr>
          <w:b/>
        </w:rPr>
        <w:t xml:space="preserve">DOI: </w:t>
      </w:r>
      <w:hyperlink r:id="rId1108">
        <w:r>
          <w:rPr>
            <w:color w:val="1155CC"/>
            <w:u w:val="single"/>
          </w:rPr>
          <w:t>10.1021/acsenergylett.5c04250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[665] </w:t>
      </w:r>
      <w:hyperlink r:id="rId1109">
        <w:r>
          <w:rPr>
            <w:color w:val="1155CC"/>
            <w:u w:val="single"/>
          </w:rPr>
          <w:t>[ASAP] 将六氯-碳本体叶酸酯的诱导剂向无锁特殊地形接触锌金属-有机框架的冲击性灵活性测试</w:t>
        </w:r>
      </w:hyperlink>
    </w:p>
    <w:p>
      <w:pPr>
        <w:spacing w:before="0" w:after="80"/>
      </w:pPr>
      <w:r>
        <w:rPr>
          <w:i/>
          <w:sz w:val="20"/>
        </w:rPr>
        <w:t>EN: [ASAP] Torsional Flexibility Tuning of Hexa-Carboxylate Ligands to Unlock Distinct Topological Access to Zirconium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2026-01-10 19:50:24+00:00</w:t>
      </w:r>
      <w:r>
        <w:t xml:space="preserve">    </w:t>
      </w:r>
      <w:r>
        <w:rPr>
          <w:b/>
        </w:rPr>
        <w:t xml:space="preserve">DOI: </w:t>
      </w:r>
      <w:hyperlink r:id="rId1110">
        <w:r>
          <w:rPr>
            <w:color w:val="1155CC"/>
            <w:u w:val="single"/>
          </w:rPr>
          <w:t>10.1021/jacs.5c19258</w:t>
        </w:r>
      </w:hyperlink>
    </w:p>
    <w:p>
      <w:pPr>
        <w:spacing w:before="0" w:after="120"/>
      </w:pPr>
      <w:r>
        <w:rPr>
          <w:b/>
        </w:rPr>
        <w:t xml:space="preserve">Notes: </w:t>
      </w:r>
      <w:r>
        <w:t>abstract_source=pubmed</w:t>
      </w:r>
    </w:p>
    <w:p>
      <w:pPr>
        <w:spacing w:before="0" w:after="80" w:lineRule="auto" w:line="276"/>
      </w:pPr>
      <w:r>
        <w:rPr>
          <w:b/>
        </w:rPr>
        <w:t xml:space="preserve">摘要（ZH）: </w:t>
      </w:r>
      <w:r>
        <w:t>基金属-有机框架(Zr-MOFs)呈现出显著的结构多样性和功能,然而,在这个家族中发现新的地貌类型今天仍是一个相当大的挑战。在这里,我们报告通过引入透光弹性设计了两种新的六分色素,使建造两个Zr-MOF能够以罕见的网络地形为特色。(4,4',4,4,4,4,4,4,4,4,4,4,4,4,3,5-三丁基)三(9H-carbazole-9,3,6,6-triyl)六苯甲酸离子(Btch)通过替换H6PET-1离子体(4,4',4,4,4,4,4,4-(9,10-10-10-dhHHHHH-9,10,10-[1,2,2]benzennaracene-2,3,6,7,7,14,15-exyn-xenzenzo酸)</w:t>
      </w:r>
    </w:p>
    <w:p>
      <w:pPr>
        <w:spacing w:before="0" w:after="200" w:lineRule="auto" w:line="276"/>
      </w:pPr>
      <w:r>
        <w:rPr>
          <w:b/>
        </w:rPr>
        <w:t xml:space="preserve">Abstract (EN): </w:t>
      </w:r>
      <w:r>
        <w:t>Zirconium-based metal-organic frameworks (Zr-MOFs) exhibit remarkable structural diversity and functionality. However, uncovering new topological types within this family remains a considerable challenge today. Herein, we report two new hexa-topic ligands designed through the introduction of torsional flexibility, which enable the construction of two Zr-MOFs featuring rare network topologies. The (4,4',4″,4‴,4‴',4‴''-((2-carboxybenzene-1,3,5-triyl)tris(9H-carbazole-9,3,6-triyl))hexabenzoic acid ligand (BTCH)) was obtained by replacing the rigid triptycene core in the H6PET-1 ligand (4,4',4″,4‴,4‴',4‴''-(9,10-dihydro-9,10-[1,2]benzenoanthracene-2,3,6,7,14,15-hexayl)hexabenzoic acid) with a benzene-tricarbazole unit. Owing to its torsionally flexible core that allows rotational freedom to the arms, this ligand directs the construction of NU-2620 (NU represents Northwestern University), a Zr-MOF with 8-connected Zr6 clusters and the rare nuh topology. Further flexibilization of the carbazole units to benzene rings yielded the even more torsionally flexible 5',5‴-bis(4-carboxyphenyl)-5″-(4,4″-dicarboxy-[1,1':3',1″-terphenyl]-5'-yl)-[1,1':3',1″:3″,1‴:3‴,1‴'-quinquephenyl]-4,4‴'-dicarboxylic acid ligand (CCTT), which forms NU-2630 featuring 6-connected clusters and the pcu topology. Both frameworks exhibit good chemical stability, prompting evaluation of their performance in CO2 photoreduction catalysis. Under low-concentration CO2 conditions, NU-2620 displays markedly higher catalytic activity than its benzene-based analogue, NU-2630, thanks to the abundance of photoactive carbazole units within its structure. These results demonstrate that introducing torsional flexibility in high-connected linkers can unlock access to new topologies and accelerates the reticular expansion of Zr-MOFs.</w:t>
      </w:r>
    </w:p>
    <w:p>
      <w:pPr>
        <w:spacing w:before="120" w:after="120"/>
      </w:pPr>
      <w:r>
        <w:rPr>
          <w:sz w:val="18"/>
        </w:rPr>
        <w:t>——————————————————————————————————————————————————————————————————————</w:t>
      </w:r>
    </w:p>
    <w:p>
      <w:pPr>
        <w:spacing w:before="160" w:after="40" w:line="240" w:lineRule="auto"/>
      </w:pPr>
      <w:r>
        <w:rPr>
          <w:b/>
        </w:rPr>
        <w:t xml:space="preserve">[666] </w:t>
      </w:r>
      <w:hyperlink r:id="rId1111">
        <w:r>
          <w:rPr>
            <w:color w:val="1155CC"/>
            <w:u w:val="single"/>
          </w:rPr>
          <w:t>HHEX转录系数保持了凝胶腐素水平,并保护肾上腺素免受因血原引起的脂肪耗损。</w:t>
        </w:r>
      </w:hyperlink>
    </w:p>
    <w:p>
      <w:pPr>
        <w:spacing w:before="0" w:after="80"/>
      </w:pPr>
      <w:r>
        <w:rPr>
          <w:i/>
          <w:sz w:val="20"/>
        </w:rPr>
        <w:t>EN: The transcription factor HHEX maintains glucocorticoid levels and protects adrenals from androgen-induced lipid depletion</w:t>
      </w:r>
    </w:p>
    <w:p>
      <w:pPr>
        <w:spacing w:before="0" w:after="120"/>
      </w:pPr>
      <w:r>
        <w:rPr>
          <w:b/>
        </w:rPr>
        <w:t xml:space="preserve">Source: </w:t>
      </w:r>
      <w:r>
        <w:t>Nature Communications</w:t>
      </w:r>
      <w:r>
        <w:t xml:space="preserve">    </w:t>
      </w:r>
      <w:r>
        <w:rPr>
          <w:b/>
        </w:rPr>
        <w:t xml:space="preserve">Pub date: </w:t>
      </w:r>
      <w:r>
        <w:t>2026-01-11 00:00:00+00:00</w:t>
      </w:r>
    </w:p>
    <w:p>
      <w:pPr>
        <w:spacing w:before="0" w:after="120"/>
      </w:pPr>
      <w:r>
        <w:rPr>
          <w:b/>
        </w:rPr>
        <w:t xml:space="preserve">Notes: </w:t>
      </w:r>
      <w:r>
        <w:t>abstract_source=nature_html</w:t>
      </w:r>
    </w:p>
    <w:p>
      <w:pPr>
        <w:spacing w:before="0" w:after="80" w:lineRule="auto" w:line="276"/>
      </w:pPr>
      <w:r>
        <w:rPr>
          <w:b/>
        </w:rPr>
        <w:t xml:space="preserve">摘要（ZH）: </w:t>
      </w:r>
      <w:r>
        <w:t>肾上腺皮层(如:zana fasciculata, zF)的凝胶类生成细胞构成低脑-肾上腺-肾上腺-肾上腺轴的关键效应,调节哺乳动物的应激反应。由于哺乳动物的应激反应是生命所必需的,ZF功能功能失调,使参与优化心血管代谢机能的多种器官发生突扰。ZF形成一个动态和异基因细胞群,有能力通过采用促进和区别方案进行改造,使肾上腺能够适应和应对各种压力。然而,维持这种差异反应的机制仍然不为人所知。在本研究中,我们用Sf1-Crehid,ScRNA-Seq解决有血缘关系的血清;RosamT/MG Reporter mic解决Sf1-Crehi;RosamT/mG Reporter mic)</w:t>
      </w:r>
    </w:p>
    <w:p>
      <w:pPr>
        <w:spacing w:before="0" w:after="200" w:lineRule="auto" w:line="276"/>
      </w:pPr>
      <w:r>
        <w:rPr>
          <w:b/>
        </w:rPr>
        <w:t xml:space="preserve">Abstract (EN): </w:t>
      </w:r>
      <w:r>
        <w:t>Glucocorticoid-producing cells of the adrenal cortex (i.e. zona fasciculata, zF) constitute the critical effectors of the hypothalamic-pituitary-adrenal axis, mediating the mammalian stress response. With glucocorticoids being essential for life, zF dysfunction perturbs multiple organs that participate in optimizing cardiometabolic fitness. The zF forms a dynamic and heterogenous cell population endowed with the capacity to remodel through the engagement of both proliferative and differentiation programs that enable the adrenal to adapt and respond to diverse stressors. However, the mechanisms that sustain such differential responsiveness remain poorly understood. In this study, we resolve the transcriptome of the steroidogenic lineage by scRNA-seq using Sf1-Crehigh; RosamT/mG reporter mice. We identify HHEX, a homeodomain protein, as the most enriched transcription factor in glucocorticoid-producing cells. We utilize genetic mouse models to demonstrate that Hhex deletion causes glucocorticoid deficiency in male animals. Molecularly, we demonstrate that HHEX is an androgen receptor (AR) target gene, shaping the sexual dimorphism of the adrenal gland by repressing the female transcriptional program at puberty, while also maintaining zF cholesterol ester content by protecting lipid droplets from androgen-induced-lipophagy. Moreover, our study reveals that, in both sexes, HHEX is crucial for maintaining the identity of the innermost adrenocortical cell subpopulation. Specifically, loss of HHEX impairs the expression of Abcb1b (P-glycoprotein/MDR1), an efflux pump regulating steroid export and cellular levels of xenobiotics. Together, these data demonstrate that HHEX serves as a multi-functional regulator of post-natal adrenal maturation that is potentiated by androgens.</w:t>
      </w:r>
    </w:p>
    <w:p>
      <w:pPr>
        <w:spacing w:before="120" w:after="120"/>
      </w:pPr>
      <w:r>
        <w:rPr>
          <w:sz w:val="18"/>
        </w:rPr>
        <w:t>——————————————————————————————————————————————————————————————————————</w:t>
      </w:r>
    </w:p>
    <w:p>
      <w:pPr>
        <w:spacing w:before="160" w:after="40" w:line="240" w:lineRule="auto"/>
      </w:pPr>
      <w:r>
        <w:rPr>
          <w:b/>
        </w:rPr>
        <w:t xml:space="preserve">[667] </w:t>
      </w:r>
      <w:hyperlink r:id="rId1112">
        <w:r>
          <w:rPr>
            <w:color w:val="1155CC"/>
            <w:u w:val="single"/>
          </w:rPr>
          <w:t>机械重新配置使超高容量的Diffperactive 魔术立方体网络</w:t>
        </w:r>
      </w:hyperlink>
    </w:p>
    <w:p>
      <w:pPr>
        <w:spacing w:before="0" w:after="80"/>
      </w:pPr>
      <w:r>
        <w:rPr>
          <w:i/>
          <w:sz w:val="20"/>
        </w:rPr>
        <w:t>EN: Diffractive magic cube network with super-high capacity enabled by mechanical reconfiguration</w:t>
      </w:r>
    </w:p>
    <w:p>
      <w:pPr>
        <w:spacing w:before="0" w:after="120"/>
      </w:pPr>
      <w:r>
        <w:rPr>
          <w:b/>
        </w:rPr>
        <w:t xml:space="preserve">Source: </w:t>
      </w:r>
      <w:r>
        <w:t>Nature Communications</w:t>
      </w:r>
      <w:r>
        <w:t xml:space="preserve">    </w:t>
      </w:r>
      <w:r>
        <w:rPr>
          <w:b/>
        </w:rPr>
        <w:t xml:space="preserve">Pub date: </w:t>
      </w:r>
      <w:r>
        <w:t>2026-01-11 00:00:00+00:00</w:t>
      </w:r>
    </w:p>
    <w:p>
      <w:pPr>
        <w:spacing w:before="0" w:after="120"/>
      </w:pPr>
      <w:r>
        <w:rPr>
          <w:b/>
        </w:rPr>
        <w:t xml:space="preserve">Notes: </w:t>
      </w:r>
      <w:r>
        <w:t>abstract_source=nature_html</w:t>
      </w:r>
    </w:p>
    <w:p>
      <w:pPr>
        <w:spacing w:before="0" w:after="80" w:lineRule="auto" w:line="276"/>
      </w:pPr>
      <w:r>
        <w:rPr>
          <w:b/>
        </w:rPr>
        <w:t xml:space="preserve">摘要（ZH）: </w:t>
      </w:r>
      <w:r>
        <w:t>自由空间波浪操纵装置已成为先进的光学信息系统的强大平台,为了应对光学信息指数增长带来的挑战,正在积极探索光多路转换和动态可调整装置以加强系统能力,其中包括粗微的机械重组机制为增强能力提供了成本效益高和低复杂度的方法,然而,由于机械转换不足和不优化模型,目前研究中实现的频道号码不足以用于实际应用。在本篇文章中,提议建立一个敏化的魔力立方体网络(DMCN),以推进机械重组系统多路转换能力。</w:t>
      </w:r>
    </w:p>
    <w:p>
      <w:pPr>
        <w:spacing w:before="0" w:after="200" w:lineRule="auto" w:line="276"/>
      </w:pPr>
      <w:r>
        <w:rPr>
          <w:b/>
        </w:rPr>
        <w:t xml:space="preserve">Abstract (EN): </w:t>
      </w:r>
      <w:r>
        <w:t>Free-space wavefront manipulation devices have emerged as powerful platforms for advanced optical information systems. In response to the challenges posed by the exponential growth of optical information, optical multiplexing and dynamic reconfigurable devices are being actively explored to the enhance system capacity. Among them, coarse-grained mechanically reconfigurable mechanism offers a cost-effective and low-complexity approach for capacity enhancement. However, the channel numbers achieved in current studies are insufficient for practical applications because of inadequate mechanical transformations and suboptimal optimization models. In this article, a diffractive magic cube network (DMCN) is proposed to advance the multiplexing capacity of mechanically reconfigurable system. We utilized the diffractive deep neural network (D2NN) model to jointly optimize the subset of channels generated by the combination of three mechanical operations, permutation, translation, and rotation. The 144-channel holograms, 108-channel single/double focus, 60-channel single/multi-mode OAM beam generation were experimentally demonstrated using diffractive optical elements (DOEs). An equivalent connectivity law was formulated to improve model scalability. Our strategy not only provides a novel paradigm to improve system capacity to super-high level with low crosstalk, but also paves the way for new advancements in optical storage, computing, communication, and photolithography.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5019981?dgcid=rss_sd_all" TargetMode="External"/><Relationship Id="rId10" Type="http://schemas.openxmlformats.org/officeDocument/2006/relationships/hyperlink" Target="https://www.nature.com/articles/d41586-025-03990-w" TargetMode="External"/><Relationship Id="rId11" Type="http://schemas.openxmlformats.org/officeDocument/2006/relationships/hyperlink" Target="https://www.sciencedirect.com/science/article/pii/S0306261925020549?dgcid=rss_sd_all" TargetMode="External"/><Relationship Id="rId12" Type="http://schemas.openxmlformats.org/officeDocument/2006/relationships/hyperlink" Target="https://www.sciencedirect.com/science/article/pii/S0301421525005178?dgcid=rss_sd_all" TargetMode="External"/><Relationship Id="rId13" Type="http://schemas.openxmlformats.org/officeDocument/2006/relationships/hyperlink" Target="https://www.sciencedirect.com/science/article/pii/S0306261925020525?dgcid=rss_sd_all" TargetMode="External"/><Relationship Id="rId14" Type="http://schemas.openxmlformats.org/officeDocument/2006/relationships/hyperlink" Target="https://www.sciencedirect.com/science/article/pii/S0301421525005440?dgcid=rss_sd_all" TargetMode="External"/><Relationship Id="rId15" Type="http://schemas.openxmlformats.org/officeDocument/2006/relationships/hyperlink" Target="https://www.nature.com/articles/d41586-025-04121-1" TargetMode="External"/><Relationship Id="rId16" Type="http://schemas.openxmlformats.org/officeDocument/2006/relationships/hyperlink" Target="https://www.sciencedirect.com/science/article/pii/S0301421525005555?dgcid=rss_sd_all" TargetMode="External"/><Relationship Id="rId17" Type="http://schemas.openxmlformats.org/officeDocument/2006/relationships/hyperlink" Target="https://www.nature.com/articles/d41586-025-04122-0" TargetMode="External"/><Relationship Id="rId18" Type="http://schemas.openxmlformats.org/officeDocument/2006/relationships/hyperlink" Target="https://www.nature.com/articles/d41586-025-04123-z" TargetMode="External"/><Relationship Id="rId19" Type="http://schemas.openxmlformats.org/officeDocument/2006/relationships/hyperlink" Target="https://www.sciencedirect.com/science/article/pii/S030626192502046X?dgcid=rss_sd_all" TargetMode="External"/><Relationship Id="rId20" Type="http://schemas.openxmlformats.org/officeDocument/2006/relationships/hyperlink" Target="https://www.nature.com/articles/d41586-025-04124-y" TargetMode="External"/><Relationship Id="rId21" Type="http://schemas.openxmlformats.org/officeDocument/2006/relationships/hyperlink" Target="https://www.nature.com/articles/d41586-026-00047-4" TargetMode="External"/><Relationship Id="rId22" Type="http://schemas.openxmlformats.org/officeDocument/2006/relationships/hyperlink" Target="https://www.sciencedirect.com/science/article/pii/S0301421525005579?dgcid=rss_sd_all" TargetMode="External"/><Relationship Id="rId23" Type="http://schemas.openxmlformats.org/officeDocument/2006/relationships/hyperlink" Target="https://www.sciencedirect.com/science/article/pii/S0306261925020343?dgcid=rss_sd_all" TargetMode="External"/><Relationship Id="rId24" Type="http://schemas.openxmlformats.org/officeDocument/2006/relationships/hyperlink" Target="https://www.sciencedirect.com/science/article/pii/S030626192501863X?dgcid=rss_sd_all" TargetMode="External"/><Relationship Id="rId25" Type="http://schemas.openxmlformats.org/officeDocument/2006/relationships/hyperlink" Target="https://www.sciencedirect.com/science/article/pii/S0306261925020318?dgcid=rss_sd_all" TargetMode="External"/><Relationship Id="rId26" Type="http://schemas.openxmlformats.org/officeDocument/2006/relationships/hyperlink" Target="https://www.sciencedirect.com/science/article/pii/S0306261925020288?dgcid=rss_sd_all" TargetMode="External"/><Relationship Id="rId27" Type="http://schemas.openxmlformats.org/officeDocument/2006/relationships/hyperlink" Target="https://www.nature.com/articles/d41586-025-04149-3" TargetMode="External"/><Relationship Id="rId28" Type="http://schemas.openxmlformats.org/officeDocument/2006/relationships/hyperlink" Target="https://www.sciencedirect.com/science/article/pii/S0306261925019531?dgcid=rss_sd_all" TargetMode="External"/><Relationship Id="rId29" Type="http://schemas.openxmlformats.org/officeDocument/2006/relationships/hyperlink" Target="https://www.sciencedirect.com/science/article/pii/S0306261925020215?dgcid=rss_sd_all" TargetMode="External"/><Relationship Id="rId30" Type="http://schemas.openxmlformats.org/officeDocument/2006/relationships/hyperlink" Target="https://www.sciencedirect.com/science/article/pii/S0306261925020197?dgcid=rss_sd_all" TargetMode="External"/><Relationship Id="rId31" Type="http://schemas.openxmlformats.org/officeDocument/2006/relationships/hyperlink" Target="https://www.nature.com/articles/d41586-026-00044-7" TargetMode="External"/><Relationship Id="rId32" Type="http://schemas.openxmlformats.org/officeDocument/2006/relationships/hyperlink" Target="https://www.nature.com/articles/d41586-026-00005-0" TargetMode="External"/><Relationship Id="rId33" Type="http://schemas.openxmlformats.org/officeDocument/2006/relationships/hyperlink" Target="https://www.sciencedirect.com/science/article/pii/S0306261925019877?dgcid=rss_sd_all" TargetMode="External"/><Relationship Id="rId34" Type="http://schemas.openxmlformats.org/officeDocument/2006/relationships/hyperlink" Target="https://www.sciencedirect.com/science/article/pii/S0306261925020069?dgcid=rss_sd_all" TargetMode="External"/><Relationship Id="rId35" Type="http://schemas.openxmlformats.org/officeDocument/2006/relationships/hyperlink" Target="https://www.sciencedirect.com/science/article/pii/S0301421525005129?dgcid=rss_sd_all" TargetMode="External"/><Relationship Id="rId36" Type="http://schemas.openxmlformats.org/officeDocument/2006/relationships/hyperlink" Target="https://www.sciencedirect.com/science/article/pii/S0306261925020045?dgcid=rss_sd_all" TargetMode="External"/><Relationship Id="rId37" Type="http://schemas.openxmlformats.org/officeDocument/2006/relationships/hyperlink" Target="https://www.nature.com/articles/s41467-025-68022-7" TargetMode="External"/><Relationship Id="rId38" Type="http://schemas.openxmlformats.org/officeDocument/2006/relationships/hyperlink" Target="https://www.nature.com/articles/s44359-025-00130-5" TargetMode="External"/><Relationship Id="rId39" Type="http://schemas.openxmlformats.org/officeDocument/2006/relationships/hyperlink" Target="https://www.sciencedirect.com/science/article/pii/S1369702126000027?dgcid=rss_sd_all" TargetMode="External"/><Relationship Id="rId40" Type="http://schemas.openxmlformats.org/officeDocument/2006/relationships/hyperlink" Target="https://www.nature.com/articles/s41563-025-02448-8" TargetMode="External"/><Relationship Id="rId41" Type="http://schemas.openxmlformats.org/officeDocument/2006/relationships/hyperlink" Target="https://www.nature.com/articles/s41563-025-02436-y" TargetMode="External"/><Relationship Id="rId42" Type="http://schemas.openxmlformats.org/officeDocument/2006/relationships/hyperlink" Target="https://www.nature.com/articles/s41560-025-01933-3" TargetMode="External"/><Relationship Id="rId43" Type="http://schemas.openxmlformats.org/officeDocument/2006/relationships/hyperlink" Target="https://www.nature.com/articles/s41557-025-02033-1" TargetMode="External"/><Relationship Id="rId44" Type="http://schemas.openxmlformats.org/officeDocument/2006/relationships/hyperlink" Target="https://www.nature.com/articles/s41557-025-02028-y" TargetMode="External"/><Relationship Id="rId45" Type="http://schemas.openxmlformats.org/officeDocument/2006/relationships/hyperlink" Target="https://www.nature.com/articles/s41557-025-02026-0" TargetMode="External"/><Relationship Id="rId46" Type="http://schemas.openxmlformats.org/officeDocument/2006/relationships/hyperlink" Target="https://www.nature.com/articles/s41557-025-02023-3" TargetMode="External"/><Relationship Id="rId47" Type="http://schemas.openxmlformats.org/officeDocument/2006/relationships/hyperlink" Target="http://pubs.rsc.org/en/Content/ArticleLanding/2026/EE/D5EE05711F" TargetMode="External"/><Relationship Id="rId48" Type="http://schemas.openxmlformats.org/officeDocument/2006/relationships/hyperlink" Target="https://www.nature.com/articles/s41893-025-01728-0" TargetMode="External"/><Relationship Id="rId49" Type="http://schemas.openxmlformats.org/officeDocument/2006/relationships/hyperlink" Target="http://pubs.rsc.org/en/Content/ArticleLanding/2026/EE/D5EE04336K" TargetMode="External"/><Relationship Id="rId50" Type="http://schemas.openxmlformats.org/officeDocument/2006/relationships/hyperlink" Target="http://pubs.rsc.org/en/Content/ArticleLanding/2026/CS/D5CS01270H" TargetMode="External"/><Relationship Id="rId51" Type="http://schemas.openxmlformats.org/officeDocument/2006/relationships/hyperlink" Target="https://www.nature.com/articles/s41557-025-02022-4" TargetMode="External"/><Relationship Id="rId52" Type="http://schemas.openxmlformats.org/officeDocument/2006/relationships/hyperlink" Target="http://pubs.rsc.org/en/Content/ArticleLanding/2026/CS/D5CS00531K" TargetMode="External"/><Relationship Id="rId53" Type="http://schemas.openxmlformats.org/officeDocument/2006/relationships/hyperlink" Target="https://www.nature.com/articles/s41893-025-01736-0" TargetMode="External"/><Relationship Id="rId54" Type="http://schemas.openxmlformats.org/officeDocument/2006/relationships/hyperlink" Target="https://www.sciencedirect.com/science/article/pii/S0306261925020689?dgcid=rss_sd_all" TargetMode="External"/><Relationship Id="rId55" Type="http://schemas.openxmlformats.org/officeDocument/2006/relationships/hyperlink" Target="https://www.nature.com/articles/s41893-025-01747-x" TargetMode="External"/><Relationship Id="rId56" Type="http://schemas.openxmlformats.org/officeDocument/2006/relationships/hyperlink" Target="https://www.sciencedirect.com/science/article/pii/S0306261925020665?dgcid=rss_sd_all" TargetMode="External"/><Relationship Id="rId57" Type="http://schemas.openxmlformats.org/officeDocument/2006/relationships/hyperlink" Target="https://www.cell.com/joule/fulltext/S2542-4351(25)00455-6?rss=yes" TargetMode="External"/><Relationship Id="rId58" Type="http://schemas.openxmlformats.org/officeDocument/2006/relationships/hyperlink" Target="https://www.sciencedirect.com/science/article/pii/S0306261925020653?dgcid=rss_sd_all" TargetMode="External"/><Relationship Id="rId59" Type="http://schemas.openxmlformats.org/officeDocument/2006/relationships/hyperlink" Target="https://www.sciencedirect.com/science/article/pii/S030626192502063X?dgcid=rss_sd_all" TargetMode="External"/><Relationship Id="rId60" Type="http://schemas.openxmlformats.org/officeDocument/2006/relationships/hyperlink" Target="https://www.nature.com/articles/s41557-025-02019-z" TargetMode="External"/><Relationship Id="rId61" Type="http://schemas.openxmlformats.org/officeDocument/2006/relationships/hyperlink" Target="https://www.nature.com/articles/s41928-025-01512-0" TargetMode="External"/><Relationship Id="rId62" Type="http://schemas.openxmlformats.org/officeDocument/2006/relationships/hyperlink" Target="https://www.sciencedirect.com/science/article/pii/S0306261925020604?dgcid=rss_sd_all" TargetMode="External"/><Relationship Id="rId63" Type="http://schemas.openxmlformats.org/officeDocument/2006/relationships/hyperlink" Target="https://www.nature.com/articles/s44359-025-00120-7" TargetMode="External"/><Relationship Id="rId64" Type="http://schemas.openxmlformats.org/officeDocument/2006/relationships/hyperlink" Target="https://www.nature.com/articles/d41586-025-03984-8" TargetMode="External"/><Relationship Id="rId65" Type="http://schemas.openxmlformats.org/officeDocument/2006/relationships/hyperlink" Target="https://www.sciencedirect.com/science/article/pii/S0306261925020033?dgcid=rss_sd_all" TargetMode="External"/><Relationship Id="rId66" Type="http://schemas.openxmlformats.org/officeDocument/2006/relationships/hyperlink" Target="https://onlinelibrary.wiley.com/doi/10.1002/anie.202519253?af=R" TargetMode="External"/><Relationship Id="rId67" Type="http://schemas.openxmlformats.org/officeDocument/2006/relationships/hyperlink" Target="https://doi.org/10.1002/anie.202519253" TargetMode="External"/><Relationship Id="rId68" Type="http://schemas.openxmlformats.org/officeDocument/2006/relationships/hyperlink" Target="https://onlinelibrary.wiley.com/doi/10.1002/anie.202525886?af=R" TargetMode="External"/><Relationship Id="rId69" Type="http://schemas.openxmlformats.org/officeDocument/2006/relationships/hyperlink" Target="https://doi.org/10.1002/anie.202525886" TargetMode="External"/><Relationship Id="rId70" Type="http://schemas.openxmlformats.org/officeDocument/2006/relationships/hyperlink" Target="https://onlinelibrary.wiley.com/doi/10.1002/anie.202525260?af=R" TargetMode="External"/><Relationship Id="rId71" Type="http://schemas.openxmlformats.org/officeDocument/2006/relationships/hyperlink" Target="https://doi.org/10.1002/anie.202525260" TargetMode="External"/><Relationship Id="rId72" Type="http://schemas.openxmlformats.org/officeDocument/2006/relationships/hyperlink" Target="https://onlinelibrary.wiley.com/doi/10.1002/anie.202521533?af=R" TargetMode="External"/><Relationship Id="rId73" Type="http://schemas.openxmlformats.org/officeDocument/2006/relationships/hyperlink" Target="https://doi.org/10.1002/anie.202521533" TargetMode="External"/><Relationship Id="rId74" Type="http://schemas.openxmlformats.org/officeDocument/2006/relationships/hyperlink" Target="https://onlinelibrary.wiley.com/doi/10.1002/anie.202523241?af=R" TargetMode="External"/><Relationship Id="rId75" Type="http://schemas.openxmlformats.org/officeDocument/2006/relationships/hyperlink" Target="https://doi.org/10.1002/anie.202523241" TargetMode="External"/><Relationship Id="rId76" Type="http://schemas.openxmlformats.org/officeDocument/2006/relationships/hyperlink" Target="https://onlinelibrary.wiley.com/doi/10.1002/anie.202522817?af=R" TargetMode="External"/><Relationship Id="rId77" Type="http://schemas.openxmlformats.org/officeDocument/2006/relationships/hyperlink" Target="https://doi.org/10.1002/anie.202522817" TargetMode="External"/><Relationship Id="rId78" Type="http://schemas.openxmlformats.org/officeDocument/2006/relationships/hyperlink" Target="https://onlinelibrary.wiley.com/doi/10.1002/anie.202524970?af=R" TargetMode="External"/><Relationship Id="rId79" Type="http://schemas.openxmlformats.org/officeDocument/2006/relationships/hyperlink" Target="https://doi.org/10.1002/anie.202524970" TargetMode="External"/><Relationship Id="rId80" Type="http://schemas.openxmlformats.org/officeDocument/2006/relationships/hyperlink" Target="https://onlinelibrary.wiley.com/doi/10.1002/anie.202524279?af=R" TargetMode="External"/><Relationship Id="rId81" Type="http://schemas.openxmlformats.org/officeDocument/2006/relationships/hyperlink" Target="https://doi.org/10.1002/anie.202524279" TargetMode="External"/><Relationship Id="rId82" Type="http://schemas.openxmlformats.org/officeDocument/2006/relationships/hyperlink" Target="https://onlinelibrary.wiley.com/doi/10.1002/anie.202524475?af=R" TargetMode="External"/><Relationship Id="rId83" Type="http://schemas.openxmlformats.org/officeDocument/2006/relationships/hyperlink" Target="https://doi.org/10.1002/anie.202524475" TargetMode="External"/><Relationship Id="rId84" Type="http://schemas.openxmlformats.org/officeDocument/2006/relationships/hyperlink" Target="https://advanced.onlinelibrary.wiley.com/doi/10.1002/aenm.202506169?af=R" TargetMode="External"/><Relationship Id="rId85" Type="http://schemas.openxmlformats.org/officeDocument/2006/relationships/hyperlink" Target="https://doi.org/10.1002/aenm.202506169" TargetMode="External"/><Relationship Id="rId86" Type="http://schemas.openxmlformats.org/officeDocument/2006/relationships/hyperlink" Target="https://advanced.onlinelibrary.wiley.com/doi/10.1002/aenm.202505956?af=R" TargetMode="External"/><Relationship Id="rId87" Type="http://schemas.openxmlformats.org/officeDocument/2006/relationships/hyperlink" Target="https://doi.org/10.1002/aenm.202505956" TargetMode="External"/><Relationship Id="rId88" Type="http://schemas.openxmlformats.org/officeDocument/2006/relationships/hyperlink" Target="https://advanced.onlinelibrary.wiley.com/doi/10.1002/aenm.202504844?af=R" TargetMode="External"/><Relationship Id="rId89" Type="http://schemas.openxmlformats.org/officeDocument/2006/relationships/hyperlink" Target="https://doi.org/10.1002/aenm.202504844" TargetMode="External"/><Relationship Id="rId90" Type="http://schemas.openxmlformats.org/officeDocument/2006/relationships/hyperlink" Target="https://onlinelibrary.wiley.com/doi/10.1002/anie.202521651?af=R" TargetMode="External"/><Relationship Id="rId91" Type="http://schemas.openxmlformats.org/officeDocument/2006/relationships/hyperlink" Target="https://doi.org/10.1002/anie.202521651" TargetMode="External"/><Relationship Id="rId92" Type="http://schemas.openxmlformats.org/officeDocument/2006/relationships/hyperlink" Target="https://onlinelibrary.wiley.com/doi/10.1002/anie.202523324?af=R" TargetMode="External"/><Relationship Id="rId93" Type="http://schemas.openxmlformats.org/officeDocument/2006/relationships/hyperlink" Target="https://doi.org/10.1002/anie.202523324" TargetMode="External"/><Relationship Id="rId94" Type="http://schemas.openxmlformats.org/officeDocument/2006/relationships/hyperlink" Target="https://onlinelibrary.wiley.com/doi/10.1002/anie.6505783?af=R" TargetMode="External"/><Relationship Id="rId95" Type="http://schemas.openxmlformats.org/officeDocument/2006/relationships/hyperlink" Target="https://doi.org/10.1002/anie.6505783" TargetMode="External"/><Relationship Id="rId96" Type="http://schemas.openxmlformats.org/officeDocument/2006/relationships/hyperlink" Target="https://onlinelibrary.wiley.com/doi/10.1002/anie.202525487?af=R" TargetMode="External"/><Relationship Id="rId97" Type="http://schemas.openxmlformats.org/officeDocument/2006/relationships/hyperlink" Target="https://doi.org/10.1002/anie.202525487" TargetMode="External"/><Relationship Id="rId98" Type="http://schemas.openxmlformats.org/officeDocument/2006/relationships/hyperlink" Target="https://www.pnas.org/doi/abs/10.1073/pnas.2516263123?mi=eymic2&amp;af=R&amp;access=on&amp;content=articlesChapters&amp;publication=pnas&amp;sortBy=Earliest&amp;target=default" TargetMode="External"/><Relationship Id="rId99" Type="http://schemas.openxmlformats.org/officeDocument/2006/relationships/hyperlink" Target="https://doi.org/10.1073/pnas.2516263123" TargetMode="External"/><Relationship Id="rId100" Type="http://schemas.openxmlformats.org/officeDocument/2006/relationships/hyperlink" Target="https://www.pnas.org/doi/abs/10.1073/pnas.2512429123?mi=eymic2&amp;af=R&amp;access=on&amp;content=articlesChapters&amp;publication=pnas&amp;sortBy=Earliest&amp;target=default" TargetMode="External"/><Relationship Id="rId101" Type="http://schemas.openxmlformats.org/officeDocument/2006/relationships/hyperlink" Target="https://doi.org/10.1073/pnas.2512429123" TargetMode="External"/><Relationship Id="rId102" Type="http://schemas.openxmlformats.org/officeDocument/2006/relationships/hyperlink" Target="https://www.pnas.org/doi/abs/10.1073/pnas.2508541123?mi=eymic2&amp;af=R&amp;access=on&amp;content=articlesChapters&amp;publication=pnas&amp;sortBy=Earliest&amp;target=default" TargetMode="External"/><Relationship Id="rId103" Type="http://schemas.openxmlformats.org/officeDocument/2006/relationships/hyperlink" Target="https://doi.org/10.1073/pnas.2508541123" TargetMode="External"/><Relationship Id="rId104" Type="http://schemas.openxmlformats.org/officeDocument/2006/relationships/hyperlink" Target="https://www.pnas.org/doi/abs/10.1073/pnas.2515454123?mi=eymic2&amp;af=R&amp;access=on&amp;content=articlesChapters&amp;publication=pnas&amp;sortBy=Earliest&amp;target=default" TargetMode="External"/><Relationship Id="rId105" Type="http://schemas.openxmlformats.org/officeDocument/2006/relationships/hyperlink" Target="https://doi.org/10.1073/pnas.2515454123" TargetMode="External"/><Relationship Id="rId106" Type="http://schemas.openxmlformats.org/officeDocument/2006/relationships/hyperlink" Target="https://www.pnas.org/doi/abs/10.1073/iti0126123?mi=eymic2&amp;af=R&amp;access=on&amp;content=articlesChapters&amp;publication=pnas&amp;sortBy=Earliest&amp;target=default" TargetMode="External"/><Relationship Id="rId107" Type="http://schemas.openxmlformats.org/officeDocument/2006/relationships/hyperlink" Target="https://doi.org/10.1073/iti0126123" TargetMode="External"/><Relationship Id="rId108" Type="http://schemas.openxmlformats.org/officeDocument/2006/relationships/hyperlink" Target="https://www.pnas.org/doi/abs/10.1073/pnas.2535307123?mi=eymic2&amp;af=R&amp;access=on&amp;content=articlesChapters&amp;publication=pnas&amp;sortBy=Earliest&amp;target=default" TargetMode="External"/><Relationship Id="rId109" Type="http://schemas.openxmlformats.org/officeDocument/2006/relationships/hyperlink" Target="https://doi.org/10.1073/pnas.2535307123" TargetMode="External"/><Relationship Id="rId110" Type="http://schemas.openxmlformats.org/officeDocument/2006/relationships/hyperlink" Target="https://www.pnas.org/doi/abs/10.1073/pnas.2506263123?mi=eymic2&amp;af=R&amp;access=on&amp;content=articlesChapters&amp;publication=pnas&amp;sortBy=Earliest&amp;target=default" TargetMode="External"/><Relationship Id="rId111" Type="http://schemas.openxmlformats.org/officeDocument/2006/relationships/hyperlink" Target="https://doi.org/10.1073/pnas.2506263123" TargetMode="External"/><Relationship Id="rId112" Type="http://schemas.openxmlformats.org/officeDocument/2006/relationships/hyperlink" Target="https://www.pnas.org/doi/abs/10.1073/pnas.2518051123?mi=eymic2&amp;af=R&amp;access=on&amp;content=articlesChapters&amp;publication=pnas&amp;sortBy=Earliest&amp;target=default" TargetMode="External"/><Relationship Id="rId113" Type="http://schemas.openxmlformats.org/officeDocument/2006/relationships/hyperlink" Target="https://doi.org/10.1073/pnas.2518051123" TargetMode="External"/><Relationship Id="rId114" Type="http://schemas.openxmlformats.org/officeDocument/2006/relationships/hyperlink" Target="http://dx.doi.org/10.1021/jacs.5c12062" TargetMode="External"/><Relationship Id="rId115" Type="http://schemas.openxmlformats.org/officeDocument/2006/relationships/hyperlink" Target="https://doi.org/10.1021/jacs.5c12062" TargetMode="External"/><Relationship Id="rId116" Type="http://schemas.openxmlformats.org/officeDocument/2006/relationships/hyperlink" Target="http://dx.doi.org/10.1021/acsenergylett.5c04022" TargetMode="External"/><Relationship Id="rId117" Type="http://schemas.openxmlformats.org/officeDocument/2006/relationships/hyperlink" Target="https://doi.org/10.1021/acsenergylett.5c04022" TargetMode="External"/><Relationship Id="rId118" Type="http://schemas.openxmlformats.org/officeDocument/2006/relationships/hyperlink" Target="https://advanced.onlinelibrary.wiley.com/doi/10.1002/adma.202516522?af=R" TargetMode="External"/><Relationship Id="rId119" Type="http://schemas.openxmlformats.org/officeDocument/2006/relationships/hyperlink" Target="https://doi.org/10.1002/adma.202516522" TargetMode="External"/><Relationship Id="rId120" Type="http://schemas.openxmlformats.org/officeDocument/2006/relationships/hyperlink" Target="https://advanced.onlinelibrary.wiley.com/doi/10.1002/adma.202514332?af=R" TargetMode="External"/><Relationship Id="rId121" Type="http://schemas.openxmlformats.org/officeDocument/2006/relationships/hyperlink" Target="https://doi.org/10.1002/adma.202514332" TargetMode="External"/><Relationship Id="rId122" Type="http://schemas.openxmlformats.org/officeDocument/2006/relationships/hyperlink" Target="https://advanced.onlinelibrary.wiley.com/doi/10.1002/adma.202521611?af=R" TargetMode="External"/><Relationship Id="rId123" Type="http://schemas.openxmlformats.org/officeDocument/2006/relationships/hyperlink" Target="https://doi.org/10.1002/adma.202521611" TargetMode="External"/><Relationship Id="rId124" Type="http://schemas.openxmlformats.org/officeDocument/2006/relationships/hyperlink" Target="https://advanced.onlinelibrary.wiley.com/doi/10.1002/adma.202522811?af=R" TargetMode="External"/><Relationship Id="rId125" Type="http://schemas.openxmlformats.org/officeDocument/2006/relationships/hyperlink" Target="https://doi.org/10.1002/adma.202522811" TargetMode="External"/><Relationship Id="rId126" Type="http://schemas.openxmlformats.org/officeDocument/2006/relationships/hyperlink" Target="https://advanced.onlinelibrary.wiley.com/doi/10.1002/adma.202514659?af=R" TargetMode="External"/><Relationship Id="rId127" Type="http://schemas.openxmlformats.org/officeDocument/2006/relationships/hyperlink" Target="https://doi.org/10.1002/adma.202514659" TargetMode="External"/><Relationship Id="rId128" Type="http://schemas.openxmlformats.org/officeDocument/2006/relationships/hyperlink" Target="https://advanced.onlinelibrary.wiley.com/doi/10.1002/adma.202522179?af=R" TargetMode="External"/><Relationship Id="rId129" Type="http://schemas.openxmlformats.org/officeDocument/2006/relationships/hyperlink" Target="https://doi.org/10.1002/adma.202522179" TargetMode="External"/><Relationship Id="rId130" Type="http://schemas.openxmlformats.org/officeDocument/2006/relationships/hyperlink" Target="https://advanced.onlinelibrary.wiley.com/doi/10.1002/adma.202521147?af=R" TargetMode="External"/><Relationship Id="rId131" Type="http://schemas.openxmlformats.org/officeDocument/2006/relationships/hyperlink" Target="https://doi.org/10.1002/adma.202521147" TargetMode="External"/><Relationship Id="rId132" Type="http://schemas.openxmlformats.org/officeDocument/2006/relationships/hyperlink" Target="https://advanced.onlinelibrary.wiley.com/doi/10.1002/adma.202517406?af=R" TargetMode="External"/><Relationship Id="rId133" Type="http://schemas.openxmlformats.org/officeDocument/2006/relationships/hyperlink" Target="https://doi.org/10.1002/adma.202517406" TargetMode="External"/><Relationship Id="rId134" Type="http://schemas.openxmlformats.org/officeDocument/2006/relationships/hyperlink" Target="https://advanced.onlinelibrary.wiley.com/doi/10.1002/adma.202521036?af=R" TargetMode="External"/><Relationship Id="rId135" Type="http://schemas.openxmlformats.org/officeDocument/2006/relationships/hyperlink" Target="https://doi.org/10.1002/adma.202521036" TargetMode="External"/><Relationship Id="rId136" Type="http://schemas.openxmlformats.org/officeDocument/2006/relationships/hyperlink" Target="https://onlinelibrary.wiley.com/doi/10.1002/anie.8150745?af=R" TargetMode="External"/><Relationship Id="rId137" Type="http://schemas.openxmlformats.org/officeDocument/2006/relationships/hyperlink" Target="https://doi.org/10.1002/anie.8150745" TargetMode="External"/><Relationship Id="rId138" Type="http://schemas.openxmlformats.org/officeDocument/2006/relationships/hyperlink" Target="http://dx.doi.org/10.1021/jacs.5c20740" TargetMode="External"/><Relationship Id="rId139" Type="http://schemas.openxmlformats.org/officeDocument/2006/relationships/hyperlink" Target="https://doi.org/10.1021/jacs.5c20740" TargetMode="External"/><Relationship Id="rId140" Type="http://schemas.openxmlformats.org/officeDocument/2006/relationships/hyperlink" Target="http://dx.doi.org/10.1021/jacs.5c20342" TargetMode="External"/><Relationship Id="rId141" Type="http://schemas.openxmlformats.org/officeDocument/2006/relationships/hyperlink" Target="https://doi.org/10.1021/jacs.5c20342" TargetMode="External"/><Relationship Id="rId142" Type="http://schemas.openxmlformats.org/officeDocument/2006/relationships/hyperlink" Target="http://dx.doi.org/10.1021/jacs.5c18952" TargetMode="External"/><Relationship Id="rId143" Type="http://schemas.openxmlformats.org/officeDocument/2006/relationships/hyperlink" Target="https://doi.org/10.1021/jacs.5c18952" TargetMode="External"/><Relationship Id="rId144" Type="http://schemas.openxmlformats.org/officeDocument/2006/relationships/hyperlink" Target="http://dx.doi.org/10.1021/acsenergylett.5c04167" TargetMode="External"/><Relationship Id="rId145" Type="http://schemas.openxmlformats.org/officeDocument/2006/relationships/hyperlink" Target="https://doi.org/10.1021/acsenergylett.5c04167" TargetMode="External"/><Relationship Id="rId146" Type="http://schemas.openxmlformats.org/officeDocument/2006/relationships/hyperlink" Target="http://dx.doi.org/10.1021/jacs.5c15958" TargetMode="External"/><Relationship Id="rId147" Type="http://schemas.openxmlformats.org/officeDocument/2006/relationships/hyperlink" Target="https://doi.org/10.1021/jacs.5c15958" TargetMode="External"/><Relationship Id="rId148" Type="http://schemas.openxmlformats.org/officeDocument/2006/relationships/hyperlink" Target="http://dx.doi.org/10.1021/jacs.5c17945" TargetMode="External"/><Relationship Id="rId149" Type="http://schemas.openxmlformats.org/officeDocument/2006/relationships/hyperlink" Target="https://doi.org/10.1021/jacs.5c17945" TargetMode="External"/><Relationship Id="rId150" Type="http://schemas.openxmlformats.org/officeDocument/2006/relationships/hyperlink" Target="http://dx.doi.org/10.1021/jacs.5c16298" TargetMode="External"/><Relationship Id="rId151" Type="http://schemas.openxmlformats.org/officeDocument/2006/relationships/hyperlink" Target="https://doi.org/10.1021/jacs.5c16298" TargetMode="External"/><Relationship Id="rId152" Type="http://schemas.openxmlformats.org/officeDocument/2006/relationships/hyperlink" Target="http://dx.doi.org/10.1021/jacs.5c17553" TargetMode="External"/><Relationship Id="rId153" Type="http://schemas.openxmlformats.org/officeDocument/2006/relationships/hyperlink" Target="https://doi.org/10.1021/jacs.5c17553" TargetMode="External"/><Relationship Id="rId154" Type="http://schemas.openxmlformats.org/officeDocument/2006/relationships/hyperlink" Target="http://dx.doi.org/10.1021/jacs.5c09790" TargetMode="External"/><Relationship Id="rId155" Type="http://schemas.openxmlformats.org/officeDocument/2006/relationships/hyperlink" Target="https://doi.org/10.1021/jacs.5c09790" TargetMode="External"/><Relationship Id="rId156" Type="http://schemas.openxmlformats.org/officeDocument/2006/relationships/hyperlink" Target="http://dx.doi.org/10.1021/jacs.5c18955" TargetMode="External"/><Relationship Id="rId157" Type="http://schemas.openxmlformats.org/officeDocument/2006/relationships/hyperlink" Target="https://doi.org/10.1021/jacs.5c18955" TargetMode="External"/><Relationship Id="rId158" Type="http://schemas.openxmlformats.org/officeDocument/2006/relationships/hyperlink" Target="http://dx.doi.org/10.1021/jacs.5c18907" TargetMode="External"/><Relationship Id="rId159" Type="http://schemas.openxmlformats.org/officeDocument/2006/relationships/hyperlink" Target="https://doi.org/10.1021/jacs.5c18907" TargetMode="External"/><Relationship Id="rId160" Type="http://schemas.openxmlformats.org/officeDocument/2006/relationships/hyperlink" Target="http://dx.doi.org/10.1021/jacs.5c17198" TargetMode="External"/><Relationship Id="rId161" Type="http://schemas.openxmlformats.org/officeDocument/2006/relationships/hyperlink" Target="https://doi.org/10.1021/jacs.5c17198" TargetMode="External"/><Relationship Id="rId162" Type="http://schemas.openxmlformats.org/officeDocument/2006/relationships/hyperlink" Target="http://dx.doi.org/10.1021/jacs.5c16623" TargetMode="External"/><Relationship Id="rId163" Type="http://schemas.openxmlformats.org/officeDocument/2006/relationships/hyperlink" Target="https://doi.org/10.1021/jacs.5c16623" TargetMode="External"/><Relationship Id="rId164" Type="http://schemas.openxmlformats.org/officeDocument/2006/relationships/hyperlink" Target="http://dx.doi.org/10.1021/jacs.5c10238" TargetMode="External"/><Relationship Id="rId165" Type="http://schemas.openxmlformats.org/officeDocument/2006/relationships/hyperlink" Target="https://doi.org/10.1021/jacs.5c10238" TargetMode="External"/><Relationship Id="rId166" Type="http://schemas.openxmlformats.org/officeDocument/2006/relationships/hyperlink" Target="http://dx.doi.org/10.1021/jacs.5c19313" TargetMode="External"/><Relationship Id="rId167" Type="http://schemas.openxmlformats.org/officeDocument/2006/relationships/hyperlink" Target="https://doi.org/10.1021/jacs.5c19313" TargetMode="External"/><Relationship Id="rId168" Type="http://schemas.openxmlformats.org/officeDocument/2006/relationships/hyperlink" Target="http://dx.doi.org/10.1021/jacs.5c15860" TargetMode="External"/><Relationship Id="rId169" Type="http://schemas.openxmlformats.org/officeDocument/2006/relationships/hyperlink" Target="https://doi.org/10.1021/jacs.5c15860" TargetMode="External"/><Relationship Id="rId170" Type="http://schemas.openxmlformats.org/officeDocument/2006/relationships/hyperlink" Target="http://dx.doi.org/10.1021/acsenergylett.5c03558" TargetMode="External"/><Relationship Id="rId171" Type="http://schemas.openxmlformats.org/officeDocument/2006/relationships/hyperlink" Target="https://doi.org/10.1021/acsenergylett.5c03558" TargetMode="External"/><Relationship Id="rId172" Type="http://schemas.openxmlformats.org/officeDocument/2006/relationships/hyperlink" Target="http://dx.doi.org/10.1021/acsenergylett.5c03502" TargetMode="External"/><Relationship Id="rId173" Type="http://schemas.openxmlformats.org/officeDocument/2006/relationships/hyperlink" Target="https://doi.org/10.1021/acsenergylett.5c03502" TargetMode="External"/><Relationship Id="rId174" Type="http://schemas.openxmlformats.org/officeDocument/2006/relationships/hyperlink" Target="http://dx.doi.org/10.1021/jacs.5c13501" TargetMode="External"/><Relationship Id="rId175" Type="http://schemas.openxmlformats.org/officeDocument/2006/relationships/hyperlink" Target="https://doi.org/10.1021/jacs.5c13501" TargetMode="External"/><Relationship Id="rId176" Type="http://schemas.openxmlformats.org/officeDocument/2006/relationships/hyperlink" Target="http://dx.doi.org/10.1021/jacs.5c17294" TargetMode="External"/><Relationship Id="rId177" Type="http://schemas.openxmlformats.org/officeDocument/2006/relationships/hyperlink" Target="https://doi.org/10.1021/jacs.5c17294" TargetMode="External"/><Relationship Id="rId178" Type="http://schemas.openxmlformats.org/officeDocument/2006/relationships/hyperlink" Target="http://dx.doi.org/10.1021/jacs.5c18741" TargetMode="External"/><Relationship Id="rId179" Type="http://schemas.openxmlformats.org/officeDocument/2006/relationships/hyperlink" Target="https://doi.org/10.1021/jacs.5c18741" TargetMode="External"/><Relationship Id="rId180" Type="http://schemas.openxmlformats.org/officeDocument/2006/relationships/hyperlink" Target="http://dx.doi.org/10.1021/jacs.5c21178" TargetMode="External"/><Relationship Id="rId181" Type="http://schemas.openxmlformats.org/officeDocument/2006/relationships/hyperlink" Target="https://doi.org/10.1021/jacs.5c21178" TargetMode="External"/><Relationship Id="rId182" Type="http://schemas.openxmlformats.org/officeDocument/2006/relationships/hyperlink" Target="http://dx.doi.org/10.1021/jacs.5c17816" TargetMode="External"/><Relationship Id="rId183" Type="http://schemas.openxmlformats.org/officeDocument/2006/relationships/hyperlink" Target="https://doi.org/10.1021/jacs.5c17816" TargetMode="External"/><Relationship Id="rId184" Type="http://schemas.openxmlformats.org/officeDocument/2006/relationships/hyperlink" Target="http://dx.doi.org/10.1021/jacs.5c18831" TargetMode="External"/><Relationship Id="rId185" Type="http://schemas.openxmlformats.org/officeDocument/2006/relationships/hyperlink" Target="https://doi.org/10.1021/jacs.5c18831" TargetMode="External"/><Relationship Id="rId186" Type="http://schemas.openxmlformats.org/officeDocument/2006/relationships/hyperlink" Target="http://dx.doi.org/10.1021/acsenergylett.5c03297" TargetMode="External"/><Relationship Id="rId187" Type="http://schemas.openxmlformats.org/officeDocument/2006/relationships/hyperlink" Target="https://doi.org/10.1021/acsenergylett.5c03297" TargetMode="External"/><Relationship Id="rId188" Type="http://schemas.openxmlformats.org/officeDocument/2006/relationships/hyperlink" Target="http://dx.doi.org/10.1021/acs.chemrev.5c00433" TargetMode="External"/><Relationship Id="rId189" Type="http://schemas.openxmlformats.org/officeDocument/2006/relationships/hyperlink" Target="https://doi.org/10.1021/acs.chemrev.5c00433" TargetMode="External"/><Relationship Id="rId190" Type="http://schemas.openxmlformats.org/officeDocument/2006/relationships/hyperlink" Target="http://dx.doi.org/10.1021/acsenergylett.5c03124" TargetMode="External"/><Relationship Id="rId191" Type="http://schemas.openxmlformats.org/officeDocument/2006/relationships/hyperlink" Target="https://doi.org/10.1021/acsenergylett.5c03124" TargetMode="External"/><Relationship Id="rId192" Type="http://schemas.openxmlformats.org/officeDocument/2006/relationships/hyperlink" Target="http://dx.doi.org/10.1021/acsenergylett.5c03733" TargetMode="External"/><Relationship Id="rId193" Type="http://schemas.openxmlformats.org/officeDocument/2006/relationships/hyperlink" Target="https://doi.org/10.1021/acsenergylett.5c03733" TargetMode="External"/><Relationship Id="rId194" Type="http://schemas.openxmlformats.org/officeDocument/2006/relationships/hyperlink" Target="http://dx.doi.org/10.1021/acsenergylett.5c03855" TargetMode="External"/><Relationship Id="rId195" Type="http://schemas.openxmlformats.org/officeDocument/2006/relationships/hyperlink" Target="https://doi.org/10.1021/acsenergylett.5c03855" TargetMode="External"/><Relationship Id="rId196" Type="http://schemas.openxmlformats.org/officeDocument/2006/relationships/hyperlink" Target="https://www.nature.com/articles/s41586-025-09899-8" TargetMode="External"/><Relationship Id="rId197" Type="http://schemas.openxmlformats.org/officeDocument/2006/relationships/hyperlink" Target="https://www.nature.com/articles/d41586-025-04016-1" TargetMode="External"/><Relationship Id="rId198" Type="http://schemas.openxmlformats.org/officeDocument/2006/relationships/hyperlink" Target="https://www.nature.com/articles/d41586-025-04028-x" TargetMode="External"/><Relationship Id="rId199" Type="http://schemas.openxmlformats.org/officeDocument/2006/relationships/hyperlink" Target="https://www.sciencedirect.com/science/article/pii/S0306261925020501?dgcid=rss_sd_all" TargetMode="External"/><Relationship Id="rId200" Type="http://schemas.openxmlformats.org/officeDocument/2006/relationships/hyperlink" Target="https://www.sciencedirect.com/science/article/pii/S0306261925020495?dgcid=rss_sd_all" TargetMode="External"/><Relationship Id="rId201" Type="http://schemas.openxmlformats.org/officeDocument/2006/relationships/hyperlink" Target="https://www.sciencedirect.com/science/article/pii/S0306261925020471?dgcid=rss_sd_all" TargetMode="External"/><Relationship Id="rId202" Type="http://schemas.openxmlformats.org/officeDocument/2006/relationships/hyperlink" Target="https://www.sciencedirect.com/science/article/pii/S0306261925020379?dgcid=rss_sd_all" TargetMode="External"/><Relationship Id="rId203" Type="http://schemas.openxmlformats.org/officeDocument/2006/relationships/hyperlink" Target="https://www.sciencedirect.com/science/article/pii/S0306261925020252?dgcid=rss_sd_all" TargetMode="External"/><Relationship Id="rId204" Type="http://schemas.openxmlformats.org/officeDocument/2006/relationships/hyperlink" Target="https://www.nature.com/articles/d41586-025-04150-w" TargetMode="External"/><Relationship Id="rId205" Type="http://schemas.openxmlformats.org/officeDocument/2006/relationships/hyperlink" Target="https://www.sciencedirect.com/science/article/pii/S0306261925020094?dgcid=rss_sd_all" TargetMode="External"/><Relationship Id="rId206" Type="http://schemas.openxmlformats.org/officeDocument/2006/relationships/hyperlink" Target="https://www.sciencedirect.com/science/article/pii/S0306261925019713?dgcid=rss_sd_all" TargetMode="External"/><Relationship Id="rId207" Type="http://schemas.openxmlformats.org/officeDocument/2006/relationships/hyperlink" Target="https://www.sciencedirect.com/science/article/pii/S030626192501966X?dgcid=rss_sd_all" TargetMode="External"/><Relationship Id="rId208" Type="http://schemas.openxmlformats.org/officeDocument/2006/relationships/hyperlink" Target="https://www.sciencedirect.com/science/article/pii/S0301421525005567?dgcid=rss_sd_all" TargetMode="External"/><Relationship Id="rId209" Type="http://schemas.openxmlformats.org/officeDocument/2006/relationships/hyperlink" Target="https://www.nature.com/articles/d41586-026-00051-8" TargetMode="External"/><Relationship Id="rId210" Type="http://schemas.openxmlformats.org/officeDocument/2006/relationships/hyperlink" Target="https://www.nature.com/articles/d41586-026-00052-7" TargetMode="External"/><Relationship Id="rId211" Type="http://schemas.openxmlformats.org/officeDocument/2006/relationships/hyperlink" Target="https://www.nature.com/articles/d41586-026-00053-6" TargetMode="External"/><Relationship Id="rId212" Type="http://schemas.openxmlformats.org/officeDocument/2006/relationships/hyperlink" Target="https://www.nature.com/articles/d41586-026-00064-3" TargetMode="External"/><Relationship Id="rId213" Type="http://schemas.openxmlformats.org/officeDocument/2006/relationships/hyperlink" Target="https://www.sciencedirect.com/science/article/pii/S0301421525005166?dgcid=rss_sd_all" TargetMode="External"/><Relationship Id="rId214" Type="http://schemas.openxmlformats.org/officeDocument/2006/relationships/hyperlink" Target="https://www.nature.com/articles/s41467-025-67701-9" TargetMode="External"/><Relationship Id="rId215" Type="http://schemas.openxmlformats.org/officeDocument/2006/relationships/hyperlink" Target="https://www.sciencedirect.com/science/article/pii/S1369702126000039?dgcid=rss_sd_all" TargetMode="External"/><Relationship Id="rId216" Type="http://schemas.openxmlformats.org/officeDocument/2006/relationships/hyperlink" Target="https://www.nature.com/articles/s44359-025-00135-0" TargetMode="External"/><Relationship Id="rId217" Type="http://schemas.openxmlformats.org/officeDocument/2006/relationships/hyperlink" Target="https://www.sciencedirect.com/science/article/pii/S0306261925020513?dgcid=rss_sd_all" TargetMode="External"/><Relationship Id="rId218" Type="http://schemas.openxmlformats.org/officeDocument/2006/relationships/hyperlink" Target="https://www.nature.com/articles/d41586-025-04004-5" TargetMode="External"/><Relationship Id="rId219" Type="http://schemas.openxmlformats.org/officeDocument/2006/relationships/hyperlink" Target="https://www.sciencedirect.com/science/article/pii/S0306261925020562?dgcid=rss_sd_all" TargetMode="External"/><Relationship Id="rId220" Type="http://schemas.openxmlformats.org/officeDocument/2006/relationships/hyperlink" Target="https://www.nature.com/articles/s44359-025-00133-2" TargetMode="External"/><Relationship Id="rId221" Type="http://schemas.openxmlformats.org/officeDocument/2006/relationships/hyperlink" Target="https://www.sciencedirect.com/science/article/pii/S1369702126000015?dgcid=rss_sd_all" TargetMode="External"/><Relationship Id="rId222" Type="http://schemas.openxmlformats.org/officeDocument/2006/relationships/hyperlink" Target="https://www.sciencedirect.com/science/article/pii/S1369702125005590?dgcid=rss_sd_all" TargetMode="External"/><Relationship Id="rId223" Type="http://schemas.openxmlformats.org/officeDocument/2006/relationships/hyperlink" Target="https://www.sciencedirect.com/science/article/pii/S1369702125005462?dgcid=rss_sd_all" TargetMode="External"/><Relationship Id="rId224" Type="http://schemas.openxmlformats.org/officeDocument/2006/relationships/hyperlink" Target="https://www.sciencedirect.com/science/article/pii/S1369702125004869?dgcid=rss_sd_all" TargetMode="External"/><Relationship Id="rId225" Type="http://schemas.openxmlformats.org/officeDocument/2006/relationships/hyperlink" Target="https://www.sciencedirect.com/science/article/pii/S0306261925020781?dgcid=rss_sd_all" TargetMode="External"/><Relationship Id="rId226" Type="http://schemas.openxmlformats.org/officeDocument/2006/relationships/hyperlink" Target="https://www.sciencedirect.com/science/article/pii/S030626192502077X?dgcid=rss_sd_all" TargetMode="External"/><Relationship Id="rId227" Type="http://schemas.openxmlformats.org/officeDocument/2006/relationships/hyperlink" Target="https://www.sciencedirect.com/science/article/pii/S0306261925020768?dgcid=rss_sd_all" TargetMode="External"/><Relationship Id="rId228" Type="http://schemas.openxmlformats.org/officeDocument/2006/relationships/hyperlink" Target="https://www.sciencedirect.com/science/article/pii/S0306261925020744?dgcid=rss_sd_all" TargetMode="External"/><Relationship Id="rId229" Type="http://schemas.openxmlformats.org/officeDocument/2006/relationships/hyperlink" Target="https://www.sciencedirect.com/science/article/pii/S0306261925020719?dgcid=rss_sd_all" TargetMode="External"/><Relationship Id="rId230" Type="http://schemas.openxmlformats.org/officeDocument/2006/relationships/hyperlink" Target="https://www.nature.com/articles/d41586-025-04001-8" TargetMode="External"/><Relationship Id="rId231" Type="http://schemas.openxmlformats.org/officeDocument/2006/relationships/hyperlink" Target="https://www.sciencedirect.com/science/article/pii/S0306261925020707?dgcid=rss_sd_all" TargetMode="External"/><Relationship Id="rId232" Type="http://schemas.openxmlformats.org/officeDocument/2006/relationships/hyperlink" Target="https://www.cell.com/one-earth/fulltext/S2590-3322(25)00392-6?rss=yes" TargetMode="External"/><Relationship Id="rId233" Type="http://schemas.openxmlformats.org/officeDocument/2006/relationships/hyperlink" Target="https://www.cell.com/one-earth/fulltext/S2590-3322(25)00395-1?rss=yes" TargetMode="External"/><Relationship Id="rId234" Type="http://schemas.openxmlformats.org/officeDocument/2006/relationships/hyperlink" Target="https://www.sciencedirect.com/science/article/pii/S0306261925020586?dgcid=rss_sd_all" TargetMode="External"/><Relationship Id="rId235" Type="http://schemas.openxmlformats.org/officeDocument/2006/relationships/hyperlink" Target="https://www.nature.com/articles/d41586-025-03983-9" TargetMode="External"/><Relationship Id="rId236" Type="http://schemas.openxmlformats.org/officeDocument/2006/relationships/hyperlink" Target="https://www.sciencedirect.com/science/article/pii/S0306261925020574?dgcid=rss_sd_all" TargetMode="External"/><Relationship Id="rId237" Type="http://schemas.openxmlformats.org/officeDocument/2006/relationships/hyperlink" Target="https://www.nature.com/articles/d41586-025-03985-7" TargetMode="External"/><Relationship Id="rId238" Type="http://schemas.openxmlformats.org/officeDocument/2006/relationships/hyperlink" Target="https://www.nature.com/articles/d41586-025-03986-6" TargetMode="External"/><Relationship Id="rId239" Type="http://schemas.openxmlformats.org/officeDocument/2006/relationships/hyperlink" Target="https://www.nature.com/articles/d41586-025-03987-5" TargetMode="External"/><Relationship Id="rId240" Type="http://schemas.openxmlformats.org/officeDocument/2006/relationships/hyperlink" Target="https://www.nature.com/articles/d41586-025-03988-4" TargetMode="External"/><Relationship Id="rId241" Type="http://schemas.openxmlformats.org/officeDocument/2006/relationships/hyperlink" Target="https://www.sciencedirect.com/science/article/pii/S0306261925020677?dgcid=rss_sd_all" TargetMode="External"/><Relationship Id="rId242" Type="http://schemas.openxmlformats.org/officeDocument/2006/relationships/hyperlink" Target="https://www.nature.com/articles/s41586-025-09902-2" TargetMode="External"/><Relationship Id="rId243" Type="http://schemas.openxmlformats.org/officeDocument/2006/relationships/hyperlink" Target="https://www.nature.com/articles/s41467-025-68100-w" TargetMode="External"/><Relationship Id="rId244" Type="http://schemas.openxmlformats.org/officeDocument/2006/relationships/hyperlink" Target="https://www.nature.com/articles/s41467-025-68180-8" TargetMode="External"/><Relationship Id="rId245" Type="http://schemas.openxmlformats.org/officeDocument/2006/relationships/hyperlink" Target="https://www.nature.com/articles/s41586-025-09856-5" TargetMode="External"/><Relationship Id="rId246" Type="http://schemas.openxmlformats.org/officeDocument/2006/relationships/hyperlink" Target="https://www.nature.com/articles/s41586-025-09907-x" TargetMode="External"/><Relationship Id="rId247" Type="http://schemas.openxmlformats.org/officeDocument/2006/relationships/hyperlink" Target="https://www.nature.com/articles/s41586-025-09867-2" TargetMode="External"/><Relationship Id="rId248" Type="http://schemas.openxmlformats.org/officeDocument/2006/relationships/hyperlink" Target="https://www.nature.com/articles/s41586-025-09870-7" TargetMode="External"/><Relationship Id="rId249" Type="http://schemas.openxmlformats.org/officeDocument/2006/relationships/hyperlink" Target="https://www.nature.com/articles/s41586-025-09874-3" TargetMode="External"/><Relationship Id="rId250" Type="http://schemas.openxmlformats.org/officeDocument/2006/relationships/hyperlink" Target="https://www.nature.com/articles/s41586-025-09877-0" TargetMode="External"/><Relationship Id="rId251" Type="http://schemas.openxmlformats.org/officeDocument/2006/relationships/hyperlink" Target="https://www.nature.com/articles/s41586-025-09881-4" TargetMode="External"/><Relationship Id="rId252" Type="http://schemas.openxmlformats.org/officeDocument/2006/relationships/hyperlink" Target="https://www.nature.com/articles/s41586-025-09882-3" TargetMode="External"/><Relationship Id="rId253" Type="http://schemas.openxmlformats.org/officeDocument/2006/relationships/hyperlink" Target="https://www.nature.com/articles/s41586-025-09885-0" TargetMode="External"/><Relationship Id="rId254" Type="http://schemas.openxmlformats.org/officeDocument/2006/relationships/hyperlink" Target="https://www.nature.com/articles/s41586-025-09886-z" TargetMode="External"/><Relationship Id="rId255" Type="http://schemas.openxmlformats.org/officeDocument/2006/relationships/hyperlink" Target="https://www.nature.com/articles/s41586-025-09906-y" TargetMode="External"/><Relationship Id="rId256" Type="http://schemas.openxmlformats.org/officeDocument/2006/relationships/hyperlink" Target="https://www.nature.com/articles/s41586-025-09888-x" TargetMode="External"/><Relationship Id="rId257" Type="http://schemas.openxmlformats.org/officeDocument/2006/relationships/hyperlink" Target="https://www.nature.com/articles/s41586-025-09889-w" TargetMode="External"/><Relationship Id="rId258" Type="http://schemas.openxmlformats.org/officeDocument/2006/relationships/hyperlink" Target="https://www.nature.com/articles/s41586-025-09903-1" TargetMode="External"/><Relationship Id="rId259" Type="http://schemas.openxmlformats.org/officeDocument/2006/relationships/hyperlink" Target="https://www.nature.com/articles/s41586-025-09891-2" TargetMode="External"/><Relationship Id="rId260" Type="http://schemas.openxmlformats.org/officeDocument/2006/relationships/hyperlink" Target="https://www.nature.com/articles/s41586-025-09892-1" TargetMode="External"/><Relationship Id="rId261" Type="http://schemas.openxmlformats.org/officeDocument/2006/relationships/hyperlink" Target="https://www.nature.com/articles/s41586-025-09894-z" TargetMode="External"/><Relationship Id="rId262" Type="http://schemas.openxmlformats.org/officeDocument/2006/relationships/hyperlink" Target="https://www.nature.com/articles/s41586-025-09895-y" TargetMode="External"/><Relationship Id="rId263" Type="http://schemas.openxmlformats.org/officeDocument/2006/relationships/hyperlink" Target="https://www.nature.com/articles/s41586-025-09896-x" TargetMode="External"/><Relationship Id="rId264" Type="http://schemas.openxmlformats.org/officeDocument/2006/relationships/hyperlink" Target="https://www.nature.com/articles/s41586-025-09897-w" TargetMode="External"/><Relationship Id="rId265" Type="http://schemas.openxmlformats.org/officeDocument/2006/relationships/hyperlink" Target="https://www.nature.com/articles/s41586-025-09898-9" TargetMode="External"/><Relationship Id="rId266" Type="http://schemas.openxmlformats.org/officeDocument/2006/relationships/hyperlink" Target="https://www.nature.com/articles/s41586-025-09852-9" TargetMode="External"/><Relationship Id="rId267" Type="http://schemas.openxmlformats.org/officeDocument/2006/relationships/hyperlink" Target="https://www.nature.com/articles/s41586-025-09840-z" TargetMode="External"/><Relationship Id="rId268" Type="http://schemas.openxmlformats.org/officeDocument/2006/relationships/hyperlink" Target="https://www.nature.com/articles/s41586-025-09908-w" TargetMode="External"/><Relationship Id="rId269" Type="http://schemas.openxmlformats.org/officeDocument/2006/relationships/hyperlink" Target="https://www.nature.com/articles/s41586-025-09784-4" TargetMode="External"/><Relationship Id="rId270" Type="http://schemas.openxmlformats.org/officeDocument/2006/relationships/hyperlink" Target="https://www.nature.com/articles/s41467-025-68192-4" TargetMode="External"/><Relationship Id="rId271" Type="http://schemas.openxmlformats.org/officeDocument/2006/relationships/hyperlink" Target="https://www.nature.com/articles/s41928-025-01540-w" TargetMode="External"/><Relationship Id="rId272" Type="http://schemas.openxmlformats.org/officeDocument/2006/relationships/hyperlink" Target="https://www.nature.com/articles/s41467-025-68204-3" TargetMode="External"/><Relationship Id="rId273" Type="http://schemas.openxmlformats.org/officeDocument/2006/relationships/hyperlink" Target="https://www.nature.com/articles/s41467-025-68220-3" TargetMode="External"/><Relationship Id="rId274" Type="http://schemas.openxmlformats.org/officeDocument/2006/relationships/hyperlink" Target="https://www.nature.com/articles/s41928-025-01504-0" TargetMode="External"/><Relationship Id="rId275" Type="http://schemas.openxmlformats.org/officeDocument/2006/relationships/hyperlink" Target="https://www.nature.com/articles/s41557-025-02017-1" TargetMode="External"/><Relationship Id="rId276" Type="http://schemas.openxmlformats.org/officeDocument/2006/relationships/hyperlink" Target="https://www.nature.com/articles/s41893-025-01755-x" TargetMode="External"/><Relationship Id="rId277" Type="http://schemas.openxmlformats.org/officeDocument/2006/relationships/hyperlink" Target="https://www.nature.com/articles/s41557-025-02021-5" TargetMode="External"/><Relationship Id="rId278" Type="http://schemas.openxmlformats.org/officeDocument/2006/relationships/hyperlink" Target="https://www.nature.com/articles/s41893-025-01735-1" TargetMode="External"/><Relationship Id="rId279" Type="http://schemas.openxmlformats.org/officeDocument/2006/relationships/hyperlink" Target="https://www.nature.com/articles/s41586-025-10040-y" TargetMode="External"/><Relationship Id="rId280" Type="http://schemas.openxmlformats.org/officeDocument/2006/relationships/hyperlink" Target="https://www.nature.com/articles/s41467-025-68117-1" TargetMode="External"/><Relationship Id="rId281" Type="http://schemas.openxmlformats.org/officeDocument/2006/relationships/hyperlink" Target="https://www.nature.com/articles/s41586-025-10002-4" TargetMode="External"/><Relationship Id="rId282" Type="http://schemas.openxmlformats.org/officeDocument/2006/relationships/hyperlink" Target="https://www.nature.com/articles/s41586-025-09915-x" TargetMode="External"/><Relationship Id="rId283" Type="http://schemas.openxmlformats.org/officeDocument/2006/relationships/hyperlink" Target="https://www.nature.com/articles/s41557-025-02037-x" TargetMode="External"/><Relationship Id="rId284" Type="http://schemas.openxmlformats.org/officeDocument/2006/relationships/hyperlink" Target="https://www.nature.com/articles/s41557-025-02044-y" TargetMode="External"/><Relationship Id="rId285" Type="http://schemas.openxmlformats.org/officeDocument/2006/relationships/hyperlink" Target="https://www.nature.com/articles/s41586-025-09914-y" TargetMode="External"/><Relationship Id="rId286" Type="http://schemas.openxmlformats.org/officeDocument/2006/relationships/hyperlink" Target="https://www.nature.com/articles/s41560-025-01939-x" TargetMode="External"/><Relationship Id="rId287" Type="http://schemas.openxmlformats.org/officeDocument/2006/relationships/hyperlink" Target="https://www.nature.com/articles/s41560-025-01949-9" TargetMode="External"/><Relationship Id="rId288" Type="http://schemas.openxmlformats.org/officeDocument/2006/relationships/hyperlink" Target="https://www.nature.com/articles/s41586-025-09910-2" TargetMode="External"/><Relationship Id="rId289" Type="http://schemas.openxmlformats.org/officeDocument/2006/relationships/hyperlink" Target="https://www.nature.com/articles/s41586-025-09909-9" TargetMode="External"/><Relationship Id="rId290" Type="http://schemas.openxmlformats.org/officeDocument/2006/relationships/hyperlink" Target="https://www.nature.com/articles/s41563-025-02450-0" TargetMode="External"/><Relationship Id="rId291" Type="http://schemas.openxmlformats.org/officeDocument/2006/relationships/hyperlink" Target="https://www.nature.com/articles/s41578-025-00878-z" TargetMode="External"/><Relationship Id="rId292" Type="http://schemas.openxmlformats.org/officeDocument/2006/relationships/hyperlink" Target="https://www.nature.com/articles/s41586-025-09948-2" TargetMode="External"/><Relationship Id="rId293" Type="http://schemas.openxmlformats.org/officeDocument/2006/relationships/hyperlink" Target="https://www.nature.com/articles/s41586-025-09921-z" TargetMode="External"/><Relationship Id="rId294" Type="http://schemas.openxmlformats.org/officeDocument/2006/relationships/hyperlink" Target="https://www.nature.com/articles/s41467-025-67944-6" TargetMode="External"/><Relationship Id="rId295" Type="http://schemas.openxmlformats.org/officeDocument/2006/relationships/hyperlink" Target="https://www.sciencedirect.com/science/article/pii/S1369702126000040?dgcid=rss_sd_all" TargetMode="External"/><Relationship Id="rId296" Type="http://schemas.openxmlformats.org/officeDocument/2006/relationships/hyperlink" Target="http://pubs.rsc.org/en/Content/ArticleLanding/2026/EE/D5EE06738C" TargetMode="External"/><Relationship Id="rId297" Type="http://schemas.openxmlformats.org/officeDocument/2006/relationships/hyperlink" Target="http://pubs.rsc.org/en/Content/ArticleLanding/2026/EE/D5EE04880J" TargetMode="External"/><Relationship Id="rId298" Type="http://schemas.openxmlformats.org/officeDocument/2006/relationships/hyperlink" Target="http://pubs.rsc.org/en/Content/ArticleLanding/2026/CS/D5CS00472A" TargetMode="External"/><Relationship Id="rId299" Type="http://schemas.openxmlformats.org/officeDocument/2006/relationships/hyperlink" Target="http://pubs.rsc.org/en/Content/ArticleLanding/2026/CS/D5CS00280J" TargetMode="External"/><Relationship Id="rId300" Type="http://schemas.openxmlformats.org/officeDocument/2006/relationships/hyperlink" Target="https://advanced.onlinelibrary.wiley.com/doi/10.1002/adma.202522541?af=R" TargetMode="External"/><Relationship Id="rId301" Type="http://schemas.openxmlformats.org/officeDocument/2006/relationships/hyperlink" Target="https://doi.org/10.1002/adma.202522541" TargetMode="External"/><Relationship Id="rId302" Type="http://schemas.openxmlformats.org/officeDocument/2006/relationships/hyperlink" Target="https://advanced.onlinelibrary.wiley.com/doi/10.1002/adma.202519057?af=R" TargetMode="External"/><Relationship Id="rId303" Type="http://schemas.openxmlformats.org/officeDocument/2006/relationships/hyperlink" Target="https://doi.org/10.1002/adma.202519057" TargetMode="External"/><Relationship Id="rId304" Type="http://schemas.openxmlformats.org/officeDocument/2006/relationships/hyperlink" Target="https://advanced.onlinelibrary.wiley.com/doi/10.1002/aenm.202504456?af=R" TargetMode="External"/><Relationship Id="rId305" Type="http://schemas.openxmlformats.org/officeDocument/2006/relationships/hyperlink" Target="https://doi.org/10.1002/aenm.202504456" TargetMode="External"/><Relationship Id="rId306" Type="http://schemas.openxmlformats.org/officeDocument/2006/relationships/hyperlink" Target="https://advanced.onlinelibrary.wiley.com/doi/10.1002/adma.202511945?af=R" TargetMode="External"/><Relationship Id="rId307" Type="http://schemas.openxmlformats.org/officeDocument/2006/relationships/hyperlink" Target="https://doi.org/10.1002/adma.202511945" TargetMode="External"/><Relationship Id="rId308" Type="http://schemas.openxmlformats.org/officeDocument/2006/relationships/hyperlink" Target="https://advanced.onlinelibrary.wiley.com/doi/10.1002/aenm.202506699?af=R" TargetMode="External"/><Relationship Id="rId309" Type="http://schemas.openxmlformats.org/officeDocument/2006/relationships/hyperlink" Target="https://doi.org/10.1002/aenm.202506699" TargetMode="External"/><Relationship Id="rId310" Type="http://schemas.openxmlformats.org/officeDocument/2006/relationships/hyperlink" Target="https://advanced.onlinelibrary.wiley.com/doi/10.1002/aenm.202506172?af=R" TargetMode="External"/><Relationship Id="rId311" Type="http://schemas.openxmlformats.org/officeDocument/2006/relationships/hyperlink" Target="https://doi.org/10.1002/aenm.202506172" TargetMode="External"/><Relationship Id="rId312" Type="http://schemas.openxmlformats.org/officeDocument/2006/relationships/hyperlink" Target="https://advanced.onlinelibrary.wiley.com/doi/10.1002/aenm.202505418?af=R" TargetMode="External"/><Relationship Id="rId313" Type="http://schemas.openxmlformats.org/officeDocument/2006/relationships/hyperlink" Target="https://doi.org/10.1002/aenm.202505418" TargetMode="External"/><Relationship Id="rId314" Type="http://schemas.openxmlformats.org/officeDocument/2006/relationships/hyperlink" Target="https://advanced.onlinelibrary.wiley.com/doi/10.1002/aenm.202504607?af=R" TargetMode="External"/><Relationship Id="rId315" Type="http://schemas.openxmlformats.org/officeDocument/2006/relationships/hyperlink" Target="https://doi.org/10.1002/aenm.202504607" TargetMode="External"/><Relationship Id="rId316" Type="http://schemas.openxmlformats.org/officeDocument/2006/relationships/hyperlink" Target="https://advanced.onlinelibrary.wiley.com/doi/10.1002/adma.202519482?af=R" TargetMode="External"/><Relationship Id="rId317" Type="http://schemas.openxmlformats.org/officeDocument/2006/relationships/hyperlink" Target="https://doi.org/10.1002/adma.202519482" TargetMode="External"/><Relationship Id="rId318" Type="http://schemas.openxmlformats.org/officeDocument/2006/relationships/hyperlink" Target="https://advanced.onlinelibrary.wiley.com/doi/10.1002/aenm.202505450?af=R" TargetMode="External"/><Relationship Id="rId319" Type="http://schemas.openxmlformats.org/officeDocument/2006/relationships/hyperlink" Target="https://doi.org/10.1002/aenm.202505450" TargetMode="External"/><Relationship Id="rId320" Type="http://schemas.openxmlformats.org/officeDocument/2006/relationships/hyperlink" Target="https://advanced.onlinelibrary.wiley.com/doi/10.1002/aenm.202506649?af=R" TargetMode="External"/><Relationship Id="rId321" Type="http://schemas.openxmlformats.org/officeDocument/2006/relationships/hyperlink" Target="https://doi.org/10.1002/aenm.202506649" TargetMode="External"/><Relationship Id="rId322" Type="http://schemas.openxmlformats.org/officeDocument/2006/relationships/hyperlink" Target="https://advanced.onlinelibrary.wiley.com/doi/10.1002/adma.202517373?af=R" TargetMode="External"/><Relationship Id="rId323" Type="http://schemas.openxmlformats.org/officeDocument/2006/relationships/hyperlink" Target="https://doi.org/10.1002/adma.202517373" TargetMode="External"/><Relationship Id="rId324" Type="http://schemas.openxmlformats.org/officeDocument/2006/relationships/hyperlink" Target="https://advanced.onlinelibrary.wiley.com/doi/10.1002/adma.202520493?af=R" TargetMode="External"/><Relationship Id="rId325" Type="http://schemas.openxmlformats.org/officeDocument/2006/relationships/hyperlink" Target="https://doi.org/10.1002/adma.202520493" TargetMode="External"/><Relationship Id="rId326" Type="http://schemas.openxmlformats.org/officeDocument/2006/relationships/hyperlink" Target="https://advanced.onlinelibrary.wiley.com/doi/10.1002/aenm.202506260?af=R" TargetMode="External"/><Relationship Id="rId327" Type="http://schemas.openxmlformats.org/officeDocument/2006/relationships/hyperlink" Target="https://doi.org/10.1002/aenm.202506260" TargetMode="External"/><Relationship Id="rId328" Type="http://schemas.openxmlformats.org/officeDocument/2006/relationships/hyperlink" Target="https://advanced.onlinelibrary.wiley.com/doi/10.1002/adma.202512584?af=R" TargetMode="External"/><Relationship Id="rId329" Type="http://schemas.openxmlformats.org/officeDocument/2006/relationships/hyperlink" Target="https://doi.org/10.1002/adma.202512584" TargetMode="External"/><Relationship Id="rId330" Type="http://schemas.openxmlformats.org/officeDocument/2006/relationships/hyperlink" Target="https://advanced.onlinelibrary.wiley.com/doi/10.1002/adma.202521120?af=R" TargetMode="External"/><Relationship Id="rId331" Type="http://schemas.openxmlformats.org/officeDocument/2006/relationships/hyperlink" Target="https://doi.org/10.1002/adma.202521120" TargetMode="External"/><Relationship Id="rId332" Type="http://schemas.openxmlformats.org/officeDocument/2006/relationships/hyperlink" Target="https://www.pnas.org/doi/abs/10.1073/pnas.2517096123?mi=eymic2&amp;af=R&amp;access=on&amp;content=articlesChapters&amp;publication=pnas&amp;sortBy=Earliest&amp;target=default" TargetMode="External"/><Relationship Id="rId333" Type="http://schemas.openxmlformats.org/officeDocument/2006/relationships/hyperlink" Target="https://doi.org/10.1073/pnas.2517096123" TargetMode="External"/><Relationship Id="rId334" Type="http://schemas.openxmlformats.org/officeDocument/2006/relationships/hyperlink" Target="https://www.pnas.org/doi/abs/10.1073/pnas.2533070123?mi=eymic2&amp;af=R&amp;access=on&amp;content=articlesChapters&amp;publication=pnas&amp;sortBy=Earliest&amp;target=default" TargetMode="External"/><Relationship Id="rId335" Type="http://schemas.openxmlformats.org/officeDocument/2006/relationships/hyperlink" Target="https://doi.org/10.1073/pnas.2533070123" TargetMode="External"/><Relationship Id="rId336" Type="http://schemas.openxmlformats.org/officeDocument/2006/relationships/hyperlink" Target="https://www.pnas.org/doi/abs/10.1073/pnas.2533097122?mi=eymic2&amp;af=R&amp;access=on&amp;content=articlesChapters&amp;publication=pnas&amp;sortBy=Earliest&amp;target=default" TargetMode="External"/><Relationship Id="rId337" Type="http://schemas.openxmlformats.org/officeDocument/2006/relationships/hyperlink" Target="https://doi.org/10.1073/pnas.2533097122" TargetMode="External"/><Relationship Id="rId338" Type="http://schemas.openxmlformats.org/officeDocument/2006/relationships/hyperlink" Target="https://www.pnas.org/doi/abs/10.1073/pnas.2533905122?mi=eymic2&amp;af=R&amp;access=on&amp;content=articlesChapters&amp;publication=pnas&amp;sortBy=Earliest&amp;target=default" TargetMode="External"/><Relationship Id="rId339" Type="http://schemas.openxmlformats.org/officeDocument/2006/relationships/hyperlink" Target="https://doi.org/10.1073/pnas.2533905122" TargetMode="External"/><Relationship Id="rId340" Type="http://schemas.openxmlformats.org/officeDocument/2006/relationships/hyperlink" Target="https://www.pnas.org/doi/abs/10.1073/pnas.2535891123?mi=eymic2&amp;af=R&amp;access=on&amp;content=articlesChapters&amp;publication=pnas&amp;sortBy=Earliest&amp;target=default" TargetMode="External"/><Relationship Id="rId341" Type="http://schemas.openxmlformats.org/officeDocument/2006/relationships/hyperlink" Target="https://doi.org/10.1073/pnas.2535891123" TargetMode="External"/><Relationship Id="rId342" Type="http://schemas.openxmlformats.org/officeDocument/2006/relationships/hyperlink" Target="https://www.pnas.org/doi/abs/10.1073/pnas.2536022123?mi=eymic2&amp;af=R&amp;access=on&amp;content=articlesChapters&amp;publication=pnas&amp;sortBy=Earliest&amp;target=default" TargetMode="External"/><Relationship Id="rId343" Type="http://schemas.openxmlformats.org/officeDocument/2006/relationships/hyperlink" Target="https://doi.org/10.1073/pnas.2536022123" TargetMode="External"/><Relationship Id="rId344" Type="http://schemas.openxmlformats.org/officeDocument/2006/relationships/hyperlink" Target="https://www.science.org/doi/abs/10.1126/sciadv.adv6891?af=R" TargetMode="External"/><Relationship Id="rId345" Type="http://schemas.openxmlformats.org/officeDocument/2006/relationships/hyperlink" Target="https://doi.org/10.1126/sciadv.adv6891" TargetMode="External"/><Relationship Id="rId346" Type="http://schemas.openxmlformats.org/officeDocument/2006/relationships/hyperlink" Target="https://www.science.org/doi/abs/10.1126/sciadv.adv7998?af=R" TargetMode="External"/><Relationship Id="rId347" Type="http://schemas.openxmlformats.org/officeDocument/2006/relationships/hyperlink" Target="https://doi.org/10.1126/sciadv.adv7998" TargetMode="External"/><Relationship Id="rId348" Type="http://schemas.openxmlformats.org/officeDocument/2006/relationships/hyperlink" Target="https://www.science.org/doi/abs/10.1126/sciadv.adw5698?af=R" TargetMode="External"/><Relationship Id="rId349" Type="http://schemas.openxmlformats.org/officeDocument/2006/relationships/hyperlink" Target="https://doi.org/10.1126/sciadv.adw5698" TargetMode="External"/><Relationship Id="rId350" Type="http://schemas.openxmlformats.org/officeDocument/2006/relationships/hyperlink" Target="https://www.science.org/doi/abs/10.1126/sciadv.adx1754?af=R" TargetMode="External"/><Relationship Id="rId351" Type="http://schemas.openxmlformats.org/officeDocument/2006/relationships/hyperlink" Target="https://doi.org/10.1126/sciadv.adx1754" TargetMode="External"/><Relationship Id="rId352" Type="http://schemas.openxmlformats.org/officeDocument/2006/relationships/hyperlink" Target="https://www.pnas.org/doi/abs/10.1073/pnas.2531791123?mi=eymic2&amp;af=R&amp;access=on&amp;content=articlesChapters&amp;publication=pnas&amp;sortBy=Earliest&amp;target=default" TargetMode="External"/><Relationship Id="rId353" Type="http://schemas.openxmlformats.org/officeDocument/2006/relationships/hyperlink" Target="https://doi.org/10.1073/pnas.2531791123" TargetMode="External"/><Relationship Id="rId354" Type="http://schemas.openxmlformats.org/officeDocument/2006/relationships/hyperlink" Target="https://www.pnas.org/doi/abs/10.1073/pnas.2531077123?mi=eymic2&amp;af=R&amp;access=on&amp;content=articlesChapters&amp;publication=pnas&amp;sortBy=Earliest&amp;target=default" TargetMode="External"/><Relationship Id="rId355" Type="http://schemas.openxmlformats.org/officeDocument/2006/relationships/hyperlink" Target="https://doi.org/10.1073/pnas.2531077123" TargetMode="External"/><Relationship Id="rId356" Type="http://schemas.openxmlformats.org/officeDocument/2006/relationships/hyperlink" Target="https://www.pnas.org/doi/abs/10.1073/pnas.2530592122?mi=eymic2&amp;af=R&amp;access=on&amp;content=articlesChapters&amp;publication=pnas&amp;sortBy=Earliest&amp;target=default" TargetMode="External"/><Relationship Id="rId357" Type="http://schemas.openxmlformats.org/officeDocument/2006/relationships/hyperlink" Target="https://doi.org/10.1073/pnas.2530592122" TargetMode="External"/><Relationship Id="rId358" Type="http://schemas.openxmlformats.org/officeDocument/2006/relationships/hyperlink" Target="https://www.pnas.org/doi/abs/10.1073/pnas.2530586122?mi=eymic2&amp;af=R&amp;access=on&amp;content=articlesChapters&amp;publication=pnas&amp;sortBy=Earliest&amp;target=default" TargetMode="External"/><Relationship Id="rId359" Type="http://schemas.openxmlformats.org/officeDocument/2006/relationships/hyperlink" Target="https://doi.org/10.1073/pnas.2530586122" TargetMode="External"/><Relationship Id="rId360" Type="http://schemas.openxmlformats.org/officeDocument/2006/relationships/hyperlink" Target="https://www.pnas.org/doi/abs/10.1073/pnas.2530209123?mi=eymic2&amp;af=R&amp;access=on&amp;content=articlesChapters&amp;publication=pnas&amp;sortBy=Earliest&amp;target=default" TargetMode="External"/><Relationship Id="rId361" Type="http://schemas.openxmlformats.org/officeDocument/2006/relationships/hyperlink" Target="https://doi.org/10.1073/pnas.2530209123" TargetMode="External"/><Relationship Id="rId362" Type="http://schemas.openxmlformats.org/officeDocument/2006/relationships/hyperlink" Target="https://www.pnas.org/doi/abs/10.1073/pnas.2528643122?mi=eymic2&amp;af=R&amp;access=on&amp;content=articlesChapters&amp;publication=pnas&amp;sortBy=Earliest&amp;target=default" TargetMode="External"/><Relationship Id="rId363" Type="http://schemas.openxmlformats.org/officeDocument/2006/relationships/hyperlink" Target="https://doi.org/10.1073/pnas.2528643122" TargetMode="External"/><Relationship Id="rId364" Type="http://schemas.openxmlformats.org/officeDocument/2006/relationships/hyperlink" Target="https://www.pnas.org/doi/abs/10.1073/pnas.2528257123?mi=eymic2&amp;af=R&amp;access=on&amp;content=articlesChapters&amp;publication=pnas&amp;sortBy=Earliest&amp;target=default" TargetMode="External"/><Relationship Id="rId365" Type="http://schemas.openxmlformats.org/officeDocument/2006/relationships/hyperlink" Target="https://doi.org/10.1073/pnas.2528257123" TargetMode="External"/><Relationship Id="rId366" Type="http://schemas.openxmlformats.org/officeDocument/2006/relationships/hyperlink" Target="https://www.pnas.org/doi/abs/10.1073/pnas.2525679123?mi=eymic2&amp;af=R&amp;access=on&amp;content=articlesChapters&amp;publication=pnas&amp;sortBy=Earliest&amp;target=default" TargetMode="External"/><Relationship Id="rId367" Type="http://schemas.openxmlformats.org/officeDocument/2006/relationships/hyperlink" Target="https://doi.org/10.1073/pnas.2525679123" TargetMode="External"/><Relationship Id="rId368" Type="http://schemas.openxmlformats.org/officeDocument/2006/relationships/hyperlink" Target="https://www.science.org/doi/abs/10.1126/sciadv.adx9671?af=R" TargetMode="External"/><Relationship Id="rId369" Type="http://schemas.openxmlformats.org/officeDocument/2006/relationships/hyperlink" Target="https://doi.org/10.1126/sciadv.adx9671" TargetMode="External"/><Relationship Id="rId370" Type="http://schemas.openxmlformats.org/officeDocument/2006/relationships/hyperlink" Target="https://www.pnas.org/doi/abs/10.1073/pnas.2502486122?mi=eymic2&amp;af=R&amp;access=on&amp;content=articlesChapters&amp;publication=pnas&amp;sortBy=Earliest&amp;target=default" TargetMode="External"/><Relationship Id="rId371" Type="http://schemas.openxmlformats.org/officeDocument/2006/relationships/hyperlink" Target="https://doi.org/10.1073/pnas.2502486122" TargetMode="External"/><Relationship Id="rId372" Type="http://schemas.openxmlformats.org/officeDocument/2006/relationships/hyperlink" Target="https://www.pnas.org/doi/abs/10.1073/pnas.2520747122?mi=eymic2&amp;af=R&amp;access=on&amp;content=articlesChapters&amp;publication=pnas&amp;sortBy=Earliest&amp;target=default" TargetMode="External"/><Relationship Id="rId373" Type="http://schemas.openxmlformats.org/officeDocument/2006/relationships/hyperlink" Target="https://doi.org/10.1073/pnas.2520747122" TargetMode="External"/><Relationship Id="rId374" Type="http://schemas.openxmlformats.org/officeDocument/2006/relationships/hyperlink" Target="https://www.pnas.org/doi/abs/10.1073/pnas.2510180122?mi=eymic2&amp;af=R&amp;access=on&amp;content=articlesChapters&amp;publication=pnas&amp;sortBy=Earliest&amp;target=default" TargetMode="External"/><Relationship Id="rId375" Type="http://schemas.openxmlformats.org/officeDocument/2006/relationships/hyperlink" Target="https://doi.org/10.1073/pnas.2510180122" TargetMode="External"/><Relationship Id="rId376" Type="http://schemas.openxmlformats.org/officeDocument/2006/relationships/hyperlink" Target="https://www.pnas.org/doi/abs/10.1073/pnas.2520483123?mi=eymic2&amp;af=R&amp;access=on&amp;content=articlesChapters&amp;publication=pnas&amp;sortBy=Earliest&amp;target=default" TargetMode="External"/><Relationship Id="rId377" Type="http://schemas.openxmlformats.org/officeDocument/2006/relationships/hyperlink" Target="https://doi.org/10.1073/pnas.2520483123" TargetMode="External"/><Relationship Id="rId378" Type="http://schemas.openxmlformats.org/officeDocument/2006/relationships/hyperlink" Target="https://www.pnas.org/doi/abs/10.1073/pnas.2518982123?mi=eymic2&amp;af=R&amp;access=on&amp;content=articlesChapters&amp;publication=pnas&amp;sortBy=Earliest&amp;target=default" TargetMode="External"/><Relationship Id="rId379" Type="http://schemas.openxmlformats.org/officeDocument/2006/relationships/hyperlink" Target="https://doi.org/10.1073/pnas.2518982123" TargetMode="External"/><Relationship Id="rId380" Type="http://schemas.openxmlformats.org/officeDocument/2006/relationships/hyperlink" Target="https://www.pnas.org/doi/abs/10.1073/pnas.2518909122?mi=eymic2&amp;af=R&amp;access=on&amp;content=articlesChapters&amp;publication=pnas&amp;sortBy=Earliest&amp;target=default" TargetMode="External"/><Relationship Id="rId381" Type="http://schemas.openxmlformats.org/officeDocument/2006/relationships/hyperlink" Target="https://doi.org/10.1073/pnas.2518909122" TargetMode="External"/><Relationship Id="rId382" Type="http://schemas.openxmlformats.org/officeDocument/2006/relationships/hyperlink" Target="https://www.pnas.org/doi/abs/10.1073/pnas.2518060123?mi=eymic2&amp;af=R&amp;access=on&amp;content=articlesChapters&amp;publication=pnas&amp;sortBy=Earliest&amp;target=default" TargetMode="External"/><Relationship Id="rId383" Type="http://schemas.openxmlformats.org/officeDocument/2006/relationships/hyperlink" Target="https://doi.org/10.1073/pnas.2518060123" TargetMode="External"/><Relationship Id="rId384" Type="http://schemas.openxmlformats.org/officeDocument/2006/relationships/hyperlink" Target="https://www.pnas.org/doi/abs/10.1073/pnas.2516471123?mi=eymic2&amp;af=R&amp;access=on&amp;content=articlesChapters&amp;publication=pnas&amp;sortBy=Earliest&amp;target=default" TargetMode="External"/><Relationship Id="rId385" Type="http://schemas.openxmlformats.org/officeDocument/2006/relationships/hyperlink" Target="https://doi.org/10.1073/pnas.2516471123" TargetMode="External"/><Relationship Id="rId386" Type="http://schemas.openxmlformats.org/officeDocument/2006/relationships/hyperlink" Target="https://www.pnas.org/doi/abs/10.1073/pnas.2524778123?mi=eymic2&amp;af=R&amp;access=on&amp;content=articlesChapters&amp;publication=pnas&amp;sortBy=Earliest&amp;target=default" TargetMode="External"/><Relationship Id="rId387" Type="http://schemas.openxmlformats.org/officeDocument/2006/relationships/hyperlink" Target="https://doi.org/10.1073/pnas.2524778123" TargetMode="External"/><Relationship Id="rId388" Type="http://schemas.openxmlformats.org/officeDocument/2006/relationships/hyperlink" Target="https://www.pnas.org/doi/abs/10.1073/pnas.2536995123?mi=eymic2&amp;af=R&amp;access=on&amp;content=articlesChapters&amp;publication=pnas&amp;sortBy=Earliest&amp;target=default" TargetMode="External"/><Relationship Id="rId389" Type="http://schemas.openxmlformats.org/officeDocument/2006/relationships/hyperlink" Target="https://doi.org/10.1073/pnas.2536995123" TargetMode="External"/><Relationship Id="rId390" Type="http://schemas.openxmlformats.org/officeDocument/2006/relationships/hyperlink" Target="https://www.science.org/doi/abs/10.1126/sciadv.ady0542?af=R" TargetMode="External"/><Relationship Id="rId391" Type="http://schemas.openxmlformats.org/officeDocument/2006/relationships/hyperlink" Target="https://doi.org/10.1126/sciadv.ady0542" TargetMode="External"/><Relationship Id="rId392" Type="http://schemas.openxmlformats.org/officeDocument/2006/relationships/hyperlink" Target="https://www.science.org/doi/abs/10.1126/sciadv.aee7980?af=R" TargetMode="External"/><Relationship Id="rId393" Type="http://schemas.openxmlformats.org/officeDocument/2006/relationships/hyperlink" Target="https://doi.org/10.1126/sciadv.aee7980" TargetMode="External"/><Relationship Id="rId394" Type="http://schemas.openxmlformats.org/officeDocument/2006/relationships/hyperlink" Target="https://www.science.org/doi/abs/10.1126/sciadv.aeb5215?af=R" TargetMode="External"/><Relationship Id="rId395" Type="http://schemas.openxmlformats.org/officeDocument/2006/relationships/hyperlink" Target="https://doi.org/10.1126/sciadv.aeb5215" TargetMode="External"/><Relationship Id="rId396" Type="http://schemas.openxmlformats.org/officeDocument/2006/relationships/hyperlink" Target="https://www.science.org/doi/abs/10.1126/sciadv.ady0301?af=R" TargetMode="External"/><Relationship Id="rId397" Type="http://schemas.openxmlformats.org/officeDocument/2006/relationships/hyperlink" Target="https://doi.org/10.1126/sciadv.ady0301" TargetMode="External"/><Relationship Id="rId398" Type="http://schemas.openxmlformats.org/officeDocument/2006/relationships/hyperlink" Target="https://www.science.org/doi/abs/10.1126/sciadv.aea8014?af=R" TargetMode="External"/><Relationship Id="rId399" Type="http://schemas.openxmlformats.org/officeDocument/2006/relationships/hyperlink" Target="https://doi.org/10.1126/sciadv.aea8014" TargetMode="External"/><Relationship Id="rId400" Type="http://schemas.openxmlformats.org/officeDocument/2006/relationships/hyperlink" Target="https://www.science.org/doi/abs/10.1126/sciadv.aea6945?af=R" TargetMode="External"/><Relationship Id="rId401" Type="http://schemas.openxmlformats.org/officeDocument/2006/relationships/hyperlink" Target="https://doi.org/10.1126/sciadv.aea6945" TargetMode="External"/><Relationship Id="rId402" Type="http://schemas.openxmlformats.org/officeDocument/2006/relationships/hyperlink" Target="https://www.science.org/doi/abs/10.1126/sciadv.aea3712?af=R" TargetMode="External"/><Relationship Id="rId403" Type="http://schemas.openxmlformats.org/officeDocument/2006/relationships/hyperlink" Target="https://doi.org/10.1126/sciadv.aea3712" TargetMode="External"/><Relationship Id="rId404" Type="http://schemas.openxmlformats.org/officeDocument/2006/relationships/hyperlink" Target="https://www.science.org/doi/abs/10.1126/sciadv.aea1329?af=R" TargetMode="External"/><Relationship Id="rId405" Type="http://schemas.openxmlformats.org/officeDocument/2006/relationships/hyperlink" Target="https://doi.org/10.1126/sciadv.aea1329" TargetMode="External"/><Relationship Id="rId406" Type="http://schemas.openxmlformats.org/officeDocument/2006/relationships/hyperlink" Target="https://www.science.org/doi/abs/10.1126/sciadv.aea0567?af=R" TargetMode="External"/><Relationship Id="rId407" Type="http://schemas.openxmlformats.org/officeDocument/2006/relationships/hyperlink" Target="https://doi.org/10.1126/sciadv.aea0567" TargetMode="External"/><Relationship Id="rId408" Type="http://schemas.openxmlformats.org/officeDocument/2006/relationships/hyperlink" Target="https://www.science.org/doi/abs/10.1126/sciadv.adz7779?af=R" TargetMode="External"/><Relationship Id="rId409" Type="http://schemas.openxmlformats.org/officeDocument/2006/relationships/hyperlink" Target="https://doi.org/10.1126/sciadv.adz7779" TargetMode="External"/><Relationship Id="rId410" Type="http://schemas.openxmlformats.org/officeDocument/2006/relationships/hyperlink" Target="https://www.science.org/doi/abs/10.1126/sciadv.adz7607?af=R" TargetMode="External"/><Relationship Id="rId411" Type="http://schemas.openxmlformats.org/officeDocument/2006/relationships/hyperlink" Target="https://doi.org/10.1126/sciadv.adz7607" TargetMode="External"/><Relationship Id="rId412" Type="http://schemas.openxmlformats.org/officeDocument/2006/relationships/hyperlink" Target="https://www.science.org/doi/abs/10.1126/sciadv.adz5902?af=R" TargetMode="External"/><Relationship Id="rId413" Type="http://schemas.openxmlformats.org/officeDocument/2006/relationships/hyperlink" Target="https://doi.org/10.1126/sciadv.adz5902" TargetMode="External"/><Relationship Id="rId414" Type="http://schemas.openxmlformats.org/officeDocument/2006/relationships/hyperlink" Target="https://www.science.org/doi/abs/10.1126/sciadv.adz4762?af=R" TargetMode="External"/><Relationship Id="rId415" Type="http://schemas.openxmlformats.org/officeDocument/2006/relationships/hyperlink" Target="https://doi.org/10.1126/sciadv.adz4762" TargetMode="External"/><Relationship Id="rId416" Type="http://schemas.openxmlformats.org/officeDocument/2006/relationships/hyperlink" Target="https://www.science.org/doi/abs/10.1126/sciadv.adz3281?af=R" TargetMode="External"/><Relationship Id="rId417" Type="http://schemas.openxmlformats.org/officeDocument/2006/relationships/hyperlink" Target="https://doi.org/10.1126/sciadv.adz3281" TargetMode="External"/><Relationship Id="rId418" Type="http://schemas.openxmlformats.org/officeDocument/2006/relationships/hyperlink" Target="https://www.science.org/doi/abs/10.1126/sciadv.aea9433?af=R" TargetMode="External"/><Relationship Id="rId419" Type="http://schemas.openxmlformats.org/officeDocument/2006/relationships/hyperlink" Target="https://doi.org/10.1126/sciadv.aea9433" TargetMode="External"/><Relationship Id="rId420" Type="http://schemas.openxmlformats.org/officeDocument/2006/relationships/hyperlink" Target="https://www.science.org/doi/abs/10.1126/sciadv.adz1519?af=R" TargetMode="External"/><Relationship Id="rId421" Type="http://schemas.openxmlformats.org/officeDocument/2006/relationships/hyperlink" Target="https://doi.org/10.1126/sciadv.adz1519" TargetMode="External"/><Relationship Id="rId422" Type="http://schemas.openxmlformats.org/officeDocument/2006/relationships/hyperlink" Target="https://www.science.org/doi/abs/10.1126/sciadv.adz1385?af=R" TargetMode="External"/><Relationship Id="rId423" Type="http://schemas.openxmlformats.org/officeDocument/2006/relationships/hyperlink" Target="https://doi.org/10.1126/sciadv.adz1385" TargetMode="External"/><Relationship Id="rId424" Type="http://schemas.openxmlformats.org/officeDocument/2006/relationships/hyperlink" Target="https://www.science.org/doi/abs/10.1126/sciadv.ady1111?af=R" TargetMode="External"/><Relationship Id="rId425" Type="http://schemas.openxmlformats.org/officeDocument/2006/relationships/hyperlink" Target="https://doi.org/10.1126/sciadv.ady1111" TargetMode="External"/><Relationship Id="rId426" Type="http://schemas.openxmlformats.org/officeDocument/2006/relationships/hyperlink" Target="https://www.science.org/doi/abs/10.1126/sciadv.ady4934?af=R" TargetMode="External"/><Relationship Id="rId427" Type="http://schemas.openxmlformats.org/officeDocument/2006/relationships/hyperlink" Target="https://doi.org/10.1126/sciadv.ady4934" TargetMode="External"/><Relationship Id="rId428" Type="http://schemas.openxmlformats.org/officeDocument/2006/relationships/hyperlink" Target="https://www.science.org/doi/abs/10.1126/sciadv.ady6423?af=R" TargetMode="External"/><Relationship Id="rId429" Type="http://schemas.openxmlformats.org/officeDocument/2006/relationships/hyperlink" Target="https://doi.org/10.1126/sciadv.ady6423" TargetMode="External"/><Relationship Id="rId430" Type="http://schemas.openxmlformats.org/officeDocument/2006/relationships/hyperlink" Target="https://www.science.org/doi/abs/10.1126/sciadv.adz1301?af=R" TargetMode="External"/><Relationship Id="rId431" Type="http://schemas.openxmlformats.org/officeDocument/2006/relationships/hyperlink" Target="https://doi.org/10.1126/sciadv.adz1301" TargetMode="External"/><Relationship Id="rId432" Type="http://schemas.openxmlformats.org/officeDocument/2006/relationships/hyperlink" Target="https://www.science.org/doi/abs/10.1126/sciadv.adz1253?af=R" TargetMode="External"/><Relationship Id="rId433" Type="http://schemas.openxmlformats.org/officeDocument/2006/relationships/hyperlink" Target="https://doi.org/10.1126/sciadv.adz1253" TargetMode="External"/><Relationship Id="rId434" Type="http://schemas.openxmlformats.org/officeDocument/2006/relationships/hyperlink" Target="https://www.science.org/doi/abs/10.1126/sciadv.ady8316?af=R" TargetMode="External"/><Relationship Id="rId435" Type="http://schemas.openxmlformats.org/officeDocument/2006/relationships/hyperlink" Target="https://doi.org/10.1126/sciadv.ady8316" TargetMode="External"/><Relationship Id="rId436" Type="http://schemas.openxmlformats.org/officeDocument/2006/relationships/hyperlink" Target="https://www.science.org/doi/abs/10.1126/sciadv.adz0229?af=R" TargetMode="External"/><Relationship Id="rId437" Type="http://schemas.openxmlformats.org/officeDocument/2006/relationships/hyperlink" Target="https://doi.org/10.1126/sciadv.adz0229" TargetMode="External"/><Relationship Id="rId438" Type="http://schemas.openxmlformats.org/officeDocument/2006/relationships/hyperlink" Target="http://dx.doi.org/10.1021/jacs.5c18484" TargetMode="External"/><Relationship Id="rId439" Type="http://schemas.openxmlformats.org/officeDocument/2006/relationships/hyperlink" Target="https://doi.org/10.1021/jacs.5c18484" TargetMode="External"/><Relationship Id="rId440" Type="http://schemas.openxmlformats.org/officeDocument/2006/relationships/hyperlink" Target="https://advanced.onlinelibrary.wiley.com/doi/10.1002/adma.202521268?af=R" TargetMode="External"/><Relationship Id="rId441" Type="http://schemas.openxmlformats.org/officeDocument/2006/relationships/hyperlink" Target="https://doi.org/10.1002/adma.202521268" TargetMode="External"/><Relationship Id="rId442" Type="http://schemas.openxmlformats.org/officeDocument/2006/relationships/hyperlink" Target="https://advanced.onlinelibrary.wiley.com/doi/10.1002/adma.202510848?af=R" TargetMode="External"/><Relationship Id="rId443" Type="http://schemas.openxmlformats.org/officeDocument/2006/relationships/hyperlink" Target="https://doi.org/10.1002/adma.202510848" TargetMode="External"/><Relationship Id="rId444" Type="http://schemas.openxmlformats.org/officeDocument/2006/relationships/hyperlink" Target="https://onlinelibrary.wiley.com/doi/10.1002/anie.202523116?af=R" TargetMode="External"/><Relationship Id="rId445" Type="http://schemas.openxmlformats.org/officeDocument/2006/relationships/hyperlink" Target="https://doi.org/10.1002/anie.202523116" TargetMode="External"/><Relationship Id="rId446" Type="http://schemas.openxmlformats.org/officeDocument/2006/relationships/hyperlink" Target="https://onlinelibrary.wiley.com/doi/10.1002/anie.202519237?af=R" TargetMode="External"/><Relationship Id="rId447" Type="http://schemas.openxmlformats.org/officeDocument/2006/relationships/hyperlink" Target="https://doi.org/10.1002/anie.202519237" TargetMode="External"/><Relationship Id="rId448" Type="http://schemas.openxmlformats.org/officeDocument/2006/relationships/hyperlink" Target="https://advanced.onlinelibrary.wiley.com/doi/10.1002/aenm.202505089?af=R" TargetMode="External"/><Relationship Id="rId449" Type="http://schemas.openxmlformats.org/officeDocument/2006/relationships/hyperlink" Target="https://doi.org/10.1002/aenm.202505089" TargetMode="External"/><Relationship Id="rId450" Type="http://schemas.openxmlformats.org/officeDocument/2006/relationships/hyperlink" Target="https://advanced.onlinelibrary.wiley.com/doi/10.1002/aenm.202506017?af=R" TargetMode="External"/><Relationship Id="rId451" Type="http://schemas.openxmlformats.org/officeDocument/2006/relationships/hyperlink" Target="https://doi.org/10.1002/aenm.202506017" TargetMode="External"/><Relationship Id="rId452" Type="http://schemas.openxmlformats.org/officeDocument/2006/relationships/hyperlink" Target="https://onlinelibrary.wiley.com/doi/10.1002/anie.202521473?af=R" TargetMode="External"/><Relationship Id="rId453" Type="http://schemas.openxmlformats.org/officeDocument/2006/relationships/hyperlink" Target="https://doi.org/10.1002/anie.202521473" TargetMode="External"/><Relationship Id="rId454" Type="http://schemas.openxmlformats.org/officeDocument/2006/relationships/hyperlink" Target="https://advanced.onlinelibrary.wiley.com/doi/10.1002/adma.202522467?af=R" TargetMode="External"/><Relationship Id="rId455" Type="http://schemas.openxmlformats.org/officeDocument/2006/relationships/hyperlink" Target="https://doi.org/10.1002/adma.202522467" TargetMode="External"/><Relationship Id="rId456" Type="http://schemas.openxmlformats.org/officeDocument/2006/relationships/hyperlink" Target="https://advanced.onlinelibrary.wiley.com/doi/10.1002/adma.202521164?af=R" TargetMode="External"/><Relationship Id="rId457" Type="http://schemas.openxmlformats.org/officeDocument/2006/relationships/hyperlink" Target="https://doi.org/10.1002/adma.202521164" TargetMode="External"/><Relationship Id="rId458" Type="http://schemas.openxmlformats.org/officeDocument/2006/relationships/hyperlink" Target="https://onlinelibrary.wiley.com/doi/10.1002/anie.202523391?af=R" TargetMode="External"/><Relationship Id="rId459" Type="http://schemas.openxmlformats.org/officeDocument/2006/relationships/hyperlink" Target="https://doi.org/10.1002/anie.202523391" TargetMode="External"/><Relationship Id="rId460" Type="http://schemas.openxmlformats.org/officeDocument/2006/relationships/hyperlink" Target="https://advanced.onlinelibrary.wiley.com/doi/10.1002/adma.202520754?af=R" TargetMode="External"/><Relationship Id="rId461" Type="http://schemas.openxmlformats.org/officeDocument/2006/relationships/hyperlink" Target="https://doi.org/10.1002/adma.202520754" TargetMode="External"/><Relationship Id="rId462" Type="http://schemas.openxmlformats.org/officeDocument/2006/relationships/hyperlink" Target="https://onlinelibrary.wiley.com/doi/10.1002/anie.202523771?af=R" TargetMode="External"/><Relationship Id="rId463" Type="http://schemas.openxmlformats.org/officeDocument/2006/relationships/hyperlink" Target="https://doi.org/10.1002/anie.202523771" TargetMode="External"/><Relationship Id="rId464" Type="http://schemas.openxmlformats.org/officeDocument/2006/relationships/hyperlink" Target="https://advanced.onlinelibrary.wiley.com/doi/10.1002/adma.202517111?af=R" TargetMode="External"/><Relationship Id="rId465" Type="http://schemas.openxmlformats.org/officeDocument/2006/relationships/hyperlink" Target="https://doi.org/10.1002/adma.202517111" TargetMode="External"/><Relationship Id="rId466" Type="http://schemas.openxmlformats.org/officeDocument/2006/relationships/hyperlink" Target="http://dx.doi.org/10.1021/acsenergylett.5c04078" TargetMode="External"/><Relationship Id="rId467" Type="http://schemas.openxmlformats.org/officeDocument/2006/relationships/hyperlink" Target="https://doi.org/10.1021/acsenergylett.5c04078" TargetMode="External"/><Relationship Id="rId468" Type="http://schemas.openxmlformats.org/officeDocument/2006/relationships/hyperlink" Target="https://advanced.onlinelibrary.wiley.com/doi/10.1002/aenm.70449?af=R" TargetMode="External"/><Relationship Id="rId469" Type="http://schemas.openxmlformats.org/officeDocument/2006/relationships/hyperlink" Target="https://doi.org/10.1002/aenm.70449" TargetMode="External"/><Relationship Id="rId470" Type="http://schemas.openxmlformats.org/officeDocument/2006/relationships/hyperlink" Target="https://advanced.onlinelibrary.wiley.com/doi/10.1002/aenm.70448?af=R" TargetMode="External"/><Relationship Id="rId471" Type="http://schemas.openxmlformats.org/officeDocument/2006/relationships/hyperlink" Target="https://doi.org/10.1002/aenm.70448" TargetMode="External"/><Relationship Id="rId472" Type="http://schemas.openxmlformats.org/officeDocument/2006/relationships/hyperlink" Target="http://dx.doi.org/10.1021/jacs.5c17377" TargetMode="External"/><Relationship Id="rId473" Type="http://schemas.openxmlformats.org/officeDocument/2006/relationships/hyperlink" Target="https://doi.org/10.1021/jacs.5c17377" TargetMode="External"/><Relationship Id="rId474" Type="http://schemas.openxmlformats.org/officeDocument/2006/relationships/hyperlink" Target="http://dx.doi.org/10.1021/jacs.5c17976" TargetMode="External"/><Relationship Id="rId475" Type="http://schemas.openxmlformats.org/officeDocument/2006/relationships/hyperlink" Target="https://doi.org/10.1021/jacs.5c17976" TargetMode="External"/><Relationship Id="rId476" Type="http://schemas.openxmlformats.org/officeDocument/2006/relationships/hyperlink" Target="https://onlinelibrary.wiley.com/doi/10.1002/anie.202519600?af=R" TargetMode="External"/><Relationship Id="rId477" Type="http://schemas.openxmlformats.org/officeDocument/2006/relationships/hyperlink" Target="https://doi.org/10.1002/anie.202519600" TargetMode="External"/><Relationship Id="rId478" Type="http://schemas.openxmlformats.org/officeDocument/2006/relationships/hyperlink" Target="https://onlinelibrary.wiley.com/doi/10.1002/anie.202523520?af=R" TargetMode="External"/><Relationship Id="rId479" Type="http://schemas.openxmlformats.org/officeDocument/2006/relationships/hyperlink" Target="https://doi.org/10.1002/anie.202523520" TargetMode="External"/><Relationship Id="rId480" Type="http://schemas.openxmlformats.org/officeDocument/2006/relationships/hyperlink" Target="http://dx.doi.org/10.1021/jacs.5c11463" TargetMode="External"/><Relationship Id="rId481" Type="http://schemas.openxmlformats.org/officeDocument/2006/relationships/hyperlink" Target="https://doi.org/10.1021/jacs.5c11463" TargetMode="External"/><Relationship Id="rId482" Type="http://schemas.openxmlformats.org/officeDocument/2006/relationships/hyperlink" Target="http://dx.doi.org/10.1021/jacs.5c18223" TargetMode="External"/><Relationship Id="rId483" Type="http://schemas.openxmlformats.org/officeDocument/2006/relationships/hyperlink" Target="https://doi.org/10.1021/jacs.5c18223" TargetMode="External"/><Relationship Id="rId484" Type="http://schemas.openxmlformats.org/officeDocument/2006/relationships/hyperlink" Target="http://dx.doi.org/10.1021/acsenergylett.5c03483" TargetMode="External"/><Relationship Id="rId485" Type="http://schemas.openxmlformats.org/officeDocument/2006/relationships/hyperlink" Target="https://doi.org/10.1021/acsenergylett.5c03483" TargetMode="External"/><Relationship Id="rId486" Type="http://schemas.openxmlformats.org/officeDocument/2006/relationships/hyperlink" Target="http://dx.doi.org/10.1021/jacs.5c17145" TargetMode="External"/><Relationship Id="rId487" Type="http://schemas.openxmlformats.org/officeDocument/2006/relationships/hyperlink" Target="https://doi.org/10.1021/jacs.5c17145" TargetMode="External"/><Relationship Id="rId488" Type="http://schemas.openxmlformats.org/officeDocument/2006/relationships/hyperlink" Target="http://dx.doi.org/10.1021/acsenergylett.5c03804" TargetMode="External"/><Relationship Id="rId489" Type="http://schemas.openxmlformats.org/officeDocument/2006/relationships/hyperlink" Target="https://doi.org/10.1021/acsenergylett.5c03804" TargetMode="External"/><Relationship Id="rId490" Type="http://schemas.openxmlformats.org/officeDocument/2006/relationships/hyperlink" Target="https://onlinelibrary.wiley.com/doi/10.1002/anie.202519002?af=R" TargetMode="External"/><Relationship Id="rId491" Type="http://schemas.openxmlformats.org/officeDocument/2006/relationships/hyperlink" Target="https://doi.org/10.1002/anie.202519002" TargetMode="External"/><Relationship Id="rId492" Type="http://schemas.openxmlformats.org/officeDocument/2006/relationships/hyperlink" Target="https://advanced.onlinelibrary.wiley.com/doi/10.1002/adma.202514994?af=R" TargetMode="External"/><Relationship Id="rId493" Type="http://schemas.openxmlformats.org/officeDocument/2006/relationships/hyperlink" Target="https://doi.org/10.1002/adma.202514994" TargetMode="External"/><Relationship Id="rId494" Type="http://schemas.openxmlformats.org/officeDocument/2006/relationships/hyperlink" Target="https://advanced.onlinelibrary.wiley.com/doi/10.1002/aenm.202505447?af=R" TargetMode="External"/><Relationship Id="rId495" Type="http://schemas.openxmlformats.org/officeDocument/2006/relationships/hyperlink" Target="https://doi.org/10.1002/aenm.202505447" TargetMode="External"/><Relationship Id="rId496" Type="http://schemas.openxmlformats.org/officeDocument/2006/relationships/hyperlink" Target="https://advanced.onlinelibrary.wiley.com/doi/10.1002/adma.202519708?af=R" TargetMode="External"/><Relationship Id="rId497" Type="http://schemas.openxmlformats.org/officeDocument/2006/relationships/hyperlink" Target="https://doi.org/10.1002/adma.202519708" TargetMode="External"/><Relationship Id="rId498" Type="http://schemas.openxmlformats.org/officeDocument/2006/relationships/hyperlink" Target="https://onlinelibrary.wiley.com/doi/10.1002/anie.202521454?af=R" TargetMode="External"/><Relationship Id="rId499" Type="http://schemas.openxmlformats.org/officeDocument/2006/relationships/hyperlink" Target="https://doi.org/10.1002/anie.202521454" TargetMode="External"/><Relationship Id="rId500" Type="http://schemas.openxmlformats.org/officeDocument/2006/relationships/hyperlink" Target="http://dx.doi.org/10.1021/jacs.5c14419" TargetMode="External"/><Relationship Id="rId501" Type="http://schemas.openxmlformats.org/officeDocument/2006/relationships/hyperlink" Target="https://doi.org/10.1021/jacs.5c14419" TargetMode="External"/><Relationship Id="rId502" Type="http://schemas.openxmlformats.org/officeDocument/2006/relationships/hyperlink" Target="http://dx.doi.org/10.1021/jacs.5c18522" TargetMode="External"/><Relationship Id="rId503" Type="http://schemas.openxmlformats.org/officeDocument/2006/relationships/hyperlink" Target="https://doi.org/10.1021/jacs.5c18522" TargetMode="External"/><Relationship Id="rId504" Type="http://schemas.openxmlformats.org/officeDocument/2006/relationships/hyperlink" Target="http://dx.doi.org/10.1021/jacs.5c18964" TargetMode="External"/><Relationship Id="rId505" Type="http://schemas.openxmlformats.org/officeDocument/2006/relationships/hyperlink" Target="https://doi.org/10.1021/jacs.5c18964" TargetMode="External"/><Relationship Id="rId506" Type="http://schemas.openxmlformats.org/officeDocument/2006/relationships/hyperlink" Target="http://dx.doi.org/10.1021/acsenergylett.5c02835" TargetMode="External"/><Relationship Id="rId507" Type="http://schemas.openxmlformats.org/officeDocument/2006/relationships/hyperlink" Target="https://doi.org/10.1021/acsenergylett.5c02835" TargetMode="External"/><Relationship Id="rId508" Type="http://schemas.openxmlformats.org/officeDocument/2006/relationships/hyperlink" Target="http://dx.doi.org/10.1021/jacs.5c19015" TargetMode="External"/><Relationship Id="rId509" Type="http://schemas.openxmlformats.org/officeDocument/2006/relationships/hyperlink" Target="https://doi.org/10.1021/jacs.5c19015" TargetMode="External"/><Relationship Id="rId510" Type="http://schemas.openxmlformats.org/officeDocument/2006/relationships/hyperlink" Target="http://dx.doi.org/10.1021/jacs.5c19331" TargetMode="External"/><Relationship Id="rId511" Type="http://schemas.openxmlformats.org/officeDocument/2006/relationships/hyperlink" Target="https://doi.org/10.1021/jacs.5c19331" TargetMode="External"/><Relationship Id="rId512" Type="http://schemas.openxmlformats.org/officeDocument/2006/relationships/hyperlink" Target="http://dx.doi.org/10.1021/jacs.5c20554" TargetMode="External"/><Relationship Id="rId513" Type="http://schemas.openxmlformats.org/officeDocument/2006/relationships/hyperlink" Target="https://doi.org/10.1021/jacs.5c20554" TargetMode="External"/><Relationship Id="rId514" Type="http://schemas.openxmlformats.org/officeDocument/2006/relationships/hyperlink" Target="http://dx.doi.org/10.1021/jacs.5c17879" TargetMode="External"/><Relationship Id="rId515" Type="http://schemas.openxmlformats.org/officeDocument/2006/relationships/hyperlink" Target="https://doi.org/10.1021/jacs.5c17879" TargetMode="External"/><Relationship Id="rId516" Type="http://schemas.openxmlformats.org/officeDocument/2006/relationships/hyperlink" Target="http://dx.doi.org/10.1021/acsenergylett.5c03612" TargetMode="External"/><Relationship Id="rId517" Type="http://schemas.openxmlformats.org/officeDocument/2006/relationships/hyperlink" Target="https://doi.org/10.1021/acsenergylett.5c03612" TargetMode="External"/><Relationship Id="rId518" Type="http://schemas.openxmlformats.org/officeDocument/2006/relationships/hyperlink" Target="http://dx.doi.org/10.1021/jacs.5c19459" TargetMode="External"/><Relationship Id="rId519" Type="http://schemas.openxmlformats.org/officeDocument/2006/relationships/hyperlink" Target="https://doi.org/10.1021/jacs.5c19459" TargetMode="External"/><Relationship Id="rId520" Type="http://schemas.openxmlformats.org/officeDocument/2006/relationships/hyperlink" Target="http://dx.doi.org/10.1021/acs.chemrev.5c00825" TargetMode="External"/><Relationship Id="rId521" Type="http://schemas.openxmlformats.org/officeDocument/2006/relationships/hyperlink" Target="https://doi.org/10.1021/acs.chemrev.5c00825" TargetMode="External"/><Relationship Id="rId522" Type="http://schemas.openxmlformats.org/officeDocument/2006/relationships/hyperlink" Target="https://www.nature.com/articles/s41578-025-00874-3" TargetMode="External"/><Relationship Id="rId523" Type="http://schemas.openxmlformats.org/officeDocument/2006/relationships/hyperlink" Target="https://www.cell.com/one-earth/fulltext/S2590-3322(25)00398-7?rss=yes" TargetMode="External"/><Relationship Id="rId524" Type="http://schemas.openxmlformats.org/officeDocument/2006/relationships/hyperlink" Target="https://www.nature.com/articles/s44359-025-00125-2" TargetMode="External"/><Relationship Id="rId525" Type="http://schemas.openxmlformats.org/officeDocument/2006/relationships/hyperlink" Target="https://www.nature.com/articles/s41586-025-10081-3" TargetMode="External"/><Relationship Id="rId526" Type="http://schemas.openxmlformats.org/officeDocument/2006/relationships/hyperlink" Target="https://www.nature.com/articles/s41467-025-68237-8" TargetMode="External"/><Relationship Id="rId527" Type="http://schemas.openxmlformats.org/officeDocument/2006/relationships/hyperlink" Target="http://pubs.rsc.org/en/Content/ArticleLanding/2026/EE/D5EE90122G" TargetMode="External"/><Relationship Id="rId528" Type="http://schemas.openxmlformats.org/officeDocument/2006/relationships/hyperlink" Target="https://www.nature.com/articles/s41893-025-01717-3" TargetMode="External"/><Relationship Id="rId529" Type="http://schemas.openxmlformats.org/officeDocument/2006/relationships/hyperlink" Target="https://www.sciencedirect.com/science/article/pii/S1369702125005449?dgcid=rss_sd_all" TargetMode="External"/><Relationship Id="rId530" Type="http://schemas.openxmlformats.org/officeDocument/2006/relationships/hyperlink" Target="https://academic.oup.com/nsr/advance-article/doi/10.1093/nsr/nwag008/8417170?rss=1" TargetMode="External"/><Relationship Id="rId531" Type="http://schemas.openxmlformats.org/officeDocument/2006/relationships/hyperlink" Target="https://doi.org/10.1093/nsr/nwag008/8417170" TargetMode="External"/><Relationship Id="rId532" Type="http://schemas.openxmlformats.org/officeDocument/2006/relationships/hyperlink" Target="https://www.nature.com/articles/s41467-025-68209-y" TargetMode="External"/><Relationship Id="rId533" Type="http://schemas.openxmlformats.org/officeDocument/2006/relationships/hyperlink" Target="https://www.nature.com/articles/d41586-026-00080-3" TargetMode="External"/><Relationship Id="rId534" Type="http://schemas.openxmlformats.org/officeDocument/2006/relationships/hyperlink" Target="https://www.nature.com/articles/d41586-025-04154-6" TargetMode="External"/><Relationship Id="rId535" Type="http://schemas.openxmlformats.org/officeDocument/2006/relationships/hyperlink" Target="https://academic.oup.com/nsr/advance-article/doi/10.1093/nsr/nwag009/8417167?rss=1" TargetMode="External"/><Relationship Id="rId536" Type="http://schemas.openxmlformats.org/officeDocument/2006/relationships/hyperlink" Target="https://doi.org/10.1093/nsr/nwag009/8417167" TargetMode="External"/><Relationship Id="rId537" Type="http://schemas.openxmlformats.org/officeDocument/2006/relationships/hyperlink" Target="https://www.nature.com/articles/s41467-025-67984-y" TargetMode="External"/><Relationship Id="rId538" Type="http://schemas.openxmlformats.org/officeDocument/2006/relationships/hyperlink" Target="https://www.nature.com/articles/s41467-025-68152-y" TargetMode="External"/><Relationship Id="rId539" Type="http://schemas.openxmlformats.org/officeDocument/2006/relationships/hyperlink" Target="https://www.nature.com/articles/s41467-025-68140-2" TargetMode="External"/><Relationship Id="rId540" Type="http://schemas.openxmlformats.org/officeDocument/2006/relationships/hyperlink" Target="https://www.nature.com/articles/s41928-025-01529-5" TargetMode="External"/><Relationship Id="rId541" Type="http://schemas.openxmlformats.org/officeDocument/2006/relationships/hyperlink" Target="https://www.nature.com/articles/s41467-025-68124-2" TargetMode="External"/><Relationship Id="rId542" Type="http://schemas.openxmlformats.org/officeDocument/2006/relationships/hyperlink" Target="https://www.nature.com/articles/d41586-026-00007-y" TargetMode="External"/><Relationship Id="rId543" Type="http://schemas.openxmlformats.org/officeDocument/2006/relationships/hyperlink" Target="https://www.nature.com/articles/s41467-025-68089-2" TargetMode="External"/><Relationship Id="rId544" Type="http://schemas.openxmlformats.org/officeDocument/2006/relationships/hyperlink" Target="http://pubs.rsc.org/en/Content/ArticleLanding/2026/EE/D5EE06683B" TargetMode="External"/><Relationship Id="rId545" Type="http://schemas.openxmlformats.org/officeDocument/2006/relationships/hyperlink" Target="https://www.nature.com/articles/d41586-026-00008-x" TargetMode="External"/><Relationship Id="rId546" Type="http://schemas.openxmlformats.org/officeDocument/2006/relationships/hyperlink" Target="https://advanced.onlinelibrary.wiley.com/doi/10.1002/aenm.202506771?af=R" TargetMode="External"/><Relationship Id="rId547" Type="http://schemas.openxmlformats.org/officeDocument/2006/relationships/hyperlink" Target="https://doi.org/10.1002/aenm.202506771" TargetMode="External"/><Relationship Id="rId548" Type="http://schemas.openxmlformats.org/officeDocument/2006/relationships/hyperlink" Target="https://advanced.onlinelibrary.wiley.com/doi/10.1002/aenm.202506171?af=R" TargetMode="External"/><Relationship Id="rId549" Type="http://schemas.openxmlformats.org/officeDocument/2006/relationships/hyperlink" Target="https://doi.org/10.1002/aenm.202506171" TargetMode="External"/><Relationship Id="rId550" Type="http://schemas.openxmlformats.org/officeDocument/2006/relationships/hyperlink" Target="https://onlinelibrary.wiley.com/doi/10.1002/anie.202521882?af=R" TargetMode="External"/><Relationship Id="rId551" Type="http://schemas.openxmlformats.org/officeDocument/2006/relationships/hyperlink" Target="https://doi.org/10.1002/anie.202521882" TargetMode="External"/><Relationship Id="rId552" Type="http://schemas.openxmlformats.org/officeDocument/2006/relationships/hyperlink" Target="https://onlinelibrary.wiley.com/doi/10.1002/anie.202521805?af=R" TargetMode="External"/><Relationship Id="rId553" Type="http://schemas.openxmlformats.org/officeDocument/2006/relationships/hyperlink" Target="https://doi.org/10.1002/anie.202521805" TargetMode="External"/><Relationship Id="rId554" Type="http://schemas.openxmlformats.org/officeDocument/2006/relationships/hyperlink" Target="https://onlinelibrary.wiley.com/doi/10.1002/anie.202514547?af=R" TargetMode="External"/><Relationship Id="rId555" Type="http://schemas.openxmlformats.org/officeDocument/2006/relationships/hyperlink" Target="https://doi.org/10.1002/anie.202514547" TargetMode="External"/><Relationship Id="rId556" Type="http://schemas.openxmlformats.org/officeDocument/2006/relationships/hyperlink" Target="https://onlinelibrary.wiley.com/doi/10.1002/anie.202520252?af=R" TargetMode="External"/><Relationship Id="rId557" Type="http://schemas.openxmlformats.org/officeDocument/2006/relationships/hyperlink" Target="https://doi.org/10.1002/anie.202520252" TargetMode="External"/><Relationship Id="rId558" Type="http://schemas.openxmlformats.org/officeDocument/2006/relationships/hyperlink" Target="https://onlinelibrary.wiley.com/doi/10.1002/anie.202525179?af=R" TargetMode="External"/><Relationship Id="rId559" Type="http://schemas.openxmlformats.org/officeDocument/2006/relationships/hyperlink" Target="https://doi.org/10.1002/anie.202525179" TargetMode="External"/><Relationship Id="rId560" Type="http://schemas.openxmlformats.org/officeDocument/2006/relationships/hyperlink" Target="https://onlinelibrary.wiley.com/doi/10.1002/anie.202520403?af=R" TargetMode="External"/><Relationship Id="rId561" Type="http://schemas.openxmlformats.org/officeDocument/2006/relationships/hyperlink" Target="https://doi.org/10.1002/anie.202520403" TargetMode="External"/><Relationship Id="rId562" Type="http://schemas.openxmlformats.org/officeDocument/2006/relationships/hyperlink" Target="https://advanced.onlinelibrary.wiley.com/doi/10.1002/aenm.202504621?af=R" TargetMode="External"/><Relationship Id="rId563" Type="http://schemas.openxmlformats.org/officeDocument/2006/relationships/hyperlink" Target="https://doi.org/10.1002/aenm.202504621" TargetMode="External"/><Relationship Id="rId564" Type="http://schemas.openxmlformats.org/officeDocument/2006/relationships/hyperlink" Target="https://advanced.onlinelibrary.wiley.com/doi/10.1002/aenm.202505848?af=R" TargetMode="External"/><Relationship Id="rId565" Type="http://schemas.openxmlformats.org/officeDocument/2006/relationships/hyperlink" Target="https://doi.org/10.1002/aenm.202505848" TargetMode="External"/><Relationship Id="rId566" Type="http://schemas.openxmlformats.org/officeDocument/2006/relationships/hyperlink" Target="https://www.science.org/doi/abs/10.1126/science.aea0656?af=R" TargetMode="External"/><Relationship Id="rId567" Type="http://schemas.openxmlformats.org/officeDocument/2006/relationships/hyperlink" Target="https://doi.org/10.1126/science.aea0656" TargetMode="External"/><Relationship Id="rId568" Type="http://schemas.openxmlformats.org/officeDocument/2006/relationships/hyperlink" Target="https://www.science.org/doi/abs/10.1126/science.aed3920?af=R" TargetMode="External"/><Relationship Id="rId569" Type="http://schemas.openxmlformats.org/officeDocument/2006/relationships/hyperlink" Target="https://doi.org/10.1126/science.aed3920" TargetMode="External"/><Relationship Id="rId570" Type="http://schemas.openxmlformats.org/officeDocument/2006/relationships/hyperlink" Target="https://www.science.org/doi/abs/10.1126/science.aed9259?af=R" TargetMode="External"/><Relationship Id="rId571" Type="http://schemas.openxmlformats.org/officeDocument/2006/relationships/hyperlink" Target="https://doi.org/10.1126/science.aed9259" TargetMode="External"/><Relationship Id="rId572" Type="http://schemas.openxmlformats.org/officeDocument/2006/relationships/hyperlink" Target="https://www.science.org/doi/abs/10.1126/science.aec8685?af=R" TargetMode="External"/><Relationship Id="rId573" Type="http://schemas.openxmlformats.org/officeDocument/2006/relationships/hyperlink" Target="https://doi.org/10.1126/science.aec8685" TargetMode="External"/><Relationship Id="rId574" Type="http://schemas.openxmlformats.org/officeDocument/2006/relationships/hyperlink" Target="https://www.science.org/doi/abs/10.1126/science.aec7911?af=R" TargetMode="External"/><Relationship Id="rId575" Type="http://schemas.openxmlformats.org/officeDocument/2006/relationships/hyperlink" Target="https://doi.org/10.1126/science.aec7911" TargetMode="External"/><Relationship Id="rId576" Type="http://schemas.openxmlformats.org/officeDocument/2006/relationships/hyperlink" Target="https://www.science.org/doi/abs/10.1126/science.aec3158?af=R" TargetMode="External"/><Relationship Id="rId577" Type="http://schemas.openxmlformats.org/officeDocument/2006/relationships/hyperlink" Target="https://doi.org/10.1126/science.aec3158" TargetMode="External"/><Relationship Id="rId578" Type="http://schemas.openxmlformats.org/officeDocument/2006/relationships/hyperlink" Target="https://www.science.org/doi/abs/10.1126/science.aea8228?af=R" TargetMode="External"/><Relationship Id="rId579" Type="http://schemas.openxmlformats.org/officeDocument/2006/relationships/hyperlink" Target="https://doi.org/10.1126/science.aea8228" TargetMode="External"/><Relationship Id="rId580" Type="http://schemas.openxmlformats.org/officeDocument/2006/relationships/hyperlink" Target="https://www.science.org/doi/abs/10.1126/science.aec3061?af=R" TargetMode="External"/><Relationship Id="rId581" Type="http://schemas.openxmlformats.org/officeDocument/2006/relationships/hyperlink" Target="https://doi.org/10.1126/science.aec3061" TargetMode="External"/><Relationship Id="rId582" Type="http://schemas.openxmlformats.org/officeDocument/2006/relationships/hyperlink" Target="https://www.science.org/doi/abs/10.1126/science.aec9651?af=R" TargetMode="External"/><Relationship Id="rId583" Type="http://schemas.openxmlformats.org/officeDocument/2006/relationships/hyperlink" Target="https://doi.org/10.1126/science.aec9651" TargetMode="External"/><Relationship Id="rId584" Type="http://schemas.openxmlformats.org/officeDocument/2006/relationships/hyperlink" Target="https://www.science.org/doi/abs/10.1126/science.adw3340?af=R" TargetMode="External"/><Relationship Id="rId585" Type="http://schemas.openxmlformats.org/officeDocument/2006/relationships/hyperlink" Target="https://doi.org/10.1126/science.adw3340" TargetMode="External"/><Relationship Id="rId586" Type="http://schemas.openxmlformats.org/officeDocument/2006/relationships/hyperlink" Target="https://www.science.org/doi/abs/10.1126/science.aef2260?af=R" TargetMode="External"/><Relationship Id="rId587" Type="http://schemas.openxmlformats.org/officeDocument/2006/relationships/hyperlink" Target="https://doi.org/10.1126/science.aef2260" TargetMode="External"/><Relationship Id="rId588" Type="http://schemas.openxmlformats.org/officeDocument/2006/relationships/hyperlink" Target="https://www.science.org/doi/abs/10.1126/science.adq9891?af=R" TargetMode="External"/><Relationship Id="rId589" Type="http://schemas.openxmlformats.org/officeDocument/2006/relationships/hyperlink" Target="https://doi.org/10.1126/science.adq9891" TargetMode="External"/><Relationship Id="rId590" Type="http://schemas.openxmlformats.org/officeDocument/2006/relationships/hyperlink" Target="https://www.science.org/doi/abs/10.1126/science.aee1473?af=R" TargetMode="External"/><Relationship Id="rId591" Type="http://schemas.openxmlformats.org/officeDocument/2006/relationships/hyperlink" Target="https://doi.org/10.1126/science.aee1473" TargetMode="External"/><Relationship Id="rId592" Type="http://schemas.openxmlformats.org/officeDocument/2006/relationships/hyperlink" Target="https://www.science.org/doi/abs/10.1126/science.aef2259?af=R" TargetMode="External"/><Relationship Id="rId593" Type="http://schemas.openxmlformats.org/officeDocument/2006/relationships/hyperlink" Target="https://doi.org/10.1126/science.aef2259" TargetMode="External"/><Relationship Id="rId594" Type="http://schemas.openxmlformats.org/officeDocument/2006/relationships/hyperlink" Target="https://www.science.org/doi/abs/10.1126/science.aed6843?af=R" TargetMode="External"/><Relationship Id="rId595" Type="http://schemas.openxmlformats.org/officeDocument/2006/relationships/hyperlink" Target="https://doi.org/10.1126/science.aed6843" TargetMode="External"/><Relationship Id="rId596" Type="http://schemas.openxmlformats.org/officeDocument/2006/relationships/hyperlink" Target="https://www.science.org/doi/abs/10.1126/science.aed9350?af=R" TargetMode="External"/><Relationship Id="rId597" Type="http://schemas.openxmlformats.org/officeDocument/2006/relationships/hyperlink" Target="https://doi.org/10.1126/science.aed9350" TargetMode="External"/><Relationship Id="rId598" Type="http://schemas.openxmlformats.org/officeDocument/2006/relationships/hyperlink" Target="https://www.science.org/doi/abs/10.1126/science.aef2261?af=R" TargetMode="External"/><Relationship Id="rId599" Type="http://schemas.openxmlformats.org/officeDocument/2006/relationships/hyperlink" Target="https://doi.org/10.1126/science.aef2261" TargetMode="External"/><Relationship Id="rId600" Type="http://schemas.openxmlformats.org/officeDocument/2006/relationships/hyperlink" Target="https://www.science.org/doi/abs/10.1126/science.aef2262?af=R" TargetMode="External"/><Relationship Id="rId601" Type="http://schemas.openxmlformats.org/officeDocument/2006/relationships/hyperlink" Target="https://doi.org/10.1126/science.aef2262" TargetMode="External"/><Relationship Id="rId602" Type="http://schemas.openxmlformats.org/officeDocument/2006/relationships/hyperlink" Target="https://www.science.org/doi/abs/10.1126/science.aef2597?af=R" TargetMode="External"/><Relationship Id="rId603" Type="http://schemas.openxmlformats.org/officeDocument/2006/relationships/hyperlink" Target="https://doi.org/10.1126/science.aef2597" TargetMode="External"/><Relationship Id="rId604" Type="http://schemas.openxmlformats.org/officeDocument/2006/relationships/hyperlink" Target="https://www.science.org/doi/abs/10.1126/science.aef2599?af=R" TargetMode="External"/><Relationship Id="rId605" Type="http://schemas.openxmlformats.org/officeDocument/2006/relationships/hyperlink" Target="https://doi.org/10.1126/science.aef2599" TargetMode="External"/><Relationship Id="rId606" Type="http://schemas.openxmlformats.org/officeDocument/2006/relationships/hyperlink" Target="https://www.science.org/doi/abs/10.1126/science.aea6130?af=R" TargetMode="External"/><Relationship Id="rId607" Type="http://schemas.openxmlformats.org/officeDocument/2006/relationships/hyperlink" Target="https://doi.org/10.1126/science.aea6130" TargetMode="External"/><Relationship Id="rId608" Type="http://schemas.openxmlformats.org/officeDocument/2006/relationships/hyperlink" Target="https://www.science.org/doi/abs/10.1126/science.aed7126?af=R" TargetMode="External"/><Relationship Id="rId609" Type="http://schemas.openxmlformats.org/officeDocument/2006/relationships/hyperlink" Target="https://doi.org/10.1126/science.aed7126" TargetMode="External"/><Relationship Id="rId610" Type="http://schemas.openxmlformats.org/officeDocument/2006/relationships/hyperlink" Target="https://www.science.org/doi/abs/10.1126/science.aef2600?af=R" TargetMode="External"/><Relationship Id="rId611" Type="http://schemas.openxmlformats.org/officeDocument/2006/relationships/hyperlink" Target="https://doi.org/10.1126/science.aef2600" TargetMode="External"/><Relationship Id="rId612" Type="http://schemas.openxmlformats.org/officeDocument/2006/relationships/hyperlink" Target="https://www.science.org/doi/abs/10.1126/science.aef2601?af=R" TargetMode="External"/><Relationship Id="rId613" Type="http://schemas.openxmlformats.org/officeDocument/2006/relationships/hyperlink" Target="https://doi.org/10.1126/science.aef2601" TargetMode="External"/><Relationship Id="rId614" Type="http://schemas.openxmlformats.org/officeDocument/2006/relationships/hyperlink" Target="https://www.science.org/doi/abs/10.1126/science.aef2602?af=R" TargetMode="External"/><Relationship Id="rId615" Type="http://schemas.openxmlformats.org/officeDocument/2006/relationships/hyperlink" Target="https://doi.org/10.1126/science.aef2602" TargetMode="External"/><Relationship Id="rId616" Type="http://schemas.openxmlformats.org/officeDocument/2006/relationships/hyperlink" Target="https://www.science.org/doi/abs/10.1126/science.aed9273?af=R" TargetMode="External"/><Relationship Id="rId617" Type="http://schemas.openxmlformats.org/officeDocument/2006/relationships/hyperlink" Target="https://doi.org/10.1126/science.aed9273" TargetMode="External"/><Relationship Id="rId618" Type="http://schemas.openxmlformats.org/officeDocument/2006/relationships/hyperlink" Target="https://www.science.org/doi/abs/10.1126/science.adk9181?af=R" TargetMode="External"/><Relationship Id="rId619" Type="http://schemas.openxmlformats.org/officeDocument/2006/relationships/hyperlink" Target="https://doi.org/10.1126/science.adk9181" TargetMode="External"/><Relationship Id="rId620" Type="http://schemas.openxmlformats.org/officeDocument/2006/relationships/hyperlink" Target="https://www.science.org/doi/abs/10.1126/science.adq5474?af=R" TargetMode="External"/><Relationship Id="rId621" Type="http://schemas.openxmlformats.org/officeDocument/2006/relationships/hyperlink" Target="https://doi.org/10.1126/science.adq5474" TargetMode="External"/><Relationship Id="rId622" Type="http://schemas.openxmlformats.org/officeDocument/2006/relationships/hyperlink" Target="https://www.pnas.org/doi/abs/10.1073/pnas.2514761123?mi=eymic2&amp;af=R&amp;access=on&amp;content=articlesChapters&amp;publication=pnas&amp;sortBy=Earliest&amp;target=default" TargetMode="External"/><Relationship Id="rId623" Type="http://schemas.openxmlformats.org/officeDocument/2006/relationships/hyperlink" Target="https://doi.org/10.1073/pnas.2514761123" TargetMode="External"/><Relationship Id="rId624" Type="http://schemas.openxmlformats.org/officeDocument/2006/relationships/hyperlink" Target="https://www.science.org/doi/abs/10.1126/science.aea8344?af=R" TargetMode="External"/><Relationship Id="rId625" Type="http://schemas.openxmlformats.org/officeDocument/2006/relationships/hyperlink" Target="https://doi.org/10.1126/science.aea8344" TargetMode="External"/><Relationship Id="rId626" Type="http://schemas.openxmlformats.org/officeDocument/2006/relationships/hyperlink" Target="https://www.pnas.org/doi/abs/10.1073/pnas.2518358123?mi=eymic2&amp;af=R&amp;access=on&amp;content=articlesChapters&amp;publication=pnas&amp;sortBy=Earliest&amp;target=default" TargetMode="External"/><Relationship Id="rId627" Type="http://schemas.openxmlformats.org/officeDocument/2006/relationships/hyperlink" Target="https://doi.org/10.1073/pnas.2518358123" TargetMode="External"/><Relationship Id="rId628" Type="http://schemas.openxmlformats.org/officeDocument/2006/relationships/hyperlink" Target="https://www.pnas.org/doi/abs/10.1073/pnas.2509156123?mi=eymic2&amp;af=R&amp;access=on&amp;content=articlesChapters&amp;publication=pnas&amp;sortBy=Earliest&amp;target=default" TargetMode="External"/><Relationship Id="rId629" Type="http://schemas.openxmlformats.org/officeDocument/2006/relationships/hyperlink" Target="https://doi.org/10.1073/pnas.2509156123" TargetMode="External"/><Relationship Id="rId630" Type="http://schemas.openxmlformats.org/officeDocument/2006/relationships/hyperlink" Target="https://www.pnas.org/doi/abs/10.1073/pnas.2423340122?mi=eymic2&amp;af=R&amp;access=on&amp;content=articlesChapters&amp;publication=pnas&amp;sortBy=Earliest&amp;target=default" TargetMode="External"/><Relationship Id="rId631" Type="http://schemas.openxmlformats.org/officeDocument/2006/relationships/hyperlink" Target="https://doi.org/10.1073/pnas.2423340122" TargetMode="External"/><Relationship Id="rId632" Type="http://schemas.openxmlformats.org/officeDocument/2006/relationships/hyperlink" Target="https://www.science.org/doi/abs/10.1126/science.aee9878?af=R" TargetMode="External"/><Relationship Id="rId633" Type="http://schemas.openxmlformats.org/officeDocument/2006/relationships/hyperlink" Target="https://doi.org/10.1126/science.aee9878" TargetMode="External"/><Relationship Id="rId634" Type="http://schemas.openxmlformats.org/officeDocument/2006/relationships/hyperlink" Target="https://www.science.org/doi/abs/10.1126/science.aea0890?af=R" TargetMode="External"/><Relationship Id="rId635" Type="http://schemas.openxmlformats.org/officeDocument/2006/relationships/hyperlink" Target="https://doi.org/10.1126/science.aea0890" TargetMode="External"/><Relationship Id="rId636" Type="http://schemas.openxmlformats.org/officeDocument/2006/relationships/hyperlink" Target="https://www.pnas.org/doi/abs/10.1073/pnas.2513990123?mi=eymic2&amp;af=R&amp;access=on&amp;content=articlesChapters&amp;publication=pnas&amp;sortBy=Earliest&amp;target=default" TargetMode="External"/><Relationship Id="rId637" Type="http://schemas.openxmlformats.org/officeDocument/2006/relationships/hyperlink" Target="https://doi.org/10.1073/pnas.2513990123" TargetMode="External"/><Relationship Id="rId638" Type="http://schemas.openxmlformats.org/officeDocument/2006/relationships/hyperlink" Target="https://www.science.org/doi/abs/10.1126/science.adr9608?af=R" TargetMode="External"/><Relationship Id="rId639" Type="http://schemas.openxmlformats.org/officeDocument/2006/relationships/hyperlink" Target="https://doi.org/10.1126/science.adr9608" TargetMode="External"/><Relationship Id="rId640" Type="http://schemas.openxmlformats.org/officeDocument/2006/relationships/hyperlink" Target="https://www.pnas.org/doi/abs/10.1073/pnas.2530472123?mi=eymic2&amp;af=R&amp;access=on&amp;content=articlesChapters&amp;publication=pnas&amp;sortBy=Earliest&amp;target=default" TargetMode="External"/><Relationship Id="rId641" Type="http://schemas.openxmlformats.org/officeDocument/2006/relationships/hyperlink" Target="https://doi.org/10.1073/pnas.2530472123" TargetMode="External"/><Relationship Id="rId642" Type="http://schemas.openxmlformats.org/officeDocument/2006/relationships/hyperlink" Target="https://www.science.org/doi/abs/10.1126/science.adx5781?af=R" TargetMode="External"/><Relationship Id="rId643" Type="http://schemas.openxmlformats.org/officeDocument/2006/relationships/hyperlink" Target="https://doi.org/10.1126/science.adx5781" TargetMode="External"/><Relationship Id="rId644" Type="http://schemas.openxmlformats.org/officeDocument/2006/relationships/hyperlink" Target="https://www.science.org/doi/abs/10.1126/science.ads9530?af=R" TargetMode="External"/><Relationship Id="rId645" Type="http://schemas.openxmlformats.org/officeDocument/2006/relationships/hyperlink" Target="https://doi.org/10.1126/science.ads9530" TargetMode="External"/><Relationship Id="rId646" Type="http://schemas.openxmlformats.org/officeDocument/2006/relationships/hyperlink" Target="https://www.pnas.org/doi/abs/10.1073/pnas.2521841122?mi=eymic2&amp;af=R&amp;access=on&amp;content=articlesChapters&amp;publication=pnas&amp;sortBy=Earliest&amp;target=default" TargetMode="External"/><Relationship Id="rId647" Type="http://schemas.openxmlformats.org/officeDocument/2006/relationships/hyperlink" Target="https://doi.org/10.1073/pnas.2521841122" TargetMode="External"/><Relationship Id="rId648" Type="http://schemas.openxmlformats.org/officeDocument/2006/relationships/hyperlink" Target="https://www.science.org/doi/abs/10.1126/science.adt0559?af=R" TargetMode="External"/><Relationship Id="rId649" Type="http://schemas.openxmlformats.org/officeDocument/2006/relationships/hyperlink" Target="https://doi.org/10.1126/science.adt0559" TargetMode="External"/><Relationship Id="rId650" Type="http://schemas.openxmlformats.org/officeDocument/2006/relationships/hyperlink" Target="https://www.pnas.org/doi/abs/10.1073/pnas.2527258122?mi=eymic2&amp;af=R&amp;access=on&amp;content=articlesChapters&amp;publication=pnas&amp;sortBy=Earliest&amp;target=default" TargetMode="External"/><Relationship Id="rId651" Type="http://schemas.openxmlformats.org/officeDocument/2006/relationships/hyperlink" Target="https://doi.org/10.1073/pnas.2527258122" TargetMode="External"/><Relationship Id="rId652" Type="http://schemas.openxmlformats.org/officeDocument/2006/relationships/hyperlink" Target="https://www.science.org/doi/abs/10.1126/science.adt3130?af=R" TargetMode="External"/><Relationship Id="rId653" Type="http://schemas.openxmlformats.org/officeDocument/2006/relationships/hyperlink" Target="https://doi.org/10.1126/science.adt3130" TargetMode="External"/><Relationship Id="rId654" Type="http://schemas.openxmlformats.org/officeDocument/2006/relationships/hyperlink" Target="https://www.science.org/doi/abs/10.1126/science.adu2182?af=R" TargetMode="External"/><Relationship Id="rId655" Type="http://schemas.openxmlformats.org/officeDocument/2006/relationships/hyperlink" Target="https://doi.org/10.1126/science.adu2182" TargetMode="External"/><Relationship Id="rId656" Type="http://schemas.openxmlformats.org/officeDocument/2006/relationships/hyperlink" Target="https://www.pnas.org/doi/abs/10.1073/pnas.2526682123?mi=eymic2&amp;af=R&amp;access=on&amp;content=articlesChapters&amp;publication=pnas&amp;sortBy=Earliest&amp;target=default" TargetMode="External"/><Relationship Id="rId657" Type="http://schemas.openxmlformats.org/officeDocument/2006/relationships/hyperlink" Target="https://doi.org/10.1073/pnas.2526682123" TargetMode="External"/><Relationship Id="rId658" Type="http://schemas.openxmlformats.org/officeDocument/2006/relationships/hyperlink" Target="https://www.pnas.org/doi/abs/10.1073/pnas.2526544123?mi=eymic2&amp;af=R&amp;access=on&amp;content=articlesChapters&amp;publication=pnas&amp;sortBy=Earliest&amp;target=default" TargetMode="External"/><Relationship Id="rId659" Type="http://schemas.openxmlformats.org/officeDocument/2006/relationships/hyperlink" Target="https://doi.org/10.1073/pnas.2526544123" TargetMode="External"/><Relationship Id="rId660" Type="http://schemas.openxmlformats.org/officeDocument/2006/relationships/hyperlink" Target="http://dx.doi.org/10.1021/jacs.5c20083" TargetMode="External"/><Relationship Id="rId661" Type="http://schemas.openxmlformats.org/officeDocument/2006/relationships/hyperlink" Target="https://doi.org/10.1021/jacs.5c20083" TargetMode="External"/><Relationship Id="rId662" Type="http://schemas.openxmlformats.org/officeDocument/2006/relationships/hyperlink" Target="http://dx.doi.org/10.1021/jacs.5c16419" TargetMode="External"/><Relationship Id="rId663" Type="http://schemas.openxmlformats.org/officeDocument/2006/relationships/hyperlink" Target="https://doi.org/10.1021/jacs.5c16419" TargetMode="External"/><Relationship Id="rId664" Type="http://schemas.openxmlformats.org/officeDocument/2006/relationships/hyperlink" Target="http://dx.doi.org/10.1021/jacs.5c18451" TargetMode="External"/><Relationship Id="rId665" Type="http://schemas.openxmlformats.org/officeDocument/2006/relationships/hyperlink" Target="https://doi.org/10.1021/jacs.5c18451" TargetMode="External"/><Relationship Id="rId666" Type="http://schemas.openxmlformats.org/officeDocument/2006/relationships/hyperlink" Target="http://dx.doi.org/10.1021/jacs.5c20444" TargetMode="External"/><Relationship Id="rId667" Type="http://schemas.openxmlformats.org/officeDocument/2006/relationships/hyperlink" Target="https://doi.org/10.1021/jacs.5c20444" TargetMode="External"/><Relationship Id="rId668" Type="http://schemas.openxmlformats.org/officeDocument/2006/relationships/hyperlink" Target="http://dx.doi.org/10.1021/jacs.5c17737" TargetMode="External"/><Relationship Id="rId669" Type="http://schemas.openxmlformats.org/officeDocument/2006/relationships/hyperlink" Target="https://doi.org/10.1021/jacs.5c17737" TargetMode="External"/><Relationship Id="rId670" Type="http://schemas.openxmlformats.org/officeDocument/2006/relationships/hyperlink" Target="http://dx.doi.org/10.1021/jacs.5c19678" TargetMode="External"/><Relationship Id="rId671" Type="http://schemas.openxmlformats.org/officeDocument/2006/relationships/hyperlink" Target="https://doi.org/10.1021/jacs.5c19678" TargetMode="External"/><Relationship Id="rId672" Type="http://schemas.openxmlformats.org/officeDocument/2006/relationships/hyperlink" Target="http://dx.doi.org/10.1021/jacs.5c15374" TargetMode="External"/><Relationship Id="rId673" Type="http://schemas.openxmlformats.org/officeDocument/2006/relationships/hyperlink" Target="https://doi.org/10.1021/jacs.5c15374" TargetMode="External"/><Relationship Id="rId674" Type="http://schemas.openxmlformats.org/officeDocument/2006/relationships/hyperlink" Target="http://dx.doi.org/10.1021/jacs.5c18028" TargetMode="External"/><Relationship Id="rId675" Type="http://schemas.openxmlformats.org/officeDocument/2006/relationships/hyperlink" Target="https://doi.org/10.1021/jacs.5c18028" TargetMode="External"/><Relationship Id="rId676" Type="http://schemas.openxmlformats.org/officeDocument/2006/relationships/hyperlink" Target="http://dx.doi.org/10.1021/jacs.5c11233" TargetMode="External"/><Relationship Id="rId677" Type="http://schemas.openxmlformats.org/officeDocument/2006/relationships/hyperlink" Target="https://doi.org/10.1021/jacs.5c11233" TargetMode="External"/><Relationship Id="rId678" Type="http://schemas.openxmlformats.org/officeDocument/2006/relationships/hyperlink" Target="http://dx.doi.org/10.1021/jacs.5c18350" TargetMode="External"/><Relationship Id="rId679" Type="http://schemas.openxmlformats.org/officeDocument/2006/relationships/hyperlink" Target="https://doi.org/10.1021/jacs.5c18350" TargetMode="External"/><Relationship Id="rId680" Type="http://schemas.openxmlformats.org/officeDocument/2006/relationships/hyperlink" Target="https://advanced.onlinelibrary.wiley.com/doi/10.1002/adma.202514667?af=R" TargetMode="External"/><Relationship Id="rId681" Type="http://schemas.openxmlformats.org/officeDocument/2006/relationships/hyperlink" Target="https://doi.org/10.1002/adma.202514667" TargetMode="External"/><Relationship Id="rId682" Type="http://schemas.openxmlformats.org/officeDocument/2006/relationships/hyperlink" Target="https://onlinelibrary.wiley.com/doi/10.1002/anie.202521806?af=R" TargetMode="External"/><Relationship Id="rId683" Type="http://schemas.openxmlformats.org/officeDocument/2006/relationships/hyperlink" Target="https://doi.org/10.1002/anie.202521806" TargetMode="External"/><Relationship Id="rId684" Type="http://schemas.openxmlformats.org/officeDocument/2006/relationships/hyperlink" Target="https://onlinelibrary.wiley.com/doi/10.1002/anie.202519056?af=R" TargetMode="External"/><Relationship Id="rId685" Type="http://schemas.openxmlformats.org/officeDocument/2006/relationships/hyperlink" Target="https://doi.org/10.1002/anie.202519056" TargetMode="External"/><Relationship Id="rId686" Type="http://schemas.openxmlformats.org/officeDocument/2006/relationships/hyperlink" Target="https://advanced.onlinelibrary.wiley.com/doi/10.1002/adma.202520491?af=R" TargetMode="External"/><Relationship Id="rId687" Type="http://schemas.openxmlformats.org/officeDocument/2006/relationships/hyperlink" Target="https://doi.org/10.1002/adma.202520491" TargetMode="External"/><Relationship Id="rId688" Type="http://schemas.openxmlformats.org/officeDocument/2006/relationships/hyperlink" Target="https://advanced.onlinelibrary.wiley.com/doi/10.1002/adma.202510834?af=R" TargetMode="External"/><Relationship Id="rId689" Type="http://schemas.openxmlformats.org/officeDocument/2006/relationships/hyperlink" Target="https://doi.org/10.1002/adma.202510834" TargetMode="External"/><Relationship Id="rId690" Type="http://schemas.openxmlformats.org/officeDocument/2006/relationships/hyperlink" Target="https://advanced.onlinelibrary.wiley.com/doi/10.1002/adma.202516478?af=R" TargetMode="External"/><Relationship Id="rId691" Type="http://schemas.openxmlformats.org/officeDocument/2006/relationships/hyperlink" Target="https://doi.org/10.1002/adma.202516478" TargetMode="External"/><Relationship Id="rId692" Type="http://schemas.openxmlformats.org/officeDocument/2006/relationships/hyperlink" Target="https://advanced.onlinelibrary.wiley.com/doi/10.1002/adma.202520423?af=R" TargetMode="External"/><Relationship Id="rId693" Type="http://schemas.openxmlformats.org/officeDocument/2006/relationships/hyperlink" Target="https://doi.org/10.1002/adma.202520423" TargetMode="External"/><Relationship Id="rId694" Type="http://schemas.openxmlformats.org/officeDocument/2006/relationships/hyperlink" Target="https://onlinelibrary.wiley.com/doi/10.1002/anie.202525354?af=R" TargetMode="External"/><Relationship Id="rId695" Type="http://schemas.openxmlformats.org/officeDocument/2006/relationships/hyperlink" Target="https://doi.org/10.1002/anie.202525354" TargetMode="External"/><Relationship Id="rId696" Type="http://schemas.openxmlformats.org/officeDocument/2006/relationships/hyperlink" Target="https://advanced.onlinelibrary.wiley.com/doi/10.1002/aenm.202506236?af=R" TargetMode="External"/><Relationship Id="rId697" Type="http://schemas.openxmlformats.org/officeDocument/2006/relationships/hyperlink" Target="https://doi.org/10.1002/aenm.202506236" TargetMode="External"/><Relationship Id="rId698" Type="http://schemas.openxmlformats.org/officeDocument/2006/relationships/hyperlink" Target="https://advanced.onlinelibrary.wiley.com/doi/10.1002/adma.202518053?af=R" TargetMode="External"/><Relationship Id="rId699" Type="http://schemas.openxmlformats.org/officeDocument/2006/relationships/hyperlink" Target="https://doi.org/10.1002/adma.202518053" TargetMode="External"/><Relationship Id="rId700" Type="http://schemas.openxmlformats.org/officeDocument/2006/relationships/hyperlink" Target="https://advanced.onlinelibrary.wiley.com/doi/10.1002/adma.202515132?af=R" TargetMode="External"/><Relationship Id="rId701" Type="http://schemas.openxmlformats.org/officeDocument/2006/relationships/hyperlink" Target="https://doi.org/10.1002/adma.202515132" TargetMode="External"/><Relationship Id="rId702" Type="http://schemas.openxmlformats.org/officeDocument/2006/relationships/hyperlink" Target="https://advanced.onlinelibrary.wiley.com/doi/10.1002/adma.202515619?af=R" TargetMode="External"/><Relationship Id="rId703" Type="http://schemas.openxmlformats.org/officeDocument/2006/relationships/hyperlink" Target="https://doi.org/10.1002/adma.202515619" TargetMode="External"/><Relationship Id="rId704" Type="http://schemas.openxmlformats.org/officeDocument/2006/relationships/hyperlink" Target="https://advanced.onlinelibrary.wiley.com/doi/10.1002/adma.202505965?af=R" TargetMode="External"/><Relationship Id="rId705" Type="http://schemas.openxmlformats.org/officeDocument/2006/relationships/hyperlink" Target="https://doi.org/10.1002/adma.202505965" TargetMode="External"/><Relationship Id="rId706" Type="http://schemas.openxmlformats.org/officeDocument/2006/relationships/hyperlink" Target="https://advanced.onlinelibrary.wiley.com/doi/10.1002/adma.202522382?af=R" TargetMode="External"/><Relationship Id="rId707" Type="http://schemas.openxmlformats.org/officeDocument/2006/relationships/hyperlink" Target="https://doi.org/10.1002/adma.202522382" TargetMode="External"/><Relationship Id="rId708" Type="http://schemas.openxmlformats.org/officeDocument/2006/relationships/hyperlink" Target="https://advanced.onlinelibrary.wiley.com/doi/10.1002/adma.202518582?af=R" TargetMode="External"/><Relationship Id="rId709" Type="http://schemas.openxmlformats.org/officeDocument/2006/relationships/hyperlink" Target="https://doi.org/10.1002/adma.202518582" TargetMode="External"/><Relationship Id="rId710" Type="http://schemas.openxmlformats.org/officeDocument/2006/relationships/hyperlink" Target="https://advanced.onlinelibrary.wiley.com/doi/10.1002/adma.202521006?af=R" TargetMode="External"/><Relationship Id="rId711" Type="http://schemas.openxmlformats.org/officeDocument/2006/relationships/hyperlink" Target="https://doi.org/10.1002/adma.202521006" TargetMode="External"/><Relationship Id="rId712" Type="http://schemas.openxmlformats.org/officeDocument/2006/relationships/hyperlink" Target="https://advanced.onlinelibrary.wiley.com/doi/10.1002/adma.202518417?af=R" TargetMode="External"/><Relationship Id="rId713" Type="http://schemas.openxmlformats.org/officeDocument/2006/relationships/hyperlink" Target="https://doi.org/10.1002/adma.202518417" TargetMode="External"/><Relationship Id="rId714" Type="http://schemas.openxmlformats.org/officeDocument/2006/relationships/hyperlink" Target="https://advanced.onlinelibrary.wiley.com/doi/10.1002/adma.202520022?af=R" TargetMode="External"/><Relationship Id="rId715" Type="http://schemas.openxmlformats.org/officeDocument/2006/relationships/hyperlink" Target="https://doi.org/10.1002/adma.202520022" TargetMode="External"/><Relationship Id="rId716" Type="http://schemas.openxmlformats.org/officeDocument/2006/relationships/hyperlink" Target="https://advanced.onlinelibrary.wiley.com/doi/10.1002/adma.202522394?af=R" TargetMode="External"/><Relationship Id="rId717" Type="http://schemas.openxmlformats.org/officeDocument/2006/relationships/hyperlink" Target="https://doi.org/10.1002/adma.202522394" TargetMode="External"/><Relationship Id="rId718" Type="http://schemas.openxmlformats.org/officeDocument/2006/relationships/hyperlink" Target="http://dx.doi.org/10.1021/jacs.5c19804" TargetMode="External"/><Relationship Id="rId719" Type="http://schemas.openxmlformats.org/officeDocument/2006/relationships/hyperlink" Target="https://doi.org/10.1021/jacs.5c19804" TargetMode="External"/><Relationship Id="rId720" Type="http://schemas.openxmlformats.org/officeDocument/2006/relationships/hyperlink" Target="https://advanced.onlinelibrary.wiley.com/doi/10.1002/adma.202511828?af=R" TargetMode="External"/><Relationship Id="rId721" Type="http://schemas.openxmlformats.org/officeDocument/2006/relationships/hyperlink" Target="https://doi.org/10.1002/adma.202511828" TargetMode="External"/><Relationship Id="rId722" Type="http://schemas.openxmlformats.org/officeDocument/2006/relationships/hyperlink" Target="http://dx.doi.org/10.1021/jacs.5c20243" TargetMode="External"/><Relationship Id="rId723" Type="http://schemas.openxmlformats.org/officeDocument/2006/relationships/hyperlink" Target="https://doi.org/10.1021/jacs.5c20243" TargetMode="External"/><Relationship Id="rId724" Type="http://schemas.openxmlformats.org/officeDocument/2006/relationships/hyperlink" Target="https://advanced.onlinelibrary.wiley.com/doi/10.1002/adma.202513065?af=R" TargetMode="External"/><Relationship Id="rId725" Type="http://schemas.openxmlformats.org/officeDocument/2006/relationships/hyperlink" Target="https://doi.org/10.1002/adma.202513065" TargetMode="External"/><Relationship Id="rId726" Type="http://schemas.openxmlformats.org/officeDocument/2006/relationships/hyperlink" Target="http://dx.doi.org/10.1021/acs.chemrev.5c00754" TargetMode="External"/><Relationship Id="rId727" Type="http://schemas.openxmlformats.org/officeDocument/2006/relationships/hyperlink" Target="https://doi.org/10.1021/acs.chemrev.5c00754" TargetMode="External"/><Relationship Id="rId728" Type="http://schemas.openxmlformats.org/officeDocument/2006/relationships/hyperlink" Target="http://dx.doi.org/10.1021/jacs.5c15998" TargetMode="External"/><Relationship Id="rId729" Type="http://schemas.openxmlformats.org/officeDocument/2006/relationships/hyperlink" Target="https://doi.org/10.1021/jacs.5c15998" TargetMode="External"/><Relationship Id="rId730" Type="http://schemas.openxmlformats.org/officeDocument/2006/relationships/hyperlink" Target="http://dx.doi.org/10.1021/acsenergylett.5c03255" TargetMode="External"/><Relationship Id="rId731" Type="http://schemas.openxmlformats.org/officeDocument/2006/relationships/hyperlink" Target="https://doi.org/10.1021/acsenergylett.5c03255" TargetMode="External"/><Relationship Id="rId732" Type="http://schemas.openxmlformats.org/officeDocument/2006/relationships/hyperlink" Target="http://dx.doi.org/10.1021/jacs.5c16414" TargetMode="External"/><Relationship Id="rId733" Type="http://schemas.openxmlformats.org/officeDocument/2006/relationships/hyperlink" Target="https://doi.org/10.1021/jacs.5c16414" TargetMode="External"/><Relationship Id="rId734" Type="http://schemas.openxmlformats.org/officeDocument/2006/relationships/hyperlink" Target="http://dx.doi.org/10.1021/jacs.5c17532" TargetMode="External"/><Relationship Id="rId735" Type="http://schemas.openxmlformats.org/officeDocument/2006/relationships/hyperlink" Target="https://doi.org/10.1021/jacs.5c17532" TargetMode="External"/><Relationship Id="rId736" Type="http://schemas.openxmlformats.org/officeDocument/2006/relationships/hyperlink" Target="http://dx.doi.org/10.1021/jacs.5c15092" TargetMode="External"/><Relationship Id="rId737" Type="http://schemas.openxmlformats.org/officeDocument/2006/relationships/hyperlink" Target="https://doi.org/10.1021/jacs.5c15092" TargetMode="External"/><Relationship Id="rId738" Type="http://schemas.openxmlformats.org/officeDocument/2006/relationships/hyperlink" Target="http://dx.doi.org/10.1021/jacs.5c17193" TargetMode="External"/><Relationship Id="rId739" Type="http://schemas.openxmlformats.org/officeDocument/2006/relationships/hyperlink" Target="https://doi.org/10.1021/jacs.5c17193" TargetMode="External"/><Relationship Id="rId740" Type="http://schemas.openxmlformats.org/officeDocument/2006/relationships/hyperlink" Target="http://dx.doi.org/10.1021/jacs.5c18813" TargetMode="External"/><Relationship Id="rId741" Type="http://schemas.openxmlformats.org/officeDocument/2006/relationships/hyperlink" Target="https://doi.org/10.1021/jacs.5c18813" TargetMode="External"/><Relationship Id="rId742" Type="http://schemas.openxmlformats.org/officeDocument/2006/relationships/hyperlink" Target="http://dx.doi.org/10.1021/acsenergylett.5c03610" TargetMode="External"/><Relationship Id="rId743" Type="http://schemas.openxmlformats.org/officeDocument/2006/relationships/hyperlink" Target="https://doi.org/10.1021/acsenergylett.5c03610" TargetMode="External"/><Relationship Id="rId744" Type="http://schemas.openxmlformats.org/officeDocument/2006/relationships/hyperlink" Target="http://dx.doi.org/10.1021/jacs.5c20001" TargetMode="External"/><Relationship Id="rId745" Type="http://schemas.openxmlformats.org/officeDocument/2006/relationships/hyperlink" Target="https://doi.org/10.1021/jacs.5c20001" TargetMode="External"/><Relationship Id="rId746" Type="http://schemas.openxmlformats.org/officeDocument/2006/relationships/hyperlink" Target="http://dx.doi.org/10.1021/jacs.5c18071" TargetMode="External"/><Relationship Id="rId747" Type="http://schemas.openxmlformats.org/officeDocument/2006/relationships/hyperlink" Target="https://doi.org/10.1021/jacs.5c18071" TargetMode="External"/><Relationship Id="rId748" Type="http://schemas.openxmlformats.org/officeDocument/2006/relationships/hyperlink" Target="http://dx.doi.org/10.1021/acsenergylett.5c03326" TargetMode="External"/><Relationship Id="rId749" Type="http://schemas.openxmlformats.org/officeDocument/2006/relationships/hyperlink" Target="https://doi.org/10.1021/acsenergylett.5c03326" TargetMode="External"/><Relationship Id="rId750" Type="http://schemas.openxmlformats.org/officeDocument/2006/relationships/hyperlink" Target="http://dx.doi.org/10.1021/jacs.5c18175" TargetMode="External"/><Relationship Id="rId751" Type="http://schemas.openxmlformats.org/officeDocument/2006/relationships/hyperlink" Target="https://doi.org/10.1021/jacs.5c18175" TargetMode="External"/><Relationship Id="rId752" Type="http://schemas.openxmlformats.org/officeDocument/2006/relationships/hyperlink" Target="https://www.nature.com/articles/d41586-026-00063-4" TargetMode="External"/><Relationship Id="rId753" Type="http://schemas.openxmlformats.org/officeDocument/2006/relationships/hyperlink" Target="https://www.nature.com/articles/d41586-026-00077-y" TargetMode="External"/><Relationship Id="rId754" Type="http://schemas.openxmlformats.org/officeDocument/2006/relationships/hyperlink" Target="https://www.sciencedirect.com/science/article/pii/S1369702125005450?dgcid=rss_sd_all" TargetMode="External"/><Relationship Id="rId755" Type="http://schemas.openxmlformats.org/officeDocument/2006/relationships/hyperlink" Target="https://www.nature.com/articles/d41586-026-00101-1" TargetMode="External"/><Relationship Id="rId756" Type="http://schemas.openxmlformats.org/officeDocument/2006/relationships/hyperlink" Target="https://www.nature.com/articles/s41467-025-66149-1" TargetMode="External"/><Relationship Id="rId757" Type="http://schemas.openxmlformats.org/officeDocument/2006/relationships/hyperlink" Target="https://www.nature.com/articles/s41578-025-00881-4" TargetMode="External"/><Relationship Id="rId758" Type="http://schemas.openxmlformats.org/officeDocument/2006/relationships/hyperlink" Target="https://www.nature.com/articles/s41563-025-02460-y" TargetMode="External"/><Relationship Id="rId759" Type="http://schemas.openxmlformats.org/officeDocument/2006/relationships/hyperlink" Target="https://www.nature.com/articles/s41563-025-02452-y" TargetMode="External"/><Relationship Id="rId760" Type="http://schemas.openxmlformats.org/officeDocument/2006/relationships/hyperlink" Target="https://www.sciencedirect.com/science/article/pii/S0306261925020628?dgcid=rss_sd_all" TargetMode="External"/><Relationship Id="rId761" Type="http://schemas.openxmlformats.org/officeDocument/2006/relationships/hyperlink" Target="https://www.nature.com/articles/s41467-025-67160-2" TargetMode="External"/><Relationship Id="rId762" Type="http://schemas.openxmlformats.org/officeDocument/2006/relationships/hyperlink" Target="https://www.nature.com/articles/s41560-025-01940-4" TargetMode="External"/><Relationship Id="rId763" Type="http://schemas.openxmlformats.org/officeDocument/2006/relationships/hyperlink" Target="https://www.nature.com/articles/d41586-026-00045-6" TargetMode="External"/><Relationship Id="rId764" Type="http://schemas.openxmlformats.org/officeDocument/2006/relationships/hyperlink" Target="https://www.sciencedirect.com/science/article/pii/S0306261925020690?dgcid=rss_sd_all" TargetMode="External"/><Relationship Id="rId765" Type="http://schemas.openxmlformats.org/officeDocument/2006/relationships/hyperlink" Target="https://www.nature.com/articles/d41586-025-03488-5" TargetMode="External"/><Relationship Id="rId766" Type="http://schemas.openxmlformats.org/officeDocument/2006/relationships/hyperlink" Target="https://www.cell.com/one-earth/fulltext/S2590-3322(25)00419-1?rss=yes" TargetMode="External"/><Relationship Id="rId767" Type="http://schemas.openxmlformats.org/officeDocument/2006/relationships/hyperlink" Target="https://www.nature.com/articles/s41467-025-67621-8" TargetMode="External"/><Relationship Id="rId768" Type="http://schemas.openxmlformats.org/officeDocument/2006/relationships/hyperlink" Target="https://www.sciencedirect.com/science/article/pii/S0306261926000085?dgcid=rss_sd_all" TargetMode="External"/><Relationship Id="rId769" Type="http://schemas.openxmlformats.org/officeDocument/2006/relationships/hyperlink" Target="https://www.sciencedirect.com/science/article/pii/S0306261926000206?dgcid=rss_sd_all" TargetMode="External"/><Relationship Id="rId770" Type="http://schemas.openxmlformats.org/officeDocument/2006/relationships/hyperlink" Target="https://www.cell.com/joule/fulltext/S2542-4351(25)00450-7?rss=yes" TargetMode="External"/><Relationship Id="rId771" Type="http://schemas.openxmlformats.org/officeDocument/2006/relationships/hyperlink" Target="https://www.nature.com/articles/s41467-025-68247-6" TargetMode="External"/><Relationship Id="rId772" Type="http://schemas.openxmlformats.org/officeDocument/2006/relationships/hyperlink" Target="https://www.nature.com/articles/s41467-025-68221-2" TargetMode="External"/><Relationship Id="rId773" Type="http://schemas.openxmlformats.org/officeDocument/2006/relationships/hyperlink" Target="https://www.sciencedirect.com/science/article/pii/S0306261926000309?dgcid=rss_sd_all" TargetMode="External"/><Relationship Id="rId774" Type="http://schemas.openxmlformats.org/officeDocument/2006/relationships/hyperlink" Target="https://academic.oup.com/nsr/advance-article/doi/10.1093/nsr/nwag011/8418264?rss=1" TargetMode="External"/><Relationship Id="rId775" Type="http://schemas.openxmlformats.org/officeDocument/2006/relationships/hyperlink" Target="https://doi.org/10.1093/nsr/nwag011/8418264" TargetMode="External"/><Relationship Id="rId776" Type="http://schemas.openxmlformats.org/officeDocument/2006/relationships/hyperlink" Target="https://www.nature.com/articles/s44359-025-00131-4" TargetMode="External"/><Relationship Id="rId777" Type="http://schemas.openxmlformats.org/officeDocument/2006/relationships/hyperlink" Target="https://www.nature.com/articles/s44286-025-00322-7" TargetMode="External"/><Relationship Id="rId778" Type="http://schemas.openxmlformats.org/officeDocument/2006/relationships/hyperlink" Target="https://www.nature.com/articles/s41928-025-01534-8" TargetMode="External"/><Relationship Id="rId779" Type="http://schemas.openxmlformats.org/officeDocument/2006/relationships/hyperlink" Target="https://www.nature.com/articles/s41893-025-01756-w" TargetMode="External"/><Relationship Id="rId780" Type="http://schemas.openxmlformats.org/officeDocument/2006/relationships/hyperlink" Target="https://www.nature.com/articles/d41586-026-00057-2" TargetMode="External"/><Relationship Id="rId781" Type="http://schemas.openxmlformats.org/officeDocument/2006/relationships/hyperlink" Target="http://pubs.rsc.org/en/Content/ArticleLanding/2026/CS/D5CS00602C" TargetMode="External"/><Relationship Id="rId782" Type="http://schemas.openxmlformats.org/officeDocument/2006/relationships/hyperlink" Target="https://www.nature.com/articles/s41467-025-68136-y" TargetMode="External"/><Relationship Id="rId783" Type="http://schemas.openxmlformats.org/officeDocument/2006/relationships/hyperlink" Target="https://www.nature.com/articles/d41586-026-00060-7" TargetMode="External"/><Relationship Id="rId784" Type="http://schemas.openxmlformats.org/officeDocument/2006/relationships/hyperlink" Target="https://academic.oup.com/nsr/advance-article/doi/10.1093/nsr/nwag013/8418254?rss=1" TargetMode="External"/><Relationship Id="rId785" Type="http://schemas.openxmlformats.org/officeDocument/2006/relationships/hyperlink" Target="https://doi.org/10.1093/nsr/nwag013/8418254" TargetMode="External"/><Relationship Id="rId786" Type="http://schemas.openxmlformats.org/officeDocument/2006/relationships/hyperlink" Target="https://www.nature.com/articles/s41893-025-01722-6" TargetMode="External"/><Relationship Id="rId787" Type="http://schemas.openxmlformats.org/officeDocument/2006/relationships/hyperlink" Target="https://www.nature.com/articles/d41586-025-04148-4" TargetMode="External"/><Relationship Id="rId788" Type="http://schemas.openxmlformats.org/officeDocument/2006/relationships/hyperlink" Target="https://www.nature.com/articles/d41586-026-00062-5" TargetMode="External"/><Relationship Id="rId789" Type="http://schemas.openxmlformats.org/officeDocument/2006/relationships/hyperlink" Target="https://www.nature.com/articles/s41467-025-68188-0" TargetMode="External"/><Relationship Id="rId790" Type="http://schemas.openxmlformats.org/officeDocument/2006/relationships/hyperlink" Target="https://www.sciencedirect.com/science/article/pii/S1369702125005516?dgcid=rss_sd_all" TargetMode="External"/><Relationship Id="rId791" Type="http://schemas.openxmlformats.org/officeDocument/2006/relationships/hyperlink" Target="http://pubs.rsc.org/en/Content/ArticleLanding/2026/EE/D5EE06795B" TargetMode="External"/><Relationship Id="rId792" Type="http://schemas.openxmlformats.org/officeDocument/2006/relationships/hyperlink" Target="http://pubs.rsc.org/en/Content/ArticleLanding/2026/EE/D5EE07366A" TargetMode="External"/><Relationship Id="rId793" Type="http://schemas.openxmlformats.org/officeDocument/2006/relationships/hyperlink" Target="https://www.nature.com/articles/s41467-025-67928-6" TargetMode="External"/><Relationship Id="rId794" Type="http://schemas.openxmlformats.org/officeDocument/2006/relationships/hyperlink" Target="https://www.nature.com/articles/d41586-025-04112-2" TargetMode="External"/><Relationship Id="rId795" Type="http://schemas.openxmlformats.org/officeDocument/2006/relationships/hyperlink" Target="https://www.nature.com/articles/s41893-025-01693-8" TargetMode="External"/><Relationship Id="rId796" Type="http://schemas.openxmlformats.org/officeDocument/2006/relationships/hyperlink" Target="https://advanced.onlinelibrary.wiley.com/doi/10.1002/adma.202521481?af=R" TargetMode="External"/><Relationship Id="rId797" Type="http://schemas.openxmlformats.org/officeDocument/2006/relationships/hyperlink" Target="https://doi.org/10.1002/adma.202521481" TargetMode="External"/><Relationship Id="rId798" Type="http://schemas.openxmlformats.org/officeDocument/2006/relationships/hyperlink" Target="https://advanced.onlinelibrary.wiley.com/doi/10.1002/aenm.202505910?af=R" TargetMode="External"/><Relationship Id="rId799" Type="http://schemas.openxmlformats.org/officeDocument/2006/relationships/hyperlink" Target="https://doi.org/10.1002/aenm.202505910" TargetMode="External"/><Relationship Id="rId800" Type="http://schemas.openxmlformats.org/officeDocument/2006/relationships/hyperlink" Target="https://onlinelibrary.wiley.com/doi/10.1002/anie.202521635?af=R" TargetMode="External"/><Relationship Id="rId801" Type="http://schemas.openxmlformats.org/officeDocument/2006/relationships/hyperlink" Target="https://doi.org/10.1002/anie.202521635" TargetMode="External"/><Relationship Id="rId802" Type="http://schemas.openxmlformats.org/officeDocument/2006/relationships/hyperlink" Target="https://advanced.onlinelibrary.wiley.com/doi/10.1002/aenm.202505343?af=R" TargetMode="External"/><Relationship Id="rId803" Type="http://schemas.openxmlformats.org/officeDocument/2006/relationships/hyperlink" Target="https://doi.org/10.1002/aenm.202505343" TargetMode="External"/><Relationship Id="rId804" Type="http://schemas.openxmlformats.org/officeDocument/2006/relationships/hyperlink" Target="https://onlinelibrary.wiley.com/doi/10.1002/anie.202523768?af=R" TargetMode="External"/><Relationship Id="rId805" Type="http://schemas.openxmlformats.org/officeDocument/2006/relationships/hyperlink" Target="https://doi.org/10.1002/anie.202523768" TargetMode="External"/><Relationship Id="rId806" Type="http://schemas.openxmlformats.org/officeDocument/2006/relationships/hyperlink" Target="https://onlinelibrary.wiley.com/doi/10.1002/anie.202521492?af=R" TargetMode="External"/><Relationship Id="rId807" Type="http://schemas.openxmlformats.org/officeDocument/2006/relationships/hyperlink" Target="https://doi.org/10.1002/anie.202521492" TargetMode="External"/><Relationship Id="rId808" Type="http://schemas.openxmlformats.org/officeDocument/2006/relationships/hyperlink" Target="https://advanced.onlinelibrary.wiley.com/doi/10.1002/aenm.202505623?af=R" TargetMode="External"/><Relationship Id="rId809" Type="http://schemas.openxmlformats.org/officeDocument/2006/relationships/hyperlink" Target="https://doi.org/10.1002/aenm.202505623" TargetMode="External"/><Relationship Id="rId810" Type="http://schemas.openxmlformats.org/officeDocument/2006/relationships/hyperlink" Target="https://advanced.onlinelibrary.wiley.com/doi/10.1002/adma.71896?af=R" TargetMode="External"/><Relationship Id="rId811" Type="http://schemas.openxmlformats.org/officeDocument/2006/relationships/hyperlink" Target="https://doi.org/10.1002/adma.71896" TargetMode="External"/><Relationship Id="rId812" Type="http://schemas.openxmlformats.org/officeDocument/2006/relationships/hyperlink" Target="https://advanced.onlinelibrary.wiley.com/doi/10.1002/adma.71898?af=R" TargetMode="External"/><Relationship Id="rId813" Type="http://schemas.openxmlformats.org/officeDocument/2006/relationships/hyperlink" Target="https://doi.org/10.1002/adma.71898" TargetMode="External"/><Relationship Id="rId814" Type="http://schemas.openxmlformats.org/officeDocument/2006/relationships/hyperlink" Target="https://advanced.onlinelibrary.wiley.com/doi/10.1002/adma.71901?af=R" TargetMode="External"/><Relationship Id="rId815" Type="http://schemas.openxmlformats.org/officeDocument/2006/relationships/hyperlink" Target="https://doi.org/10.1002/adma.71901" TargetMode="External"/><Relationship Id="rId816" Type="http://schemas.openxmlformats.org/officeDocument/2006/relationships/hyperlink" Target="https://advanced.onlinelibrary.wiley.com/doi/10.1002/adma.71900?af=R" TargetMode="External"/><Relationship Id="rId817" Type="http://schemas.openxmlformats.org/officeDocument/2006/relationships/hyperlink" Target="https://doi.org/10.1002/adma.71900" TargetMode="External"/><Relationship Id="rId818" Type="http://schemas.openxmlformats.org/officeDocument/2006/relationships/hyperlink" Target="https://advanced.onlinelibrary.wiley.com/doi/10.1002/adma.71903?af=R" TargetMode="External"/><Relationship Id="rId819" Type="http://schemas.openxmlformats.org/officeDocument/2006/relationships/hyperlink" Target="https://doi.org/10.1002/adma.71903" TargetMode="External"/><Relationship Id="rId820" Type="http://schemas.openxmlformats.org/officeDocument/2006/relationships/hyperlink" Target="https://www.science.org/doi/abs/10.1126/sciadv.aeb2297?af=R" TargetMode="External"/><Relationship Id="rId821" Type="http://schemas.openxmlformats.org/officeDocument/2006/relationships/hyperlink" Target="https://doi.org/10.1126/sciadv.aeb2297" TargetMode="External"/><Relationship Id="rId822" Type="http://schemas.openxmlformats.org/officeDocument/2006/relationships/hyperlink" Target="https://www.science.org/doi/abs/10.1126/sciadv.adz1874?af=R" TargetMode="External"/><Relationship Id="rId823" Type="http://schemas.openxmlformats.org/officeDocument/2006/relationships/hyperlink" Target="https://doi.org/10.1126/sciadv.adz1874" TargetMode="External"/><Relationship Id="rId824" Type="http://schemas.openxmlformats.org/officeDocument/2006/relationships/hyperlink" Target="https://www.science.org/doi/abs/10.1126/sciadv.adz2458?af=R" TargetMode="External"/><Relationship Id="rId825" Type="http://schemas.openxmlformats.org/officeDocument/2006/relationships/hyperlink" Target="https://doi.org/10.1126/sciadv.adz2458" TargetMode="External"/><Relationship Id="rId826" Type="http://schemas.openxmlformats.org/officeDocument/2006/relationships/hyperlink" Target="https://www.science.org/doi/abs/10.1126/sciadv.aec3443?af=R" TargetMode="External"/><Relationship Id="rId827" Type="http://schemas.openxmlformats.org/officeDocument/2006/relationships/hyperlink" Target="https://doi.org/10.1126/sciadv.aec3443" TargetMode="External"/><Relationship Id="rId828" Type="http://schemas.openxmlformats.org/officeDocument/2006/relationships/hyperlink" Target="https://www.science.org/doi/abs/10.1126/sciadv.adz3560?af=R" TargetMode="External"/><Relationship Id="rId829" Type="http://schemas.openxmlformats.org/officeDocument/2006/relationships/hyperlink" Target="https://doi.org/10.1126/sciadv.adz3560" TargetMode="External"/><Relationship Id="rId830" Type="http://schemas.openxmlformats.org/officeDocument/2006/relationships/hyperlink" Target="https://www.science.org/doi/abs/10.1126/sciadv.adz5003?af=R" TargetMode="External"/><Relationship Id="rId831" Type="http://schemas.openxmlformats.org/officeDocument/2006/relationships/hyperlink" Target="https://doi.org/10.1126/sciadv.adz5003" TargetMode="External"/><Relationship Id="rId832" Type="http://schemas.openxmlformats.org/officeDocument/2006/relationships/hyperlink" Target="https://www.science.org/doi/abs/10.1126/sciadv.adz5078?af=R" TargetMode="External"/><Relationship Id="rId833" Type="http://schemas.openxmlformats.org/officeDocument/2006/relationships/hyperlink" Target="https://doi.org/10.1126/sciadv.adz5078" TargetMode="External"/><Relationship Id="rId834" Type="http://schemas.openxmlformats.org/officeDocument/2006/relationships/hyperlink" Target="https://www.science.org/doi/abs/10.1126/sciadv.adz5689?af=R" TargetMode="External"/><Relationship Id="rId835" Type="http://schemas.openxmlformats.org/officeDocument/2006/relationships/hyperlink" Target="https://doi.org/10.1126/sciadv.adz5689" TargetMode="External"/><Relationship Id="rId836" Type="http://schemas.openxmlformats.org/officeDocument/2006/relationships/hyperlink" Target="https://www.science.org/doi/abs/10.1126/sciadv.adz7409?af=R" TargetMode="External"/><Relationship Id="rId837" Type="http://schemas.openxmlformats.org/officeDocument/2006/relationships/hyperlink" Target="https://doi.org/10.1126/sciadv.adz7409" TargetMode="External"/><Relationship Id="rId838" Type="http://schemas.openxmlformats.org/officeDocument/2006/relationships/hyperlink" Target="https://www.science.org/doi/abs/10.1126/sciadv.aea0072?af=R" TargetMode="External"/><Relationship Id="rId839" Type="http://schemas.openxmlformats.org/officeDocument/2006/relationships/hyperlink" Target="https://doi.org/10.1126/sciadv.aea0072" TargetMode="External"/><Relationship Id="rId840" Type="http://schemas.openxmlformats.org/officeDocument/2006/relationships/hyperlink" Target="https://www.science.org/doi/abs/10.1126/sciadv.aea1035?af=R" TargetMode="External"/><Relationship Id="rId841" Type="http://schemas.openxmlformats.org/officeDocument/2006/relationships/hyperlink" Target="https://doi.org/10.1126/sciadv.aea1035" TargetMode="External"/><Relationship Id="rId842" Type="http://schemas.openxmlformats.org/officeDocument/2006/relationships/hyperlink" Target="https://www.science.org/doi/abs/10.1126/sciadv.aec0766?af=R" TargetMode="External"/><Relationship Id="rId843" Type="http://schemas.openxmlformats.org/officeDocument/2006/relationships/hyperlink" Target="https://doi.org/10.1126/sciadv.aec0766" TargetMode="External"/><Relationship Id="rId844" Type="http://schemas.openxmlformats.org/officeDocument/2006/relationships/hyperlink" Target="https://www.science.org/doi/abs/10.1126/sciadv.aeb6913?af=R" TargetMode="External"/><Relationship Id="rId845" Type="http://schemas.openxmlformats.org/officeDocument/2006/relationships/hyperlink" Target="https://doi.org/10.1126/sciadv.aeb6913" TargetMode="External"/><Relationship Id="rId846" Type="http://schemas.openxmlformats.org/officeDocument/2006/relationships/hyperlink" Target="https://www.science.org/doi/abs/10.1126/sciadv.aea4540?af=R" TargetMode="External"/><Relationship Id="rId847" Type="http://schemas.openxmlformats.org/officeDocument/2006/relationships/hyperlink" Target="https://doi.org/10.1126/sciadv.aea4540" TargetMode="External"/><Relationship Id="rId848" Type="http://schemas.openxmlformats.org/officeDocument/2006/relationships/hyperlink" Target="https://www.science.org/doi/abs/10.1126/sciadv.aea5872?af=R" TargetMode="External"/><Relationship Id="rId849" Type="http://schemas.openxmlformats.org/officeDocument/2006/relationships/hyperlink" Target="https://doi.org/10.1126/sciadv.aea5872" TargetMode="External"/><Relationship Id="rId850" Type="http://schemas.openxmlformats.org/officeDocument/2006/relationships/hyperlink" Target="https://www.science.org/doi/abs/10.1126/sciadv.aea9900?af=R" TargetMode="External"/><Relationship Id="rId851" Type="http://schemas.openxmlformats.org/officeDocument/2006/relationships/hyperlink" Target="https://doi.org/10.1126/sciadv.aea9900" TargetMode="External"/><Relationship Id="rId852" Type="http://schemas.openxmlformats.org/officeDocument/2006/relationships/hyperlink" Target="https://www.science.org/doi/abs/10.1126/sciadv.aeb0711?af=R" TargetMode="External"/><Relationship Id="rId853" Type="http://schemas.openxmlformats.org/officeDocument/2006/relationships/hyperlink" Target="https://doi.org/10.1126/sciadv.aeb0711" TargetMode="External"/><Relationship Id="rId854" Type="http://schemas.openxmlformats.org/officeDocument/2006/relationships/hyperlink" Target="https://www.science.org/doi/abs/10.1126/sciadv.aec1048?af=R" TargetMode="External"/><Relationship Id="rId855" Type="http://schemas.openxmlformats.org/officeDocument/2006/relationships/hyperlink" Target="https://doi.org/10.1126/sciadv.aec1048" TargetMode="External"/><Relationship Id="rId856" Type="http://schemas.openxmlformats.org/officeDocument/2006/relationships/hyperlink" Target="https://www.science.org/doi/abs/10.1126/sciadv.adz1502?af=R" TargetMode="External"/><Relationship Id="rId857" Type="http://schemas.openxmlformats.org/officeDocument/2006/relationships/hyperlink" Target="https://doi.org/10.1126/sciadv.adz1502" TargetMode="External"/><Relationship Id="rId858" Type="http://schemas.openxmlformats.org/officeDocument/2006/relationships/hyperlink" Target="https://www.pnas.org/doi/abs/10.1073/pnas.2531278123?mi=eymic2&amp;af=R&amp;access=on&amp;content=articlesChapters&amp;publication=pnas&amp;sortBy=Earliest&amp;target=default" TargetMode="External"/><Relationship Id="rId859" Type="http://schemas.openxmlformats.org/officeDocument/2006/relationships/hyperlink" Target="https://doi.org/10.1073/pnas.2531278123" TargetMode="External"/><Relationship Id="rId860" Type="http://schemas.openxmlformats.org/officeDocument/2006/relationships/hyperlink" Target="https://www.pnas.org/doi/abs/10.1073/pnas.2506550123?mi=eymic2&amp;af=R&amp;access=on&amp;content=articlesChapters&amp;publication=pnas&amp;sortBy=Earliest&amp;target=default" TargetMode="External"/><Relationship Id="rId861" Type="http://schemas.openxmlformats.org/officeDocument/2006/relationships/hyperlink" Target="https://doi.org/10.1073/pnas.2506550123" TargetMode="External"/><Relationship Id="rId862" Type="http://schemas.openxmlformats.org/officeDocument/2006/relationships/hyperlink" Target="https://www.pnas.org/doi/abs/10.1073/pnas.2513311123?mi=eymic2&amp;af=R&amp;access=on&amp;content=articlesChapters&amp;publication=pnas&amp;sortBy=Earliest&amp;target=default" TargetMode="External"/><Relationship Id="rId863" Type="http://schemas.openxmlformats.org/officeDocument/2006/relationships/hyperlink" Target="https://doi.org/10.1073/pnas.2513311123" TargetMode="External"/><Relationship Id="rId864" Type="http://schemas.openxmlformats.org/officeDocument/2006/relationships/hyperlink" Target="https://www.science.org/doi/abs/10.1126/sciadv.adw4705?af=R" TargetMode="External"/><Relationship Id="rId865" Type="http://schemas.openxmlformats.org/officeDocument/2006/relationships/hyperlink" Target="https://doi.org/10.1126/sciadv.adw4705" TargetMode="External"/><Relationship Id="rId866" Type="http://schemas.openxmlformats.org/officeDocument/2006/relationships/hyperlink" Target="https://www.pnas.org/doi/abs/10.1073/pnas.2514117123?mi=eymic2&amp;af=R&amp;access=on&amp;content=articlesChapters&amp;publication=pnas&amp;sortBy=Earliest&amp;target=default" TargetMode="External"/><Relationship Id="rId867" Type="http://schemas.openxmlformats.org/officeDocument/2006/relationships/hyperlink" Target="https://doi.org/10.1073/pnas.2514117123" TargetMode="External"/><Relationship Id="rId868" Type="http://schemas.openxmlformats.org/officeDocument/2006/relationships/hyperlink" Target="https://www.pnas.org/doi/abs/10.1073/pnas.2515183123?mi=eymic2&amp;af=R&amp;access=on&amp;content=articlesChapters&amp;publication=pnas&amp;sortBy=Earliest&amp;target=default" TargetMode="External"/><Relationship Id="rId869" Type="http://schemas.openxmlformats.org/officeDocument/2006/relationships/hyperlink" Target="https://doi.org/10.1073/pnas.2515183123" TargetMode="External"/><Relationship Id="rId870" Type="http://schemas.openxmlformats.org/officeDocument/2006/relationships/hyperlink" Target="https://www.science.org/doi/abs/10.1126/sciadv.adq7469?af=R" TargetMode="External"/><Relationship Id="rId871" Type="http://schemas.openxmlformats.org/officeDocument/2006/relationships/hyperlink" Target="https://doi.org/10.1126/sciadv.adq7469" TargetMode="External"/><Relationship Id="rId872" Type="http://schemas.openxmlformats.org/officeDocument/2006/relationships/hyperlink" Target="https://www.pnas.org/doi/abs/10.1073/pnas.2537419123?mi=eymic2&amp;af=R&amp;access=on&amp;content=articlesChapters&amp;publication=pnas&amp;sortBy=Earliest&amp;target=default" TargetMode="External"/><Relationship Id="rId873" Type="http://schemas.openxmlformats.org/officeDocument/2006/relationships/hyperlink" Target="https://doi.org/10.1073/pnas.2537419123" TargetMode="External"/><Relationship Id="rId874" Type="http://schemas.openxmlformats.org/officeDocument/2006/relationships/hyperlink" Target="https://www.pnas.org/doi/abs/10.1073/pnas.2516241123?mi=eymic2&amp;af=R&amp;access=on&amp;content=articlesChapters&amp;publication=pnas&amp;sortBy=Earliest&amp;target=default" TargetMode="External"/><Relationship Id="rId875" Type="http://schemas.openxmlformats.org/officeDocument/2006/relationships/hyperlink" Target="https://doi.org/10.1073/pnas.2516241123" TargetMode="External"/><Relationship Id="rId876" Type="http://schemas.openxmlformats.org/officeDocument/2006/relationships/hyperlink" Target="https://www.pnas.org/doi/abs/10.1073/pnas.2516608123?mi=eymic2&amp;af=R&amp;access=on&amp;content=articlesChapters&amp;publication=pnas&amp;sortBy=Earliest&amp;target=default" TargetMode="External"/><Relationship Id="rId877" Type="http://schemas.openxmlformats.org/officeDocument/2006/relationships/hyperlink" Target="https://doi.org/10.1073/pnas.2516608123" TargetMode="External"/><Relationship Id="rId878" Type="http://schemas.openxmlformats.org/officeDocument/2006/relationships/hyperlink" Target="https://www.pnas.org/doi/abs/10.1073/pnas.2516856122?mi=eymic2&amp;af=R&amp;access=on&amp;content=articlesChapters&amp;publication=pnas&amp;sortBy=Earliest&amp;target=default" TargetMode="External"/><Relationship Id="rId879" Type="http://schemas.openxmlformats.org/officeDocument/2006/relationships/hyperlink" Target="https://doi.org/10.1073/pnas.2516856122" TargetMode="External"/><Relationship Id="rId880" Type="http://schemas.openxmlformats.org/officeDocument/2006/relationships/hyperlink" Target="https://www.science.org/doi/abs/10.1126/sciadv.adx1662?af=R" TargetMode="External"/><Relationship Id="rId881" Type="http://schemas.openxmlformats.org/officeDocument/2006/relationships/hyperlink" Target="https://doi.org/10.1126/sciadv.adx1662" TargetMode="External"/><Relationship Id="rId882" Type="http://schemas.openxmlformats.org/officeDocument/2006/relationships/hyperlink" Target="https://www.pnas.org/doi/abs/10.1073/pnas.2517110123?mi=eymic2&amp;af=R&amp;access=on&amp;content=articlesChapters&amp;publication=pnas&amp;sortBy=Earliest&amp;target=default" TargetMode="External"/><Relationship Id="rId883" Type="http://schemas.openxmlformats.org/officeDocument/2006/relationships/hyperlink" Target="https://doi.org/10.1073/pnas.2517110123" TargetMode="External"/><Relationship Id="rId884" Type="http://schemas.openxmlformats.org/officeDocument/2006/relationships/hyperlink" Target="https://www.pnas.org/doi/abs/10.1073/pnas.2529073123?mi=eymic2&amp;af=R&amp;access=on&amp;content=articlesChapters&amp;publication=pnas&amp;sortBy=Earliest&amp;target=default" TargetMode="External"/><Relationship Id="rId885" Type="http://schemas.openxmlformats.org/officeDocument/2006/relationships/hyperlink" Target="https://doi.org/10.1073/pnas.2529073123" TargetMode="External"/><Relationship Id="rId886" Type="http://schemas.openxmlformats.org/officeDocument/2006/relationships/hyperlink" Target="https://www.pnas.org/doi/abs/10.1073/pnas.2519161123?mi=eymic2&amp;af=R&amp;access=on&amp;content=articlesChapters&amp;publication=pnas&amp;sortBy=Earliest&amp;target=default" TargetMode="External"/><Relationship Id="rId887" Type="http://schemas.openxmlformats.org/officeDocument/2006/relationships/hyperlink" Target="https://doi.org/10.1073/pnas.2519161123" TargetMode="External"/><Relationship Id="rId888" Type="http://schemas.openxmlformats.org/officeDocument/2006/relationships/hyperlink" Target="https://www.pnas.org/doi/abs/10.1073/pnas.2524700123?mi=eymic2&amp;af=R&amp;access=on&amp;content=articlesChapters&amp;publication=pnas&amp;sortBy=Earliest&amp;target=default" TargetMode="External"/><Relationship Id="rId889" Type="http://schemas.openxmlformats.org/officeDocument/2006/relationships/hyperlink" Target="https://doi.org/10.1073/pnas.2524700123" TargetMode="External"/><Relationship Id="rId890" Type="http://schemas.openxmlformats.org/officeDocument/2006/relationships/hyperlink" Target="https://www.pnas.org/doi/abs/10.1073/pnas.2523734123?mi=eymic2&amp;af=R&amp;access=on&amp;content=articlesChapters&amp;publication=pnas&amp;sortBy=Earliest&amp;target=default" TargetMode="External"/><Relationship Id="rId891" Type="http://schemas.openxmlformats.org/officeDocument/2006/relationships/hyperlink" Target="https://doi.org/10.1073/pnas.2523734123" TargetMode="External"/><Relationship Id="rId892" Type="http://schemas.openxmlformats.org/officeDocument/2006/relationships/hyperlink" Target="https://www.pnas.org/doi/abs/10.1073/pnas.2523360123?mi=eymic2&amp;af=R&amp;access=on&amp;content=articlesChapters&amp;publication=pnas&amp;sortBy=Earliest&amp;target=default" TargetMode="External"/><Relationship Id="rId893" Type="http://schemas.openxmlformats.org/officeDocument/2006/relationships/hyperlink" Target="https://doi.org/10.1073/pnas.2523360123" TargetMode="External"/><Relationship Id="rId894" Type="http://schemas.openxmlformats.org/officeDocument/2006/relationships/hyperlink" Target="https://www.pnas.org/doi/abs/10.1073/pnas.2522805123?mi=eymic2&amp;af=R&amp;access=on&amp;content=articlesChapters&amp;publication=pnas&amp;sortBy=Earliest&amp;target=default" TargetMode="External"/><Relationship Id="rId895" Type="http://schemas.openxmlformats.org/officeDocument/2006/relationships/hyperlink" Target="https://doi.org/10.1073/pnas.2522805123" TargetMode="External"/><Relationship Id="rId896" Type="http://schemas.openxmlformats.org/officeDocument/2006/relationships/hyperlink" Target="https://www.pnas.org/doi/abs/10.1073/pnas.2522403123?mi=eymic2&amp;af=R&amp;access=on&amp;content=articlesChapters&amp;publication=pnas&amp;sortBy=Earliest&amp;target=default" TargetMode="External"/><Relationship Id="rId897" Type="http://schemas.openxmlformats.org/officeDocument/2006/relationships/hyperlink" Target="https://doi.org/10.1073/pnas.2522403123" TargetMode="External"/><Relationship Id="rId898" Type="http://schemas.openxmlformats.org/officeDocument/2006/relationships/hyperlink" Target="https://www.pnas.org/doi/abs/10.1073/pnas.2521817123?mi=eymic2&amp;af=R&amp;access=on&amp;content=articlesChapters&amp;publication=pnas&amp;sortBy=Earliest&amp;target=default" TargetMode="External"/><Relationship Id="rId899" Type="http://schemas.openxmlformats.org/officeDocument/2006/relationships/hyperlink" Target="https://doi.org/10.1073/pnas.2521817123" TargetMode="External"/><Relationship Id="rId900" Type="http://schemas.openxmlformats.org/officeDocument/2006/relationships/hyperlink" Target="https://www.pnas.org/doi/abs/10.1073/pnas.2521757123?mi=eymic2&amp;af=R&amp;access=on&amp;content=articlesChapters&amp;publication=pnas&amp;sortBy=Earliest&amp;target=default" TargetMode="External"/><Relationship Id="rId901" Type="http://schemas.openxmlformats.org/officeDocument/2006/relationships/hyperlink" Target="https://doi.org/10.1073/pnas.2521757123" TargetMode="External"/><Relationship Id="rId902" Type="http://schemas.openxmlformats.org/officeDocument/2006/relationships/hyperlink" Target="https://www.pnas.org/doi/abs/10.1073/pnas.2517478123?mi=eymic2&amp;af=R&amp;access=on&amp;content=articlesChapters&amp;publication=pnas&amp;sortBy=Earliest&amp;target=default" TargetMode="External"/><Relationship Id="rId903" Type="http://schemas.openxmlformats.org/officeDocument/2006/relationships/hyperlink" Target="https://doi.org/10.1073/pnas.2517478123" TargetMode="External"/><Relationship Id="rId904" Type="http://schemas.openxmlformats.org/officeDocument/2006/relationships/hyperlink" Target="https://www.pnas.org/doi/abs/10.1073/pnas.2521306123?mi=eymic2&amp;af=R&amp;access=on&amp;content=articlesChapters&amp;publication=pnas&amp;sortBy=Earliest&amp;target=default" TargetMode="External"/><Relationship Id="rId905" Type="http://schemas.openxmlformats.org/officeDocument/2006/relationships/hyperlink" Target="https://doi.org/10.1073/pnas.2521306123" TargetMode="External"/><Relationship Id="rId906" Type="http://schemas.openxmlformats.org/officeDocument/2006/relationships/hyperlink" Target="https://www.pnas.org/doi/abs/10.1073/pnas.2512853123?mi=eymic2&amp;af=R&amp;access=on&amp;content=articlesChapters&amp;publication=pnas&amp;sortBy=Earliest&amp;target=default" TargetMode="External"/><Relationship Id="rId907" Type="http://schemas.openxmlformats.org/officeDocument/2006/relationships/hyperlink" Target="https://doi.org/10.1073/pnas.2512853123" TargetMode="External"/><Relationship Id="rId908" Type="http://schemas.openxmlformats.org/officeDocument/2006/relationships/hyperlink" Target="https://www.pnas.org/doi/abs/10.1073/pnas.2511740123?mi=eymic2&amp;af=R&amp;access=on&amp;content=articlesChapters&amp;publication=pnas&amp;sortBy=Earliest&amp;target=default" TargetMode="External"/><Relationship Id="rId909" Type="http://schemas.openxmlformats.org/officeDocument/2006/relationships/hyperlink" Target="https://doi.org/10.1073/pnas.2511740123" TargetMode="External"/><Relationship Id="rId910" Type="http://schemas.openxmlformats.org/officeDocument/2006/relationships/hyperlink" Target="https://www.science.org/doi/abs/10.1126/sciadv.adz0817?af=R" TargetMode="External"/><Relationship Id="rId911" Type="http://schemas.openxmlformats.org/officeDocument/2006/relationships/hyperlink" Target="https://doi.org/10.1126/sciadv.adz0817" TargetMode="External"/><Relationship Id="rId912" Type="http://schemas.openxmlformats.org/officeDocument/2006/relationships/hyperlink" Target="https://www.pnas.org/doi/abs/10.1073/pnas.2426883123?mi=eymic2&amp;af=R&amp;access=on&amp;content=articlesChapters&amp;publication=pnas&amp;sortBy=Earliest&amp;target=default" TargetMode="External"/><Relationship Id="rId913" Type="http://schemas.openxmlformats.org/officeDocument/2006/relationships/hyperlink" Target="https://doi.org/10.1073/pnas.2426883123" TargetMode="External"/><Relationship Id="rId914" Type="http://schemas.openxmlformats.org/officeDocument/2006/relationships/hyperlink" Target="https://www.pnas.org/doi/abs/10.1073/pnas.2501228123?mi=eymic2&amp;af=R&amp;access=on&amp;content=articlesChapters&amp;publication=pnas&amp;sortBy=Earliest&amp;target=default" TargetMode="External"/><Relationship Id="rId915" Type="http://schemas.openxmlformats.org/officeDocument/2006/relationships/hyperlink" Target="https://doi.org/10.1073/pnas.2501228123" TargetMode="External"/><Relationship Id="rId916" Type="http://schemas.openxmlformats.org/officeDocument/2006/relationships/hyperlink" Target="https://www.science.org/doi/abs/10.1126/sciadv.ady7679?af=R" TargetMode="External"/><Relationship Id="rId917" Type="http://schemas.openxmlformats.org/officeDocument/2006/relationships/hyperlink" Target="https://doi.org/10.1126/sciadv.ady7679" TargetMode="External"/><Relationship Id="rId918" Type="http://schemas.openxmlformats.org/officeDocument/2006/relationships/hyperlink" Target="https://www.science.org/doi/abs/10.1126/sciadv.ady5201?af=R" TargetMode="External"/><Relationship Id="rId919" Type="http://schemas.openxmlformats.org/officeDocument/2006/relationships/hyperlink" Target="https://doi.org/10.1126/sciadv.ady5201" TargetMode="External"/><Relationship Id="rId920" Type="http://schemas.openxmlformats.org/officeDocument/2006/relationships/hyperlink" Target="https://www.pnas.org/doi/abs/10.1073/pnas.2503834122?mi=eymic2&amp;af=R&amp;access=on&amp;content=articlesChapters&amp;publication=pnas&amp;sortBy=Earliest&amp;target=default" TargetMode="External"/><Relationship Id="rId921" Type="http://schemas.openxmlformats.org/officeDocument/2006/relationships/hyperlink" Target="https://doi.org/10.1073/pnas.2503834122" TargetMode="External"/><Relationship Id="rId922" Type="http://schemas.openxmlformats.org/officeDocument/2006/relationships/hyperlink" Target="https://www.pnas.org/doi/abs/10.1073/pnas.2511781122?mi=eymic2&amp;af=R&amp;access=on&amp;content=articlesChapters&amp;publication=pnas&amp;sortBy=Earliest&amp;target=default" TargetMode="External"/><Relationship Id="rId923" Type="http://schemas.openxmlformats.org/officeDocument/2006/relationships/hyperlink" Target="https://doi.org/10.1073/pnas.2511781122" TargetMode="External"/><Relationship Id="rId924" Type="http://schemas.openxmlformats.org/officeDocument/2006/relationships/hyperlink" Target="https://www.pnas.org/doi/abs/10.1073/pnas.2507065123?mi=eymic2&amp;af=R&amp;access=on&amp;content=articlesChapters&amp;publication=pnas&amp;sortBy=Earliest&amp;target=default" TargetMode="External"/><Relationship Id="rId925" Type="http://schemas.openxmlformats.org/officeDocument/2006/relationships/hyperlink" Target="https://doi.org/10.1073/pnas.2507065123" TargetMode="External"/><Relationship Id="rId926" Type="http://schemas.openxmlformats.org/officeDocument/2006/relationships/hyperlink" Target="https://www.pnas.org/doi/abs/10.1073/pnas.2519474123?mi=eymic2&amp;af=R&amp;access=on&amp;content=articlesChapters&amp;publication=pnas&amp;sortBy=Earliest&amp;target=default" TargetMode="External"/><Relationship Id="rId927" Type="http://schemas.openxmlformats.org/officeDocument/2006/relationships/hyperlink" Target="https://doi.org/10.1073/pnas.2519474123" TargetMode="External"/><Relationship Id="rId928" Type="http://schemas.openxmlformats.org/officeDocument/2006/relationships/hyperlink" Target="https://www.pnas.org/doi/abs/10.1073/pnas.2507185123?mi=eymic2&amp;af=R&amp;access=on&amp;content=articlesChapters&amp;publication=pnas&amp;sortBy=Earliest&amp;target=default" TargetMode="External"/><Relationship Id="rId929" Type="http://schemas.openxmlformats.org/officeDocument/2006/relationships/hyperlink" Target="https://doi.org/10.1073/pnas.2507185123" TargetMode="External"/><Relationship Id="rId930" Type="http://schemas.openxmlformats.org/officeDocument/2006/relationships/hyperlink" Target="https://www.pnas.org/doi/abs/10.1073/pnas.2509564123?mi=eymic2&amp;af=R&amp;access=on&amp;content=articlesChapters&amp;publication=pnas&amp;sortBy=Earliest&amp;target=default" TargetMode="External"/><Relationship Id="rId931" Type="http://schemas.openxmlformats.org/officeDocument/2006/relationships/hyperlink" Target="https://doi.org/10.1073/pnas.2509564123" TargetMode="External"/><Relationship Id="rId932" Type="http://schemas.openxmlformats.org/officeDocument/2006/relationships/hyperlink" Target="https://www.science.org/doi/abs/10.1126/sciadv.adx4527?af=R" TargetMode="External"/><Relationship Id="rId933" Type="http://schemas.openxmlformats.org/officeDocument/2006/relationships/hyperlink" Target="https://doi.org/10.1126/sciadv.adx4527" TargetMode="External"/><Relationship Id="rId934" Type="http://schemas.openxmlformats.org/officeDocument/2006/relationships/hyperlink" Target="https://www.science.org/doi/abs/10.1126/sciadv.adx3969?af=R" TargetMode="External"/><Relationship Id="rId935" Type="http://schemas.openxmlformats.org/officeDocument/2006/relationships/hyperlink" Target="https://doi.org/10.1126/sciadv.adx3969" TargetMode="External"/><Relationship Id="rId936" Type="http://schemas.openxmlformats.org/officeDocument/2006/relationships/hyperlink" Target="https://www.pnas.org/doi/abs/10.1073/pnas.2510938123?mi=eymic2&amp;af=R&amp;access=on&amp;content=articlesChapters&amp;publication=pnas&amp;sortBy=Earliest&amp;target=default" TargetMode="External"/><Relationship Id="rId937" Type="http://schemas.openxmlformats.org/officeDocument/2006/relationships/hyperlink" Target="https://doi.org/10.1073/pnas.2510938123" TargetMode="External"/><Relationship Id="rId938" Type="http://schemas.openxmlformats.org/officeDocument/2006/relationships/hyperlink" Target="https://www.science.org/doi/abs/10.1126/sciadv.ady3891?af=R" TargetMode="External"/><Relationship Id="rId939" Type="http://schemas.openxmlformats.org/officeDocument/2006/relationships/hyperlink" Target="https://doi.org/10.1126/sciadv.ady3891" TargetMode="External"/><Relationship Id="rId940" Type="http://schemas.openxmlformats.org/officeDocument/2006/relationships/hyperlink" Target="https://advanced.onlinelibrary.wiley.com/doi/10.1002/adma.202522437?af=R" TargetMode="External"/><Relationship Id="rId941" Type="http://schemas.openxmlformats.org/officeDocument/2006/relationships/hyperlink" Target="https://doi.org/10.1002/adma.202522437" TargetMode="External"/><Relationship Id="rId942" Type="http://schemas.openxmlformats.org/officeDocument/2006/relationships/hyperlink" Target="https://onlinelibrary.wiley.com/doi/10.1002/anie.202523349?af=R" TargetMode="External"/><Relationship Id="rId943" Type="http://schemas.openxmlformats.org/officeDocument/2006/relationships/hyperlink" Target="https://doi.org/10.1002/anie.202523349" TargetMode="External"/><Relationship Id="rId944" Type="http://schemas.openxmlformats.org/officeDocument/2006/relationships/hyperlink" Target="https://advanced.onlinelibrary.wiley.com/doi/10.1002/adma.202521469?af=R" TargetMode="External"/><Relationship Id="rId945" Type="http://schemas.openxmlformats.org/officeDocument/2006/relationships/hyperlink" Target="https://doi.org/10.1002/adma.202521469" TargetMode="External"/><Relationship Id="rId946" Type="http://schemas.openxmlformats.org/officeDocument/2006/relationships/hyperlink" Target="https://advanced.onlinelibrary.wiley.com/doi/10.1002/adma.202522525?af=R" TargetMode="External"/><Relationship Id="rId947" Type="http://schemas.openxmlformats.org/officeDocument/2006/relationships/hyperlink" Target="https://doi.org/10.1002/adma.202522525" TargetMode="External"/><Relationship Id="rId948" Type="http://schemas.openxmlformats.org/officeDocument/2006/relationships/hyperlink" Target="https://onlinelibrary.wiley.com/doi/10.1002/anie.202522944?af=R" TargetMode="External"/><Relationship Id="rId949" Type="http://schemas.openxmlformats.org/officeDocument/2006/relationships/hyperlink" Target="https://doi.org/10.1002/anie.202522944" TargetMode="External"/><Relationship Id="rId950" Type="http://schemas.openxmlformats.org/officeDocument/2006/relationships/hyperlink" Target="https://onlinelibrary.wiley.com/doi/10.1002/anie.202524463?af=R" TargetMode="External"/><Relationship Id="rId951" Type="http://schemas.openxmlformats.org/officeDocument/2006/relationships/hyperlink" Target="https://doi.org/10.1002/anie.202524463" TargetMode="External"/><Relationship Id="rId952" Type="http://schemas.openxmlformats.org/officeDocument/2006/relationships/hyperlink" Target="https://onlinelibrary.wiley.com/doi/10.1002/anie.202524425?af=R" TargetMode="External"/><Relationship Id="rId953" Type="http://schemas.openxmlformats.org/officeDocument/2006/relationships/hyperlink" Target="https://doi.org/10.1002/anie.202524425" TargetMode="External"/><Relationship Id="rId954" Type="http://schemas.openxmlformats.org/officeDocument/2006/relationships/hyperlink" Target="https://advanced.onlinelibrary.wiley.com/doi/10.1002/adma.202521635?af=R" TargetMode="External"/><Relationship Id="rId955" Type="http://schemas.openxmlformats.org/officeDocument/2006/relationships/hyperlink" Target="https://doi.org/10.1002/adma.202521635" TargetMode="External"/><Relationship Id="rId956" Type="http://schemas.openxmlformats.org/officeDocument/2006/relationships/hyperlink" Target="https://onlinelibrary.wiley.com/doi/10.1002/anie.202522317?af=R" TargetMode="External"/><Relationship Id="rId957" Type="http://schemas.openxmlformats.org/officeDocument/2006/relationships/hyperlink" Target="https://doi.org/10.1002/anie.202522317" TargetMode="External"/><Relationship Id="rId958" Type="http://schemas.openxmlformats.org/officeDocument/2006/relationships/hyperlink" Target="https://onlinelibrary.wiley.com/doi/10.1002/anie.202525896?af=R" TargetMode="External"/><Relationship Id="rId959" Type="http://schemas.openxmlformats.org/officeDocument/2006/relationships/hyperlink" Target="https://doi.org/10.1002/anie.202525896" TargetMode="External"/><Relationship Id="rId960" Type="http://schemas.openxmlformats.org/officeDocument/2006/relationships/hyperlink" Target="https://advanced.onlinelibrary.wiley.com/doi/10.1002/adma.202520002?af=R" TargetMode="External"/><Relationship Id="rId961" Type="http://schemas.openxmlformats.org/officeDocument/2006/relationships/hyperlink" Target="https://doi.org/10.1002/adma.202520002" TargetMode="External"/><Relationship Id="rId962" Type="http://schemas.openxmlformats.org/officeDocument/2006/relationships/hyperlink" Target="https://advanced.onlinelibrary.wiley.com/doi/10.1002/adma.202521903?af=R" TargetMode="External"/><Relationship Id="rId963" Type="http://schemas.openxmlformats.org/officeDocument/2006/relationships/hyperlink" Target="https://doi.org/10.1002/adma.202521903" TargetMode="External"/><Relationship Id="rId964" Type="http://schemas.openxmlformats.org/officeDocument/2006/relationships/hyperlink" Target="https://onlinelibrary.wiley.com/doi/10.1002/anie.202525457?af=R" TargetMode="External"/><Relationship Id="rId965" Type="http://schemas.openxmlformats.org/officeDocument/2006/relationships/hyperlink" Target="https://doi.org/10.1002/anie.202525457" TargetMode="External"/><Relationship Id="rId966" Type="http://schemas.openxmlformats.org/officeDocument/2006/relationships/hyperlink" Target="https://advanced.onlinelibrary.wiley.com/doi/10.1002/adma.202520937?af=R" TargetMode="External"/><Relationship Id="rId967" Type="http://schemas.openxmlformats.org/officeDocument/2006/relationships/hyperlink" Target="https://doi.org/10.1002/adma.202520937" TargetMode="External"/><Relationship Id="rId968" Type="http://schemas.openxmlformats.org/officeDocument/2006/relationships/hyperlink" Target="https://advanced.onlinelibrary.wiley.com/doi/10.1002/adma.202519473?af=R" TargetMode="External"/><Relationship Id="rId969" Type="http://schemas.openxmlformats.org/officeDocument/2006/relationships/hyperlink" Target="https://doi.org/10.1002/adma.202519473" TargetMode="External"/><Relationship Id="rId970" Type="http://schemas.openxmlformats.org/officeDocument/2006/relationships/hyperlink" Target="https://onlinelibrary.wiley.com/doi/10.1002/anie.202524752?af=R" TargetMode="External"/><Relationship Id="rId971" Type="http://schemas.openxmlformats.org/officeDocument/2006/relationships/hyperlink" Target="https://doi.org/10.1002/anie.202524752" TargetMode="External"/><Relationship Id="rId972" Type="http://schemas.openxmlformats.org/officeDocument/2006/relationships/hyperlink" Target="https://onlinelibrary.wiley.com/doi/10.1002/anie.202521360?af=R" TargetMode="External"/><Relationship Id="rId973" Type="http://schemas.openxmlformats.org/officeDocument/2006/relationships/hyperlink" Target="https://doi.org/10.1002/anie.202521360" TargetMode="External"/><Relationship Id="rId974" Type="http://schemas.openxmlformats.org/officeDocument/2006/relationships/hyperlink" Target="https://advanced.onlinelibrary.wiley.com/doi/10.1002/adma.202517426?af=R" TargetMode="External"/><Relationship Id="rId975" Type="http://schemas.openxmlformats.org/officeDocument/2006/relationships/hyperlink" Target="https://doi.org/10.1002/adma.202517426" TargetMode="External"/><Relationship Id="rId976" Type="http://schemas.openxmlformats.org/officeDocument/2006/relationships/hyperlink" Target="https://onlinelibrary.wiley.com/doi/10.1002/anie.8101956?af=R" TargetMode="External"/><Relationship Id="rId977" Type="http://schemas.openxmlformats.org/officeDocument/2006/relationships/hyperlink" Target="https://doi.org/10.1002/anie.8101956" TargetMode="External"/><Relationship Id="rId978" Type="http://schemas.openxmlformats.org/officeDocument/2006/relationships/hyperlink" Target="https://onlinelibrary.wiley.com/doi/10.1002/anie.202524449?af=R" TargetMode="External"/><Relationship Id="rId979" Type="http://schemas.openxmlformats.org/officeDocument/2006/relationships/hyperlink" Target="https://doi.org/10.1002/anie.202524449" TargetMode="External"/><Relationship Id="rId980" Type="http://schemas.openxmlformats.org/officeDocument/2006/relationships/hyperlink" Target="https://advanced.onlinelibrary.wiley.com/doi/10.1002/adma.202513938?af=R" TargetMode="External"/><Relationship Id="rId981" Type="http://schemas.openxmlformats.org/officeDocument/2006/relationships/hyperlink" Target="https://doi.org/10.1002/adma.202513938" TargetMode="External"/><Relationship Id="rId982" Type="http://schemas.openxmlformats.org/officeDocument/2006/relationships/hyperlink" Target="https://onlinelibrary.wiley.com/doi/10.1002/anie.202513289?af=R" TargetMode="External"/><Relationship Id="rId983" Type="http://schemas.openxmlformats.org/officeDocument/2006/relationships/hyperlink" Target="https://doi.org/10.1002/anie.202513289" TargetMode="External"/><Relationship Id="rId984" Type="http://schemas.openxmlformats.org/officeDocument/2006/relationships/hyperlink" Target="http://dx.doi.org/10.1021/jacs.5c17510" TargetMode="External"/><Relationship Id="rId985" Type="http://schemas.openxmlformats.org/officeDocument/2006/relationships/hyperlink" Target="https://doi.org/10.1021/jacs.5c17510" TargetMode="External"/><Relationship Id="rId986" Type="http://schemas.openxmlformats.org/officeDocument/2006/relationships/hyperlink" Target="http://dx.doi.org/10.1021/acsenergylett.5c03359" TargetMode="External"/><Relationship Id="rId987" Type="http://schemas.openxmlformats.org/officeDocument/2006/relationships/hyperlink" Target="https://doi.org/10.1021/acsenergylett.5c03359" TargetMode="External"/><Relationship Id="rId988" Type="http://schemas.openxmlformats.org/officeDocument/2006/relationships/hyperlink" Target="http://dx.doi.org/10.1021/jacs.5c18379" TargetMode="External"/><Relationship Id="rId989" Type="http://schemas.openxmlformats.org/officeDocument/2006/relationships/hyperlink" Target="https://doi.org/10.1021/jacs.5c18379" TargetMode="External"/><Relationship Id="rId990" Type="http://schemas.openxmlformats.org/officeDocument/2006/relationships/hyperlink" Target="http://dx.doi.org/10.1021/jacs.5c13255" TargetMode="External"/><Relationship Id="rId991" Type="http://schemas.openxmlformats.org/officeDocument/2006/relationships/hyperlink" Target="https://doi.org/10.1021/jacs.5c13255" TargetMode="External"/><Relationship Id="rId992" Type="http://schemas.openxmlformats.org/officeDocument/2006/relationships/hyperlink" Target="http://dx.doi.org/10.1021/acsenergylett.5c03742" TargetMode="External"/><Relationship Id="rId993" Type="http://schemas.openxmlformats.org/officeDocument/2006/relationships/hyperlink" Target="https://doi.org/10.1021/acsenergylett.5c03742" TargetMode="External"/><Relationship Id="rId994" Type="http://schemas.openxmlformats.org/officeDocument/2006/relationships/hyperlink" Target="http://dx.doi.org/10.1021/jacs.5c16479" TargetMode="External"/><Relationship Id="rId995" Type="http://schemas.openxmlformats.org/officeDocument/2006/relationships/hyperlink" Target="https://doi.org/10.1021/jacs.5c16479" TargetMode="External"/><Relationship Id="rId996" Type="http://schemas.openxmlformats.org/officeDocument/2006/relationships/hyperlink" Target="http://dx.doi.org/10.1021/jacs.5c17242" TargetMode="External"/><Relationship Id="rId997" Type="http://schemas.openxmlformats.org/officeDocument/2006/relationships/hyperlink" Target="https://doi.org/10.1021/jacs.5c17242" TargetMode="External"/><Relationship Id="rId998" Type="http://schemas.openxmlformats.org/officeDocument/2006/relationships/hyperlink" Target="http://dx.doi.org/10.1021/jacs.5c05446" TargetMode="External"/><Relationship Id="rId999" Type="http://schemas.openxmlformats.org/officeDocument/2006/relationships/hyperlink" Target="https://doi.org/10.1021/jacs.5c05446" TargetMode="External"/><Relationship Id="rId1000" Type="http://schemas.openxmlformats.org/officeDocument/2006/relationships/hyperlink" Target="http://dx.doi.org/10.1021/jacs.5c13808" TargetMode="External"/><Relationship Id="rId1001" Type="http://schemas.openxmlformats.org/officeDocument/2006/relationships/hyperlink" Target="https://doi.org/10.1021/jacs.5c13808" TargetMode="External"/><Relationship Id="rId1002" Type="http://schemas.openxmlformats.org/officeDocument/2006/relationships/hyperlink" Target="http://dx.doi.org/10.1021/acsenergylett.5c02943" TargetMode="External"/><Relationship Id="rId1003" Type="http://schemas.openxmlformats.org/officeDocument/2006/relationships/hyperlink" Target="https://doi.org/10.1021/acsenergylett.5c02943" TargetMode="External"/><Relationship Id="rId1004" Type="http://schemas.openxmlformats.org/officeDocument/2006/relationships/hyperlink" Target="http://dx.doi.org/10.1021/acsenergylett.5c03049" TargetMode="External"/><Relationship Id="rId1005" Type="http://schemas.openxmlformats.org/officeDocument/2006/relationships/hyperlink" Target="https://doi.org/10.1021/acsenergylett.5c03049" TargetMode="External"/><Relationship Id="rId1006" Type="http://schemas.openxmlformats.org/officeDocument/2006/relationships/hyperlink" Target="http://dx.doi.org/10.1021/jacs.5c12522" TargetMode="External"/><Relationship Id="rId1007" Type="http://schemas.openxmlformats.org/officeDocument/2006/relationships/hyperlink" Target="https://doi.org/10.1021/jacs.5c12522" TargetMode="External"/><Relationship Id="rId1008" Type="http://schemas.openxmlformats.org/officeDocument/2006/relationships/hyperlink" Target="http://dx.doi.org/10.1021/jacs.5c20631" TargetMode="External"/><Relationship Id="rId1009" Type="http://schemas.openxmlformats.org/officeDocument/2006/relationships/hyperlink" Target="https://doi.org/10.1021/jacs.5c20631" TargetMode="External"/><Relationship Id="rId1010" Type="http://schemas.openxmlformats.org/officeDocument/2006/relationships/hyperlink" Target="http://dx.doi.org/10.1021/acsenergylett.5c03249" TargetMode="External"/><Relationship Id="rId1011" Type="http://schemas.openxmlformats.org/officeDocument/2006/relationships/hyperlink" Target="https://doi.org/10.1021/acsenergylett.5c03249" TargetMode="External"/><Relationship Id="rId1012" Type="http://schemas.openxmlformats.org/officeDocument/2006/relationships/hyperlink" Target="https://www.nature.com/articles/s41467-025-67339-7" TargetMode="External"/><Relationship Id="rId1013" Type="http://schemas.openxmlformats.org/officeDocument/2006/relationships/hyperlink" Target="https://www.nature.com/articles/s41467-025-67430-z" TargetMode="External"/><Relationship Id="rId1014" Type="http://schemas.openxmlformats.org/officeDocument/2006/relationships/hyperlink" Target="https://www.nature.com/articles/s41467-025-68225-y" TargetMode="External"/><Relationship Id="rId1015" Type="http://schemas.openxmlformats.org/officeDocument/2006/relationships/hyperlink" Target="https://www.nature.com/articles/s41467-025-67989-7" TargetMode="External"/><Relationship Id="rId1016" Type="http://schemas.openxmlformats.org/officeDocument/2006/relationships/hyperlink" Target="https://www.nature.com/articles/s41467-025-68216-z" TargetMode="External"/><Relationship Id="rId1017" Type="http://schemas.openxmlformats.org/officeDocument/2006/relationships/hyperlink" Target="https://academic.oup.com/nsr/advance-article/doi/10.1093/nsr/nwag017/8419698?rss=1" TargetMode="External"/><Relationship Id="rId1018" Type="http://schemas.openxmlformats.org/officeDocument/2006/relationships/hyperlink" Target="https://doi.org/10.1093/nsr/nwag017/8419698" TargetMode="External"/><Relationship Id="rId1019" Type="http://schemas.openxmlformats.org/officeDocument/2006/relationships/hyperlink" Target="https://www.sciencedirect.com/science/article/pii/S030142152600011X?dgcid=rss_sd_all" TargetMode="External"/><Relationship Id="rId1020" Type="http://schemas.openxmlformats.org/officeDocument/2006/relationships/hyperlink" Target="https://academic.oup.com/nsr/advance-article/doi/10.1093/nsr/nwag015/8419696?rss=1" TargetMode="External"/><Relationship Id="rId1021" Type="http://schemas.openxmlformats.org/officeDocument/2006/relationships/hyperlink" Target="https://doi.org/10.1093/nsr/nwag015/8419696" TargetMode="External"/><Relationship Id="rId1022" Type="http://schemas.openxmlformats.org/officeDocument/2006/relationships/hyperlink" Target="https://academic.oup.com/nsr/advance-article/doi/10.1093/nsr/nwag001/8419693?rss=1" TargetMode="External"/><Relationship Id="rId1023" Type="http://schemas.openxmlformats.org/officeDocument/2006/relationships/hyperlink" Target="https://doi.org/10.1093/nsr/nwag001/8419693" TargetMode="External"/><Relationship Id="rId1024" Type="http://schemas.openxmlformats.org/officeDocument/2006/relationships/hyperlink" Target="https://www.nature.com/articles/s41467-025-68131-3" TargetMode="External"/><Relationship Id="rId1025" Type="http://schemas.openxmlformats.org/officeDocument/2006/relationships/hyperlink" Target="https://onlinelibrary.wiley.com/doi/10.1002/anie.202523736?af=R" TargetMode="External"/><Relationship Id="rId1026" Type="http://schemas.openxmlformats.org/officeDocument/2006/relationships/hyperlink" Target="https://doi.org/10.1002/anie.202523736" TargetMode="External"/><Relationship Id="rId1027" Type="http://schemas.openxmlformats.org/officeDocument/2006/relationships/hyperlink" Target="https://onlinelibrary.wiley.com/doi/10.1002/anie.202522757?af=R" TargetMode="External"/><Relationship Id="rId1028" Type="http://schemas.openxmlformats.org/officeDocument/2006/relationships/hyperlink" Target="https://doi.org/10.1002/anie.202522757" TargetMode="External"/><Relationship Id="rId1029" Type="http://schemas.openxmlformats.org/officeDocument/2006/relationships/hyperlink" Target="https://advanced.onlinelibrary.wiley.com/doi/10.1002/adma.202514596?af=R" TargetMode="External"/><Relationship Id="rId1030" Type="http://schemas.openxmlformats.org/officeDocument/2006/relationships/hyperlink" Target="https://doi.org/10.1002/adma.202514596" TargetMode="External"/><Relationship Id="rId1031" Type="http://schemas.openxmlformats.org/officeDocument/2006/relationships/hyperlink" Target="https://onlinelibrary.wiley.com/doi/10.1002/anie.202518779?af=R" TargetMode="External"/><Relationship Id="rId1032" Type="http://schemas.openxmlformats.org/officeDocument/2006/relationships/hyperlink" Target="https://doi.org/10.1002/anie.202518779" TargetMode="External"/><Relationship Id="rId1033" Type="http://schemas.openxmlformats.org/officeDocument/2006/relationships/hyperlink" Target="https://advanced.onlinelibrary.wiley.com/doi/10.1002/adma.202521104?af=R" TargetMode="External"/><Relationship Id="rId1034" Type="http://schemas.openxmlformats.org/officeDocument/2006/relationships/hyperlink" Target="https://doi.org/10.1002/adma.202521104" TargetMode="External"/><Relationship Id="rId1035" Type="http://schemas.openxmlformats.org/officeDocument/2006/relationships/hyperlink" Target="https://onlinelibrary.wiley.com/doi/10.1002/anie.202525891?af=R" TargetMode="External"/><Relationship Id="rId1036" Type="http://schemas.openxmlformats.org/officeDocument/2006/relationships/hyperlink" Target="https://doi.org/10.1002/anie.202525891" TargetMode="External"/><Relationship Id="rId1037" Type="http://schemas.openxmlformats.org/officeDocument/2006/relationships/hyperlink" Target="https://advanced.onlinelibrary.wiley.com/doi/10.1002/adma.202517227?af=R" TargetMode="External"/><Relationship Id="rId1038" Type="http://schemas.openxmlformats.org/officeDocument/2006/relationships/hyperlink" Target="https://doi.org/10.1002/adma.202517227" TargetMode="External"/><Relationship Id="rId1039" Type="http://schemas.openxmlformats.org/officeDocument/2006/relationships/hyperlink" Target="https://advanced.onlinelibrary.wiley.com/doi/10.1002/aenm.202505532?af=R" TargetMode="External"/><Relationship Id="rId1040" Type="http://schemas.openxmlformats.org/officeDocument/2006/relationships/hyperlink" Target="https://doi.org/10.1002/aenm.202505532" TargetMode="External"/><Relationship Id="rId1041" Type="http://schemas.openxmlformats.org/officeDocument/2006/relationships/hyperlink" Target="https://onlinelibrary.wiley.com/doi/10.1002/anie.5562966?af=R" TargetMode="External"/><Relationship Id="rId1042" Type="http://schemas.openxmlformats.org/officeDocument/2006/relationships/hyperlink" Target="https://doi.org/10.1002/anie.5562966" TargetMode="External"/><Relationship Id="rId1043" Type="http://schemas.openxmlformats.org/officeDocument/2006/relationships/hyperlink" Target="https://onlinelibrary.wiley.com/doi/10.1002/anie.202521012?af=R" TargetMode="External"/><Relationship Id="rId1044" Type="http://schemas.openxmlformats.org/officeDocument/2006/relationships/hyperlink" Target="https://doi.org/10.1002/anie.202521012" TargetMode="External"/><Relationship Id="rId1045" Type="http://schemas.openxmlformats.org/officeDocument/2006/relationships/hyperlink" Target="https://onlinelibrary.wiley.com/doi/10.1002/anie.202521250?af=R" TargetMode="External"/><Relationship Id="rId1046" Type="http://schemas.openxmlformats.org/officeDocument/2006/relationships/hyperlink" Target="https://doi.org/10.1002/anie.202521250" TargetMode="External"/><Relationship Id="rId1047" Type="http://schemas.openxmlformats.org/officeDocument/2006/relationships/hyperlink" Target="https://onlinelibrary.wiley.com/doi/10.1002/anie.202524805?af=R" TargetMode="External"/><Relationship Id="rId1048" Type="http://schemas.openxmlformats.org/officeDocument/2006/relationships/hyperlink" Target="https://doi.org/10.1002/anie.202524805" TargetMode="External"/><Relationship Id="rId1049" Type="http://schemas.openxmlformats.org/officeDocument/2006/relationships/hyperlink" Target="https://advanced.onlinelibrary.wiley.com/doi/10.1002/adma.202522241?af=R" TargetMode="External"/><Relationship Id="rId1050" Type="http://schemas.openxmlformats.org/officeDocument/2006/relationships/hyperlink" Target="https://doi.org/10.1002/adma.202522241" TargetMode="External"/><Relationship Id="rId1051" Type="http://schemas.openxmlformats.org/officeDocument/2006/relationships/hyperlink" Target="https://advanced.onlinelibrary.wiley.com/doi/10.1002/adma.202515809?af=R" TargetMode="External"/><Relationship Id="rId1052" Type="http://schemas.openxmlformats.org/officeDocument/2006/relationships/hyperlink" Target="https://doi.org/10.1002/adma.202515809" TargetMode="External"/><Relationship Id="rId1053" Type="http://schemas.openxmlformats.org/officeDocument/2006/relationships/hyperlink" Target="https://onlinelibrary.wiley.com/doi/10.1002/anie.202525809?af=R" TargetMode="External"/><Relationship Id="rId1054" Type="http://schemas.openxmlformats.org/officeDocument/2006/relationships/hyperlink" Target="https://doi.org/10.1002/anie.202525809" TargetMode="External"/><Relationship Id="rId1055" Type="http://schemas.openxmlformats.org/officeDocument/2006/relationships/hyperlink" Target="https://onlinelibrary.wiley.com/doi/10.1002/anie.202523579?af=R" TargetMode="External"/><Relationship Id="rId1056" Type="http://schemas.openxmlformats.org/officeDocument/2006/relationships/hyperlink" Target="https://doi.org/10.1002/anie.202523579" TargetMode="External"/><Relationship Id="rId1057" Type="http://schemas.openxmlformats.org/officeDocument/2006/relationships/hyperlink" Target="https://onlinelibrary.wiley.com/doi/10.1002/anie.4736588?af=R" TargetMode="External"/><Relationship Id="rId1058" Type="http://schemas.openxmlformats.org/officeDocument/2006/relationships/hyperlink" Target="https://doi.org/10.1002/anie.4736588" TargetMode="External"/><Relationship Id="rId1059" Type="http://schemas.openxmlformats.org/officeDocument/2006/relationships/hyperlink" Target="https://advanced.onlinelibrary.wiley.com/doi/10.1002/adma.202514940?af=R" TargetMode="External"/><Relationship Id="rId1060" Type="http://schemas.openxmlformats.org/officeDocument/2006/relationships/hyperlink" Target="https://doi.org/10.1002/adma.202514940" TargetMode="External"/><Relationship Id="rId1061" Type="http://schemas.openxmlformats.org/officeDocument/2006/relationships/hyperlink" Target="https://advanced.onlinelibrary.wiley.com/doi/10.1002/aenm.202506630?af=R" TargetMode="External"/><Relationship Id="rId1062" Type="http://schemas.openxmlformats.org/officeDocument/2006/relationships/hyperlink" Target="https://doi.org/10.1002/aenm.202506630" TargetMode="External"/><Relationship Id="rId1063" Type="http://schemas.openxmlformats.org/officeDocument/2006/relationships/hyperlink" Target="https://onlinelibrary.wiley.com/doi/10.1002/anie.202523431?af=R" TargetMode="External"/><Relationship Id="rId1064" Type="http://schemas.openxmlformats.org/officeDocument/2006/relationships/hyperlink" Target="https://doi.org/10.1002/anie.202523431" TargetMode="External"/><Relationship Id="rId1065" Type="http://schemas.openxmlformats.org/officeDocument/2006/relationships/hyperlink" Target="https://onlinelibrary.wiley.com/doi/10.1002/anie.202521527?af=R" TargetMode="External"/><Relationship Id="rId1066" Type="http://schemas.openxmlformats.org/officeDocument/2006/relationships/hyperlink" Target="https://doi.org/10.1002/anie.202521527" TargetMode="External"/><Relationship Id="rId1067" Type="http://schemas.openxmlformats.org/officeDocument/2006/relationships/hyperlink" Target="https://onlinelibrary.wiley.com/doi/10.1002/anie.202525245?af=R" TargetMode="External"/><Relationship Id="rId1068" Type="http://schemas.openxmlformats.org/officeDocument/2006/relationships/hyperlink" Target="https://doi.org/10.1002/anie.202525245" TargetMode="External"/><Relationship Id="rId1069" Type="http://schemas.openxmlformats.org/officeDocument/2006/relationships/hyperlink" Target="https://advanced.onlinelibrary.wiley.com/doi/10.1002/adma.202514561?af=R" TargetMode="External"/><Relationship Id="rId1070" Type="http://schemas.openxmlformats.org/officeDocument/2006/relationships/hyperlink" Target="https://doi.org/10.1002/adma.202514561" TargetMode="External"/><Relationship Id="rId1071" Type="http://schemas.openxmlformats.org/officeDocument/2006/relationships/hyperlink" Target="https://onlinelibrary.wiley.com/doi/10.1002/anie.202519320?af=R" TargetMode="External"/><Relationship Id="rId1072" Type="http://schemas.openxmlformats.org/officeDocument/2006/relationships/hyperlink" Target="https://doi.org/10.1002/anie.202519320" TargetMode="External"/><Relationship Id="rId1073" Type="http://schemas.openxmlformats.org/officeDocument/2006/relationships/hyperlink" Target="https://advanced.onlinelibrary.wiley.com/doi/10.1002/adma.202510365?af=R" TargetMode="External"/><Relationship Id="rId1074" Type="http://schemas.openxmlformats.org/officeDocument/2006/relationships/hyperlink" Target="https://doi.org/10.1002/adma.202510365" TargetMode="External"/><Relationship Id="rId1075" Type="http://schemas.openxmlformats.org/officeDocument/2006/relationships/hyperlink" Target="https://advanced.onlinelibrary.wiley.com/doi/10.1002/adma.202521975?af=R" TargetMode="External"/><Relationship Id="rId1076" Type="http://schemas.openxmlformats.org/officeDocument/2006/relationships/hyperlink" Target="https://doi.org/10.1002/adma.202521975" TargetMode="External"/><Relationship Id="rId1077" Type="http://schemas.openxmlformats.org/officeDocument/2006/relationships/hyperlink" Target="https://onlinelibrary.wiley.com/doi/10.1002/anie.202520854?af=R" TargetMode="External"/><Relationship Id="rId1078" Type="http://schemas.openxmlformats.org/officeDocument/2006/relationships/hyperlink" Target="https://doi.org/10.1002/anie.202520854" TargetMode="External"/><Relationship Id="rId1079" Type="http://schemas.openxmlformats.org/officeDocument/2006/relationships/hyperlink" Target="https://advanced.onlinelibrary.wiley.com/doi/10.1002/aenm.202506009?af=R" TargetMode="External"/><Relationship Id="rId1080" Type="http://schemas.openxmlformats.org/officeDocument/2006/relationships/hyperlink" Target="https://doi.org/10.1002/aenm.202506009" TargetMode="External"/><Relationship Id="rId1081" Type="http://schemas.openxmlformats.org/officeDocument/2006/relationships/hyperlink" Target="https://advanced.onlinelibrary.wiley.com/doi/10.1002/adma.202516214?af=R" TargetMode="External"/><Relationship Id="rId1082" Type="http://schemas.openxmlformats.org/officeDocument/2006/relationships/hyperlink" Target="https://doi.org/10.1002/adma.202516214" TargetMode="External"/><Relationship Id="rId1083" Type="http://schemas.openxmlformats.org/officeDocument/2006/relationships/hyperlink" Target="https://advanced.onlinelibrary.wiley.com/doi/10.1002/adma.202517883?af=R" TargetMode="External"/><Relationship Id="rId1084" Type="http://schemas.openxmlformats.org/officeDocument/2006/relationships/hyperlink" Target="https://doi.org/10.1002/adma.202517883" TargetMode="External"/><Relationship Id="rId1085" Type="http://schemas.openxmlformats.org/officeDocument/2006/relationships/hyperlink" Target="https://onlinelibrary.wiley.com/doi/10.1002/anie.202521576?af=R" TargetMode="External"/><Relationship Id="rId1086" Type="http://schemas.openxmlformats.org/officeDocument/2006/relationships/hyperlink" Target="https://doi.org/10.1002/anie.202521576" TargetMode="External"/><Relationship Id="rId1087" Type="http://schemas.openxmlformats.org/officeDocument/2006/relationships/hyperlink" Target="https://advanced.onlinelibrary.wiley.com/doi/10.1002/adma.202518137?af=R" TargetMode="External"/><Relationship Id="rId1088" Type="http://schemas.openxmlformats.org/officeDocument/2006/relationships/hyperlink" Target="https://doi.org/10.1002/adma.202518137" TargetMode="External"/><Relationship Id="rId1089" Type="http://schemas.openxmlformats.org/officeDocument/2006/relationships/hyperlink" Target="https://onlinelibrary.wiley.com/doi/10.1002/anie.202522620?af=R" TargetMode="External"/><Relationship Id="rId1090" Type="http://schemas.openxmlformats.org/officeDocument/2006/relationships/hyperlink" Target="https://doi.org/10.1002/anie.202522620" TargetMode="External"/><Relationship Id="rId1091" Type="http://schemas.openxmlformats.org/officeDocument/2006/relationships/hyperlink" Target="https://onlinelibrary.wiley.com/doi/10.1002/anie.202523118?af=R" TargetMode="External"/><Relationship Id="rId1092" Type="http://schemas.openxmlformats.org/officeDocument/2006/relationships/hyperlink" Target="https://doi.org/10.1002/anie.202523118" TargetMode="External"/><Relationship Id="rId1093" Type="http://schemas.openxmlformats.org/officeDocument/2006/relationships/hyperlink" Target="http://dx.doi.org/10.1021/jacs.5c12396" TargetMode="External"/><Relationship Id="rId1094" Type="http://schemas.openxmlformats.org/officeDocument/2006/relationships/hyperlink" Target="https://doi.org/10.1021/jacs.5c12396" TargetMode="External"/><Relationship Id="rId1095" Type="http://schemas.openxmlformats.org/officeDocument/2006/relationships/hyperlink" Target="http://dx.doi.org/10.1021/jacs.5c17873" TargetMode="External"/><Relationship Id="rId1096" Type="http://schemas.openxmlformats.org/officeDocument/2006/relationships/hyperlink" Target="https://doi.org/10.1021/jacs.5c17873" TargetMode="External"/><Relationship Id="rId1097" Type="http://schemas.openxmlformats.org/officeDocument/2006/relationships/hyperlink" Target="http://dx.doi.org/10.1021/jacs.5c17740" TargetMode="External"/><Relationship Id="rId1098" Type="http://schemas.openxmlformats.org/officeDocument/2006/relationships/hyperlink" Target="https://doi.org/10.1021/jacs.5c17740" TargetMode="External"/><Relationship Id="rId1099" Type="http://schemas.openxmlformats.org/officeDocument/2006/relationships/hyperlink" Target="https://onlinelibrary.wiley.com/doi/10.1002/anie.202525011?af=R" TargetMode="External"/><Relationship Id="rId1100" Type="http://schemas.openxmlformats.org/officeDocument/2006/relationships/hyperlink" Target="https://doi.org/10.1002/anie.202525011" TargetMode="External"/><Relationship Id="rId1101" Type="http://schemas.openxmlformats.org/officeDocument/2006/relationships/hyperlink" Target="http://dx.doi.org/10.1021/jacs.5c20040" TargetMode="External"/><Relationship Id="rId1102" Type="http://schemas.openxmlformats.org/officeDocument/2006/relationships/hyperlink" Target="https://doi.org/10.1021/jacs.5c20040" TargetMode="External"/><Relationship Id="rId1103" Type="http://schemas.openxmlformats.org/officeDocument/2006/relationships/hyperlink" Target="http://dx.doi.org/10.1021/acsenergylett.5c03496" TargetMode="External"/><Relationship Id="rId1104" Type="http://schemas.openxmlformats.org/officeDocument/2006/relationships/hyperlink" Target="https://doi.org/10.1021/acsenergylett.5c03496" TargetMode="External"/><Relationship Id="rId1105" Type="http://schemas.openxmlformats.org/officeDocument/2006/relationships/hyperlink" Target="http://dx.doi.org/10.1021/acsenergylett.5c03687" TargetMode="External"/><Relationship Id="rId1106" Type="http://schemas.openxmlformats.org/officeDocument/2006/relationships/hyperlink" Target="https://doi.org/10.1021/acsenergylett.5c03687" TargetMode="External"/><Relationship Id="rId1107" Type="http://schemas.openxmlformats.org/officeDocument/2006/relationships/hyperlink" Target="http://dx.doi.org/10.1021/acsenergylett.5c04250" TargetMode="External"/><Relationship Id="rId1108" Type="http://schemas.openxmlformats.org/officeDocument/2006/relationships/hyperlink" Target="https://doi.org/10.1021/acsenergylett.5c04250" TargetMode="External"/><Relationship Id="rId1109" Type="http://schemas.openxmlformats.org/officeDocument/2006/relationships/hyperlink" Target="http://dx.doi.org/10.1021/jacs.5c19258" TargetMode="External"/><Relationship Id="rId1110" Type="http://schemas.openxmlformats.org/officeDocument/2006/relationships/hyperlink" Target="https://doi.org/10.1021/jacs.5c19258" TargetMode="External"/><Relationship Id="rId1111" Type="http://schemas.openxmlformats.org/officeDocument/2006/relationships/hyperlink" Target="https://www.nature.com/articles/s41467-025-68257-4" TargetMode="External"/><Relationship Id="rId1112" Type="http://schemas.openxmlformats.org/officeDocument/2006/relationships/hyperlink" Target="https://www.nature.com/articles/s41467-026-68310-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