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2026-02-20</w:t>
      </w:r>
    </w:p>
    <w:p>
      <w:pPr>
        <w:spacing w:before="160" w:after="40" w:line="240" w:lineRule="auto"/>
      </w:pPr>
      <w:r>
        <w:rPr>
          <w:b/>
        </w:rPr>
        <w:t xml:space="preserve">[1] </w:t>
      </w:r>
      <w:hyperlink r:id="rId9">
        <w:r>
          <w:rPr>
            <w:color w:val="1155CC"/>
            <w:u w:val="single"/>
          </w:rPr>
          <w:t>在风预报不确定的情况下强有力地为可再生能源氢氢生产发送多电子化器系统</w:t>
        </w:r>
      </w:hyperlink>
    </w:p>
    <w:p>
      <w:pPr>
        <w:spacing w:before="0" w:after="80"/>
      </w:pPr>
      <w:r>
        <w:rPr>
          <w:i/>
          <w:sz w:val="20"/>
        </w:rPr>
        <w:t>EN: Robust dispatch of multi-electrolyzer systems for renewable energy hydrogen production under wind forecast uncertainty</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到2050年实现印度西部净零电力净零电力:在区域政策制约下模拟核扩张和BESS扩展</w:t>
        </w:r>
      </w:hyperlink>
    </w:p>
    <w:p>
      <w:pPr>
        <w:spacing w:before="0" w:after="80"/>
      </w:pPr>
      <w:r>
        <w:rPr>
          <w:i/>
          <w:sz w:val="20"/>
        </w:rPr>
        <w:t>EN: Towards net-zero power in western India by 2050: Modeling nuclear and BESS expansion under regional policy constraints</w:t>
      </w:r>
    </w:p>
    <w:p>
      <w:pPr>
        <w:spacing w:before="0" w:after="120"/>
      </w:pPr>
      <w:r>
        <w:rPr>
          <w:b/>
        </w:rPr>
        <w:t xml:space="preserve">Source: </w:t>
      </w:r>
      <w:r>
        <w:t>ScienceDirect Publication: Energy Policy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为维护隐私保持需求灵活性和电网现代化采用量抗量同质加密,以保持需求灵活性和电网现代化:系统化审查</w:t>
        </w:r>
      </w:hyperlink>
    </w:p>
    <w:p>
      <w:pPr>
        <w:spacing w:before="0" w:after="80"/>
      </w:pPr>
      <w:r>
        <w:rPr>
          <w:i/>
          <w:sz w:val="20"/>
        </w:rPr>
        <w:t>EN: Quantum-resistant homomorphic encryption for privacy-preserving demand flexibility and grid modernization: A systematized review</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审查在建设能源管理:实现智能操作方面使用AIOT驱动的网络物理系统</w:t>
        </w:r>
      </w:hyperlink>
    </w:p>
    <w:p>
      <w:pPr>
        <w:spacing w:before="0" w:after="80"/>
      </w:pPr>
      <w:r>
        <w:rPr>
          <w:i/>
          <w:sz w:val="20"/>
        </w:rPr>
        <w:t>EN: A review of AIoT-enabled cyber-physical systems in building energy management: towards intelligent operation</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
        <w:r>
          <w:rPr>
            <w:color w:val="1155CC"/>
            <w:u w:val="single"/>
          </w:rPr>
          <w:t>将背景知识纳入分配网络的伏/伏控制:大型语言模型驱动的模糊模糊推断和模型预测控制方法</w:t>
        </w:r>
      </w:hyperlink>
    </w:p>
    <w:p>
      <w:pPr>
        <w:spacing w:before="0" w:after="80"/>
      </w:pPr>
      <w:r>
        <w:rPr>
          <w:i/>
          <w:sz w:val="20"/>
        </w:rPr>
        <w:t>EN: Integrating contextual knowledge into volt/Var control of distribution networks: a large language model-driven fuzzy inference and model predictive control approach</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
        <w:r>
          <w:rPr>
            <w:color w:val="1155CC"/>
            <w:u w:val="single"/>
          </w:rPr>
          <w:t>了解佛兰德公寓业主在集体能源翻新方面的财务决策:质优研究</w:t>
        </w:r>
      </w:hyperlink>
    </w:p>
    <w:p>
      <w:pPr>
        <w:spacing w:before="0" w:after="80"/>
      </w:pPr>
      <w:r>
        <w:rPr>
          <w:i/>
          <w:sz w:val="20"/>
        </w:rPr>
        <w:t>EN: Understanding Flemish apartment owners’ financial decision-making in collective energy renovations: a qualitative vignette study</w:t>
      </w:r>
    </w:p>
    <w:p>
      <w:pPr>
        <w:spacing w:before="0" w:after="120"/>
      </w:pPr>
      <w:r>
        <w:rPr>
          <w:b/>
        </w:rPr>
        <w:t xml:space="preserve">Source: </w:t>
      </w:r>
      <w:r>
        <w:t>ScienceDirect Publication: Energy Policy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5">
        <w:r>
          <w:rPr>
            <w:color w:val="1155CC"/>
            <w:u w:val="single"/>
          </w:rPr>
          <w:t>改进REMod模型的模拟优化,以应对能源系统建模的复杂性</w:t>
        </w:r>
      </w:hyperlink>
    </w:p>
    <w:p>
      <w:pPr>
        <w:spacing w:before="0" w:after="80"/>
      </w:pPr>
      <w:r>
        <w:rPr>
          <w:i/>
          <w:sz w:val="20"/>
        </w:rPr>
        <w:t>EN: Improving the simulation-based optimization in the REMod model to deal with complexity in energy system modeling</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
        <w:r>
          <w:rPr>
            <w:color w:val="1155CC"/>
            <w:u w:val="single"/>
          </w:rPr>
          <w:t>“国内能源管理者及其对未来智能电网的影响”的更正[能源Pol.206 (2025) 114772]</w:t>
        </w:r>
      </w:hyperlink>
    </w:p>
    <w:p>
      <w:pPr>
        <w:spacing w:before="0" w:after="80"/>
      </w:pPr>
      <w:r>
        <w:rPr>
          <w:i/>
          <w:sz w:val="20"/>
        </w:rPr>
        <w:t>EN: Corrigendum to “Domestic energy managers and their implications for future smart grids” [Energy Pol. 206 (2025) 114772]</w:t>
      </w:r>
    </w:p>
    <w:p>
      <w:pPr>
        <w:spacing w:before="0" w:after="120"/>
      </w:pPr>
      <w:r>
        <w:rPr>
          <w:b/>
        </w:rPr>
        <w:t xml:space="preserve">Source: </w:t>
      </w:r>
      <w:r>
        <w:t>ScienceDirect Publication: Energy Policy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
        <w:r>
          <w:rPr>
            <w:color w:val="1155CC"/>
            <w:u w:val="single"/>
          </w:rPr>
          <w:t>公众是否愿意承担淘汰燃煤发电厂的费用?</w:t>
        </w:r>
      </w:hyperlink>
    </w:p>
    <w:p>
      <w:pPr>
        <w:spacing w:before="0" w:after="80"/>
      </w:pPr>
      <w:r>
        <w:rPr>
          <w:i/>
          <w:sz w:val="20"/>
        </w:rPr>
        <w:t>EN: Are the public ready to bear the costs of phasing out coal-fired power plants? An economic feasibility analysis</w:t>
      </w:r>
    </w:p>
    <w:p>
      <w:pPr>
        <w:spacing w:before="0" w:after="120"/>
      </w:pPr>
      <w:r>
        <w:rPr>
          <w:b/>
        </w:rPr>
        <w:t xml:space="preserve">Source: </w:t>
      </w:r>
      <w:r>
        <w:t>ScienceDirect Publication: Energy Policy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8">
        <w:r>
          <w:rPr>
            <w:color w:val="1155CC"/>
            <w:u w:val="single"/>
          </w:rPr>
          <w:t>采用大型语言模式,加强家庭能源管理,动态用户偏好吸引用户,分等级分享数据</w:t>
        </w:r>
      </w:hyperlink>
    </w:p>
    <w:p>
      <w:pPr>
        <w:spacing w:before="0" w:after="80"/>
      </w:pPr>
      <w:r>
        <w:rPr>
          <w:i/>
          <w:sz w:val="20"/>
        </w:rPr>
        <w:t>EN: Large language model-enhanced home energy management with dynamic user preference elicitation and hierarchical data-sharing</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
        <w:r>
          <w:rPr>
            <w:color w:val="1155CC"/>
            <w:u w:val="single"/>
          </w:rPr>
          <w:t>基于控制固体氧化氧化物电解和风涡轮发电机的快速频率反应的多不同多剂多试剂最佳政策优化政策</w:t>
        </w:r>
      </w:hyperlink>
    </w:p>
    <w:p>
      <w:pPr>
        <w:spacing w:before="0" w:after="80"/>
      </w:pPr>
      <w:r>
        <w:rPr>
          <w:i/>
          <w:sz w:val="20"/>
        </w:rPr>
        <w:t>EN: Heterogeneous multi-agent proximal policy optimization based control of solid oxide electrolysis and wind turbine generator for fast frequency response</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0">
        <w:r>
          <w:rPr>
            <w:color w:val="1155CC"/>
            <w:u w:val="single"/>
          </w:rPr>
          <w:t>绿色氢供应链的驱动力、障碍和干预措施:多行为体框架</w:t>
        </w:r>
      </w:hyperlink>
    </w:p>
    <w:p>
      <w:pPr>
        <w:spacing w:before="0" w:after="80"/>
      </w:pPr>
      <w:r>
        <w:rPr>
          <w:i/>
          <w:sz w:val="20"/>
        </w:rPr>
        <w:t>EN: Drivers, barriers and interventions for green hydrogen supply chains: A multi-actor framework</w:t>
      </w:r>
    </w:p>
    <w:p>
      <w:pPr>
        <w:spacing w:before="0" w:after="120"/>
      </w:pPr>
      <w:r>
        <w:rPr>
          <w:b/>
        </w:rPr>
        <w:t xml:space="preserve">Source: </w:t>
      </w:r>
      <w:r>
        <w:t>ScienceDirect Publication: Energy Policy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1">
        <w:r>
          <w:rPr>
            <w:color w:val="1155CC"/>
            <w:u w:val="single"/>
          </w:rPr>
          <w:t>模拟德国氢的未来:对空间分布、进口和政策协调的深入了解</w:t>
        </w:r>
      </w:hyperlink>
    </w:p>
    <w:p>
      <w:pPr>
        <w:spacing w:before="0" w:after="80"/>
      </w:pPr>
      <w:r>
        <w:rPr>
          <w:i/>
          <w:sz w:val="20"/>
        </w:rPr>
        <w:t>EN: Modeling Germany’s hydrogen future: Insights into spatial distribution, imports, and policy alignment</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2">
        <w:r>
          <w:rPr>
            <w:color w:val="1155CC"/>
            <w:u w:val="single"/>
          </w:rPr>
          <w:t>太阳日光波:根据时间序列基础模型进行的时际太阳辐照预报</w:t>
        </w:r>
      </w:hyperlink>
    </w:p>
    <w:p>
      <w:pPr>
        <w:spacing w:before="0" w:after="80"/>
      </w:pPr>
      <w:r>
        <w:rPr>
          <w:i/>
          <w:sz w:val="20"/>
        </w:rPr>
        <w:t>EN: SolarFM: Spatio-temporal solar irradiance forecasting based on time series foundation model</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3">
        <w:r>
          <w:rPr>
            <w:color w:val="1155CC"/>
            <w:u w:val="single"/>
          </w:rPr>
          <w:t>在不确定情况下加强电动车辆隔离装置的电网平衡服务:概率保证可行的区域办法</w:t>
        </w:r>
      </w:hyperlink>
    </w:p>
    <w:p>
      <w:pPr>
        <w:spacing w:before="0" w:after="80"/>
      </w:pPr>
      <w:r>
        <w:rPr>
          <w:i/>
          <w:sz w:val="20"/>
        </w:rPr>
        <w:t>EN: Enhancing grid balancing services from electric vehicle aggregators under uncertainty: A probability-guaranteed feasible region approach</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4">
        <w:r>
          <w:rPr>
            <w:color w:val="1155CC"/>
            <w:u w:val="single"/>
          </w:rPr>
          <w:t>电动车辆充电基础设施采用光光伏和能源储存系统的适应性多阶段规划:运输意识优化办法</w:t>
        </w:r>
      </w:hyperlink>
    </w:p>
    <w:p>
      <w:pPr>
        <w:spacing w:before="0" w:after="80"/>
      </w:pPr>
      <w:r>
        <w:rPr>
          <w:i/>
          <w:sz w:val="20"/>
        </w:rPr>
        <w:t>EN: Adaptive multi-stage planning of electric vehicle charging infrastructure with photovoltaic and energy storage systems: a transportation-aware optimization approach</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5">
        <w:r>
          <w:rPr>
            <w:color w:val="1155CC"/>
            <w:u w:val="single"/>
          </w:rPr>
          <w:t>在可再生能源天赋和地理环境制约下实现新的电力空间范式,在可再生能源和地理环境制约下实现协同效应</w:t>
        </w:r>
      </w:hyperlink>
    </w:p>
    <w:p>
      <w:pPr>
        <w:spacing w:before="0" w:after="80"/>
      </w:pPr>
      <w:r>
        <w:rPr>
          <w:i/>
          <w:sz w:val="20"/>
        </w:rPr>
        <w:t>EN: Toward a new spatial paradigm of electricity–computing synergy under renewable energy endowments and geographical environmental constraints</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6">
        <w:r>
          <w:rPr>
            <w:color w:val="1155CC"/>
            <w:u w:val="single"/>
          </w:rPr>
          <w:t>打破所有固体电池依赖外部压力的模式</w:t>
        </w:r>
      </w:hyperlink>
    </w:p>
    <w:p>
      <w:pPr>
        <w:spacing w:before="0" w:after="80"/>
      </w:pPr>
      <w:r>
        <w:rPr>
          <w:i/>
          <w:sz w:val="20"/>
        </w:rPr>
        <w:t>EN: Breaking the external pressure-dependent paradigm in all-solid-state batteries</w:t>
      </w:r>
    </w:p>
    <w:p>
      <w:pPr>
        <w:spacing w:before="0" w:after="120"/>
      </w:pPr>
      <w:r>
        <w:rPr>
          <w:b/>
        </w:rPr>
        <w:t xml:space="preserve">Source: </w:t>
      </w:r>
      <w:r>
        <w:t>National Science Review Advance Access</w:t>
      </w:r>
      <w:r>
        <w:t xml:space="preserve">    </w:t>
      </w:r>
      <w:r>
        <w:rPr>
          <w:b/>
        </w:rPr>
        <w:t xml:space="preserve">Pub date: </w:t>
      </w:r>
      <w:r>
        <w:t>2026-02-14 00:00:00+00:00</w:t>
      </w:r>
      <w:r>
        <w:t xml:space="preserve">    </w:t>
      </w:r>
      <w:r>
        <w:rPr>
          <w:b/>
        </w:rPr>
        <w:t xml:space="preserve">DOI: </w:t>
      </w:r>
      <w:hyperlink r:id="rId27">
        <w:r>
          <w:rPr>
            <w:color w:val="1155CC"/>
            <w:u w:val="single"/>
          </w:rPr>
          <w:t>10.1093/nsr/nwag112/8483884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8">
        <w:r>
          <w:rPr>
            <w:color w:val="1155CC"/>
            <w:u w:val="single"/>
          </w:rPr>
          <w:t>用于早期周期电池电池寿命预测的适应性信心校准半监督的半监督联合体</w:t>
        </w:r>
      </w:hyperlink>
    </w:p>
    <w:p>
      <w:pPr>
        <w:spacing w:before="0" w:after="80"/>
      </w:pPr>
      <w:r>
        <w:rPr>
          <w:i/>
          <w:sz w:val="20"/>
        </w:rPr>
        <w:t>EN: Adaptive confidence-calibrated semi-supervised ensemble for early-cycle battery lifetime prediction</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9">
        <w:r>
          <w:rPr>
            <w:color w:val="1155CC"/>
            <w:u w:val="single"/>
          </w:rPr>
          <w:t>利用边缘智能动力进行实时协作互动的双现代电离层皮肤</w:t>
        </w:r>
      </w:hyperlink>
    </w:p>
    <w:p>
      <w:pPr>
        <w:spacing w:before="0" w:after="80"/>
      </w:pPr>
      <w:r>
        <w:rPr>
          <w:i/>
          <w:sz w:val="20"/>
        </w:rPr>
        <w:t>EN: Bimodal iontronic skins powered by edge intelligence for real-time collaborative interaction</w:t>
      </w:r>
    </w:p>
    <w:p>
      <w:pPr>
        <w:spacing w:before="0" w:after="120"/>
      </w:pPr>
      <w:r>
        <w:rPr>
          <w:b/>
        </w:rPr>
        <w:t xml:space="preserve">Source: </w:t>
      </w:r>
      <w:r>
        <w:t>National Science Review Advance Access</w:t>
      </w:r>
      <w:r>
        <w:t xml:space="preserve">    </w:t>
      </w:r>
      <w:r>
        <w:rPr>
          <w:b/>
        </w:rPr>
        <w:t xml:space="preserve">Pub date: </w:t>
      </w:r>
      <w:r>
        <w:t>2026-02-14 00:00:00+00:00</w:t>
      </w:r>
      <w:r>
        <w:t xml:space="preserve">    </w:t>
      </w:r>
      <w:r>
        <w:rPr>
          <w:b/>
        </w:rPr>
        <w:t xml:space="preserve">DOI: </w:t>
      </w:r>
      <w:hyperlink r:id="rId30">
        <w:r>
          <w:rPr>
            <w:color w:val="1155CC"/>
            <w:u w:val="single"/>
          </w:rPr>
          <w:t>10.1093/nsr/nwag111/8483908</w:t>
        </w:r>
      </w:hyperlink>
    </w:p>
    <w:p>
      <w:pPr>
        <w:spacing w:before="0" w:after="120"/>
      </w:pPr>
      <w:r>
        <w:rPr>
          <w:b/>
        </w:rPr>
        <w:t xml:space="preserve">Notes: </w:t>
      </w:r>
      <w:r>
        <w:t>abstract_source=rss_oup</w:t>
      </w:r>
    </w:p>
    <w:p>
      <w:pPr>
        <w:spacing w:before="0" w:after="80" w:lineRule="auto" w:line="276"/>
      </w:pPr>
      <w:r>
        <w:rPr>
          <w:b/>
        </w:rPr>
        <w:t xml:space="preserve">摘要（ZH）: </w:t>
      </w:r>
      <w:r>
        <w:t>实时感测和处理大规模触觉信息对于加强装有机器人的兼容性互动至关重要,特别是在协作系统中,但是,现有的机器人皮肤系统由于高通量信号读取和智能推理的隐蔽性而受到限制,使得强有力的实时互动具有挑战性。这里我们展示了一种灵活的双向皮肤,由边缘智能驱动,能够实时感知感知、决策和基于大面积覆盖的激活。模块双向皮肤结合压力和温度传感器,为768多个压力和75个温度感应器的机器人臂提供全面覆盖。我们用一个频率编码结构实施了快速、互连式的读取界面。此外,我们还做了以下工作:</w:t>
      </w:r>
    </w:p>
    <w:p>
      <w:pPr>
        <w:spacing w:before="0" w:after="200" w:lineRule="auto" w:line="276"/>
      </w:pPr>
      <w:r>
        <w:rPr>
          <w:b/>
        </w:rPr>
        <w:t xml:space="preserve">Abstract (EN): </w:t>
      </w:r>
      <w:r>
        <w:t>Real-time sensing and processing of large-scale tactile information are crucial for enhancing the compliant interaction of embodied robots, especially in collaborative systems. However, existing robotic skin systems are limited by latency in high-throughput signal readout and intelligent reasoning, making robust real-time interaction challenging. Here, we present a flexible bimodal skin powered by edge intelligence, enabling real-time sensory perception, decision-making, and actuation based on large-area coverage. The modular bimodal skin integrates pressure and temperature sensors, providing full coverage on robotic arm with over 768 pressure and 75 temperature sensor units. A rapid, crosstalk-free readout interface is implemented using a frequency-encoding architecture. Furthermore, we develop a lightweight deep learning framework that enables real-time autonomous decision-making for the bimodal skin at the edge device. We demonstrate that our system facilitates smooth, adaptive interaction for individuals with mobility impairments, even under complex or emergency conditions. This technology opens a promising avenue for real-time perception and interaction in human-centered embodied robotics.</w:t>
      </w:r>
    </w:p>
    <w:p>
      <w:pPr>
        <w:spacing w:before="120" w:after="120"/>
      </w:pPr>
      <w:r>
        <w:rPr>
          <w:sz w:val="18"/>
        </w:rPr>
        <w:t>——————————————————————————————————————————————————————————————————————</w:t>
      </w:r>
    </w:p>
    <w:p>
      <w:pPr>
        <w:spacing w:before="160" w:after="40" w:line="240" w:lineRule="auto"/>
      </w:pPr>
      <w:r>
        <w:rPr>
          <w:b/>
        </w:rPr>
        <w:t xml:space="preserve">[21] </w:t>
      </w:r>
      <w:hyperlink r:id="rId31">
        <w:r>
          <w:rPr>
            <w:color w:val="1155CC"/>
            <w:u w:val="single"/>
          </w:rPr>
          <w:t>一个新的生物微生物分子源前以主的混合单元:从设计、定性到应用</w:t>
        </w:r>
      </w:hyperlink>
    </w:p>
    <w:p>
      <w:pPr>
        <w:spacing w:before="0" w:after="80"/>
      </w:pPr>
      <w:r>
        <w:rPr>
          <w:i/>
          <w:sz w:val="20"/>
        </w:rPr>
        <w:t>EN: A novel biomacromolecule-predominated hybrid unit: from design, characterization to application</w:t>
      </w:r>
    </w:p>
    <w:p>
      <w:pPr>
        <w:spacing w:before="0" w:after="120"/>
      </w:pPr>
      <w:r>
        <w:rPr>
          <w:b/>
        </w:rPr>
        <w:t xml:space="preserve">Source: </w:t>
      </w:r>
      <w:r>
        <w:t>National Science Review Advance Access</w:t>
      </w:r>
      <w:r>
        <w:t xml:space="preserve">    </w:t>
      </w:r>
      <w:r>
        <w:rPr>
          <w:b/>
        </w:rPr>
        <w:t xml:space="preserve">Pub date: </w:t>
      </w:r>
      <w:r>
        <w:t>2026-02-14 00:00:00+00:00</w:t>
      </w:r>
      <w:r>
        <w:t xml:space="preserve">    </w:t>
      </w:r>
      <w:r>
        <w:rPr>
          <w:b/>
        </w:rPr>
        <w:t xml:space="preserve">DOI: </w:t>
      </w:r>
      <w:hyperlink r:id="rId32">
        <w:r>
          <w:rPr>
            <w:color w:val="1155CC"/>
            <w:u w:val="single"/>
          </w:rPr>
          <w:t>10.1093/nsr/nwag099/8483900</w:t>
        </w:r>
      </w:hyperlink>
    </w:p>
    <w:p>
      <w:pPr>
        <w:spacing w:before="0" w:after="120"/>
      </w:pPr>
      <w:r>
        <w:rPr>
          <w:b/>
        </w:rPr>
        <w:t xml:space="preserve">Notes: </w:t>
      </w:r>
      <w:r>
        <w:t>abstract_source=rss_oup</w:t>
      </w:r>
    </w:p>
    <w:p>
      <w:pPr>
        <w:spacing w:before="0" w:after="80" w:lineRule="auto" w:line="276"/>
      </w:pPr>
      <w:r>
        <w:rPr>
          <w:b/>
        </w:rPr>
        <w:t xml:space="preserve">摘要（ZH）: </w:t>
      </w:r>
      <w:r>
        <w:t>作为单一功能方法,目前与复杂的临床和生命科学需求进行复杂的临床和生命科学需求之间的生物材料设计斗争日益不足,这就需要系统地整合四个核心要素:生物安全、生理兼容性、生物机械匹配和跨等级的生物催化功能。本研究通过采用新颖的战略,利用自然生物基因细胞来建造微型有机有机有机混合装置来应对这一挑战。建立了使用同步器SAXS、IR-AFM和高分辨率TEM的全面特征模型,以揭示突发混合特性。系统特征结果显示,这些混合装置的物理化学特性比传统纳米光学器更接近聚合物。</w:t>
      </w:r>
    </w:p>
    <w:p>
      <w:pPr>
        <w:spacing w:before="0" w:after="200" w:lineRule="auto" w:line="276"/>
      </w:pPr>
      <w:r>
        <w:rPr>
          <w:b/>
        </w:rPr>
        <w:t xml:space="preserve">Abstract (EN): </w:t>
      </w:r>
      <w:r>
        <w:t>Current biomaterial designs struggle with complex clinical and life science demands as single-function approaches are increasingly inadequate, necessitating the systematic integration of four core elements: biosafety, physiological compatibility, biomechanical matching, and biocatalytic function across hierarchical levels. This study addresses this challenge by introducing a novel strategy using natural biomacromolecules to construct microscopic organic-inorganic hybrid units. A comprehensive characterization paradigm employing synchrotron SAXS, IR-AFM and high-resolution TEM was established to reveal emergent hybrid properties. Systematic characterization results demonstrate that the physicochemical properties of these hybrid units more closely resemble polymers than traditional nanomaterials. We introduced the classical polymer blob model to reveal the effects of the hybridization process on the rigidity/flexibility of the polymer chains. Combined characterization results confirmed that the hybrid units possess stable interfaces, bioinspired crosslinking, synergistic high enzyme-like activity with low toxicity, and broad pH tolerance. Multifunctional nanohybrid hydrogel fabricated with these hybrid units significantly enhances mammalian cell synthesis of high-quality PD-L1 protein with efficiency improved by nearly an order of magnitude and effectively protects skin organoids from damage caused by exogenous ROS. Integrated multi-omics analysis demonstrates the hydrogel modulates cell–cell/matrix interactions via</w:t>
      </w:r>
    </w:p>
    <w:p>
      <w:pPr>
        <w:spacing w:before="120" w:after="120"/>
      </w:pPr>
      <w:r>
        <w:rPr>
          <w:sz w:val="18"/>
        </w:rPr>
        <w:t>——————————————————————————————————————————————————————————————————————</w:t>
      </w:r>
    </w:p>
    <w:p>
      <w:pPr>
        <w:spacing w:before="160" w:after="40" w:line="240" w:lineRule="auto"/>
      </w:pPr>
      <w:r>
        <w:rPr>
          <w:b/>
        </w:rPr>
        <w:t xml:space="preserve">[22] </w:t>
      </w:r>
      <w:hyperlink r:id="rId33">
        <w:r>
          <w:rPr>
            <w:color w:val="1155CC"/>
            <w:u w:val="single"/>
          </w:rPr>
          <w:t>金属-TAN单晶体中高热导热性</w:t>
        </w:r>
      </w:hyperlink>
    </w:p>
    <w:p>
      <w:pPr>
        <w:spacing w:before="0" w:after="80"/>
      </w:pPr>
      <w:r>
        <w:rPr>
          <w:i/>
          <w:sz w:val="20"/>
        </w:rPr>
        <w:t>EN: High thermal conductivity in metallic θ-TaN single crystals</w:t>
      </w:r>
    </w:p>
    <w:p>
      <w:pPr>
        <w:spacing w:before="0" w:after="120"/>
      </w:pPr>
      <w:r>
        <w:rPr>
          <w:b/>
        </w:rPr>
        <w:t xml:space="preserve">Source: </w:t>
      </w:r>
      <w:r>
        <w:t>National Science Review Advance Access</w:t>
      </w:r>
      <w:r>
        <w:t xml:space="preserve">    </w:t>
      </w:r>
      <w:r>
        <w:rPr>
          <w:b/>
        </w:rPr>
        <w:t xml:space="preserve">Pub date: </w:t>
      </w:r>
      <w:r>
        <w:t>2026-02-14 00:00:00+00:00</w:t>
      </w:r>
      <w:r>
        <w:t xml:space="preserve">    </w:t>
      </w:r>
      <w:r>
        <w:rPr>
          <w:b/>
        </w:rPr>
        <w:t xml:space="preserve">DOI: </w:t>
      </w:r>
      <w:hyperlink r:id="rId34">
        <w:r>
          <w:rPr>
            <w:color w:val="1155CC"/>
            <w:u w:val="single"/>
          </w:rPr>
          <w:t>10.1093/nsr/nwag106/8483893</w:t>
        </w:r>
      </w:hyperlink>
    </w:p>
    <w:p>
      <w:pPr>
        <w:spacing w:before="0" w:after="120"/>
      </w:pPr>
      <w:r>
        <w:rPr>
          <w:b/>
        </w:rPr>
        <w:t xml:space="preserve">Notes: </w:t>
      </w:r>
      <w:r>
        <w:t>abstract_source=rss_oup</w:t>
      </w:r>
    </w:p>
    <w:p>
      <w:pPr>
        <w:spacing w:before="0" w:after="80" w:lineRule="auto" w:line="276"/>
      </w:pPr>
      <w:r>
        <w:rPr>
          <w:b/>
        </w:rPr>
        <w:t xml:space="preserve">摘要（ZH）: </w:t>
      </w:r>
      <w:r>
        <w:t>金属材料在集成电路中至关重要,因为金属材料不仅能提供动力,而且能散热。然而,由于金属的热传导率上限为400 WM-1 K-1,金属的性能受到限制。 在这里,我们用金属六边钽单硝化物的高压合成粉碎了这一长期存在的上限。</w:t>
      </w:r>
    </w:p>
    <w:p>
      <w:pPr>
        <w:spacing w:before="0" w:after="200" w:lineRule="auto" w:line="276"/>
      </w:pPr>
      <w:r>
        <w:rPr>
          <w:b/>
        </w:rPr>
        <w:t xml:space="preserve">Abstract (EN): </w:t>
      </w:r>
      <w:r>
        <w:t>Metallic materials are critical in integrated circuits as they not only deliver power but also dissipate heat. However, their performance is constrained as metals’ thermal conductivity is capped with a value of about 400 W m-1 K-1. Here, we shatter this long-standing ceiling by high-pressure synthesis of the metallic hexagonal tantalum mononitride (θ</w:t>
      </w:r>
    </w:p>
    <w:p>
      <w:pPr>
        <w:spacing w:before="120" w:after="120"/>
      </w:pPr>
      <w:r>
        <w:rPr>
          <w:sz w:val="18"/>
        </w:rPr>
        <w:t>——————————————————————————————————————————————————————————————————————</w:t>
      </w:r>
    </w:p>
    <w:p>
      <w:pPr>
        <w:spacing w:before="160" w:after="40" w:line="240" w:lineRule="auto"/>
      </w:pPr>
      <w:r>
        <w:rPr>
          <w:b/>
        </w:rPr>
        <w:t xml:space="preserve">[23] </w:t>
      </w:r>
      <w:hyperlink r:id="rId35">
        <w:r>
          <w:rPr>
            <w:color w:val="1155CC"/>
            <w:u w:val="single"/>
          </w:rPr>
          <w:t>高容量甲烷储存的单晶2D共价有机框架</w:t>
        </w:r>
      </w:hyperlink>
    </w:p>
    <w:p>
      <w:pPr>
        <w:spacing w:before="0" w:after="80"/>
      </w:pPr>
      <w:r>
        <w:rPr>
          <w:i/>
          <w:sz w:val="20"/>
        </w:rPr>
        <w:t>EN: Single-crystal 2D covalent organic frameworks for high-capacity methane storage</w:t>
      </w:r>
    </w:p>
    <w:p>
      <w:pPr>
        <w:spacing w:before="0" w:after="120"/>
      </w:pPr>
      <w:r>
        <w:rPr>
          <w:b/>
        </w:rPr>
        <w:t xml:space="preserve">Source: </w:t>
      </w:r>
      <w:r>
        <w:t>Nature Communications</w:t>
      </w:r>
      <w:r>
        <w:t xml:space="preserve">    </w:t>
      </w:r>
      <w:r>
        <w:rPr>
          <w:b/>
        </w:rPr>
        <w:t xml:space="preserve">Pub date: </w:t>
      </w:r>
      <w:r>
        <w:t>2026-02-14 00:00:00+00:00</w:t>
      </w:r>
    </w:p>
    <w:p>
      <w:pPr>
        <w:spacing w:before="0" w:after="120"/>
      </w:pPr>
      <w:r>
        <w:rPr>
          <w:b/>
        </w:rPr>
        <w:t xml:space="preserve">Notes: </w:t>
      </w:r>
      <w:r>
        <w:t>abstract_source=nature_html</w:t>
      </w:r>
    </w:p>
    <w:p>
      <w:pPr>
        <w:spacing w:before="0" w:after="80" w:lineRule="auto" w:line="276"/>
      </w:pPr>
      <w:r>
        <w:rPr>
          <w:b/>
        </w:rPr>
        <w:t xml:space="preserve">摘要（ZH）: </w:t>
      </w:r>
      <w:r>
        <w:t>2D共价有机框架(COFs)通常具有聚晶体性质,孔径和表面面积比3D对口方低,限制对气体储存应用的勘探。在此,提出了替代战略,并用于产生由 3D 电子分解确定的具有原子分辨率结构的3D 共价有机框架的三种强单晶体2DCOF异构体。在三种异构体中,其中间距离的精确工程使Brunauer-Emmett-Teller的表层面积为~2100 m2 g-1,最大孔径为1.40 cm3 g-1,该COF在2D COFs中的总吸收量为240 cm3(STP) cm-3,在273 K和100 bar,甚至与优秀的3D MOFs相近。这一工程不仅会断裂。</w:t>
      </w:r>
    </w:p>
    <w:p>
      <w:pPr>
        <w:spacing w:before="0" w:after="200" w:lineRule="auto" w:line="276"/>
      </w:pPr>
      <w:r>
        <w:rPr>
          <w:b/>
        </w:rPr>
        <w:t xml:space="preserve">Abstract (EN): </w:t>
      </w:r>
      <w:r>
        <w:t>2D covalent organic frameworks (COFs) usually possess a polycrystalline nature as well as lower porosity and surface area than 3D counterparts, restraining their exploration over gas storage applications. Herein, a substituent strategy has been proposed and employed to generate three robust single-crystal 2D COFs isomers with atom-resolution structures determined by 3D electron diffraction. Among three isomers, a precise engineering of their interlayer distance affords the highest Brunauer−Emmett−Teller surface area of ~2100 m2 g−1 and the largest pore volume of 1.40 cm3 g−1 for the desolvated GZU-1. This COF shows the highest total volumetric methane uptake of 240 cm3 (STP) cm−3 at 273 K and 100 bar among 2D COFs, even comparable with those for excellent 3D MOFs. This work not only delivers unique insight into the design of 2D single-crystal COFs by interlayer stacking regulation, but also promotes the application of highly porous 2D COFs in gas storage.</w:t>
      </w:r>
    </w:p>
    <w:p>
      <w:pPr>
        <w:spacing w:before="120" w:after="120"/>
      </w:pPr>
      <w:r>
        <w:rPr>
          <w:sz w:val="18"/>
        </w:rPr>
        <w:t>——————————————————————————————————————————————————————————————————————</w:t>
      </w:r>
    </w:p>
    <w:p>
      <w:pPr>
        <w:spacing w:before="160" w:after="40" w:line="240" w:lineRule="auto"/>
      </w:pPr>
      <w:r>
        <w:rPr>
          <w:b/>
        </w:rPr>
        <w:t xml:space="preserve">[24] </w:t>
      </w:r>
      <w:hyperlink r:id="rId36">
        <w:r>
          <w:rPr>
            <w:color w:val="1155CC"/>
            <w:u w:val="single"/>
          </w:rPr>
          <w:t>从尼古丁到SARS-COV-2抗病毒剂,其活体效力强,抗锥体病毒谱谱系宽广</w:t>
        </w:r>
      </w:hyperlink>
    </w:p>
    <w:p>
      <w:pPr>
        <w:spacing w:before="0" w:after="80"/>
      </w:pPr>
      <w:r>
        <w:rPr>
          <w:i/>
          <w:sz w:val="20"/>
        </w:rPr>
        <w:t>EN: From nicotine to SARS-CoV-2 antivirals with potent in vivo efficacy and a broad anti-coronavirus spectrum</w:t>
      </w:r>
    </w:p>
    <w:p>
      <w:pPr>
        <w:spacing w:before="0" w:after="120"/>
      </w:pPr>
      <w:r>
        <w:rPr>
          <w:b/>
        </w:rPr>
        <w:t xml:space="preserve">Source: </w:t>
      </w:r>
      <w:r>
        <w:t>Nature Communications</w:t>
      </w:r>
      <w:r>
        <w:t xml:space="preserve">    </w:t>
      </w:r>
      <w:r>
        <w:rPr>
          <w:b/>
        </w:rPr>
        <w:t xml:space="preserve">Pub date: </w:t>
      </w:r>
      <w:r>
        <w:t>2026-02-14 00:00:00+00:00</w:t>
      </w:r>
    </w:p>
    <w:p>
      <w:pPr>
        <w:spacing w:before="0" w:after="120"/>
      </w:pPr>
      <w:r>
        <w:rPr>
          <w:b/>
        </w:rPr>
        <w:t xml:space="preserve">Notes: </w:t>
      </w:r>
      <w:r>
        <w:t>abstract_source=nature_html</w:t>
      </w:r>
    </w:p>
    <w:p>
      <w:pPr>
        <w:spacing w:before="0" w:after="80" w:lineRule="auto" w:line="276"/>
      </w:pPr>
      <w:r>
        <w:rPr>
          <w:b/>
        </w:rPr>
        <w:t xml:space="preserve">摘要（ZH）: </w:t>
      </w:r>
      <w:r>
        <w:t>有关吸烟可能防止SARS-COV-2感染的传闻报告促使人们寻找尼古丁及其热解产品,作为SARS-COV-2主要蛋白抑制剂(MPro),这导致发现3-vinypyridine为MPro抑制剂。 3-Vinylpyridine类似于与MPro有约束力的Nirmatrervir病毒的一部分,但并不涉及与E166残留物的重要互动,这些残留物的突变已导致对尼马特雷尔病毒的抗药性。 这两种分子的结合,接着是药用化学运动,产生几种活性强于硝基甲醚的分子。</w:t>
      </w:r>
    </w:p>
    <w:p>
      <w:pPr>
        <w:spacing w:before="0" w:after="200" w:lineRule="auto" w:line="276"/>
      </w:pPr>
      <w:r>
        <w:rPr>
          <w:b/>
        </w:rPr>
        <w:t xml:space="preserve">Abstract (EN): </w:t>
      </w:r>
      <w:r>
        <w:t>Anecdotal reports about smoking that might prevent SARS-CoV-2 infection inspire the search for nicotine and its pyrolysis products as inhibitors of the SARS-CoV-2 main protease (MPro). This effort leads to the discovery of 3-vinylpyridine as an MPro inhibitor. 3-Vinylpyridine resembles part of nirmatrelvir in binding to MPro but does not involve a critical interaction with residue E166, whose mutation has led to resistance to nirmatrelvir. Integration of the two molecules, followed by a medicinal chemistry campaign, produces several molecules with better in vitro potency than nirmatrelvir. Two lead molecules, YR-C-136 and SR-B-103, display better pharmacokinetic characteristics than nirmatrelvir in virus-challenged male mice and much better antiviral efficacy in virus-challenged female mice. Both molecules maintain high potency in inhibiting the nirmatrelvir-resistant MPro (E166V/L50F) variant. They also exhibit a broad and highly potent antiviral spectrum against most pathogenic coronaviruses. With high in vivo potency, both molecules are potentially standalone pan-antivirals for coronaviruses and may serve as countermeasures for future coronavirus outbreaks.</w:t>
      </w:r>
    </w:p>
    <w:p>
      <w:pPr>
        <w:spacing w:before="120" w:after="120"/>
      </w:pPr>
      <w:r>
        <w:rPr>
          <w:sz w:val="18"/>
        </w:rPr>
        <w:t>——————————————————————————————————————————————————————————————————————</w:t>
      </w:r>
    </w:p>
    <w:p>
      <w:pPr>
        <w:spacing w:before="160" w:after="40" w:line="240" w:lineRule="auto"/>
      </w:pPr>
      <w:r>
        <w:rPr>
          <w:b/>
        </w:rPr>
        <w:t xml:space="preserve">[25] </w:t>
      </w:r>
      <w:hyperlink r:id="rId37">
        <w:r>
          <w:rPr>
            <w:color w:val="1155CC"/>
            <w:u w:val="single"/>
          </w:rPr>
          <w:t>在微环境中,诱发致神经依赖的Wnt信号会促进胃癌通过在微环境中表现出的丙环南的表情而转移,从而导致胃癌转移。</w:t>
        </w:r>
      </w:hyperlink>
    </w:p>
    <w:p>
      <w:pPr>
        <w:spacing w:before="0" w:after="80"/>
      </w:pPr>
      <w:r>
        <w:rPr>
          <w:i/>
          <w:sz w:val="20"/>
        </w:rPr>
        <w:t>EN: Ligand-dependent Wnt signaling promotes gastric cancer metastasis through hyaluronan expression in microenvironment</w:t>
      </w:r>
    </w:p>
    <w:p>
      <w:pPr>
        <w:spacing w:before="0" w:after="120"/>
      </w:pPr>
      <w:r>
        <w:rPr>
          <w:b/>
        </w:rPr>
        <w:t xml:space="preserve">Source: </w:t>
      </w:r>
      <w:r>
        <w:t>Nature Communications</w:t>
      </w:r>
      <w:r>
        <w:t xml:space="preserve">    </w:t>
      </w:r>
      <w:r>
        <w:rPr>
          <w:b/>
        </w:rPr>
        <w:t xml:space="preserve">Pub date: </w:t>
      </w:r>
      <w:r>
        <w:t>2026-02-14 00:00:00+00:00</w:t>
      </w:r>
    </w:p>
    <w:p>
      <w:pPr>
        <w:spacing w:before="0" w:after="120"/>
      </w:pPr>
      <w:r>
        <w:rPr>
          <w:b/>
        </w:rPr>
        <w:t xml:space="preserve">Notes: </w:t>
      </w:r>
      <w:r>
        <w:t>abstract_source=nature_html</w:t>
      </w:r>
    </w:p>
    <w:p>
      <w:pPr>
        <w:spacing w:before="0" w:after="80" w:lineRule="auto" w:line="276"/>
      </w:pPr>
      <w:r>
        <w:rPr>
          <w:b/>
        </w:rPr>
        <w:t xml:space="preserve">摘要（ZH）: </w:t>
      </w:r>
      <w:r>
        <w:t>大部分胃癌细胞都以不连续依赖的方式扩散。 为了对此进行调查,我们产生了小鼠,窝藏着克拉斯、Tgfbr2和Trp53(KTP)以及胃肌肉中相同的突变和 Wnt1 表达式(WKTP ) 。 KTP 小鼠开发了胃形变形,而WKTP 小鼠则开发了痢疾肿瘤,突出显示依赖液态信号在主要肿瘤发芽中的作用。来自WKTP小鼠的有机体在口腔移植后形成肝脏转移,而KTP类则没有。 值得注意的是,Apc中断未能诱发KTP细胞的转移,表明磁性电动信号会促进转移。 机械、肿瘤衍生的Wntligands与TGFET合作,以诱导与癌症有关的纤维(CAFF)中的HS2表达式信号,导致与癌症有关的纤维(CAFFF)产生。</w:t>
      </w:r>
    </w:p>
    <w:p>
      <w:pPr>
        <w:spacing w:before="0" w:after="200" w:lineRule="auto" w:line="276"/>
      </w:pPr>
      <w:r>
        <w:rPr>
          <w:b/>
        </w:rPr>
        <w:t xml:space="preserve">Abstract (EN): </w:t>
      </w:r>
      <w:r>
        <w:t>The majority of gastric cancer cells proliferate in a Wnt ligand-dependent manner. To investigate this, we generated mice harboring Kras, Tgfbr2, and Trp53 (KTP) as well as with the same mutations plus Wnt1 expression (WKTP) in gastric mucosa. While KTP mice develop gastric metaplasia, WKTP mice develop dysplastic tumors, highlighting the role of ligand-dependent Wnt signaling in primary tumorigenesis. Organoids derived from WKTP mice form liver metastases following splenic transplantation, whereas KTP organoids do not. Notably, Apc disruption fails to induce metastasis of KTP cells, suggesting that stromal Wnt signaling promotes metastasis. Mechanistically, tumor-derived Wnt ligands cooperate with TGFβ signaling to induce Has2 expression in cancer-associated fibroblasts (CAFs), leading to hyaluronan accumulation in the metastatic microenvironment. Strikingly, hyaluronidase expression in WKTP cells significantly suppresses liver metastasis. Here we show the critical role of ligand-dependent Wnt signaling and Has2-mediated hyaluronan deposition in metastasis, offering potential therapeutic strategy against gastric cancer metastasis.</w:t>
      </w:r>
    </w:p>
    <w:p>
      <w:pPr>
        <w:spacing w:before="120" w:after="120"/>
      </w:pPr>
      <w:r>
        <w:rPr>
          <w:sz w:val="18"/>
        </w:rPr>
        <w:t>——————————————————————————————————————————————————————————————————————</w:t>
      </w:r>
    </w:p>
    <w:p>
      <w:pPr>
        <w:spacing w:before="160" w:after="40" w:line="240" w:lineRule="auto"/>
      </w:pPr>
      <w:r>
        <w:rPr>
          <w:b/>
        </w:rPr>
        <w:t xml:space="preserve">[26] </w:t>
      </w:r>
      <w:hyperlink r:id="rId38">
        <w:r>
          <w:rPr>
            <w:color w:val="1155CC"/>
            <w:u w:val="single"/>
          </w:rPr>
          <w:t>对用于电网规模能源储存的红氧化物流动电池进行决策性评估:可缩放性、系统复杂性和智能操作</w:t>
        </w:r>
      </w:hyperlink>
    </w:p>
    <w:p>
      <w:pPr>
        <w:spacing w:before="0" w:after="80"/>
      </w:pPr>
      <w:r>
        <w:rPr>
          <w:i/>
          <w:sz w:val="20"/>
        </w:rPr>
        <w:t>EN: Decision-oriented assessment of redox flow batteries for grid-scale energy storage: Scalability, system complexity, and intelligent operation</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9">
        <w:r>
          <w:rPr>
            <w:color w:val="1155CC"/>
            <w:u w:val="single"/>
          </w:rPr>
          <w:t>在决策和自动调节中,轨道前前额皮层皮层与前前卵层皮层次区域在决策和自动调节方面的功能区别</w:t>
        </w:r>
      </w:hyperlink>
    </w:p>
    <w:p>
      <w:pPr>
        <w:spacing w:before="0" w:after="80"/>
      </w:pPr>
      <w:r>
        <w:rPr>
          <w:i/>
          <w:sz w:val="20"/>
        </w:rPr>
        <w:t>EN: Functional distinctions between orbitofrontal cortex and anterior cingulate cortex subregions in decision-making and autonomic regulation</w:t>
      </w:r>
    </w:p>
    <w:p>
      <w:pPr>
        <w:spacing w:before="0" w:after="120"/>
      </w:pPr>
      <w:r>
        <w:rPr>
          <w:b/>
        </w:rPr>
        <w:t xml:space="preserve">Source: </w:t>
      </w:r>
      <w:r>
        <w:t>Nature Communications</w:t>
      </w:r>
      <w:r>
        <w:t xml:space="preserve">    </w:t>
      </w:r>
      <w:r>
        <w:rPr>
          <w:b/>
        </w:rPr>
        <w:t xml:space="preserve">Pub date: </w:t>
      </w:r>
      <w:r>
        <w:t>2026-02-14 00:00:00+00:00</w:t>
      </w:r>
    </w:p>
    <w:p>
      <w:pPr>
        <w:spacing w:before="0" w:after="120"/>
      </w:pPr>
      <w:r>
        <w:rPr>
          <w:b/>
        </w:rPr>
        <w:t xml:space="preserve">Notes: </w:t>
      </w:r>
      <w:r>
        <w:t>abstract_source=nature_html</w:t>
      </w:r>
    </w:p>
    <w:p>
      <w:pPr>
        <w:spacing w:before="0" w:after="80" w:lineRule="auto" w:line="276"/>
      </w:pPr>
      <w:r>
        <w:rPr>
          <w:b/>
        </w:rPr>
        <w:t xml:space="preserve">摘要（ZH）: </w:t>
      </w:r>
      <w:r>
        <w:t>与大脑网络,包括与轨道前皮层(OFC)和前额脑皮层(PACC)有关的大脑网络的复杂中断与 Mood 紊乱有关,这些大脑网络包括轨道前皮层(OFC)和前额脑皮层(PACC)的复杂中断,这些区域的不同功能,特别是远审计前部皮层(PACC)的功能不完全理解,我们训练了大象来进行避免方法的任务,记录了COFC和PAC的神经活动以及包括COFC进行电微动(EMS)期间的自动/身体反应。COFC活动在电微动刺激(EMS)期间对正和负刺激都十分敏感,而PACC在逆结果期间则非常活跃。COFC EMS增加了避免作用,表明COFC在成本效益决策中具有因果性功能。COFC的活动引导了PACC的活动。</w:t>
      </w:r>
    </w:p>
    <w:p>
      <w:pPr>
        <w:spacing w:before="0" w:after="200" w:lineRule="auto" w:line="276"/>
      </w:pPr>
      <w:r>
        <w:rPr>
          <w:b/>
        </w:rPr>
        <w:t xml:space="preserve">Abstract (EN): </w:t>
      </w:r>
      <w:r>
        <w:t>Mood disorders are associated with complex disruptions in brain networks, including those associated with the orbitofrontal cortex (OFC) and pregenual anterior cingulate cortex (pACC). Differential functions of these regions, especially the functions of the far-caudal OFC, are incompletely understood. We trained macaques to perform an approach-avoidance task and recorded cOFC and pACC neuronal activity and autonomic/somatic responses during performance, including during electrical microstimulation (EMS) of the cOFC. The cOFC was sensitive to both positive and negative stimuli, whereas the pACC was significantly more active during aversive outcomes. cOFC EMS increased avoidance, suggesting a causal cOFC function in cost-benefit decision-making. The cOFC activity led pACC activity during the decision period, supporting cOFC network prominence. Autonomic and somatic responses were positively correlated with behavioral patterns, consistent with a coordinated body-brain involvement during emotionally significant decision-making. We suggest that dysfunction of this network could potentially contribute to the etiology of mood disorders.</w:t>
      </w:r>
    </w:p>
    <w:p>
      <w:pPr>
        <w:spacing w:before="120" w:after="120"/>
      </w:pPr>
      <w:r>
        <w:rPr>
          <w:sz w:val="18"/>
        </w:rPr>
        <w:t>——————————————————————————————————————————————————————————————————————</w:t>
      </w:r>
    </w:p>
    <w:p>
      <w:pPr>
        <w:spacing w:before="160" w:after="40" w:line="240" w:lineRule="auto"/>
      </w:pPr>
      <w:r>
        <w:rPr>
          <w:b/>
        </w:rPr>
        <w:t xml:space="preserve">[28] </w:t>
      </w:r>
      <w:hyperlink r:id="rId40">
        <w:r>
          <w:rPr>
            <w:color w:val="1155CC"/>
            <w:u w:val="single"/>
          </w:rPr>
          <w:t>深入了解气化介质在气化过程中的作用:原则、优势、瓶颈和前景</w:t>
        </w:r>
      </w:hyperlink>
    </w:p>
    <w:p>
      <w:pPr>
        <w:spacing w:before="0" w:after="80"/>
      </w:pPr>
      <w:r>
        <w:rPr>
          <w:i/>
          <w:sz w:val="20"/>
        </w:rPr>
        <w:t>EN: Insights into the role of gasification media in gasification process: Principles, advantages, bottlenecks and prospects</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41">
        <w:r>
          <w:rPr>
            <w:color w:val="1155CC"/>
            <w:u w:val="single"/>
          </w:rPr>
          <w:t>促进能源生产的生物物质采购和供应商多样化:优化模式和见解</w:t>
        </w:r>
      </w:hyperlink>
    </w:p>
    <w:p>
      <w:pPr>
        <w:spacing w:before="0" w:after="80"/>
      </w:pPr>
      <w:r>
        <w:rPr>
          <w:i/>
          <w:sz w:val="20"/>
        </w:rPr>
        <w:t>EN: Biomass procurement and supplier diversification for energy generation: Optimization models and insights</w:t>
      </w:r>
    </w:p>
    <w:p>
      <w:pPr>
        <w:spacing w:before="0" w:after="120"/>
      </w:pPr>
      <w:r>
        <w:rPr>
          <w:b/>
        </w:rPr>
        <w:t xml:space="preserve">Source: </w:t>
      </w:r>
      <w:r>
        <w:t>ScienceDirect Publication: Applied Energy</w:t>
      </w:r>
      <w:r>
        <w:t xml:space="preserve">    </w:t>
      </w:r>
      <w:r>
        <w:rPr>
          <w:b/>
        </w:rPr>
        <w:t xml:space="preserve">Pub date: </w:t>
      </w:r>
      <w:r>
        <w:t>2026-02-14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42">
        <w:r>
          <w:rPr>
            <w:color w:val="1155CC"/>
            <w:u w:val="single"/>
          </w:rPr>
          <w:t>与人类老龄化和疾病相关联的基于血液的遗传性不稳定性</w:t>
        </w:r>
      </w:hyperlink>
    </w:p>
    <w:p>
      <w:pPr>
        <w:spacing w:before="0" w:after="80"/>
      </w:pPr>
      <w:r>
        <w:rPr>
          <w:i/>
          <w:sz w:val="20"/>
        </w:rPr>
        <w:t>EN: Blood-based epigenetic instability linked to human aging and disease</w:t>
      </w:r>
    </w:p>
    <w:p>
      <w:pPr>
        <w:spacing w:before="0" w:after="120"/>
      </w:pPr>
      <w:r>
        <w:rPr>
          <w:b/>
        </w:rPr>
        <w:t xml:space="preserve">Source: </w:t>
      </w:r>
      <w:r>
        <w:t>Nature Communications</w:t>
      </w:r>
      <w:r>
        <w:t xml:space="preserve">    </w:t>
      </w:r>
      <w:r>
        <w:rPr>
          <w:b/>
        </w:rPr>
        <w:t xml:space="preserve">Pub date: </w:t>
      </w:r>
      <w:r>
        <w:t>2026-02-14 00:00:00+00:00</w:t>
      </w:r>
    </w:p>
    <w:p>
      <w:pPr>
        <w:spacing w:before="0" w:after="120"/>
      </w:pPr>
      <w:r>
        <w:rPr>
          <w:b/>
        </w:rPr>
        <w:t xml:space="preserve">Notes: </w:t>
      </w:r>
      <w:r>
        <w:t>abstract_source=nature_html</w:t>
      </w:r>
    </w:p>
    <w:p>
      <w:pPr>
        <w:spacing w:before="0" w:after="80" w:lineRule="auto" w:line="276"/>
      </w:pPr>
      <w:r>
        <w:rPr>
          <w:b/>
        </w:rPr>
        <w:t xml:space="preserve">摘要（ZH）: </w:t>
      </w:r>
      <w:r>
        <w:t>DNA甲基化的丰富性、动态性和因地而异的异质性,一种细胞类型的模式被认为是不正常的,这种模式在另一个细胞类型中可能是正常的,这使得早期甲基化变化的识别工作复杂化,从而驱动或信号疾病发育的早期甲基化变化。这种复杂性可能掩盖疾病风险增加的早期标志,使得在疾病发生时发现和干预疾病过程具有挑战性。这里,我们报告31,744 CpG在年轻、健康个人的血液中呈现出高度一致的甲基化特征。我们评估了29个不同组群中8,886人中这些显性稳定的偏移的改变,包括染癌症(n=3159)、心血管并发症(n=2788)和健康控制(n=2939)。我们的调查结果显示,我发现我的情况。</w:t>
      </w:r>
    </w:p>
    <w:p>
      <w:pPr>
        <w:spacing w:before="0" w:after="200" w:lineRule="auto" w:line="276"/>
      </w:pPr>
      <w:r>
        <w:rPr>
          <w:b/>
        </w:rPr>
        <w:t xml:space="preserve">Abstract (EN): </w:t>
      </w:r>
      <w:r>
        <w:t>The abundance, dynamics, and context-dependent heterogeneity of DNA methylation, where a pattern considered abnormal in one cell type may be normal in another, complicate the identification of early methylation changes that drive or signal disease development. This complexity can obscure early markers of increased disease risk, making it challenging to detect and intervene in disease processes at their inception. Here, we report 31,744 CpG loci exhibiting highly consistent methylation profiles in the blood of young, healthy individuals. We assess alterations at these epigenetically stable loci in 8,886 individuals across 29 diverse cohorts, including those with hematological cancers (n = 3159), cardiovascular complications (n = 2788), and healthy controls (n = 2939). Our findings reveal methylation pattern disruption in myeloid and lymphoid malignancies, correlating with clonal burden dynamics and mutation frequency throughout leukemia treatment. In non-cancer cohorts, we observe that methylation levels at epigenetically stable loci become increasingly variable with age, a shift linked to higher cardiovascular disease risk and lower survival rates. This study highlights DNA methylation instability as a blood-based biomarker for both hematological cancer and cardiovascular disease and uncovers a mechanistic link between methylation dynamics and the expansion of maladaptive hematopoietic clones.</w:t>
      </w:r>
    </w:p>
    <w:p>
      <w:pPr>
        <w:spacing w:before="120" w:after="120"/>
      </w:pPr>
      <w:r>
        <w:rPr>
          <w:sz w:val="18"/>
        </w:rPr>
        <w:t>——————————————————————————————————————————————————————————————————————</w:t>
      </w:r>
    </w:p>
    <w:p>
      <w:pPr>
        <w:spacing w:before="160" w:after="40" w:line="240" w:lineRule="auto"/>
      </w:pPr>
      <w:r>
        <w:rPr>
          <w:b/>
        </w:rPr>
        <w:t xml:space="preserve">[31] </w:t>
      </w:r>
      <w:hyperlink r:id="rId43">
        <w:r>
          <w:rPr>
            <w:color w:val="1155CC"/>
            <w:u w:val="single"/>
          </w:rPr>
          <w:t>大型长阵次毫米精确度一致闪光三维成像</w:t>
        </w:r>
      </w:hyperlink>
    </w:p>
    <w:p>
      <w:pPr>
        <w:spacing w:before="0" w:after="80"/>
      </w:pPr>
      <w:r>
        <w:rPr>
          <w:i/>
          <w:sz w:val="20"/>
        </w:rPr>
        <w:t>EN: Large-array sub-millimeter precision coherent flash three-dimensional imaging</w:t>
      </w:r>
    </w:p>
    <w:p>
      <w:pPr>
        <w:spacing w:before="0" w:after="120"/>
      </w:pPr>
      <w:r>
        <w:rPr>
          <w:b/>
        </w:rPr>
        <w:t xml:space="preserve">Source: </w:t>
      </w:r>
      <w:r>
        <w:t>Nature Communications</w:t>
      </w:r>
      <w:r>
        <w:t xml:space="preserve">    </w:t>
      </w:r>
      <w:r>
        <w:rPr>
          <w:b/>
        </w:rPr>
        <w:t xml:space="preserve">Pub date: </w:t>
      </w:r>
      <w:r>
        <w:t>2026-02-14 00:00:00+00:00</w:t>
      </w:r>
    </w:p>
    <w:p>
      <w:pPr>
        <w:spacing w:before="0" w:after="120"/>
      </w:pPr>
      <w:r>
        <w:rPr>
          <w:b/>
        </w:rPr>
        <w:t xml:space="preserve">Notes: </w:t>
      </w:r>
      <w:r>
        <w:t>abstract_source=nature_html</w:t>
      </w:r>
    </w:p>
    <w:p>
      <w:pPr>
        <w:spacing w:before="0" w:after="80" w:lineRule="auto" w:line="276"/>
      </w:pPr>
      <w:r>
        <w:rPr>
          <w:b/>
        </w:rPr>
        <w:t xml:space="preserve">摘要（ZH）: </w:t>
      </w:r>
      <w:r>
        <w:t>高精度三维(3D)成像系统是准确感知环境的关键,提供了临界深度和空间意识,在各种办法中,固态激光雷达系统已引起极大关注,但深度精确度、探测范围及像素缩缩缩度仍然是广泛采用这些系统的关键挑战。这里,我们报告了一个大型阵列串联闪光三维成像系统,通过中继频率调制和与CCD传感器的一致探测,达到亚毫米射程精确度。开发了一个连贯的图像传感器,并演示了一个原型系统,以15.86毫瓦的光学功率和10千赫的最高框架速率,提供深度精确度高达0.47毫米、30.50米范围内的三维成像系统。我们的系统具有高射线特征。</w:t>
      </w:r>
    </w:p>
    <w:p>
      <w:pPr>
        <w:spacing w:before="0" w:after="200" w:lineRule="auto" w:line="276"/>
      </w:pPr>
      <w:r>
        <w:rPr>
          <w:b/>
        </w:rPr>
        <w:t xml:space="preserve">Abstract (EN): </w:t>
      </w:r>
      <w:r>
        <w:t>High-precision three-dimensional (3D) imaging is essential for accurately perceiving environments, providing critical depth and spatial awareness. Among various approaches, solid-state LiDAR systems have garnered significant attention. However, depth precision, detection range and pixel scalability remain key challenges for their widespread adoption. Here, we report a large-array coherent flash 3D imaging system that achieves a sub-millimeter range precision through stepped-frequency modulation and coherent detection with CCD sensors. A coherent image sensor is developed, and a prototype system is demonstrated, providing 3D imaging with a depth precision as high as 0.47 mm over a range of 30.50 m at an optical power of 15.86 mW and a maximum frame rate of 10 Hz. Our system features high range precision, exceptional sensitivity across long distances, and robust pixel scalability by directly leveraging well-established CCD sensors. This advancement introduces a scalable approach to long-range high-precision 3D imaging, with substantial implications for deformation monitoring, virtual reality, and cultural heritage preservation.</w:t>
      </w:r>
    </w:p>
    <w:p>
      <w:pPr>
        <w:spacing w:before="120" w:after="120"/>
      </w:pPr>
      <w:r>
        <w:rPr>
          <w:sz w:val="18"/>
        </w:rPr>
        <w:t>——————————————————————————————————————————————————————————————————————</w:t>
      </w:r>
    </w:p>
    <w:p>
      <w:pPr>
        <w:spacing w:before="160" w:after="40" w:line="240" w:lineRule="auto"/>
      </w:pPr>
      <w:r>
        <w:rPr>
          <w:b/>
        </w:rPr>
        <w:t xml:space="preserve">[32] </w:t>
      </w:r>
      <w:hyperlink r:id="rId44">
        <w:r>
          <w:rPr>
            <w:color w:val="1155CC"/>
            <w:u w:val="single"/>
          </w:rPr>
          <w:t>ATRX丧失夫妇基因组的不稳定性,在G级富集重复对人类甲型血红蛋白表达方式进行脱氧调节时出现</w:t>
        </w:r>
      </w:hyperlink>
    </w:p>
    <w:p>
      <w:pPr>
        <w:spacing w:before="0" w:after="80"/>
      </w:pPr>
      <w:r>
        <w:rPr>
          <w:i/>
          <w:sz w:val="20"/>
        </w:rPr>
        <w:t>EN: ATRX loss couples genome instability at a G-rich repeat to dysregulation of human alpha-globin expression</w:t>
      </w:r>
    </w:p>
    <w:p>
      <w:pPr>
        <w:spacing w:before="0" w:after="120"/>
      </w:pPr>
      <w:r>
        <w:rPr>
          <w:b/>
        </w:rPr>
        <w:t xml:space="preserve">Source: </w:t>
      </w:r>
      <w:r>
        <w:t>Nature Communications</w:t>
      </w:r>
      <w:r>
        <w:t xml:space="preserve">    </w:t>
      </w:r>
      <w:r>
        <w:rPr>
          <w:b/>
        </w:rPr>
        <w:t xml:space="preserve">Pub date: </w:t>
      </w:r>
      <w:r>
        <w:t>2026-02-14 00:00:00+00:00</w:t>
      </w:r>
    </w:p>
    <w:p>
      <w:pPr>
        <w:spacing w:before="0" w:after="120"/>
      </w:pPr>
      <w:r>
        <w:rPr>
          <w:b/>
        </w:rPr>
        <w:t xml:space="preserve">Notes: </w:t>
      </w:r>
      <w:r>
        <w:t>abstract_source=nature_html</w:t>
      </w:r>
    </w:p>
    <w:p>
      <w:pPr>
        <w:spacing w:before="0" w:after="80" w:lineRule="auto" w:line="276"/>
      </w:pPr>
      <w:r>
        <w:rPr>
          <w:b/>
        </w:rPr>
        <w:t xml:space="preserve">摘要（ZH）: </w:t>
      </w:r>
      <w:r>
        <w:t>染色体对蛋白ATRX进行改造后,其染色体突变导致与α-地中海贫血有关的严重发育障碍。此外,ATRX是癌症中最经常变异的20种基因之一。ATRX突变如何改变基因表达方式仍不清楚。我们在这里显示,在一组细胞中,ATRX缺乏对α-格罗宾色素进行下调,显示DNA损伤。在α-格罗宾色体中,G-富重重复是G-夸德鲁弗勒形成和DNA损害的潜在地点。ATRX将这一重复的共作并用基因组合结合在一起,其损失增加了这个地点的R-loop累积,导致当地DNA损害和细胞的转基因中断。这种重复的消除作用,而有针对性的DNA损害又恢复了这种作用。这些发现揭示了一种介质。</w:t>
      </w:r>
    </w:p>
    <w:p>
      <w:pPr>
        <w:spacing w:before="0" w:after="200" w:lineRule="auto" w:line="276"/>
      </w:pPr>
      <w:r>
        <w:rPr>
          <w:b/>
        </w:rPr>
        <w:t xml:space="preserve">Abstract (EN): </w:t>
      </w:r>
      <w:r>
        <w:t>Germline mutations in the chromatin remodelling protein ATRX cause a severe developmental disorder associated with α-thalassemia. In addition, ATRX is amongst the twenty genes most frequently mutated in cancer. How ATRX mutations alter gene expression remains unclear. Using the α-globin locus as a model, here we show that ATRX deficiency downregulates α-globin in a subset of cells exhibiting DNA damage. A G-rich repeat at the α-globin locus serves as a potential site of G-quadruplex formation and DNA damage. ATRX binds this repeat co-transcriptionally, and its loss increases R-loop accumulation at this site, leading to local DNA damage and transcriptional disruption in cis. Deletion of this repeat abolishes this effect, while targeted DNA damage reinstates it. These findings reveal a mechanism linking ATRX’s role in genome stability to transcriptional regulation and uncover a molecular basis of human genetic disease mediated via a distal G-rich repeat.</w:t>
      </w:r>
    </w:p>
    <w:p>
      <w:pPr>
        <w:spacing w:before="120" w:after="120"/>
      </w:pPr>
      <w:r>
        <w:rPr>
          <w:sz w:val="18"/>
        </w:rPr>
        <w:t>——————————————————————————————————————————————————————————————————————</w:t>
      </w:r>
    </w:p>
    <w:p>
      <w:pPr>
        <w:spacing w:before="160" w:after="40" w:line="240" w:lineRule="auto"/>
      </w:pPr>
      <w:r>
        <w:rPr>
          <w:b/>
        </w:rPr>
        <w:t xml:space="preserve">[33] </w:t>
      </w:r>
      <w:hyperlink r:id="rId45">
        <w:r>
          <w:rPr>
            <w:color w:val="1155CC"/>
            <w:u w:val="single"/>
          </w:rPr>
          <w:t>内有障碍蛋白质的寡分化、聚集和密度转换的可视化</w:t>
        </w:r>
      </w:hyperlink>
    </w:p>
    <w:p>
      <w:pPr>
        <w:spacing w:before="0" w:after="80"/>
      </w:pPr>
      <w:r>
        <w:rPr>
          <w:i/>
          <w:sz w:val="20"/>
        </w:rPr>
        <w:t>EN: Visualization of oligomerization, clustering, and density transition of intrinsically disordered proteins</w:t>
      </w:r>
    </w:p>
    <w:p>
      <w:pPr>
        <w:spacing w:before="0" w:after="120"/>
      </w:pPr>
      <w:r>
        <w:rPr>
          <w:b/>
        </w:rPr>
        <w:t xml:space="preserve">Source: </w:t>
      </w:r>
      <w:r>
        <w:t>National Science Review Advance Access</w:t>
      </w:r>
      <w:r>
        <w:t xml:space="preserve">    </w:t>
      </w:r>
      <w:r>
        <w:rPr>
          <w:b/>
        </w:rPr>
        <w:t xml:space="preserve">Pub date: </w:t>
      </w:r>
      <w:r>
        <w:t>2026-02-14 00:00:00+00:00</w:t>
      </w:r>
      <w:r>
        <w:t xml:space="preserve">    </w:t>
      </w:r>
      <w:r>
        <w:rPr>
          <w:b/>
        </w:rPr>
        <w:t xml:space="preserve">DOI: </w:t>
      </w:r>
      <w:hyperlink r:id="rId46">
        <w:r>
          <w:rPr>
            <w:color w:val="1155CC"/>
            <w:u w:val="single"/>
          </w:rPr>
          <w:t>10.1093/nsr/nwag107/8483906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47">
        <w:r>
          <w:rPr>
            <w:color w:val="1155CC"/>
            <w:u w:val="single"/>
          </w:rPr>
          <w:t>实现可持续的高质量材料数据生态系统:框架和战略</w:t>
        </w:r>
      </w:hyperlink>
    </w:p>
    <w:p>
      <w:pPr>
        <w:spacing w:before="0" w:after="80"/>
      </w:pPr>
      <w:r>
        <w:rPr>
          <w:i/>
          <w:sz w:val="20"/>
        </w:rPr>
        <w:t>EN: Towards a sustainable high-quality materials data ecosystem: frameworks and strategies</w:t>
      </w:r>
    </w:p>
    <w:p>
      <w:pPr>
        <w:spacing w:before="0" w:after="120"/>
      </w:pPr>
      <w:r>
        <w:rPr>
          <w:b/>
        </w:rPr>
        <w:t xml:space="preserve">Source: </w:t>
      </w:r>
      <w:r>
        <w:t>National Science Review Advance Access</w:t>
      </w:r>
      <w:r>
        <w:t xml:space="preserve">    </w:t>
      </w:r>
      <w:r>
        <w:rPr>
          <w:b/>
        </w:rPr>
        <w:t xml:space="preserve">Pub date: </w:t>
      </w:r>
      <w:r>
        <w:t>2026-02-14 00:00:00+00:00</w:t>
      </w:r>
      <w:r>
        <w:t xml:space="preserve">    </w:t>
      </w:r>
      <w:r>
        <w:rPr>
          <w:b/>
        </w:rPr>
        <w:t xml:space="preserve">DOI: </w:t>
      </w:r>
      <w:hyperlink r:id="rId48">
        <w:r>
          <w:rPr>
            <w:color w:val="1155CC"/>
            <w:u w:val="single"/>
          </w:rPr>
          <w:t>10.1093/nsr/nwag108/8483891</w:t>
        </w:r>
      </w:hyperlink>
    </w:p>
    <w:p>
      <w:pPr>
        <w:spacing w:before="0" w:after="120"/>
      </w:pPr>
      <w:r>
        <w:rPr>
          <w:b/>
        </w:rPr>
        <w:t xml:space="preserve">Notes: </w:t>
      </w:r>
      <w:r>
        <w:t>abstract_source=rss_oup</w:t>
      </w:r>
    </w:p>
    <w:p>
      <w:pPr>
        <w:spacing w:before="0" w:after="80" w:lineRule="auto" w:line="276"/>
      </w:pPr>
      <w:r>
        <w:rPr>
          <w:b/>
        </w:rPr>
        <w:t xml:space="preserve">摘要（ZH）: </w:t>
      </w:r>
      <w:r>
        <w:t>人们日益认识到,高质量的数据是推动人工智能驱动材料的发现和设计的重要催化剂,然而,目前材料科学中的数据生成和管理系统往往不足,导致大量低质量数据,其特点是格式不同、条目不完整和语义不一致,这种分散的数据景观限制了直接获得可靠数据集的机会,因而不可避免地为数据合并和管理现有数据划拨大量资源。在这里,我们提议了一个全面的质量控制框架,涵盖研究生命周期的所有三个主要阶段——获取、管理和利用。</w:t>
      </w:r>
    </w:p>
    <w:p>
      <w:pPr>
        <w:spacing w:before="0" w:after="200" w:lineRule="auto" w:line="276"/>
      </w:pPr>
      <w:r>
        <w:rPr>
          <w:b/>
        </w:rPr>
        <w:t xml:space="preserve">Abstract (EN): </w:t>
      </w:r>
      <w:r>
        <w:t>High-quality data has increasingly been recognized as a critical catalyst in advancing artificial intelligence-driven materials discovery and design. However, the current data generation and management systems in materials science are often deficient, resulting in an abundance of low-quality data characterized by heterogeneous formats, incomplete entries, and semantic inconsistencies. Such fragmented data landscape limits direct access to reliable datasets, making it inevitable to allocate substantial resources toward data consolidation and governing existing data. Here, we propose a comprehensive quality-controlled framework encompassing all three principal stages of the research lifecycle—acquisition, management, and utilization. By establishing stage-specific requirements, materials data quality can be concurrently optimized and enhanced throughout the materials research and development process. Furthermore, we propose five strategic initiatives to operationalize this framework, including an integrated computational-experimental ‘data factory’ for data acquisition and an automated toolkit for data quality assessment. This work aims to embed quality-governed production directly into scientific inquiry, fostering a sustainable and robust materials data ecosystem.</w:t>
      </w:r>
    </w:p>
    <w:p>
      <w:pPr>
        <w:spacing w:before="120" w:after="120"/>
      </w:pPr>
      <w:r>
        <w:rPr>
          <w:sz w:val="18"/>
        </w:rPr>
        <w:t>——————————————————————————————————————————————————————————————————————</w:t>
      </w:r>
    </w:p>
    <w:p>
      <w:pPr>
        <w:spacing w:before="160" w:after="40" w:line="240" w:lineRule="auto"/>
      </w:pPr>
      <w:r>
        <w:rPr>
          <w:b/>
        </w:rPr>
        <w:t xml:space="preserve">[35] </w:t>
      </w:r>
      <w:hyperlink r:id="rId49">
        <w:r>
          <w:rPr>
            <w:color w:val="1155CC"/>
            <w:u w:val="single"/>
          </w:rPr>
          <w:t>通过从室温档案中选取多功能、可伸缩的生化材料,使全球规模的核糖酸储存库得以建立</w:t>
        </w:r>
      </w:hyperlink>
    </w:p>
    <w:p>
      <w:pPr>
        <w:spacing w:before="0" w:after="80"/>
      </w:pPr>
      <w:r>
        <w:rPr>
          <w:i/>
          <w:sz w:val="20"/>
        </w:rPr>
        <w:t>EN: Enabling global-scale nucleic acid repositories through versatile, scalable biochemical selection from room-temperature archives</w:t>
      </w:r>
    </w:p>
    <w:p>
      <w:pPr>
        <w:spacing w:before="0" w:after="120"/>
      </w:pPr>
      <w:r>
        <w:rPr>
          <w:b/>
        </w:rPr>
        <w:t xml:space="preserve">Source: </w:t>
      </w:r>
      <w:r>
        <w:t>Nature Communications</w:t>
      </w:r>
      <w:r>
        <w:t xml:space="preserve">    </w:t>
      </w:r>
      <w:r>
        <w:rPr>
          <w:b/>
        </w:rPr>
        <w:t xml:space="preserve">Pub date: </w:t>
      </w:r>
      <w:r>
        <w:t>2026-02-14 00:00:00+00:00</w:t>
      </w:r>
    </w:p>
    <w:p>
      <w:pPr>
        <w:spacing w:before="0" w:after="120"/>
      </w:pPr>
      <w:r>
        <w:rPr>
          <w:b/>
        </w:rPr>
        <w:t xml:space="preserve">Notes: </w:t>
      </w:r>
      <w:r>
        <w:t>abstract_source=nature_html</w:t>
      </w:r>
    </w:p>
    <w:p>
      <w:pPr>
        <w:spacing w:before="0" w:after="80" w:lineRule="auto" w:line="276"/>
      </w:pPr>
      <w:r>
        <w:rPr>
          <w:b/>
        </w:rPr>
        <w:t xml:space="preserve">摘要（ZH）: </w:t>
      </w:r>
      <w:r>
        <w:t>常规储存和回收核酸标本,特别是不稳定的RNA,依靠昂贵的冷链基础设施和效率低下的机器人处理,抑制全球基因组生物库所需的大规模核酸档案,我们采用一个可扩缩的室温储存系统,其物理足迹最小,能够对封装、条形码和集合核酸样本进行数据库式查询,包括数字范围、绝对过滤器及其组合,超越了以往单一抽样检索或布列安分类器的演示。我们用96个模拟SARS-COV-2基因组样本对该系统进行了评估,这些样本与理论病人数据包括年龄、位置和诊断状态,显示了快速、可缩放的复位。</w:t>
      </w:r>
    </w:p>
    <w:p>
      <w:pPr>
        <w:spacing w:before="0" w:after="200" w:lineRule="auto" w:line="276"/>
      </w:pPr>
      <w:r>
        <w:rPr>
          <w:b/>
        </w:rPr>
        <w:t xml:space="preserve">Abstract (EN): </w:t>
      </w:r>
      <w:r>
        <w:t>Conventional storage and retrieval of nucleic acid specimens, particularly unstable RNA, rely on costly cold-chain infrastructure and inefficient robotic handling, inhibiting large-scale nucleic acid archives needed for global genomic biobanking. We introduce a scalable room-temperature storage system with minimal physical footprint that enables database-like queries on encapsulated, barcoded, and pooled nucleic acid samples. Queries incorporate numerical ranges, categorical filters, and combinations thereof, advancing beyond previous demonstrations of single-sample retrieval or Boolean classifiers. We evaluate this system on ninety-six mock SARS-CoV-2 genomic samples barcoded with theoretical patient data including age, location, and diagnostic state, demonstrating rapid, scalable retrieval. We further demonstrate storage and sequencing of human patient-derived nucleic acid samples, illustrating applicability to clinical genomic analysis. By avoiding freezer-based storage and retrieval, this approach scales to millions of samples without loss of fidelity or throughput, enabling large-scale pathogen and genomic repositories in under-resourced or isolated regions of the US and worldwide.</w:t>
      </w:r>
    </w:p>
    <w:p>
      <w:pPr>
        <w:spacing w:before="120" w:after="120"/>
      </w:pPr>
      <w:r>
        <w:rPr>
          <w:sz w:val="18"/>
        </w:rPr>
        <w:t>——————————————————————————————————————————————————————————————————————</w:t>
      </w:r>
    </w:p>
    <w:p>
      <w:pPr>
        <w:spacing w:before="160" w:after="40" w:line="240" w:lineRule="auto"/>
      </w:pPr>
      <w:r>
        <w:rPr>
          <w:b/>
        </w:rPr>
        <w:t xml:space="preserve">[36] </w:t>
      </w:r>
      <w:hyperlink r:id="rId50">
        <w:r>
          <w:rPr>
            <w:color w:val="1155CC"/>
            <w:u w:val="single"/>
          </w:rPr>
          <w:t>[ASAP] 以多种协调机制加强微RNA的交付 [ASAP]</w:t>
        </w:r>
      </w:hyperlink>
    </w:p>
    <w:p>
      <w:pPr>
        <w:spacing w:before="0" w:after="80"/>
      </w:pPr>
      <w:r>
        <w:rPr>
          <w:i/>
          <w:sz w:val="20"/>
        </w:rPr>
        <w:t>EN: [ASAP] Aromatic Ionizable Lipids Enhance mRNA Delivery via Coordinating Multiple Mechanisms</w:t>
      </w:r>
    </w:p>
    <w:p>
      <w:pPr>
        <w:spacing w:before="0" w:after="120"/>
      </w:pPr>
      <w:r>
        <w:rPr>
          <w:b/>
        </w:rPr>
        <w:t xml:space="preserve">Source: </w:t>
      </w:r>
      <w:r>
        <w:t>Journal of the American Chemical Society: Latest Articles (ACS Publications)</w:t>
      </w:r>
      <w:r>
        <w:t xml:space="preserve">    </w:t>
      </w:r>
      <w:r>
        <w:rPr>
          <w:b/>
        </w:rPr>
        <w:t xml:space="preserve">Pub date: </w:t>
      </w:r>
      <w:r>
        <w:t>2026-02-14 14:22:26+00:00</w:t>
      </w:r>
      <w:r>
        <w:t xml:space="preserve">    </w:t>
      </w:r>
      <w:r>
        <w:rPr>
          <w:b/>
        </w:rPr>
        <w:t xml:space="preserve">DOI: </w:t>
      </w:r>
      <w:hyperlink r:id="rId51">
        <w:r>
          <w:rPr>
            <w:color w:val="1155CC"/>
            <w:u w:val="single"/>
          </w:rPr>
          <w:t>10.1021/jacs.5c16971</w:t>
        </w:r>
      </w:hyperlink>
    </w:p>
    <w:p>
      <w:pPr>
        <w:spacing w:before="0" w:after="120"/>
      </w:pPr>
      <w:r>
        <w:rPr>
          <w:b/>
        </w:rPr>
        <w:t xml:space="preserve">Notes: </w:t>
      </w:r>
      <w:r>
        <w:t>abstract_source=openalex</w:t>
      </w:r>
    </w:p>
    <w:p>
      <w:pPr>
        <w:spacing w:before="0" w:after="80" w:lineRule="auto" w:line="276"/>
      </w:pPr>
      <w:r>
        <w:rPr>
          <w:b/>
        </w:rPr>
        <w:t xml:space="preserve">摘要（ZH）: </w:t>
      </w:r>
      <w:r>
        <w:t>液态纳米粒子(LNPs)被广泛用于 mRNA的交付和治疗,但其交付效果仍然不理想。 推进脂质化学和解释行动机制为提高其效力提供了途径。 在这里,我们设计了一个900多份芳香可离子脂肪的图书馆,并系统地研究通过多重协调机制在加强 mRNA的交付过程中的芳香结合。 机械学调查显示,引入芳香集团会大大增强液态和氨溶液之间的紧密性,提高封装效率。 此外,芳香改变会促进膜流体,促进较高的细胞吸收和内生植物脱逃。在底色膜改造过程中,液态脱钩和氨溶液释放会发生模拟。</w:t>
      </w:r>
    </w:p>
    <w:p>
      <w:pPr>
        <w:spacing w:before="0" w:after="200" w:lineRule="auto" w:line="276"/>
      </w:pPr>
      <w:r>
        <w:rPr>
          <w:b/>
        </w:rPr>
        <w:t xml:space="preserve">Abstract (EN): </w:t>
      </w:r>
      <w:r>
        <w:t>Lipid nanoparticles (LNPs) have been extensively used for mRNA delivery and therapeutics, yet their delivery efficacy remains suboptimal. Advancing lipid chemistries and elucidating mechanisms of action offer avenues to enhance their efficacy. Here, we design a library of over 900 aromatic ionizable lipids and systematically study the aromatic incorporation in enhancing mRNA delivery via coordinating multiple mechanisms. Mechanistic investigations reveal that introducing aromatic groups significantly enhances the binding affinity between LNPs and mRNA, improving the encapsulation efficiency. Moreover, aromatic modification promotes membrane fluidity, facilitating superior cellular uptake and endosomal escape. During endosomal membrane remodeling, LNP dissociation and mRNA release occur simultaneously, enabling efficient cytosolic mRNA delivery. Collectively, aromatic incorporation supports multiple steps in the delivery process, resulting in substantially enhanced mRNA delivery efficacy in vivo. Notably, the top-performing candidate exhibits nearly an order-of-magnitude enhancement in delivery efficacy over FDA-approved SM-102 LNPs following both intravenous and intramuscular administration. This study not only presents a robust and efficient aromatic-derived LNP platform for mRNA delivery but also provides broader insights into the rational design and mechanistic understanding of ionizable lipids through the structural exploitation of aromatic functionalities.</w:t>
      </w:r>
    </w:p>
    <w:p>
      <w:pPr>
        <w:spacing w:before="120" w:after="120"/>
      </w:pPr>
      <w:r>
        <w:rPr>
          <w:sz w:val="18"/>
        </w:rPr>
        <w:t>——————————————————————————————————————————————————————————————————————</w:t>
      </w:r>
    </w:p>
    <w:p>
      <w:pPr>
        <w:spacing w:before="160" w:after="40" w:line="240" w:lineRule="auto"/>
      </w:pPr>
      <w:r>
        <w:rPr>
          <w:b/>
        </w:rPr>
        <w:t xml:space="preserve">[37] </w:t>
      </w:r>
      <w:hyperlink r:id="rId52">
        <w:r>
          <w:rPr>
            <w:color w:val="1155CC"/>
            <w:u w:val="single"/>
          </w:rPr>
          <w:t>[ASAP] Axially Chiral Tetra-ortho 代谢乙基苯丙酰N-Oxides 的反选择性C-H自律 C-H自律</w:t>
        </w:r>
      </w:hyperlink>
    </w:p>
    <w:p>
      <w:pPr>
        <w:spacing w:before="0" w:after="80"/>
      </w:pPr>
      <w:r>
        <w:rPr>
          <w:i/>
          <w:sz w:val="20"/>
        </w:rPr>
        <w:t>EN: [ASAP] Enantioselective C–H Arylation for Axially Chiral Tetra-ortho-Substituted Heterobiaryl N-Oxides</w:t>
      </w:r>
    </w:p>
    <w:p>
      <w:pPr>
        <w:spacing w:before="0" w:after="120"/>
      </w:pPr>
      <w:r>
        <w:rPr>
          <w:b/>
        </w:rPr>
        <w:t xml:space="preserve">Source: </w:t>
      </w:r>
      <w:r>
        <w:t>Journal of the American Chemical Society: Latest Articles (ACS Publications)</w:t>
      </w:r>
      <w:r>
        <w:t xml:space="preserve">    </w:t>
      </w:r>
      <w:r>
        <w:rPr>
          <w:b/>
        </w:rPr>
        <w:t xml:space="preserve">Pub date: </w:t>
      </w:r>
      <w:r>
        <w:t>2026-02-14 14:23:06+00:00</w:t>
      </w:r>
      <w:r>
        <w:t xml:space="preserve">    </w:t>
      </w:r>
      <w:r>
        <w:rPr>
          <w:b/>
        </w:rPr>
        <w:t xml:space="preserve">DOI: </w:t>
      </w:r>
      <w:hyperlink r:id="rId53">
        <w:r>
          <w:rPr>
            <w:color w:val="1155CC"/>
            <w:u w:val="single"/>
          </w:rPr>
          <w:t>10.1021/jacs.5c19147</w:t>
        </w:r>
      </w:hyperlink>
    </w:p>
    <w:p>
      <w:pPr>
        <w:spacing w:before="0" w:after="120"/>
      </w:pPr>
      <w:r>
        <w:rPr>
          <w:b/>
        </w:rPr>
        <w:t xml:space="preserve">Notes: </w:t>
      </w:r>
      <w:r>
        <w:t>abstract_source=openalex</w:t>
      </w:r>
    </w:p>
    <w:p>
      <w:pPr>
        <w:spacing w:before="0" w:after="80" w:lineRule="auto" w:line="276"/>
      </w:pPr>
      <w:r>
        <w:rPr>
          <w:b/>
        </w:rPr>
        <w:t xml:space="preserve">摘要（ZH）: </w:t>
      </w:r>
      <w:r>
        <w:t>从有机合成和药物发现两方面的角度来看,通过气态C-H与要求要求很高的晶晶体试剂的芳香C-H相互交融,催化性对应选择性地构造轴气性六氧基&lt;i&gt;N &lt; i&gt;N &lt; i&gt;N &lt; i &gt;-i &gt; 氧和使用商业可得的脊髓磷离心机的C3代代丙基丙基丙基丙基丙基同系的相互交融,具有催化作用的六氯环乙烷[i&gt;N &lt; i &gt; N/i &gt; 代代氨基丙醇溴,具有极大的兴趣和重要性,但在反应性和选择性方面仍存在着许多挑战。在这里,我们报告了一种协同的Pd-Ag催化方法,用于利用商业上可用的脊髓灰质磷离心机和氧化物的C3-代代丙基丙基丙基丙酰氨基丁酸 &lt; i &gt; N &lt; /i &gt; 氧化物的C2-i-i-i-loxy。</w:t>
      </w:r>
    </w:p>
    <w:p>
      <w:pPr>
        <w:spacing w:before="0" w:after="200" w:lineRule="auto" w:line="276"/>
      </w:pPr>
      <w:r>
        <w:rPr>
          <w:b/>
        </w:rPr>
        <w:t xml:space="preserve">Abstract (EN): </w:t>
      </w:r>
      <w:r>
        <w:t>The catalytic enantioselective construction of axially chiral hexatomic &lt;i&gt;N&lt;/i&gt;-heterobiaryls through aromatic C-H arylation with sterically demanding arylating reagents is of great interest and importance from the viewpoint of both organic synthesis and drug discovery, but many challenges still exist in terms of reactivity and selectivity. Here, we report a synergistic Pd-Ag catalysis for the asymmetric C-H bond arylation of C3-substituted pyridine &lt;i&gt;N&lt;/i&gt;-oxides with &lt;i&gt;ortho&lt;/i&gt;-disubstituted aryl bromides using a commercially available chiral phosphine ligand. This protocol offers an efficient and selective route for the synthesis of otherwise challenging axially chiral tetra-&lt;i&gt;ortho&lt;/i&gt;-substituted C2-arylpyridine &lt;i&gt;N&lt;/i&gt;-oxides from readily accessible pyridine &lt;i&gt;N&lt;/i&gt;-oxides and diverse aryl bromides, featuring high yields, high enantioselectivity, excellent regioselectivity, and broad substrate scope. Experimental and density functional theory (DFT) studies revealed the role of the silver salt and the origin of high site selectivity and enantioselectivity. This work opens a new avenue for the enantioselective C-H transformation of &lt;i&gt;N&lt;/i&gt;-heterocycles, leading to the efficient and selective construction of sterically demanding axially chiral &lt;i&gt;N&lt;/i&gt;-heterobiaryl scaffolds that were previously difficult to access by other means.</w:t>
      </w:r>
    </w:p>
    <w:p>
      <w:pPr>
        <w:spacing w:before="120" w:after="120"/>
      </w:pPr>
      <w:r>
        <w:rPr>
          <w:sz w:val="18"/>
        </w:rPr>
        <w:t>——————————————————————————————————————————————————————————————————————</w:t>
      </w:r>
    </w:p>
    <w:p>
      <w:pPr>
        <w:spacing w:before="160" w:after="40" w:line="240" w:lineRule="auto"/>
      </w:pPr>
      <w:r>
        <w:rPr>
          <w:b/>
        </w:rPr>
        <w:t xml:space="preserve">[38] </w:t>
      </w:r>
      <w:hyperlink r:id="rId54">
        <w:r>
          <w:rPr>
            <w:color w:val="1155CC"/>
            <w:u w:val="single"/>
          </w:rPr>
          <w:t>[ASAP] Mukayyama催化性阻燃性阻隔 -- -- 硅氯乙烯金属与环状环状环形的迈克尔反应:通往亚斯蒙特的捷径</w:t>
        </w:r>
      </w:hyperlink>
    </w:p>
    <w:p>
      <w:pPr>
        <w:spacing w:before="0" w:after="80"/>
      </w:pPr>
      <w:r>
        <w:rPr>
          <w:i/>
          <w:sz w:val="20"/>
        </w:rPr>
        <w:t>EN: [ASAP] The Catalytic Asymmetric Mukaiyama–Michael Reaction of Silyl Ketene Acetals with Cyclic Enones: Short Routes to Jasmonates</w:t>
      </w:r>
    </w:p>
    <w:p>
      <w:pPr>
        <w:spacing w:before="0" w:after="120"/>
      </w:pPr>
      <w:r>
        <w:rPr>
          <w:b/>
        </w:rPr>
        <w:t xml:space="preserve">Source: </w:t>
      </w:r>
      <w:r>
        <w:t>Journal of the American Chemical Society: Latest Articles (ACS Publications)</w:t>
      </w:r>
      <w:r>
        <w:t xml:space="preserve">    </w:t>
      </w:r>
      <w:r>
        <w:rPr>
          <w:b/>
        </w:rPr>
        <w:t xml:space="preserve">Pub date: </w:t>
      </w:r>
      <w:r>
        <w:t>2026-02-14 14:24:04+00:00</w:t>
      </w:r>
      <w:r>
        <w:t xml:space="preserve">    </w:t>
      </w:r>
      <w:r>
        <w:rPr>
          <w:b/>
        </w:rPr>
        <w:t xml:space="preserve">DOI: </w:t>
      </w:r>
      <w:hyperlink r:id="rId55">
        <w:r>
          <w:rPr>
            <w:color w:val="1155CC"/>
            <w:u w:val="single"/>
          </w:rPr>
          <w:t>10.1021/jacs.5c20804</w:t>
        </w:r>
      </w:hyperlink>
    </w:p>
    <w:p>
      <w:pPr>
        <w:spacing w:before="0" w:after="120"/>
      </w:pPr>
      <w:r>
        <w:rPr>
          <w:b/>
        </w:rPr>
        <w:t xml:space="preserve">Notes: </w:t>
      </w:r>
      <w:r>
        <w:t>abstract_source=openalex</w:t>
      </w:r>
    </w:p>
    <w:p>
      <w:pPr>
        <w:spacing w:before="0" w:after="80" w:lineRule="auto" w:line="276"/>
      </w:pPr>
      <w:r>
        <w:rPr>
          <w:b/>
        </w:rPr>
        <w:t xml:space="preserve">摘要（ZH）: </w:t>
      </w:r>
      <w:r>
        <w:t>刘易斯酸催化剂使广泛应用的有机分析不对称穆卡伊山-米恰尔半有机体添加中性电光环球,其产量可达98%和&gt;99:1 e.r.在0.05 mol 催化剂装载时,反应量可达167 g 产品,其催化剂回收率为96%。该方法可容纳广泛的酶和硅化核素,可简化关键麻风病和相关宝贵目标的接触。计算研究阐明了该反应中对应选择性的起源。因此,该平台为结构复杂的手表骨提供了多功能进入,与植物信号、芳香化学、芳香疗法和制药科学直接相关的结构复杂的手表骨架。</w:t>
      </w:r>
    </w:p>
    <w:p>
      <w:pPr>
        <w:spacing w:before="0" w:after="200" w:lineRule="auto" w:line="276"/>
      </w:pPr>
      <w:r>
        <w:rPr>
          <w:b/>
        </w:rPr>
        <w:t xml:space="preserve">Abstract (EN): </w:t>
      </w:r>
      <w:r>
        <w:t>A silylium imidodiphosphorimidate (IDPi) Lewis acid catalyst enables a broadly applicable organocatalytic asymmetric Mukaiyama-Michael addition of moderately electrophilic cycloenones with enol silanes, affording 1,4-adducts in up to 98% yield and &gt;99:1 e.r. At 0.05 mol % catalyst loading, the reaction scales to 167 g of product with 96% catalyst recovery. The method accommodates a wide range of enones and silylated nucleophiles, allowing streamlined access to key jasmonates and related valuable targets. Computational studies elucidated the origin of the enantioselectivity in this reaction. This platform thus provides a versatile entry to structurally complex chiral scaffolds with direct relevance to plant signaling, fragrance chemistry, aromatherapy, and pharmaceutical sciences.</w:t>
      </w:r>
    </w:p>
    <w:p>
      <w:pPr>
        <w:spacing w:before="120" w:after="120"/>
      </w:pPr>
      <w:r>
        <w:rPr>
          <w:sz w:val="18"/>
        </w:rPr>
        <w:t>——————————————————————————————————————————————————————————————————————</w:t>
      </w:r>
    </w:p>
    <w:p>
      <w:pPr>
        <w:spacing w:before="160" w:after="40" w:line="240" w:lineRule="auto"/>
      </w:pPr>
      <w:r>
        <w:rPr>
          <w:b/>
        </w:rPr>
        <w:t xml:space="preserve">[39] </w:t>
      </w:r>
      <w:hyperlink r:id="rId56">
        <w:r>
          <w:rPr>
            <w:color w:val="1155CC"/>
            <w:u w:val="single"/>
          </w:rPr>
          <w:t>[ASAP]对具有快速魔术-角旋转NMR的对地磁单原子站点的集中关注</w:t>
        </w:r>
      </w:hyperlink>
    </w:p>
    <w:p>
      <w:pPr>
        <w:spacing w:before="0" w:after="80"/>
      </w:pPr>
      <w:r>
        <w:rPr>
          <w:i/>
          <w:sz w:val="20"/>
        </w:rPr>
        <w:t>EN: [ASAP] Acquiring Focus on Paramagnetic Single-Atom Sites with Fast Magic-Angle Spinning NMR</w:t>
      </w:r>
    </w:p>
    <w:p>
      <w:pPr>
        <w:spacing w:before="0" w:after="120"/>
      </w:pPr>
      <w:r>
        <w:rPr>
          <w:b/>
        </w:rPr>
        <w:t xml:space="preserve">Source: </w:t>
      </w:r>
      <w:r>
        <w:t>Journal of the American Chemical Society: Latest Articles (ACS Publications)</w:t>
      </w:r>
      <w:r>
        <w:t xml:space="preserve">    </w:t>
      </w:r>
      <w:r>
        <w:rPr>
          <w:b/>
        </w:rPr>
        <w:t xml:space="preserve">Pub date: </w:t>
      </w:r>
      <w:r>
        <w:t>2026-02-14 14:24:34+00:00</w:t>
      </w:r>
      <w:r>
        <w:t xml:space="preserve">    </w:t>
      </w:r>
      <w:r>
        <w:rPr>
          <w:b/>
        </w:rPr>
        <w:t xml:space="preserve">DOI: </w:t>
      </w:r>
      <w:hyperlink r:id="rId57">
        <w:r>
          <w:rPr>
            <w:color w:val="1155CC"/>
            <w:u w:val="single"/>
          </w:rPr>
          <w:t>10.1021/jacs.5c20153</w:t>
        </w:r>
      </w:hyperlink>
    </w:p>
    <w:p>
      <w:pPr>
        <w:spacing w:before="0" w:after="120"/>
      </w:pPr>
      <w:r>
        <w:rPr>
          <w:b/>
        </w:rPr>
        <w:t xml:space="preserve">Notes: </w:t>
      </w:r>
      <w:r>
        <w:t>abstract_source=openalex</w:t>
      </w:r>
    </w:p>
    <w:p>
      <w:pPr>
        <w:spacing w:before="0" w:after="80" w:lineRule="auto" w:line="276"/>
      </w:pPr>
      <w:r>
        <w:rPr>
          <w:b/>
        </w:rPr>
        <w:t xml:space="preserve">摘要（ZH）: </w:t>
      </w:r>
      <w:r>
        <w:t>采用了一种新的材料中对准磁场定性的方法,将宽带快速魔术旋转(MAS)NMR数据与使用相关波函数的“i&gt;ab initio &lt;/i&gt;计算成的负磁场NMR变化”结合起来,本研究就是这方面的一个具有挑战性的例子。Fe在一个模型化合物中协调了PCN-224 Porphyrin金属-有机框架(Fe@PCN-224 Porphyrin 金属-有机框架),利用 &lt;sup&gt;1 &lt;/sup&gt;H和 &lt;sup&gt;13 &lt;/sup&gt;CMAS NMR光谱13 &lt;/sup&gt;C OLMS NMR 光谱,来说明协调几何结构和电子结构。尽管进行了25次实验,但计算预测了在paragnetfe@PCN-224 MOF上进行的 &lt; sup&gt;13 &lt;/sup&gt;Cn&gt;NMR变化。</w:t>
      </w:r>
    </w:p>
    <w:p>
      <w:pPr>
        <w:spacing w:before="0" w:after="200" w:lineRule="auto" w:line="276"/>
      </w:pPr>
      <w:r>
        <w:rPr>
          <w:b/>
        </w:rPr>
        <w:t xml:space="preserve">Abstract (EN): </w:t>
      </w:r>
      <w:r>
        <w:t>A new approach for characterizing paramagnetic sites in materials is introduced. It combines broadband fast magic-angle spinning (MAS) NMR data with &lt;i&gt;ab initio&lt;/i&gt; computed paramagnetic NMR shifts using correlated wave functions. This study presents a challenging example of this. With Fe coordinated in a model compound, the PCN-224 porphyrin metal-organic framework (Fe@PCN-224 MOF) was used to elucidate the coordination geometry and electronic structure using &lt;sup&gt;1&lt;/sup&gt;H and &lt;sup&gt;13&lt;/sup&gt;C MAS NMR spectra of the ligand atoms. The computationally predicted &lt;sup&gt;13&lt;/sup&gt;C NMR shifts on the paramagnetic Fe@PCN-224 MOF compared unprecedentedly well with experimental &lt;sup&gt;13&lt;/sup&gt;C NMR shifts and equally well for the diamagnetic counterpart, the Fe-free PCN-224 MOF. This is despite the 25 times wider NMR shift range of 1200 ppm for the paramagnetic Fe@PCN-224 MOF. We conclude that this approach is applicable to crystalline, noncrystalline, and molecular systems.</w:t>
      </w:r>
    </w:p>
    <w:p>
      <w:pPr>
        <w:spacing w:before="120" w:after="120"/>
      </w:pPr>
      <w:r>
        <w:rPr>
          <w:sz w:val="18"/>
        </w:rPr>
        <w:t>——————————————————————————————————————————————————————————————————————</w:t>
      </w:r>
    </w:p>
    <w:p>
      <w:pPr>
        <w:spacing w:before="160" w:after="40" w:line="240" w:lineRule="auto"/>
      </w:pPr>
      <w:r>
        <w:rPr>
          <w:b/>
        </w:rPr>
        <w:t xml:space="preserve">[40] </w:t>
      </w:r>
      <w:hyperlink r:id="rId58">
        <w:r>
          <w:rPr>
            <w:color w:val="1155CC"/>
            <w:u w:val="single"/>
          </w:rPr>
          <w:t>[ASAP] 将电气双层层和干涉电电场与多元配置式电磁锌金属导极电解解器的电解解解解</w:t>
        </w:r>
      </w:hyperlink>
    </w:p>
    <w:p>
      <w:pPr>
        <w:spacing w:before="0" w:after="80"/>
      </w:pPr>
      <w:r>
        <w:rPr>
          <w:i/>
          <w:sz w:val="20"/>
        </w:rPr>
        <w:t>EN: [ASAP] Tailoring the Electrical Double Layer and Interfacial Electric Field with Diverse Configurational Entropy-Driven Electrolyte for Ultrastable Zinc Metal Anodes</w:t>
      </w:r>
    </w:p>
    <w:p>
      <w:pPr>
        <w:spacing w:before="0" w:after="120"/>
      </w:pPr>
      <w:r>
        <w:rPr>
          <w:b/>
        </w:rPr>
        <w:t xml:space="preserve">Source: </w:t>
      </w:r>
      <w:r>
        <w:t>Journal of the American Chemical Society: Latest Articles (ACS Publications)</w:t>
      </w:r>
      <w:r>
        <w:t xml:space="preserve">    </w:t>
      </w:r>
      <w:r>
        <w:rPr>
          <w:b/>
        </w:rPr>
        <w:t xml:space="preserve">Pub date: </w:t>
      </w:r>
      <w:r>
        <w:t>2026-02-14 14:24:57+00:00</w:t>
      </w:r>
      <w:r>
        <w:t xml:space="preserve">    </w:t>
      </w:r>
      <w:r>
        <w:rPr>
          <w:b/>
        </w:rPr>
        <w:t xml:space="preserve">DOI: </w:t>
      </w:r>
      <w:hyperlink r:id="rId59">
        <w:r>
          <w:rPr>
            <w:color w:val="1155CC"/>
            <w:u w:val="single"/>
          </w:rPr>
          <w:t>10.1021/jacs.5c21156</w:t>
        </w:r>
      </w:hyperlink>
    </w:p>
    <w:p>
      <w:pPr>
        <w:spacing w:before="0" w:after="120"/>
      </w:pPr>
      <w:r>
        <w:rPr>
          <w:b/>
        </w:rPr>
        <w:t xml:space="preserve">Notes: </w:t>
      </w:r>
      <w:r>
        <w:t>abstract_source=openalex</w:t>
      </w:r>
    </w:p>
    <w:p>
      <w:pPr>
        <w:spacing w:before="0" w:after="80" w:lineRule="auto" w:line="276"/>
      </w:pPr>
      <w:r>
        <w:rPr>
          <w:b/>
        </w:rPr>
        <w:t xml:space="preserve">摘要（ZH）: </w:t>
      </w:r>
      <w:r>
        <w:t>锌阳极的内部稳定性主要取决于电的双层(EDL)环境以及重复的Zn电镀/剥离过程中的干涉电场(IEF),因此,建议对Zn &lt;sup&gt;2/sup&gt;溶解配置68种以上的高有机电解液(HEE)进行调制Zn 阳极/电极接口的EDL和IEF,实现更好的电化学稳定性和低冻结点。 形成多式和缺水 Zn &lt;sup&gt;2/sup&gt;溶解配置有利于内赫尔默尔茨平面的离子传输动力和脱尘过程,促使形成有机混合固体电解介层层,并协同引导Zn(100)和(101)的优惠增长。</w:t>
      </w:r>
    </w:p>
    <w:p>
      <w:pPr>
        <w:spacing w:before="0" w:after="200" w:lineRule="auto" w:line="276"/>
      </w:pPr>
      <w:r>
        <w:rPr>
          <w:b/>
        </w:rPr>
        <w:t xml:space="preserve">Abstract (EN): </w:t>
      </w:r>
      <w:r>
        <w:t>The interfacial stability of zinc anodes depends primarily upon the electrical double layer (EDL) environment and interfacial electric field (IEF) in repeated Zn plating/stripping processes. Herein, a high-entropy electrolyte (HEE) with over 68 types of Zn&lt;sup&gt;2+&lt;/sup&gt; solvation configurations is proposed to modulate the EDL and IEF of Zn anode/electrolyte interface, achieving the improved electrochemical stability and low freezing point. The formation of multiple and water-poor Zn&lt;sup&gt;2+&lt;/sup&gt; solvation configurations facilitates the ion transport dynamics and the desolvation process in the inner Helmholtz plane (IHP), inducing the formation of an organic-inorganic hybrid solid electrolyte interphase (SEI) layer and synergistically guiding the preferential growth of the Zn (100) and (101) crystal planes with compact and dendrite-free deposition morphology. Consequently, the Zn//Cu asymmetric cells with this HEE demonstrate a high average Coulombic efficiency (ACE) of 99.6% for over 3700 cycles (7390 h) at 25 °C and a high ACE of 99.7% for over 4600 cycles (9100 h) at -20 °C. The Zn//Zn symmetric cells also achieve stable operation for more than 3300 and 6900 h at 25 °C and -20 °C, respectively. The Zn//PANI cells exhibit 82.0% capacity retention after 2000 cycles at 1.0 A g&lt;sup&gt;-1&lt;/sup&gt; at 25 °C and ∼100% capacity retention after 7000 cycles at 0.5 A g&lt;sup&gt;-1&lt;/sup&gt; at -20 °C. This work provides an in-depth insight into the design of HEEs for tailoring the EDL and IEF to enhance the stability of Zn-based batteries.</w:t>
      </w:r>
    </w:p>
    <w:p>
      <w:pPr>
        <w:spacing w:before="120" w:after="120"/>
      </w:pPr>
      <w:r>
        <w:rPr>
          <w:sz w:val="18"/>
        </w:rPr>
        <w:t>——————————————————————————————————————————————————————————————————————</w:t>
      </w:r>
    </w:p>
    <w:p>
      <w:pPr>
        <w:spacing w:before="160" w:after="40" w:line="240" w:lineRule="auto"/>
      </w:pPr>
      <w:r>
        <w:rPr>
          <w:b/>
        </w:rPr>
        <w:t xml:space="preserve">[41] </w:t>
      </w:r>
      <w:hyperlink r:id="rId60">
        <w:r>
          <w:rPr>
            <w:color w:val="1155CC"/>
            <w:u w:val="single"/>
          </w:rPr>
          <w:t>[ASAP] Pseudo - Jahn - Teller 在一个多立的聚合体中进行扭曲</w:t>
        </w:r>
      </w:hyperlink>
    </w:p>
    <w:p>
      <w:pPr>
        <w:spacing w:before="0" w:after="80"/>
      </w:pPr>
      <w:r>
        <w:rPr>
          <w:i/>
          <w:sz w:val="20"/>
        </w:rPr>
        <w:t>EN: [ASAP] Pseudo–Jahn–Teller Distortion in a One-Dimensional π-Conjugated Polymer</w:t>
      </w:r>
    </w:p>
    <w:p>
      <w:pPr>
        <w:spacing w:before="0" w:after="120"/>
      </w:pPr>
      <w:r>
        <w:rPr>
          <w:b/>
        </w:rPr>
        <w:t xml:space="preserve">Source: </w:t>
      </w:r>
      <w:r>
        <w:t>Journal of the American Chemical Society: Latest Articles (ACS Publications)</w:t>
      </w:r>
      <w:r>
        <w:t xml:space="preserve">    </w:t>
      </w:r>
      <w:r>
        <w:rPr>
          <w:b/>
        </w:rPr>
        <w:t xml:space="preserve">Pub date: </w:t>
      </w:r>
      <w:r>
        <w:t>2026-02-14 14:25:22+00:00</w:t>
      </w:r>
      <w:r>
        <w:t xml:space="preserve">    </w:t>
      </w:r>
      <w:r>
        <w:rPr>
          <w:b/>
        </w:rPr>
        <w:t xml:space="preserve">DOI: </w:t>
      </w:r>
      <w:hyperlink r:id="rId61">
        <w:r>
          <w:rPr>
            <w:color w:val="1155CC"/>
            <w:u w:val="single"/>
          </w:rPr>
          <w:t>10.1021/jacs.5c21950</w:t>
        </w:r>
      </w:hyperlink>
    </w:p>
    <w:p>
      <w:pPr>
        <w:spacing w:before="0" w:after="120"/>
      </w:pPr>
      <w:r>
        <w:rPr>
          <w:b/>
        </w:rPr>
        <w:t xml:space="preserve">Notes: </w:t>
      </w:r>
      <w:r>
        <w:t>abstract_source=openalex</w:t>
      </w:r>
    </w:p>
    <w:p>
      <w:pPr>
        <w:spacing w:before="0" w:after="80" w:lineRule="auto" w:line="276"/>
      </w:pPr>
      <w:r>
        <w:rPr>
          <w:b/>
        </w:rPr>
        <w:t xml:space="preserve">摘要（ZH）: </w:t>
      </w:r>
      <w:r>
        <w:t>低维-相融合系统中的结构扭曲深刻地影响其电子特性,但在横向扩展系统中对这种行为的控制仍然具有挑战性。 在这里,我们证明,单维同质聚合聚合i&gt;poly &lt;/i(difluorenohedane-ethyne) (PDFHE) - (PDFHE) - 潜伏一种明显的飞机外脊椎扭曲,相当于其镜像对称自发的对称断裂(SSB) 。 我们在高贵金属表面合成了PDFHE, 并用低温扫描隧道显微镜(STM)来描述其结构和电子状态。我们没有采用平面、高对称相容相容法,而是将PDFHE放松到非平面异构体中,通过假Jahn-讲机(PJT)的反射波测出机特性而稳定下来。</w:t>
      </w:r>
    </w:p>
    <w:p>
      <w:pPr>
        <w:spacing w:before="0" w:after="200" w:lineRule="auto" w:line="276"/>
      </w:pPr>
      <w:r>
        <w:rPr>
          <w:b/>
        </w:rPr>
        <w:t xml:space="preserve">Abstract (EN): </w:t>
      </w:r>
      <w:r>
        <w:t>Structural distortions in low-dimensional π-conjugated systems profoundly influence their electronic properties, but the control of such behavior in laterally extended systems remains challenging. Here we demonstrate that a one-dimensional conjugated polymer─&lt;i&gt;poly&lt;/i&gt;-(difluorenoheptalene-ethynylene) (PDFHE)─undergoes a pronounced out-of-plane backbone distortion, equivalent to a spontaneous symmetry breaking (SSB) of its mirror symmetry. We synthesized PDFHE on noble metal surfaces and characterized its structure and electronic states using low-temperature scanning tunneling microscopy (STM). Rather than adopting a planar, high-symmetry conformation, PDFHE relaxes into nonplanar isomers stabilized by a pseudo-Jahn-Teller (PJT) distortion having mirror-odd out-of-plane character. The distortion lowers the total energy and increases the band gap, providing a concise rationale for the observed symmetry breaking. Density functional theory calculations corroborate these findings, providing a microscopic explanation for the SSB. Our results show that even in mechanically robust extended π-systems, subtle electron-lattice coupling can spontaneously drive significant structural rearrangements, even in mechanically robust extended π-systems.</w:t>
      </w:r>
    </w:p>
    <w:p>
      <w:pPr>
        <w:spacing w:before="120" w:after="120"/>
      </w:pPr>
      <w:r>
        <w:rPr>
          <w:sz w:val="18"/>
        </w:rPr>
        <w:t>——————————————————————————————————————————————————————————————————————</w:t>
      </w:r>
    </w:p>
    <w:p>
      <w:pPr>
        <w:spacing w:before="160" w:after="40" w:line="240" w:lineRule="auto"/>
      </w:pPr>
      <w:r>
        <w:rPr>
          <w:b/>
        </w:rPr>
        <w:t xml:space="preserve">[42] </w:t>
      </w:r>
      <w:hyperlink r:id="rId62">
        <w:r>
          <w:rPr>
            <w:color w:val="1155CC"/>
            <w:u w:val="single"/>
          </w:rPr>
          <w:t>[ASAP] Helmholtz平板上电场和高热能电流和高温高温电池的电场竞争性离子-分子协调</w:t>
        </w:r>
      </w:hyperlink>
    </w:p>
    <w:p>
      <w:pPr>
        <w:spacing w:before="0" w:after="80"/>
      </w:pPr>
      <w:r>
        <w:rPr>
          <w:i/>
          <w:sz w:val="20"/>
        </w:rPr>
        <w:t>EN: [ASAP] Electric Field-Driven Competitive Ionic–Molecular Coordination in the Helmholtz Plane Enables High-Voltage and High-Temperature Sodium-Ion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2026-02-14 14:25:46+00:00</w:t>
      </w:r>
      <w:r>
        <w:t xml:space="preserve">    </w:t>
      </w:r>
      <w:r>
        <w:rPr>
          <w:b/>
        </w:rPr>
        <w:t xml:space="preserve">DOI: </w:t>
      </w:r>
      <w:hyperlink r:id="rId63">
        <w:r>
          <w:rPr>
            <w:color w:val="1155CC"/>
            <w:u w:val="single"/>
          </w:rPr>
          <w:t>10.1021/jacs.5c21008</w:t>
        </w:r>
      </w:hyperlink>
    </w:p>
    <w:p>
      <w:pPr>
        <w:spacing w:before="0" w:after="120"/>
      </w:pPr>
      <w:r>
        <w:rPr>
          <w:b/>
        </w:rPr>
        <w:t xml:space="preserve">Notes: </w:t>
      </w:r>
      <w:r>
        <w:t>abstract_source=openalex</w:t>
      </w:r>
    </w:p>
    <w:p>
      <w:pPr>
        <w:spacing w:before="0" w:after="80" w:lineRule="auto" w:line="276"/>
      </w:pPr>
      <w:r>
        <w:rPr>
          <w:b/>
        </w:rPr>
        <w:t xml:space="preserve">摘要（ZH）: </w:t>
      </w:r>
      <w:r>
        <w:t>在高压和高温条件下,增强氧化物层阴极(LOCs)与电解解解液(电解解液)之间的内在稳定性被认为是钠离电池(SIBs)的关键,然而,由干涉电场驱动的电解氧化和阴极降解的重大挑战仍未解决,特别是在高压和高温条件下。在此情况下,我们利用干涉电场,通过电离层的消毒作用和多种电离的竞争性协调,精确地引导赫尔姆霍尔茨平面(HP)的物种吸附和溶解结构配置,从而调整LOCs的间酸化学。在电场激活下,离子分子吸附和协调的协同效应有利于形成。</w:t>
      </w:r>
    </w:p>
    <w:p>
      <w:pPr>
        <w:spacing w:before="0" w:after="200" w:lineRule="auto" w:line="276"/>
      </w:pPr>
      <w:r>
        <w:rPr>
          <w:b/>
        </w:rPr>
        <w:t xml:space="preserve">Abstract (EN): </w:t>
      </w:r>
      <w:r>
        <w:t>Enhancing the interfacial stability between layered oxide cathodes (LOCs) and the electrolyte is considered to be pivotal for sodium-ion batteries (SIBs). However, the critical challenges of electrolyte oxidation and cathode degradation driven by the interfacial electric field remain unsolved, particularly under high-voltage and high-temperature conditions. Herein, we harness the interfacial electric field to precisely steer the species adsorption and solvation structure configuration of the Helmholtz plane (HP) through the steric exclusion effects of cations and the competitive coordination of multiple anions, thereby tailoring the interfacial chemistry of LOCs. Under electric field activation, the synergistic effect of ionic-molecular adsorption and coordination facilitates the formation of a robust inorganic-rich cathode electrolyte interphase, equipped with a uniform thickness and low energy barrier for smooth Na&lt;sup&gt;+&lt;/sup&gt; diffusion. These endow the O3-NaNi&lt;sub&gt;1/3&lt;/sub&gt;Fe&lt;sub&gt;1/3&lt;/sub&gt;Mn&lt;sub&gt;1/3&lt;/sub&gt;O&lt;sub&gt;2&lt;/sub&gt; cathode with an enhanced capacity retention of 73.5% after 250 cycles under extreme operating conditions of 4.5 V and 60 °C. Furthermore, the viability of HP engineering is proven in practical Ah-level pouch cells, showcasing 79.5% capacity retention after 80 cycles at 4.3 V and 60 °C. This work underscores the relevance of HP regulation and interfacial chemistry manipulated by the electric field, providing valuable insights into electrolyte engineering for SIBs.</w:t>
      </w:r>
    </w:p>
    <w:p>
      <w:pPr>
        <w:spacing w:before="120" w:after="120"/>
      </w:pPr>
      <w:r>
        <w:rPr>
          <w:sz w:val="18"/>
        </w:rPr>
        <w:t>——————————————————————————————————————————————————————————————————————</w:t>
      </w:r>
    </w:p>
    <w:p>
      <w:pPr>
        <w:spacing w:before="160" w:after="40" w:line="240" w:lineRule="auto"/>
      </w:pPr>
      <w:r>
        <w:rPr>
          <w:b/>
        </w:rPr>
        <w:t xml:space="preserve">[43] </w:t>
      </w:r>
      <w:hyperlink r:id="rId64">
        <w:r>
          <w:rPr>
            <w:color w:val="1155CC"/>
            <w:u w:val="single"/>
          </w:rPr>
          <w:t>[ASAP]通过甲基β-C(sp3)-H 合成斯皮罗碳酸循环周期合成</w:t>
        </w:r>
      </w:hyperlink>
    </w:p>
    <w:p>
      <w:pPr>
        <w:spacing w:before="0" w:after="80"/>
      </w:pPr>
      <w:r>
        <w:rPr>
          <w:i/>
          <w:sz w:val="20"/>
        </w:rPr>
        <w:t>EN: [ASAP] Synthesis of Spiro Carbocycles via Methyl β-C(sp3)–H Functionalization of Cyclic Aliphatic Acids</w:t>
      </w:r>
    </w:p>
    <w:p>
      <w:pPr>
        <w:spacing w:before="0" w:after="120"/>
      </w:pPr>
      <w:r>
        <w:rPr>
          <w:b/>
        </w:rPr>
        <w:t xml:space="preserve">Source: </w:t>
      </w:r>
      <w:r>
        <w:t>Journal of the American Chemical Society: Latest Articles (ACS Publications)</w:t>
      </w:r>
      <w:r>
        <w:t xml:space="preserve">    </w:t>
      </w:r>
      <w:r>
        <w:rPr>
          <w:b/>
        </w:rPr>
        <w:t xml:space="preserve">Pub date: </w:t>
      </w:r>
      <w:r>
        <w:t>2026-02-14 14:26:17+00:00</w:t>
      </w:r>
      <w:r>
        <w:t xml:space="preserve">    </w:t>
      </w:r>
      <w:r>
        <w:rPr>
          <w:b/>
        </w:rPr>
        <w:t xml:space="preserve">DOI: </w:t>
      </w:r>
      <w:hyperlink r:id="rId65">
        <w:r>
          <w:rPr>
            <w:color w:val="1155CC"/>
            <w:u w:val="single"/>
          </w:rPr>
          <w:t>10.1021/jacs.6c01021</w:t>
        </w:r>
      </w:hyperlink>
    </w:p>
    <w:p>
      <w:pPr>
        <w:spacing w:before="0" w:after="120"/>
      </w:pPr>
      <w:r>
        <w:rPr>
          <w:b/>
        </w:rPr>
        <w:t xml:space="preserve">Notes: </w:t>
      </w:r>
      <w:r>
        <w:t>abstract_source=openalex</w:t>
      </w:r>
    </w:p>
    <w:p>
      <w:pPr>
        <w:spacing w:before="0" w:after="80" w:lineRule="auto" w:line="276"/>
      </w:pPr>
      <w:r>
        <w:rPr>
          <w:b/>
        </w:rPr>
        <w:t xml:space="preserve">摘要（ZH）: </w:t>
      </w:r>
      <w:r>
        <w:t>尽管甲基C-H债券在环状亚基体内对甲基苯C-H债券具有优异的内在反应性,但在碳循环中选择性激活甲基C-H债券仍然是一个重大挑战,最近有效的双功能丙烯丙酮皮条老螺母在各种环式圆箱酸中一贯表现出对甲基C-H债券的选择性选择性。环态碳oxyc酸的β-甲基C-H债券选择性功能化可以进一步扩大碳循环周期的多样性,特别是因为这种再活动可以开辟一条新的途径,合成在药用化学中可取的环状鲑鱼。</w:t>
      </w:r>
    </w:p>
    <w:p>
      <w:pPr>
        <w:spacing w:before="0" w:after="200" w:lineRule="auto" w:line="276"/>
      </w:pPr>
      <w:r>
        <w:rPr>
          <w:b/>
        </w:rPr>
        <w:t xml:space="preserve">Abstract (EN): </w:t>
      </w:r>
      <w:r>
        <w:t>Despite the superior innate reactivity of methyl C-H bonds over methylene C-H bonds in acyclic substrates, selective activation of methyl C-H bonds in carbocycles remains a significant challenge. Recent effective bifunctional pyridone ligands have consistently demonstrated selectivity toward methylene C-H bonds on various cyclic carboxylic acids. Selective functionalization of β-methyl C-H bonds of cyclic carboxylic acids could further expand the diversity of carbocycles, especially as this reactivity could open a new route for the synthesis of spirocyclic scaffolds desirable in medicinal chemistry. Herein, we report a ligand-controlled β-C(sp&lt;sup&gt;3&lt;/sup&gt;)-H methyl olefination and arylation that enables efficient syntheses of spirocyclic lactones, spiro-3,4-dihydrocoumarins, and spirocyclic ketones. Computational and deuterium incorporation studies suggest that MPAA (mono-&lt;i&gt;N&lt;/i&gt;-protected amino acid) and MPAThio (mono-&lt;i&gt;N&lt;/i&gt;-protected amino aryl thioether) ligands reverse the preference for methylene C-H activation observed with bidentate pyridone ligands by favoring the activation of primary C-H bonds. Furthermore, sequential functionalization of both methyl and methylene C-H bonds in cyclic acids was realized to significantly expand the structural diversity of carbocycles.</w:t>
      </w:r>
    </w:p>
    <w:p>
      <w:pPr>
        <w:spacing w:before="120" w:after="120"/>
      </w:pPr>
      <w:r>
        <w:rPr>
          <w:sz w:val="18"/>
        </w:rPr>
        <w:t>——————————————————————————————————————————————————————————————————————</w:t>
      </w:r>
    </w:p>
    <w:p>
      <w:pPr>
        <w:spacing w:before="160" w:after="40" w:line="240" w:lineRule="auto"/>
      </w:pPr>
      <w:r>
        <w:rPr>
          <w:b/>
        </w:rPr>
        <w:t xml:space="preserve">[44] </w:t>
      </w:r>
      <w:hyperlink r:id="rId66">
        <w:r>
          <w:rPr>
            <w:color w:val="1155CC"/>
            <w:u w:val="single"/>
          </w:rPr>
          <w:t>[ASAP] 用于燃料和化学品生产的基于废物的挥发性脂肪酸</w:t>
        </w:r>
      </w:hyperlink>
    </w:p>
    <w:p>
      <w:pPr>
        <w:spacing w:before="0" w:after="80"/>
      </w:pPr>
      <w:r>
        <w:rPr>
          <w:i/>
          <w:sz w:val="20"/>
        </w:rPr>
        <w:t>EN: [ASAP] Waste-Based Volatile Fatty Acids for Fuel and Chemical Production</w:t>
      </w:r>
    </w:p>
    <w:p>
      <w:pPr>
        <w:spacing w:before="0" w:after="120"/>
      </w:pPr>
      <w:r>
        <w:rPr>
          <w:b/>
        </w:rPr>
        <w:t xml:space="preserve">Source: </w:t>
      </w:r>
      <w:r>
        <w:t>ACS Energy Letters: Latest Articles (ACS Publications)</w:t>
      </w:r>
      <w:r>
        <w:t xml:space="preserve">    </w:t>
      </w:r>
      <w:r>
        <w:rPr>
          <w:b/>
        </w:rPr>
        <w:t xml:space="preserve">Pub date: </w:t>
      </w:r>
      <w:r>
        <w:t>2026-02-14 14:42:51+00:00</w:t>
      </w:r>
      <w:r>
        <w:t xml:space="preserve">    </w:t>
      </w:r>
      <w:r>
        <w:rPr>
          <w:b/>
        </w:rPr>
        <w:t xml:space="preserve">DOI: </w:t>
      </w:r>
      <w:hyperlink r:id="rId67">
        <w:r>
          <w:rPr>
            <w:color w:val="1155CC"/>
            <w:u w:val="single"/>
          </w:rPr>
          <w:t>10.1021/acsenergylett.5c04340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68">
        <w:r>
          <w:rPr>
            <w:color w:val="1155CC"/>
            <w:u w:val="single"/>
          </w:rPr>
          <w:t>全面审查将超级电容器纳入风力涡轮机的情况</w:t>
        </w:r>
      </w:hyperlink>
    </w:p>
    <w:p>
      <w:pPr>
        <w:spacing w:before="0" w:after="80"/>
      </w:pPr>
      <w:r>
        <w:rPr>
          <w:i/>
          <w:sz w:val="20"/>
        </w:rPr>
        <w:t>EN: A comprehensive review of Supercapacitor integration into wind turbines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69">
        <w:r>
          <w:rPr>
            <w:color w:val="1155CC"/>
            <w:u w:val="single"/>
          </w:rPr>
          <w:t>太阳能光光电池集电池能源储存技术的当前趋势和挑战:关键组成部分、方法和未来前景</w:t>
        </w:r>
      </w:hyperlink>
    </w:p>
    <w:p>
      <w:pPr>
        <w:spacing w:before="0" w:after="80"/>
      </w:pPr>
      <w:r>
        <w:rPr>
          <w:i/>
          <w:sz w:val="20"/>
        </w:rPr>
        <w:t>EN: Current trends and challenges in solar PV-integrated battery energy storage technology: Key components, methods, and future prospects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70">
        <w:r>
          <w:rPr>
            <w:color w:val="1155CC"/>
            <w:u w:val="single"/>
          </w:rPr>
          <w:t>沿海可再生能源互补性综合技术经济评估:中国海区案例研究</w:t>
        </w:r>
      </w:hyperlink>
    </w:p>
    <w:p>
      <w:pPr>
        <w:spacing w:before="0" w:after="80"/>
      </w:pPr>
      <w:r>
        <w:rPr>
          <w:i/>
          <w:sz w:val="20"/>
        </w:rPr>
        <w:t>EN: An integrated spatiotemporal techno-economic assessment of offshore renewable energy complementarity: A case study in China's maritime zones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71">
        <w:r>
          <w:rPr>
            <w:color w:val="1155CC"/>
            <w:u w:val="single"/>
          </w:rPr>
          <w:t>深市场不确定性情况下数据中心的最佳能源组合投资战略</w:t>
        </w:r>
      </w:hyperlink>
    </w:p>
    <w:p>
      <w:pPr>
        <w:spacing w:before="0" w:after="80"/>
      </w:pPr>
      <w:r>
        <w:rPr>
          <w:i/>
          <w:sz w:val="20"/>
        </w:rPr>
        <w:t>EN: Optimal energy portfolio investment strategies for data centers under deep market uncertainty</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72">
        <w:r>
          <w:rPr>
            <w:color w:val="1155CC"/>
            <w:u w:val="single"/>
          </w:rPr>
          <w:t>潜在热储存技术复合材料的有限要素分析:全面审查</w:t>
        </w:r>
      </w:hyperlink>
    </w:p>
    <w:p>
      <w:pPr>
        <w:spacing w:before="0" w:after="80"/>
      </w:pPr>
      <w:r>
        <w:rPr>
          <w:i/>
          <w:sz w:val="20"/>
        </w:rPr>
        <w:t>EN: Finite element analysis of composites for latent heat storage technology: a comprehensive review</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73">
        <w:r>
          <w:rPr>
            <w:color w:val="1155CC"/>
            <w:u w:val="single"/>
          </w:rPr>
          <w:t>低碳热:材料、可靠性和工业、建筑和数据中心采用AI驱动的系统整合</w:t>
        </w:r>
      </w:hyperlink>
    </w:p>
    <w:p>
      <w:pPr>
        <w:spacing w:before="0" w:after="80"/>
      </w:pPr>
      <w:r>
        <w:rPr>
          <w:i/>
          <w:sz w:val="20"/>
        </w:rPr>
        <w:t>EN: Advanced phase change material-thermal energy storage for low-carbon heat: materials, reliability, and AI-driven system integration for industry, buildings, and data centers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74">
        <w:r>
          <w:rPr>
            <w:color w:val="1155CC"/>
            <w:u w:val="single"/>
          </w:rPr>
          <w:t>包括灵活电力平衡装置、V2G排期和氢储存系统的富RES型微电网多阶段协调规划办法</w:t>
        </w:r>
      </w:hyperlink>
    </w:p>
    <w:p>
      <w:pPr>
        <w:spacing w:before="0" w:after="80"/>
      </w:pPr>
      <w:r>
        <w:rPr>
          <w:i/>
          <w:sz w:val="20"/>
        </w:rPr>
        <w:t>EN: Multistage coordinated planning approach for RES-rich microgrids incorporating flexible power balancing unit, V2G scheduling, and hydrogen storage systems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75">
        <w:r>
          <w:rPr>
            <w:color w:val="1155CC"/>
            <w:u w:val="single"/>
          </w:rPr>
          <w:t>部门混合能源社区的利益和分配原则</w:t>
        </w:r>
      </w:hyperlink>
    </w:p>
    <w:p>
      <w:pPr>
        <w:spacing w:before="0" w:after="80"/>
      </w:pPr>
      <w:r>
        <w:rPr>
          <w:i/>
          <w:sz w:val="20"/>
        </w:rPr>
        <w:t>EN: Benefits and allocation principles of sector-coupled energy communities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76">
        <w:r>
          <w:rPr>
            <w:color w:val="1155CC"/>
            <w:u w:val="single"/>
          </w:rPr>
          <w:t>对波浪能源转换器(点吸收器、线性吸收器和混合系统)的比较最新比较审查</w:t>
        </w:r>
      </w:hyperlink>
    </w:p>
    <w:p>
      <w:pPr>
        <w:spacing w:before="0" w:after="80"/>
      </w:pPr>
      <w:r>
        <w:rPr>
          <w:i/>
          <w:sz w:val="20"/>
        </w:rPr>
        <w:t>EN: A comparative state-of-the-art review of wave energy converters: point absorbers, linear absorbers, and hybrid systems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77">
        <w:r>
          <w:rPr>
            <w:color w:val="1155CC"/>
            <w:u w:val="single"/>
          </w:rPr>
          <w:t>为社会弱势社区进行适应性微电网规划</w:t>
        </w:r>
      </w:hyperlink>
    </w:p>
    <w:p>
      <w:pPr>
        <w:spacing w:before="0" w:after="80"/>
      </w:pPr>
      <w:r>
        <w:rPr>
          <w:i/>
          <w:sz w:val="20"/>
        </w:rPr>
        <w:t>EN: Resilient microgrid planning for socially vulnerable communities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78">
        <w:r>
          <w:rPr>
            <w:color w:val="1155CC"/>
            <w:u w:val="single"/>
          </w:rPr>
          <w:t>确定美国家庭电力需求高峰的特点:评估最终使用负荷和需求因素</w:t>
        </w:r>
      </w:hyperlink>
    </w:p>
    <w:p>
      <w:pPr>
        <w:spacing w:before="0" w:after="80"/>
      </w:pPr>
      <w:r>
        <w:rPr>
          <w:i/>
          <w:sz w:val="20"/>
        </w:rPr>
        <w:t>EN: Characterizing peak electricity demand for U.S. households: an assessment of end-use loads and demand factors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79">
        <w:r>
          <w:rPr>
            <w:color w:val="1155CC"/>
            <w:u w:val="single"/>
          </w:rPr>
          <w:t>固体氧化物电池短堆中空间溶解诊断-纯氢操作下的多抽样分析</w:t>
        </w:r>
      </w:hyperlink>
    </w:p>
    <w:p>
      <w:pPr>
        <w:spacing w:before="0" w:after="80"/>
      </w:pPr>
      <w:r>
        <w:rPr>
          <w:i/>
          <w:sz w:val="20"/>
        </w:rPr>
        <w:t>EN: Spatially resolved diagnostic in solid oxide cell short stack – multisampling analysis under pure hydrogen operation</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80">
        <w:r>
          <w:rPr>
            <w:color w:val="1155CC"/>
            <w:u w:val="single"/>
          </w:rPr>
          <w:t>电价投入方法对经济优化模式的影响:芬兰地区供热热热能储存案例研究</w:t>
        </w:r>
      </w:hyperlink>
    </w:p>
    <w:p>
      <w:pPr>
        <w:spacing w:before="0" w:after="80"/>
      </w:pPr>
      <w:r>
        <w:rPr>
          <w:i/>
          <w:sz w:val="20"/>
        </w:rPr>
        <w:t>EN: Impact of electricity price input methods on economic optimisation models: A case study of district heating thermal energy storage in Finland</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81">
        <w:r>
          <w:rPr>
            <w:color w:val="1155CC"/>
            <w:u w:val="single"/>
          </w:rPr>
          <w:t>在批发能源市场形成多传输节点分布式能源资源汇总:最佳节点汇总办法和可接受能力扩大区域</w:t>
        </w:r>
      </w:hyperlink>
    </w:p>
    <w:p>
      <w:pPr>
        <w:spacing w:before="0" w:after="80"/>
      </w:pPr>
      <w:r>
        <w:rPr>
          <w:i/>
          <w:sz w:val="20"/>
        </w:rPr>
        <w:t>EN: Forming multi-transmission-node distributed energy resource aggregations in wholesale energy market: An optimal node aggregation approach and admissible capacity expansion regions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82">
        <w:r>
          <w:rPr>
            <w:color w:val="1155CC"/>
            <w:u w:val="single"/>
          </w:rPr>
          <w:t>利用生物模拟金属 -- -- 药物协调协调纳米平台,通过破坏能源在Pseudomonas eruuginosa抗药性抗药性</w:t>
        </w:r>
      </w:hyperlink>
    </w:p>
    <w:p>
      <w:pPr>
        <w:spacing w:before="0" w:after="80"/>
      </w:pPr>
      <w:r>
        <w:rPr>
          <w:i/>
          <w:sz w:val="20"/>
        </w:rPr>
        <w:t>EN: Biomimetic metal-drug coordination nanoplatform to counteract drug resistance in Pseudomonas aeruginosa via energy disruption</w:t>
      </w:r>
    </w:p>
    <w:p>
      <w:pPr>
        <w:spacing w:before="0" w:after="120"/>
      </w:pPr>
      <w:r>
        <w:rPr>
          <w:b/>
        </w:rPr>
        <w:t xml:space="preserve">Source: </w:t>
      </w:r>
      <w:r>
        <w:t>Nature Communications</w:t>
      </w:r>
      <w:r>
        <w:t xml:space="preserve">    </w:t>
      </w:r>
      <w:r>
        <w:rPr>
          <w:b/>
        </w:rPr>
        <w:t xml:space="preserve">Pub date: </w:t>
      </w:r>
      <w:r>
        <w:t>2026-02-15 00:00:00+00:00</w:t>
      </w:r>
    </w:p>
    <w:p>
      <w:pPr>
        <w:spacing w:before="0" w:after="120"/>
      </w:pPr>
      <w:r>
        <w:rPr>
          <w:b/>
        </w:rPr>
        <w:t xml:space="preserve">Notes: </w:t>
      </w:r>
      <w:r>
        <w:t>abstract_source=nature_html</w:t>
      </w:r>
    </w:p>
    <w:p>
      <w:pPr>
        <w:spacing w:before="0" w:after="80" w:lineRule="auto" w:line="276"/>
      </w:pPr>
      <w:r>
        <w:rPr>
          <w:b/>
        </w:rPr>
        <w:t xml:space="preserve">摘要（ZH）: </w:t>
      </w:r>
      <w:r>
        <w:t>抗微生物抗药性迅速出现是使常规抗生素无效的关键性全球健康挑战。制定创新战略使抗药性病原体对现有的抗生素重新敏感是一种很有希望的治疗方法。在这里,我们展示了一种生物模拟纳米平台(Ce-car@EV NPs),其方法是将姜源外细胞囊(EVs)和PH反应灵敏的-氨基苯酶协调纳米粒子(Ce-car NCPs)进行合理整合,从而合理整合了姜源外细胞囊(EVs)和PH反应灵敏反应的纳米粒子(Ce-car NCPs),从而使得酸性感染场所的持久循环和定向退化,释放了Ce4+离子和卡比尼西林。释放的Ce4+离子进入了细菌细胞,从而干扰了亚TP合成,阻止氧化磷化,抑制了增殖泵的活动。</w:t>
      </w:r>
    </w:p>
    <w:p>
      <w:pPr>
        <w:spacing w:before="0" w:after="200" w:lineRule="auto" w:line="276"/>
      </w:pPr>
      <w:r>
        <w:rPr>
          <w:b/>
        </w:rPr>
        <w:t xml:space="preserve">Abstract (EN): </w:t>
      </w:r>
      <w:r>
        <w:t>The rapid emergence of antimicrobial resistance is a critical global health challenge that renders conventional antibiotics ineffective. Developing innovative strategies to resensitize drug-resistant pathogens to existing antibiotics represents a promising therapeutic approach. Here, we present a biomimetic nanoplatform (Ce-Car@EV NPs) through the rational integration of ginger-derived extracellular vesicles (EVs) and a pH-responsive cerium-carbenicillin coordination nanoparticles (Ce-Car NCPs). This design enables prolonged circulation and targeted degradation in acidic infection sites, releasing Ce4+ ions and carbenicillin. The released Ce4+ ions penetrate the bacterial cells, where they disrupt ATP synthesis, impede oxidative phosphorylation, and inhibit the activity of efflux pump. By depleting ATP, blocking efflux pumps, and thereby reversing bacterial resistance, Ce4+ ions act as a potent adjuvant to carbenicillin. Here we show that this strategy effectively restores carbenicillin efficacy against drug-resistant Pseudomonas aeruginosa both in vitro and in vivo, establishing a therapeutic strategy leveraging metallic adjuvants to counteract antimicrobial resistance.</w:t>
      </w:r>
    </w:p>
    <w:p>
      <w:pPr>
        <w:spacing w:before="120" w:after="120"/>
      </w:pPr>
      <w:r>
        <w:rPr>
          <w:sz w:val="18"/>
        </w:rPr>
        <w:t>——————————————————————————————————————————————————————————————————————</w:t>
      </w:r>
    </w:p>
    <w:p>
      <w:pPr>
        <w:spacing w:before="160" w:after="40" w:line="240" w:lineRule="auto"/>
      </w:pPr>
      <w:r>
        <w:rPr>
          <w:b/>
        </w:rPr>
        <w:t xml:space="preserve">[60] </w:t>
      </w:r>
      <w:hyperlink r:id="rId83">
        <w:r>
          <w:rPr>
            <w:color w:val="1155CC"/>
            <w:u w:val="single"/>
          </w:rPr>
          <w:t>岸外风力农场投资不确定情况下的经济价值:系统文献审查</w:t>
        </w:r>
      </w:hyperlink>
    </w:p>
    <w:p>
      <w:pPr>
        <w:spacing w:before="0" w:after="80"/>
      </w:pPr>
      <w:r>
        <w:rPr>
          <w:i/>
          <w:sz w:val="20"/>
        </w:rPr>
        <w:t>EN: Economic valuation under uncertainty in offshore wind farms investments: A systematic literature review</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 </w:t>
      </w:r>
      <w:hyperlink r:id="rId84">
        <w:r>
          <w:rPr>
            <w:color w:val="1155CC"/>
            <w:u w:val="single"/>
          </w:rPr>
          <w:t>高性能锂/钠离电电电电电极:机制、进步和未来前景</w:t>
        </w:r>
      </w:hyperlink>
    </w:p>
    <w:p>
      <w:pPr>
        <w:spacing w:before="0" w:after="80"/>
      </w:pPr>
      <w:r>
        <w:rPr>
          <w:i/>
          <w:sz w:val="20"/>
        </w:rPr>
        <w:t>EN: Defect engineering for high-performance lithium/sodium-ion capacitor electrodes: mechanisms, advances, and future perspectives</w:t>
      </w:r>
    </w:p>
    <w:p>
      <w:pPr>
        <w:spacing w:before="0" w:after="120"/>
      </w:pPr>
      <w:r>
        <w:rPr>
          <w:b/>
        </w:rPr>
        <w:t xml:space="preserve">Source: </w:t>
      </w:r>
      <w:r>
        <w:t>ScienceDirect Publication: Applied Energy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85">
        <w:r>
          <w:rPr>
            <w:color w:val="1155CC"/>
            <w:u w:val="single"/>
          </w:rPr>
          <w:t>超越领导人和落后者:现任者如何领导变革政策任务</w:t>
        </w:r>
      </w:hyperlink>
    </w:p>
    <w:p>
      <w:pPr>
        <w:spacing w:before="0" w:after="80"/>
      </w:pPr>
      <w:r>
        <w:rPr>
          <w:i/>
          <w:sz w:val="20"/>
        </w:rPr>
        <w:t>EN: Beyond leaders and laggards: How incumbents navigate transformative policy missions</w:t>
      </w:r>
    </w:p>
    <w:p>
      <w:pPr>
        <w:spacing w:before="0" w:after="120"/>
      </w:pPr>
      <w:r>
        <w:rPr>
          <w:b/>
        </w:rPr>
        <w:t xml:space="preserve">Source: </w:t>
      </w:r>
      <w:r>
        <w:t>ScienceDirect Publication: Energy Policy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86">
        <w:r>
          <w:rPr>
            <w:color w:val="1155CC"/>
            <w:u w:val="single"/>
          </w:rPr>
          <w:t>优化经济-能源-环境(3E)非碳化政策组合:中国的协同作用、权衡取舍和区域执行</w:t>
        </w:r>
      </w:hyperlink>
    </w:p>
    <w:p>
      <w:pPr>
        <w:spacing w:before="0" w:after="80"/>
      </w:pPr>
      <w:r>
        <w:rPr>
          <w:i/>
          <w:sz w:val="20"/>
        </w:rPr>
        <w:t>EN: Optimizing economy-energy-environment (3Es) policy mixes for decarbonization: Synergies, trade-offs, and regional implementation in China</w:t>
      </w:r>
    </w:p>
    <w:p>
      <w:pPr>
        <w:spacing w:before="0" w:after="120"/>
      </w:pPr>
      <w:r>
        <w:rPr>
          <w:b/>
        </w:rPr>
        <w:t xml:space="preserve">Source: </w:t>
      </w:r>
      <w:r>
        <w:t>ScienceDirect Publication: Energy Policy</w:t>
      </w:r>
      <w:r>
        <w:t xml:space="preserve">    </w:t>
      </w:r>
      <w:r>
        <w:rPr>
          <w:b/>
        </w:rPr>
        <w:t xml:space="preserve">Pub date: </w:t>
      </w:r>
      <w:r>
        <w:t>2026-02-15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87">
        <w:r>
          <w:rPr>
            <w:color w:val="1155CC"/>
            <w:u w:val="single"/>
          </w:rPr>
          <w:t>通过将等离子体阵列与霍乱性纳米纤维素素结合而实现的</w:t>
        </w:r>
      </w:hyperlink>
    </w:p>
    <w:p>
      <w:pPr>
        <w:spacing w:before="0" w:after="80"/>
      </w:pPr>
      <w:r>
        <w:rPr>
          <w:i/>
          <w:sz w:val="20"/>
        </w:rPr>
        <w:t>EN: Engineering Chiroptical Interactions through Integrating Plasmonic Arrays with Cholesteric Nanocellulose</w:t>
      </w:r>
    </w:p>
    <w:p>
      <w:pPr>
        <w:spacing w:before="0" w:after="120"/>
      </w:pPr>
      <w:r>
        <w:rPr>
          <w:b/>
        </w:rPr>
        <w:t xml:space="preserve">Source: </w:t>
      </w:r>
      <w:r>
        <w:t>Wiley: Advanced Materials: Table of Contents</w:t>
      </w:r>
      <w:r>
        <w:t xml:space="preserve">    </w:t>
      </w:r>
      <w:r>
        <w:rPr>
          <w:b/>
        </w:rPr>
        <w:t xml:space="preserve">Pub date: </w:t>
      </w:r>
      <w:r>
        <w:t>2026-02-15 08:00:00+00:00</w:t>
      </w:r>
      <w:r>
        <w:t xml:space="preserve">    </w:t>
      </w:r>
      <w:r>
        <w:rPr>
          <w:b/>
        </w:rPr>
        <w:t xml:space="preserve">DOI: </w:t>
      </w:r>
      <w:hyperlink r:id="rId88">
        <w:r>
          <w:rPr>
            <w:color w:val="1155CC"/>
            <w:u w:val="single"/>
          </w:rPr>
          <w:t>10.1002/adma.202519964</w:t>
        </w:r>
      </w:hyperlink>
    </w:p>
    <w:p>
      <w:pPr>
        <w:spacing w:before="0" w:after="120"/>
      </w:pPr>
      <w:r>
        <w:rPr>
          <w:b/>
        </w:rPr>
        <w:t xml:space="preserve">Notes: </w:t>
      </w:r>
      <w:r>
        <w:t>abstract_source=crossref</w:t>
      </w:r>
    </w:p>
    <w:p>
      <w:pPr>
        <w:spacing w:before="0" w:after="80" w:lineRule="auto" w:line="276"/>
      </w:pPr>
      <w:r>
        <w:rPr>
          <w:b/>
        </w:rPr>
        <w:t xml:space="preserve">摘要（ZH）: </w:t>
      </w:r>
      <w:r>
        <w:t>ABSTACT 实现可缩放的制造,精确控制手动质谱材料的有机特性,这仍然是个挑战。我们展示了一组新型的工程手动机动复合体,由线状组装的金纳米粒子阵列组成,这些阵列结合了胆固的自组合纤维素纳米晶体(CNCs),水态的碳集合聚合物悬浮被投放到通过蒸发(诱发的转移)成像印刷印刷印刷、产生厘米比例混合胶片和定制的土动反应而成。在干燥过程中,CNCs与介质上的金纳米粒子相融合,保持阵列的线性安排,并把它与上方的孔晶体内CNC层隔离。这种配置结合了线条。</w:t>
      </w:r>
    </w:p>
    <w:p>
      <w:pPr>
        <w:spacing w:before="0" w:after="200" w:lineRule="auto" w:line="276"/>
      </w:pPr>
      <w:r>
        <w:rPr>
          <w:b/>
        </w:rPr>
        <w:t xml:space="preserve">Abstract (EN): </w:t>
      </w:r>
      <w:r>
        <w:t>Achieving scalable fabrication with precise control of chiroptical properties in chiral plasmonic materials remains challenging. We present a new family of engineered chiroptical composites comprising linearly assembled gold nanoparticle arrays integrated with cholesteric self‐assembled cellulose nanocrystals (CNCs). Aqueous CNC suspensions are cast onto pre‐assembled achiral plasmonic nanoparticle arrays via evaporation‐induced transfer imprinting lithography, yielding centimeter‐scale hybrid films with custom‐tailored chiroptical responses. During drying, CNCs co‐assemble with the gold nanoparticles at the interface, preserving the array's linear arrangement and keeping it isolated from the overlying cholesteric CNC layers. This configuration combines the linear dichroism of the plasmonic array with the linear birefringence of the CNC matrix, producing strong and tunable plasmonic circular dichroism at the surface lattice resonance, reaching 1217 ± 51 mdeg with a dissymmetry factor of –0.19 ± 0.02. Our approach provides a sustainable platform for engineering multifunctional chiral plasmonic materials with potential applications in optical sensing, photonic devices, and chiral biointerfaces.</w:t>
      </w:r>
    </w:p>
    <w:p>
      <w:pPr>
        <w:spacing w:before="120" w:after="120"/>
      </w:pPr>
      <w:r>
        <w:rPr>
          <w:sz w:val="18"/>
        </w:rPr>
        <w:t>——————————————————————————————————————————————————————————————————————</w:t>
      </w:r>
    </w:p>
    <w:p>
      <w:pPr>
        <w:spacing w:before="160" w:after="40" w:line="240" w:lineRule="auto"/>
      </w:pPr>
      <w:r>
        <w:rPr>
          <w:b/>
        </w:rPr>
        <w:t xml:space="preserve">[65] </w:t>
      </w:r>
      <w:hyperlink r:id="rId89">
        <w:r>
          <w:rPr>
            <w:color w:val="1155CC"/>
            <w:u w:val="single"/>
          </w:rPr>
          <w:t>在硅铜经检测的电电桥中,水体硫化电池革命化</w:t>
        </w:r>
      </w:hyperlink>
    </w:p>
    <w:p>
      <w:pPr>
        <w:spacing w:before="0" w:after="80"/>
      </w:pPr>
      <w:r>
        <w:rPr>
          <w:i/>
          <w:sz w:val="20"/>
        </w:rPr>
        <w:t>EN: In Situ Copper‐Mediated Electron Bridge Revolutionizes Aqueous Sulfur‐Based Batteries</w:t>
      </w:r>
    </w:p>
    <w:p>
      <w:pPr>
        <w:spacing w:before="0" w:after="120"/>
      </w:pPr>
      <w:r>
        <w:rPr>
          <w:b/>
        </w:rPr>
        <w:t xml:space="preserve">Source: </w:t>
      </w:r>
      <w:r>
        <w:t>Wiley: Advanced Materials: Table of Contents</w:t>
      </w:r>
      <w:r>
        <w:t xml:space="preserve">    </w:t>
      </w:r>
      <w:r>
        <w:rPr>
          <w:b/>
        </w:rPr>
        <w:t xml:space="preserve">Pub date: </w:t>
      </w:r>
      <w:r>
        <w:t>2026-02-15 08:19:03+00:00</w:t>
      </w:r>
      <w:r>
        <w:t xml:space="preserve">    </w:t>
      </w:r>
      <w:r>
        <w:rPr>
          <w:b/>
        </w:rPr>
        <w:t xml:space="preserve">DOI: </w:t>
      </w:r>
      <w:hyperlink r:id="rId90">
        <w:r>
          <w:rPr>
            <w:color w:val="1155CC"/>
            <w:u w:val="single"/>
          </w:rPr>
          <w:t>10.1002/adma.202520299</w:t>
        </w:r>
      </w:hyperlink>
    </w:p>
    <w:p>
      <w:pPr>
        <w:spacing w:before="0" w:after="120"/>
      </w:pPr>
      <w:r>
        <w:rPr>
          <w:b/>
        </w:rPr>
        <w:t xml:space="preserve">Notes: </w:t>
      </w:r>
      <w:r>
        <w:t>abstract_source=crossref</w:t>
      </w:r>
    </w:p>
    <w:p>
      <w:pPr>
        <w:spacing w:before="0" w:after="80" w:lineRule="auto" w:line="276"/>
      </w:pPr>
      <w:r>
        <w:rPr>
          <w:b/>
        </w:rPr>
        <w:t xml:space="preserve">摘要（ZH）: </w:t>
      </w:r>
      <w:r>
        <w:t>以硫为基础的电池的实际应用仍然受到电荷转移缓慢、动动因变化和硫化阴极结构不稳定的挑战,这主要是由于缺乏高效电子运输通道和坚固的电极结构。在这里,我们提出了一个现场电子桥架建战略,采用过渡金属来调整电子特性,加强硫化聚丙烯酸酯(SPAN)阴极管结构。电子桥内铜和SPAN之间的动态双轨道混合促进了带宽封闭,将电子特性从半导体状态转移到金属状态,从而建立了高速电子传输通道和乙烷。</w:t>
      </w:r>
    </w:p>
    <w:p>
      <w:pPr>
        <w:spacing w:before="0" w:after="200" w:lineRule="auto" w:line="276"/>
      </w:pPr>
      <w:r>
        <w:rPr>
          <w:b/>
        </w:rPr>
        <w:t xml:space="preserve">Abstract (EN): </w:t>
      </w:r>
      <w:r>
        <w:t>The practical application of sulfur‐based batteries remains challenged by the sluggish charge transfer kinetics and structural instability of sulfur cathodes, largely attributed to the absence of efficient electron transport pathways and robust electrode architecture. Herein, we present an in situ electron bridge construction strategy by introducing a transition metal to tailor the electronic properties and reinforce the structure of sulfurized polyacrylonitrile (SPAN) cathode. The dynamic d‐p orbital hybridization between copper and SPAN within the electron bridge promotes bandgap closure, shifting the electronic character from a semiconducting state toward a metallic state, thereby establishing high‐speed electron transfer channels and accelerating redox kinetics. Simultaneously, the self‐assembled copper‐modified SPAN (CuSPAN), driven by in situ thermodynamically‐favorable process, intrinsically reinforces the cathode structure, conferring exceptional long‐term operational stability. As a result, the aqueous CuSPAN‐based battery achieves a high reversible capacity of 760 mAh g</w:t>
      </w:r>
      <w:r>
        <w:t xml:space="preserve"> </w:t>
      </w:r>
      <w:r>
        <w:t>−1</w:t>
      </w:r>
      <w:r>
        <w:t xml:space="preserve"> </w:t>
      </w:r>
      <w:r>
        <w:t>at 3 C and outstanding cyclic stability with 79.2% capacity retention over 50 000 cycles at 15 C, superior to previously reported aqueous sulfur batteries. To verify the practicality, a flexible pouch cell is built based on the CuSPAN cathode, Zn anode, and gel electrolytes, delivering a stable operating voltage (1.2 V), high energy density (950 Wh kg</w:t>
      </w:r>
      <w:r>
        <w:t xml:space="preserve"> </w:t>
      </w:r>
      <w:r>
        <w:t>−1</w:t>
      </w:r>
      <w:r>
        <w:t xml:space="preserve"> </w:t>
      </w:r>
      <w:r>
        <w:t>), and remarkable cycling stability even under various harsh conditions.</w:t>
      </w:r>
    </w:p>
    <w:p>
      <w:pPr>
        <w:spacing w:before="120" w:after="120"/>
      </w:pPr>
      <w:r>
        <w:rPr>
          <w:sz w:val="18"/>
        </w:rPr>
        <w:t>——————————————————————————————————————————————————————————————————————</w:t>
      </w:r>
    </w:p>
    <w:p>
      <w:pPr>
        <w:spacing w:before="160" w:after="40" w:line="240" w:lineRule="auto"/>
      </w:pPr>
      <w:r>
        <w:rPr>
          <w:b/>
        </w:rPr>
        <w:t xml:space="preserve">[66] </w:t>
      </w:r>
      <w:hyperlink r:id="rId91">
        <w:r>
          <w:rPr>
            <w:color w:val="1155CC"/>
            <w:u w:val="single"/>
          </w:rPr>
          <w:t>材料准备资料资料档案:社区报告模式汇编标准</w:t>
        </w:r>
      </w:hyperlink>
    </w:p>
    <w:p>
      <w:pPr>
        <w:spacing w:before="0" w:after="80"/>
      </w:pPr>
      <w:r>
        <w:rPr>
          <w:i/>
          <w:sz w:val="20"/>
        </w:rPr>
        <w:t>EN: Material Preparation Information File (MPIF): A Community‐Driven Standard for Reporting MOF Syntheses</w:t>
      </w:r>
    </w:p>
    <w:p>
      <w:pPr>
        <w:spacing w:before="0" w:after="120"/>
      </w:pPr>
      <w:r>
        <w:rPr>
          <w:b/>
        </w:rPr>
        <w:t xml:space="preserve">Source: </w:t>
      </w:r>
      <w:r>
        <w:t>Wiley: Advanced Materials: Table of Contents</w:t>
      </w:r>
      <w:r>
        <w:t xml:space="preserve">    </w:t>
      </w:r>
      <w:r>
        <w:rPr>
          <w:b/>
        </w:rPr>
        <w:t xml:space="preserve">Pub date: </w:t>
      </w:r>
      <w:r>
        <w:t>2026-02-15 08:20:32+00:00</w:t>
      </w:r>
      <w:r>
        <w:t xml:space="preserve">    </w:t>
      </w:r>
      <w:r>
        <w:rPr>
          <w:b/>
        </w:rPr>
        <w:t xml:space="preserve">DOI: </w:t>
      </w:r>
      <w:hyperlink r:id="rId92">
        <w:r>
          <w:rPr>
            <w:color w:val="1155CC"/>
            <w:u w:val="single"/>
          </w:rPr>
          <w:t>10.1002/adma.202521420</w:t>
        </w:r>
      </w:hyperlink>
    </w:p>
    <w:p>
      <w:pPr>
        <w:spacing w:before="0" w:after="120"/>
      </w:pPr>
      <w:r>
        <w:rPr>
          <w:b/>
        </w:rPr>
        <w:t xml:space="preserve">Notes: </w:t>
      </w:r>
      <w:r>
        <w:t>abstract_source=crossref</w:t>
      </w:r>
    </w:p>
    <w:p>
      <w:pPr>
        <w:spacing w:before="0" w:after="80" w:lineRule="auto" w:line="276"/>
      </w:pPr>
      <w:r>
        <w:rPr>
          <w:b/>
        </w:rPr>
        <w:t xml:space="preserve">摘要（ZH）: </w:t>
      </w:r>
      <w:r>
        <w:t>关于金属-有机框架(MOFs)和有关多孔材料研究的迅速增长突出表明,迫切需要对合成程序和材料特性进行标准化报告。合成一致性往往由于协议不完整和术语不一致而受到损害,即使成熟的MOFs也因微妙和经常未报告的因素而表现出很大的变异性。为了应对这一严峻的挑战,我们引入了材料准备信息文件(MPIF),这是一个模块、机器和人文可读格式,用于与关键定性数据一起记录合成协议。在自定义文本归档和检索系统(STAR)档案结构的基础上,MPIF综合了基本信息,包括Rea。</w:t>
      </w:r>
    </w:p>
    <w:p>
      <w:pPr>
        <w:spacing w:before="0" w:after="200" w:lineRule="auto" w:line="276"/>
      </w:pPr>
      <w:r>
        <w:rPr>
          <w:b/>
        </w:rPr>
        <w:t xml:space="preserve">Abstract (EN): </w:t>
      </w:r>
      <w:r>
        <w:t>The rapid growth of research on metal–organic frameworks (MOFs) and related porous materials has highlighted a critical need for standardized reporting of synthetic procedures and material properties. Synthesis consistency is often compromised by incomplete protocols and inconsistent nomenclature, with even well‐established MOFs exhibiting substantial variability depending on subtle and frequently unreported factors. To address this critical challenge, we introduce the Material Preparation Information File (MPIF), a modular, machine‐ and human‐readable format for documenting synthesis protocols alongside key characterization data. Built on the Self‐defining Text Archive and Retrieval (STAR) file architecture, MPIF consolidates essential information, including reagents, conditions, equipment, and handling procedures—into a structured format that supports both digital processing and practical laboratory use. To streamline MPIF creation and editing, a web‐based interface has been developed (mpif.jackdevans.com). By aligning with existing standards such as CIF and AIF, MPIF enables integration with databases, promotes FAIR data principles, and provides a foundation for data‐driven materials discovery, informatics, and automation. We envision MPIF becoming a community‐wide standard for transparent and consistent reporting of MOF and related material syntheses.</w:t>
      </w:r>
    </w:p>
    <w:p>
      <w:pPr>
        <w:spacing w:before="120" w:after="120"/>
      </w:pPr>
      <w:r>
        <w:rPr>
          <w:sz w:val="18"/>
        </w:rPr>
        <w:t>——————————————————————————————————————————————————————————————————————</w:t>
      </w:r>
    </w:p>
    <w:p>
      <w:pPr>
        <w:spacing w:before="160" w:after="40" w:line="240" w:lineRule="auto"/>
      </w:pPr>
      <w:r>
        <w:rPr>
          <w:b/>
        </w:rPr>
        <w:t xml:space="preserve">[67] </w:t>
      </w:r>
      <w:hyperlink r:id="rId93">
        <w:r>
          <w:rPr>
            <w:color w:val="1155CC"/>
            <w:u w:val="single"/>
          </w:rPr>
          <w:t>用于所有固态钠电池的基于硫化的电解解液</w:t>
        </w:r>
      </w:hyperlink>
    </w:p>
    <w:p>
      <w:pPr>
        <w:spacing w:before="0" w:after="80"/>
      </w:pPr>
      <w:r>
        <w:rPr>
          <w:i/>
          <w:sz w:val="20"/>
        </w:rPr>
        <w:t>EN: Sulfide‐Based Electrolytes for All‐Solid‐State Sodium Batteries</w:t>
      </w:r>
    </w:p>
    <w:p>
      <w:pPr>
        <w:spacing w:before="0" w:after="120"/>
      </w:pPr>
      <w:r>
        <w:rPr>
          <w:b/>
        </w:rPr>
        <w:t xml:space="preserve">Source: </w:t>
      </w:r>
      <w:r>
        <w:t>Wiley: Advanced Energy Materials: Table of Contents</w:t>
      </w:r>
      <w:r>
        <w:t xml:space="preserve">    </w:t>
      </w:r>
      <w:r>
        <w:rPr>
          <w:b/>
        </w:rPr>
        <w:t xml:space="preserve">Pub date: </w:t>
      </w:r>
      <w:r>
        <w:t>2026-02-15 08:21:47+00:00</w:t>
      </w:r>
      <w:r>
        <w:t xml:space="preserve">    </w:t>
      </w:r>
      <w:r>
        <w:rPr>
          <w:b/>
        </w:rPr>
        <w:t xml:space="preserve">DOI: </w:t>
      </w:r>
      <w:hyperlink r:id="rId94">
        <w:r>
          <w:rPr>
            <w:color w:val="1155CC"/>
            <w:u w:val="single"/>
          </w:rPr>
          <w:t>10.1002/aenm.202505208</w:t>
        </w:r>
      </w:hyperlink>
    </w:p>
    <w:p>
      <w:pPr>
        <w:spacing w:before="0" w:after="120"/>
      </w:pPr>
      <w:r>
        <w:rPr>
          <w:b/>
        </w:rPr>
        <w:t xml:space="preserve">Notes: </w:t>
      </w:r>
      <w:r>
        <w:t>abstract_source=crossref</w:t>
      </w:r>
    </w:p>
    <w:p>
      <w:pPr>
        <w:spacing w:before="0" w:after="80" w:lineRule="auto" w:line="276"/>
      </w:pPr>
      <w:r>
        <w:rPr>
          <w:b/>
        </w:rPr>
        <w:t xml:space="preserve">摘要（ZH）: </w:t>
      </w:r>
      <w:r>
        <w:t>ABSTACT ABSTACT 拥有丰富资源、低成本、高安全和高能源密度的全固体钠电池,显示电网规模能源贮存和电动车辆潜力大,成为后锂时代的强大候选体。 其中,基于硫化固态电解液由于与液体电解液相类似的高室温电传导性,以及其优异的相互兼容性和生产方便性,使得它们成为尖端研究的快速增长焦点,因此,目前基于硫化氮的固体电解液研究中依然存在着重大挑战,包括电传导性不足、水分敏感度和不相容性,这些都使电化学性恶化。</w:t>
      </w:r>
    </w:p>
    <w:p>
      <w:pPr>
        <w:spacing w:before="0" w:after="200" w:lineRule="auto" w:line="276"/>
      </w:pPr>
      <w:r>
        <w:rPr>
          <w:b/>
        </w:rPr>
        <w:t xml:space="preserve">Abstract (EN): </w:t>
      </w:r>
      <w:r>
        <w:t>All‐solid‐state sodium batteries with abundant resources, low cost, high safety, and high energy density show promising potential for grid‐scale energy storage and electric vehicles, positioning them as strong candidates for the post‐lithium era. Among them, sulfide‐based solid electrolytes stand out due to the high room‐temperature ionic conductivity, comparable to that of liquid electrolytes, as well as their superior interfacial compatibility and ease of production, making them a rapidly growing focus of cutting‐edge research. Nevertheless, critical challenges persist in current sulfide‐based solid electrolytes research, including inadequate ionic conductivity, moisture sensitivity, and interfacial incompatibility, which deteriorate electrochemical performance and hinder practical implementation. Herein, a systematic overview of the structure, properties, and synthesis methods of several representative sulfide‐based solid electrolytes is provided. Next, the key challenges and current optimization strategies are comprehensively summarized. Additionally, the assembly and battery performance of sulfide‐based solid electrolytes in sodium systems, along with the long‐overlooked safety risks and technical bottlenecks for industrial production, are discussed. Finally, a summary and recommendations for the identified and potential challenges of sulfide‐based solid electrolytes for future research are proposed.</w:t>
      </w:r>
    </w:p>
    <w:p>
      <w:pPr>
        <w:spacing w:before="120" w:after="120"/>
      </w:pPr>
      <w:r>
        <w:rPr>
          <w:sz w:val="18"/>
        </w:rPr>
        <w:t>——————————————————————————————————————————————————————————————————————</w:t>
      </w:r>
    </w:p>
    <w:p>
      <w:pPr>
        <w:spacing w:before="160" w:after="40" w:line="240" w:lineRule="auto"/>
      </w:pPr>
      <w:r>
        <w:rPr>
          <w:b/>
        </w:rPr>
        <w:t xml:space="preserve">[68] </w:t>
      </w:r>
      <w:hyperlink r:id="rId95">
        <w:r>
          <w:rPr>
            <w:color w:val="1155CC"/>
            <w:u w:val="single"/>
          </w:rPr>
          <w:t>用于增强对固体肿瘤进行吸收性免疫细胞治疗的细菌生物材料</w:t>
        </w:r>
      </w:hyperlink>
    </w:p>
    <w:p>
      <w:pPr>
        <w:spacing w:before="0" w:after="80"/>
      </w:pPr>
      <w:r>
        <w:rPr>
          <w:i/>
          <w:sz w:val="20"/>
        </w:rPr>
        <w:t>EN: Engineered Bacterial Biomaterials for Augmenting Adoptive Immune Cell Therapy Against Solid Tumors</w:t>
      </w:r>
    </w:p>
    <w:p>
      <w:pPr>
        <w:spacing w:before="0" w:after="120"/>
      </w:pPr>
      <w:r>
        <w:rPr>
          <w:b/>
        </w:rPr>
        <w:t xml:space="preserve">Source: </w:t>
      </w:r>
      <w:r>
        <w:t>Wiley: Advanced Materials: Table of Contents</w:t>
      </w:r>
      <w:r>
        <w:t xml:space="preserve">    </w:t>
      </w:r>
      <w:r>
        <w:rPr>
          <w:b/>
        </w:rPr>
        <w:t xml:space="preserve">Pub date: </w:t>
      </w:r>
      <w:r>
        <w:t>2026-02-15 08:22:51+00:00</w:t>
      </w:r>
      <w:r>
        <w:t xml:space="preserve">    </w:t>
      </w:r>
      <w:r>
        <w:rPr>
          <w:b/>
        </w:rPr>
        <w:t xml:space="preserve">DOI: </w:t>
      </w:r>
      <w:hyperlink r:id="rId96">
        <w:r>
          <w:rPr>
            <w:color w:val="1155CC"/>
            <w:u w:val="single"/>
          </w:rPr>
          <w:t>10.1002/adma.202522140</w:t>
        </w:r>
      </w:hyperlink>
    </w:p>
    <w:p>
      <w:pPr>
        <w:spacing w:before="0" w:after="120"/>
      </w:pPr>
      <w:r>
        <w:rPr>
          <w:b/>
        </w:rPr>
        <w:t xml:space="preserve">Notes: </w:t>
      </w:r>
      <w:r>
        <w:t>abstract_source=crossref</w:t>
      </w:r>
    </w:p>
    <w:p>
      <w:pPr>
        <w:spacing w:before="0" w:after="80" w:lineRule="auto" w:line="276"/>
      </w:pPr>
      <w:r>
        <w:rPr>
          <w:b/>
        </w:rPr>
        <w:t xml:space="preserve">摘要（ZH）: </w:t>
      </w:r>
      <w:r>
        <w:t>ABSTACT 采纳性免疫细胞疗法(ACT)是癌症免疫疗法中最有希望的战略之一,它利用基因工程的免疫细胞发现和消灭肿瘤细胞,具有很高的特殊性。在血友学恶性肿瘤中,特别是在CD19-目标乳腺抗原受体T(CARET)细胞疗法中,已经实现了持久的再释放。然而,由于免疫抑制性肿瘤微环境、肿瘤异质性、肿瘤细胞细胞渗入不良以及肿瘤部位内影响细胞的持久性,青蒿素在固态肿瘤中的功效仍然有限。细菌生物材料,包括活细菌及其细胞平台,例如外膜卵囊,代表了能够重塑的可规划系统的新兴类别。细菌生物材料,包括活细菌及其细胞平台,例如外膜卵囊。</w:t>
      </w:r>
    </w:p>
    <w:p>
      <w:pPr>
        <w:spacing w:before="0" w:after="200" w:lineRule="auto" w:line="276"/>
      </w:pPr>
      <w:r>
        <w:rPr>
          <w:b/>
        </w:rPr>
        <w:t xml:space="preserve">Abstract (EN): </w:t>
      </w:r>
      <w:r>
        <w:t>Adoptive immune cell therapy (ACT) represents one of the most promising strategies in cancer immunotherapy, leveraging genetically engineered immune cells to recognize and eradicate tumor cells with high specificity. Durable remissions have been achieved in hematological malignancies, particularly with CD19‐targeted chimeric antigen receptor T (CAR‐T) cell therapies. However, the efficacy of ACT in solid tumors remains limited due to the immunosuppressive tumor microenvironment, tumor heterogeneity, and poor infiltration and persistence of the effector cells within tumor sites. Bacterial biomaterials, encompassing live bacteria and their acellular platforms, for example, outer membrane vesicles, represent emerging classes of programmable systems capable of reshaping the tumor immune microenvironment. In this review, we briefly illustrate the underlying molecular mechanisms by which bacterial biomaterials remodel the tumor environment and underscore the advances in the use of engineered bacterial biomaterials to enhance the efficacy of ACT in solid tumors, highlighting the underlying basic principles and engineering strategies to augment current adoptive cellular therapies for overcoming their faced dilemmas in solid tumor settings.</w:t>
      </w:r>
    </w:p>
    <w:p>
      <w:pPr>
        <w:spacing w:before="120" w:after="120"/>
      </w:pPr>
      <w:r>
        <w:rPr>
          <w:sz w:val="18"/>
        </w:rPr>
        <w:t>——————————————————————————————————————————————————————————————————————</w:t>
      </w:r>
    </w:p>
    <w:p>
      <w:pPr>
        <w:spacing w:before="160" w:after="40" w:line="240" w:lineRule="auto"/>
      </w:pPr>
      <w:r>
        <w:rPr>
          <w:b/>
        </w:rPr>
        <w:t xml:space="preserve">[69] </w:t>
      </w:r>
      <w:hyperlink r:id="rId97">
        <w:r>
          <w:rPr>
            <w:color w:val="1155CC"/>
            <w:u w:val="single"/>
          </w:rPr>
          <w:t>补充性电动电动电动电解解解器,具有高性能的平衡电动特性</w:t>
        </w:r>
      </w:hyperlink>
    </w:p>
    <w:p>
      <w:pPr>
        <w:spacing w:before="0" w:after="80"/>
      </w:pPr>
      <w:r>
        <w:rPr>
          <w:i/>
          <w:sz w:val="20"/>
        </w:rPr>
        <w:t>EN: Complementary Anion‐Cation Modulated Electrolyte with Balanced Conductivities for High‐Performance All‐Solid‐State Lithium‐Metal Batteries</w:t>
      </w:r>
    </w:p>
    <w:p>
      <w:pPr>
        <w:spacing w:before="0" w:after="120"/>
      </w:pPr>
      <w:r>
        <w:rPr>
          <w:b/>
        </w:rPr>
        <w:t xml:space="preserve">Source: </w:t>
      </w:r>
      <w:r>
        <w:t>Wiley: Advanced Materials: Table of Contents</w:t>
      </w:r>
      <w:r>
        <w:t xml:space="preserve">    </w:t>
      </w:r>
      <w:r>
        <w:rPr>
          <w:b/>
        </w:rPr>
        <w:t xml:space="preserve">Pub date: </w:t>
      </w:r>
      <w:r>
        <w:t>2026-02-15 08:23:52+00:00</w:t>
      </w:r>
      <w:r>
        <w:t xml:space="preserve">    </w:t>
      </w:r>
      <w:r>
        <w:rPr>
          <w:b/>
        </w:rPr>
        <w:t xml:space="preserve">DOI: </w:t>
      </w:r>
      <w:hyperlink r:id="rId98">
        <w:r>
          <w:rPr>
            <w:color w:val="1155CC"/>
            <w:u w:val="single"/>
          </w:rPr>
          <w:t>10.1002/adma.72546</w:t>
        </w:r>
      </w:hyperlink>
    </w:p>
    <w:p>
      <w:pPr>
        <w:spacing w:before="0" w:after="120"/>
      </w:pPr>
      <w:r>
        <w:rPr>
          <w:b/>
        </w:rPr>
        <w:t xml:space="preserve">Notes: </w:t>
      </w:r>
      <w:r>
        <w:t>abstract_source=crossref</w:t>
      </w:r>
    </w:p>
    <w:p>
      <w:pPr>
        <w:spacing w:before="0" w:after="80" w:lineRule="auto" w:line="276"/>
      </w:pPr>
      <w:r>
        <w:rPr>
          <w:b/>
        </w:rPr>
        <w:t xml:space="preserve">摘要（ZH）: </w:t>
      </w:r>
      <w:r>
        <w:t>具有超电导性和与锂金属阳极高度兼容性的ABSTRACT Soliticial-stoltical 电解解解析器对于高精度能量是不可或缺的。在这里,我们开发了一种Argyrodite-type 固态电解解析器,通过合作的阴离子调制策略,使李+输送和与李金属之间极好的交互兼容性。一个强固态介质通过李金属与定制电解解介质之间的现场反应自发形成。引入电解解解析器的电解解解摩可降低成利焦热合物,而阴离子N则能够形成高度相容的利3N。这些介质可以减少电解解介器的电解介质,而电解N则能够形成高度相容的利3N。</w:t>
      </w:r>
    </w:p>
    <w:p>
      <w:pPr>
        <w:spacing w:before="0" w:after="200" w:lineRule="auto" w:line="276"/>
      </w:pPr>
      <w:r>
        <w:rPr>
          <w:b/>
        </w:rPr>
        <w:t xml:space="preserve">Abstract (EN): </w:t>
      </w:r>
      <w:r>
        <w:t>Solid‐state electrolytes with superionic conductivity and high compatibility with lithium‐metal anode are essential for high specific energy all‐solid‐state batteries. Here, we develop an argyrodite‐type solid‐state electrolyte that enables fast Li</w:t>
      </w:r>
      <w:r>
        <w:t xml:space="preserve"> </w:t>
      </w:r>
      <w:r>
        <w:t>+</w:t>
      </w:r>
      <w:r>
        <w:t xml:space="preserve"> </w:t>
      </w:r>
      <w:r>
        <w:t>transport and excellent interfacial compatibility with Li metal through a cooperative anion–cation modulation strategy. A robust anodic interface is spontaneously formed via the in situ reaction between Li metal and the tailored electrolyte. The cation Mo introduced into the electrolyte can be reduced to form a lithiophilic Li‐Mo alloy, while the anion N is capable of forming highly Li‐compatible Li</w:t>
      </w:r>
      <w:r>
        <w:rPr>
          <w:vertAlign w:val="subscript"/>
        </w:rPr>
        <w:t>3</w:t>
      </w:r>
      <w:r>
        <w:t>N. These interfacial products promote uniform Li stripping/plating and suppress parasitic reactions at the anodic interface. Meanwhile, Mo incorporation weakens the strong N─Li electrostatic interaction, ensuring rapid Li</w:t>
      </w:r>
      <w:r>
        <w:t xml:space="preserve"> </w:t>
      </w:r>
      <w:r>
        <w:t>+</w:t>
      </w:r>
      <w:r>
        <w:t xml:space="preserve"> </w:t>
      </w:r>
      <w:r>
        <w:t>migration within the electrolyte. The modulated electrolyte exhibits high dynamic stability and Li reversibility at the anodic side, enabling Li//Li symmetric cells to cycle stably for over 3100 h at 0.5 mA cm</w:t>
      </w:r>
      <w:r>
        <w:t xml:space="preserve"> </w:t>
      </w:r>
      <w:r>
        <w:t>−2</w:t>
      </w:r>
      <w:r>
        <w:t xml:space="preserve"> </w:t>
      </w:r>
      <w:r>
        <w:t>. The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batteries demonstrate an ultra‐stable long cycle life with 75% capacity retention over 1500 cycles at 4C (3.0 mA cm</w:t>
      </w:r>
      <w:r>
        <w:t xml:space="preserve"> </w:t>
      </w:r>
      <w:r>
        <w:t>−2</w:t>
      </w:r>
      <w:r>
        <w:t xml:space="preserve"> </w:t>
      </w:r>
      <w:r>
        <w:t>), accompanied by an outstanding average coulombic efficiency of 99.99%. This work highlights an anion–cation cooperative modulation strategy for designing electrolytes that enable high‐performance all‐solid‐state lithium‐metal batteries.</w:t>
      </w:r>
    </w:p>
    <w:p>
      <w:pPr>
        <w:spacing w:before="120" w:after="120"/>
      </w:pPr>
      <w:r>
        <w:rPr>
          <w:sz w:val="18"/>
        </w:rPr>
        <w:t>——————————————————————————————————————————————————————————————————————</w:t>
      </w:r>
    </w:p>
    <w:p>
      <w:pPr>
        <w:spacing w:before="160" w:after="40" w:line="240" w:lineRule="auto"/>
      </w:pPr>
      <w:r>
        <w:rPr>
          <w:b/>
        </w:rPr>
        <w:t xml:space="preserve">[70] </w:t>
      </w:r>
      <w:hyperlink r:id="rId99">
        <w:r>
          <w:rPr>
            <w:color w:val="1155CC"/>
            <w:u w:val="single"/>
          </w:rPr>
          <w:t>用于低潜能值和长寿命激光二电池的无定型高金属无电聚乙烯聚乙烯UlttraThin纳米表</w:t>
        </w:r>
      </w:hyperlink>
    </w:p>
    <w:p>
      <w:pPr>
        <w:spacing w:before="0" w:after="80"/>
      </w:pPr>
      <w:r>
        <w:rPr>
          <w:i/>
          <w:sz w:val="20"/>
        </w:rPr>
        <w:t>EN: Sulfur‐Modified Amorphous Noble‐Metal‐Free High‐Entropy Alloy Ultra‐Thin Nanosheets for Low‐Overpotential and Long‐Lifespan Li‐O2 Batteries</w:t>
      </w:r>
    </w:p>
    <w:p>
      <w:pPr>
        <w:spacing w:before="0" w:after="120"/>
      </w:pPr>
      <w:r>
        <w:rPr>
          <w:b/>
        </w:rPr>
        <w:t xml:space="preserve">Source: </w:t>
      </w:r>
      <w:r>
        <w:t>Wiley: Advanced Materials: Table of Contents</w:t>
      </w:r>
      <w:r>
        <w:t xml:space="preserve">    </w:t>
      </w:r>
      <w:r>
        <w:rPr>
          <w:b/>
        </w:rPr>
        <w:t xml:space="preserve">Pub date: </w:t>
      </w:r>
      <w:r>
        <w:t>2026-02-15 08:24:56+00:00</w:t>
      </w:r>
      <w:r>
        <w:t xml:space="preserve">    </w:t>
      </w:r>
      <w:r>
        <w:rPr>
          <w:b/>
        </w:rPr>
        <w:t xml:space="preserve">DOI: </w:t>
      </w:r>
      <w:hyperlink r:id="rId100">
        <w:r>
          <w:rPr>
            <w:color w:val="1155CC"/>
            <w:u w:val="single"/>
          </w:rPr>
          <w:t>10.1002/adma.72512</w:t>
        </w:r>
      </w:hyperlink>
    </w:p>
    <w:p>
      <w:pPr>
        <w:spacing w:before="0" w:after="120"/>
      </w:pPr>
      <w:r>
        <w:rPr>
          <w:b/>
        </w:rPr>
        <w:t xml:space="preserve">Notes: </w:t>
      </w:r>
      <w:r>
        <w:t>abstract_source=crossref</w:t>
      </w:r>
    </w:p>
    <w:p>
      <w:pPr>
        <w:spacing w:before="0" w:after="80" w:lineRule="auto" w:line="276"/>
      </w:pPr>
      <w:r>
        <w:rPr>
          <w:b/>
        </w:rPr>
        <w:t xml:space="preserve">摘要（ZH）: </w:t>
      </w:r>
      <w:r>
        <w:t>ABSTACT 尽管高金属无高有机物合金(NHEA)是LiO 2型电池的有希望的低成本催化剂,但其催化能力受到常规配置所固有的低金属矿址利用率和不适宜电子结构的限制。 我们在此报告CuFeCoNiMNNNENHEA催化剂的新设计,其特点是其完全不固定的结构以及Süding推出的金属-S债券(特别是Ni-S)的特征。该催化剂的成功合成依赖于快速的低温度战略,即5°C反应温度限制原子扩散和长程订购,而亚1°MNNNNNHE催化剂的动态持续时间将原子困在混乱状态中。在这个建筑中,该催化剂的成功合成取决于快速的低温战略,即5°C反应温度限制原子扩散和长程订购。</w:t>
      </w:r>
    </w:p>
    <w:p>
      <w:pPr>
        <w:spacing w:before="0" w:after="200" w:lineRule="auto" w:line="276"/>
      </w:pPr>
      <w:r>
        <w:rPr>
          <w:b/>
        </w:rPr>
        <w:t xml:space="preserve">Abstract (EN): </w:t>
      </w:r>
      <w:r>
        <w:t>While noble‐metal‐free high‐entropy alloys (NHEA) represent promising low‐cost catalysts for Li‐O</w:t>
      </w:r>
      <w:r>
        <w:rPr>
          <w:vertAlign w:val="subscript"/>
        </w:rPr>
        <w:t>2</w:t>
      </w:r>
      <w:r>
        <w:t>batteries, their catalytic capability is limited by the low metal‐site utilization and unfavorable electronic structure inherent in conventional configurations. Herein, we report a novel design for a CuFeCoNiMn‐NHEA catalyst, characterized by its entirely amorphous structure and the Metal─S bonds (especially Ni─S) introduced by S‐doping. The successful synthesis of this catalyst relies on a rapid low‐temperature strategy, where the 5°C reaction temperature limits atomic diffusion and long‐range ordering, while the sub‐1‐min duration kinetically traps the atoms in a disordered state. Within this architecture, the ultra‐thin 2D morphology, disordered atomic arrangement, and unsaturated atomic coordination offer abundant active sites by eliminating constraints from crystal planes and boundaries; simultaneously, the Metal─S bonds significantly optimize the electronic structure. The electronegativity gradient between metal and S induces electron delocalization at metal sites, which lowers the d‐band center and optimizes the adsorption energy of</w:t>
      </w:r>
      <w:r>
        <w:t xml:space="preserve"> </w:t>
      </w:r>
      <w:r>
        <w:t>*</w:t>
      </w:r>
      <w:r>
        <w:t xml:space="preserve"> </w:t>
      </w:r>
      <w:r>
        <w:t>LiO</w:t>
      </w:r>
      <w:r>
        <w:rPr>
          <w:vertAlign w:val="subscript"/>
        </w:rPr>
        <w:t>2</w:t>
      </w:r>
      <w:r>
        <w:t>intermediates, thereby accelerating the redox kinetics. Meanwhile, strengthened Metal─S coordination elevates metal vacancy formation energies by 1–3 times, which suppresses atomic leaching to improve structural stability. Therefore, our unique catalyst achieves a low overpotential (0.48 V), and an exceptional lifespan (452 cycles), significantly outperforming most reported noble‐metal‐free catalysts.</w:t>
      </w:r>
    </w:p>
    <w:p>
      <w:pPr>
        <w:spacing w:before="120" w:after="120"/>
      </w:pPr>
      <w:r>
        <w:rPr>
          <w:sz w:val="18"/>
        </w:rPr>
        <w:t>——————————————————————————————————————————————————————————————————————</w:t>
      </w:r>
    </w:p>
    <w:p>
      <w:pPr>
        <w:spacing w:before="160" w:after="40" w:line="240" w:lineRule="auto"/>
      </w:pPr>
      <w:r>
        <w:rPr>
          <w:b/>
        </w:rPr>
        <w:t xml:space="preserve">[71] </w:t>
      </w:r>
      <w:hyperlink r:id="rId101">
        <w:r>
          <w:rPr>
            <w:color w:val="1155CC"/>
            <w:u w:val="single"/>
          </w:rPr>
          <w:t>可打印的深蓝荧光光光闪光 有机RGB可见光通信的协同聚合体</w:t>
        </w:r>
      </w:hyperlink>
    </w:p>
    <w:p>
      <w:pPr>
        <w:spacing w:before="0" w:after="80"/>
      </w:pPr>
      <w:r>
        <w:rPr>
          <w:i/>
          <w:sz w:val="20"/>
        </w:rPr>
        <w:t>EN: Printable Deep‐Blue Fluorescent Light‐Emitting π‐Conjugated Polymers for All‐Organic RGB Visible Light Communication</w:t>
      </w:r>
    </w:p>
    <w:p>
      <w:pPr>
        <w:spacing w:before="0" w:after="120"/>
      </w:pPr>
      <w:r>
        <w:rPr>
          <w:b/>
        </w:rPr>
        <w:t xml:space="preserve">Source: </w:t>
      </w:r>
      <w:r>
        <w:t>Wiley: Advanced Materials: Table of Contents</w:t>
      </w:r>
      <w:r>
        <w:t xml:space="preserve">    </w:t>
      </w:r>
      <w:r>
        <w:rPr>
          <w:b/>
        </w:rPr>
        <w:t xml:space="preserve">Pub date: </w:t>
      </w:r>
      <w:r>
        <w:t>2026-02-15 08:25:33+00:00</w:t>
      </w:r>
      <w:r>
        <w:t xml:space="preserve">    </w:t>
      </w:r>
      <w:r>
        <w:rPr>
          <w:b/>
        </w:rPr>
        <w:t xml:space="preserve">DOI: </w:t>
      </w:r>
      <w:hyperlink r:id="rId102">
        <w:r>
          <w:rPr>
            <w:color w:val="1155CC"/>
            <w:u w:val="single"/>
          </w:rPr>
          <w:t>10.1002/adma.202514881</w:t>
        </w:r>
      </w:hyperlink>
    </w:p>
    <w:p>
      <w:pPr>
        <w:spacing w:before="0" w:after="120"/>
      </w:pPr>
      <w:r>
        <w:rPr>
          <w:b/>
        </w:rPr>
        <w:t xml:space="preserve">Notes: </w:t>
      </w:r>
      <w:r>
        <w:t>abstract_source=crossref</w:t>
      </w:r>
    </w:p>
    <w:p>
      <w:pPr>
        <w:spacing w:before="0" w:after="80" w:lineRule="auto" w:line="276"/>
      </w:pPr>
      <w:r>
        <w:rPr>
          <w:b/>
        </w:rPr>
        <w:t xml:space="preserve">摘要（ZH）: </w:t>
      </w:r>
      <w:r>
        <w:t>ABSTACT ALACT ABACT ABACT ALACT ABR REDB 可见光光通信系统(RGB)对未来的无线通信有着重大希望,因为它们可以很容易地与现有的照明基础设施结合,然而,印刷的深蓝色有机发光二极管(OLED)的稳定性、效率和异常衰变时间目前低于VLC系统的高带宽、快速反应和快速数据传输要求。</w:t>
      </w:r>
    </w:p>
    <w:p>
      <w:pPr>
        <w:spacing w:before="0" w:after="200" w:lineRule="auto" w:line="276"/>
      </w:pPr>
      <w:r>
        <w:rPr>
          <w:b/>
        </w:rPr>
        <w:t xml:space="preserve">Abstract (EN): </w:t>
      </w:r>
      <w:r>
        <w:t>All‐organic red‐green‐blue (RGB) visible light communication (VLC) systems hold significant promise for future wireless communications because they can be readily integrated with existing lighting infrastructures. However, the stability, efficiency, and exciton decay times of printed deep‐blue organic light‐emitting diodes (OLEDs) currently fall short of the high bandwidth, rapid response, and swift data transmission requirements of VLC systems. Herein, two printable deep‐blue fluorescent light‐emitting π‐conjugated polymers (LπCPs) were fabricated based on a multi‐dimensional self‐encapsulation strategy for application in all‐OLED RGB VLC systems. The printed fluorescent films displayed remarkably fast decay life‐times of ∼0.30 ns, enabling high bandwidth and fast response. The deep‐blue OLEDs presented a CIE coordinate of (0.15, 0.06), narrow deep‐blue emission with a full width at half maximum (FWHM) of 21 nm, high external quantum efficiency (EQE) of 1.94%, and high brightness of 6698 cd/m</w:t>
      </w:r>
      <w:r>
        <w:rPr>
          <w:vertAlign w:val="subscript"/>
        </w:rPr>
        <w:t>2</w:t>
      </w:r>
      <w:r>
        <w:t>with remarkable durability. Finally, preliminary printed all‐OLED RGB VLC systems were successfully established, and through efficient energy transfer, demonstrated the transmission of pseudo‐random binary sequence (PRBS) signals and audio data at a rate of 1 Mbps. The fast response times, on the order of microseconds, highlight the potential of these all‐OLED VLC systems for high‐speed data transmission.</w:t>
      </w:r>
    </w:p>
    <w:p>
      <w:pPr>
        <w:spacing w:before="120" w:after="120"/>
      </w:pPr>
      <w:r>
        <w:rPr>
          <w:sz w:val="18"/>
        </w:rPr>
        <w:t>——————————————————————————————————————————————————————————————————————</w:t>
      </w:r>
    </w:p>
    <w:p>
      <w:pPr>
        <w:spacing w:before="160" w:after="40" w:line="240" w:lineRule="auto"/>
      </w:pPr>
      <w:r>
        <w:rPr>
          <w:b/>
        </w:rPr>
        <w:t xml:space="preserve">[72] </w:t>
      </w:r>
      <w:hyperlink r:id="rId103">
        <w:r>
          <w:rPr>
            <w:color w:val="1155CC"/>
            <w:u w:val="single"/>
          </w:rPr>
          <w:t>RuseTe的无定形/晶晶线血凝结工程高密度斯特拉因,以高效烷烃氢进化反应</w:t>
        </w:r>
      </w:hyperlink>
    </w:p>
    <w:p>
      <w:pPr>
        <w:spacing w:before="0" w:after="80"/>
      </w:pPr>
      <w:r>
        <w:rPr>
          <w:i/>
          <w:sz w:val="20"/>
        </w:rPr>
        <w:t>EN: Amorphous/Crystalline Heterojunction Engineered High‐Density Strain in RuSeTe for Efficient Alkaline Hydrogen Evolution Reaction</w:t>
      </w:r>
    </w:p>
    <w:p>
      <w:pPr>
        <w:spacing w:before="0" w:after="120"/>
      </w:pPr>
      <w:r>
        <w:rPr>
          <w:b/>
        </w:rPr>
        <w:t xml:space="preserve">Source: </w:t>
      </w:r>
      <w:r>
        <w:t>Wiley: Advanced Materials: Table of Contents</w:t>
      </w:r>
      <w:r>
        <w:t xml:space="preserve">    </w:t>
      </w:r>
      <w:r>
        <w:rPr>
          <w:b/>
        </w:rPr>
        <w:t xml:space="preserve">Pub date: </w:t>
      </w:r>
      <w:r>
        <w:t>2026-02-15 08:26:56+00:00</w:t>
      </w:r>
      <w:r>
        <w:t xml:space="preserve">    </w:t>
      </w:r>
      <w:r>
        <w:rPr>
          <w:b/>
        </w:rPr>
        <w:t xml:space="preserve">DOI: </w:t>
      </w:r>
      <w:hyperlink r:id="rId104">
        <w:r>
          <w:rPr>
            <w:color w:val="1155CC"/>
            <w:u w:val="single"/>
          </w:rPr>
          <w:t>10.1002/adma.202517922</w:t>
        </w:r>
      </w:hyperlink>
    </w:p>
    <w:p>
      <w:pPr>
        <w:spacing w:before="0" w:after="120"/>
      </w:pPr>
      <w:r>
        <w:rPr>
          <w:b/>
        </w:rPr>
        <w:t xml:space="preserve">Notes: </w:t>
      </w:r>
      <w:r>
        <w:t>abstract_source=crossref</w:t>
      </w:r>
    </w:p>
    <w:p>
      <w:pPr>
        <w:spacing w:before="0" w:after="80" w:lineRule="auto" w:line="276"/>
      </w:pPr>
      <w:r>
        <w:rPr>
          <w:b/>
        </w:rPr>
        <w:t xml:space="preserve">摘要（ZH）: </w:t>
      </w:r>
      <w:r>
        <w:t>碱性氢进化反应电催化剂的效率和耐久性受到高超潜能和低动能作用的阻碍,限制了它们的实际应用。这里我们展示了新型的Ruse Te基电催化剂类别,其特点是由无定形/晶状血清聚合物诱发的高密度抗拉菌株,其菌株分布密度通过界面长度操纵得到精确调节。理论和实验分析表明,抗拉菌株优化了d带中心和水吸附能,大大缩小了Volmer阶梯的能源屏障。</w:t>
      </w:r>
    </w:p>
    <w:p>
      <w:pPr>
        <w:spacing w:before="0" w:after="200" w:lineRule="auto" w:line="276"/>
      </w:pPr>
      <w:r>
        <w:rPr>
          <w:b/>
        </w:rPr>
        <w:t xml:space="preserve">Abstract (EN): </w:t>
      </w:r>
      <w:r>
        <w:t>The efficiency and durability of electrocatalysts for the alkaline hydrogen evolution reaction (HER) are impeded by high overpotentials and sluggish kinetics, limiting their practical application. Here, we present a novel class of RuSeTe‐based electrocatalysts featuring high‐density tensile strain induced by amorphous/crystalline heterojunctions, where the strain distribution density is precisely regulated via interface length manipulation. Theoretical and experimental analyses reveal that the tensile strain optimizes the d‐band center and water adsorption energy, significantly reducing the energy barrier of the Volmer step. The optimized RuSeTe catalyst achieves an ultralow overpotential of 20 mV at 10 mA cm</w:t>
      </w:r>
      <w:r>
        <w:t xml:space="preserve"> </w:t>
      </w:r>
      <w:r>
        <w:t>−</w:t>
      </w:r>
      <w:r>
        <w:rPr>
          <w:vertAlign w:val="subscript"/>
        </w:rPr>
        <w:t>2</w:t>
      </w:r>
      <w:r>
        <w:t>and a Tafel slope of 33 mV dec</w:t>
      </w:r>
      <w:r>
        <w:t xml:space="preserve"> </w:t>
      </w:r>
      <w:r>
        <w:t>−</w:t>
      </w:r>
      <w:r>
        <w:rPr>
          <w:vertAlign w:val="subscript"/>
        </w:rPr>
        <w:t>1</w:t>
      </w:r>
      <w:r>
        <w:t>in alkaline media, outperforming state‐of‐the‐art Ru‐based chalcogenides. Furthermore, the catalyst exhibits sustained durability for 1100 h (&amp;gt;45 days) at a current density of 100 mA cm</w:t>
      </w:r>
      <w:r>
        <w:t xml:space="preserve"> </w:t>
      </w:r>
      <w:r>
        <w:t>−2</w:t>
      </w:r>
      <w:r>
        <w:t xml:space="preserve"> </w:t>
      </w:r>
      <w:r>
        <w:t>, maintaining a nearly constant potential throughout the test. This work proposes a universal strategy for inducing high‐density strain through amorphous/crystalline heterointerface engineering, offering new insights into designing efficient and stable HER catalysts.</w:t>
      </w:r>
    </w:p>
    <w:p>
      <w:pPr>
        <w:spacing w:before="120" w:after="120"/>
      </w:pPr>
      <w:r>
        <w:rPr>
          <w:sz w:val="18"/>
        </w:rPr>
        <w:t>——————————————————————————————————————————————————————————————————————</w:t>
      </w:r>
    </w:p>
    <w:p>
      <w:pPr>
        <w:spacing w:before="160" w:after="40" w:line="240" w:lineRule="auto"/>
      </w:pPr>
      <w:r>
        <w:rPr>
          <w:b/>
        </w:rPr>
        <w:t xml:space="preserve">[73] </w:t>
      </w:r>
      <w:hyperlink r:id="rId105">
        <w:r>
          <w:rPr>
            <w:color w:val="1155CC"/>
            <w:u w:val="single"/>
          </w:rPr>
          <w:t>通过耐久氢化化学稳定微型水化硅氧化物</w:t>
        </w:r>
      </w:hyperlink>
    </w:p>
    <w:p>
      <w:pPr>
        <w:spacing w:before="0" w:after="80"/>
      </w:pPr>
      <w:r>
        <w:rPr>
          <w:i/>
          <w:sz w:val="20"/>
        </w:rPr>
        <w:t>EN: Stabilizing Micro‐Sized Silicon Oxides by Durable Hydrogen Chemistry</w:t>
      </w:r>
    </w:p>
    <w:p>
      <w:pPr>
        <w:spacing w:before="0" w:after="120"/>
      </w:pPr>
      <w:r>
        <w:rPr>
          <w:b/>
        </w:rPr>
        <w:t xml:space="preserve">Source: </w:t>
      </w:r>
      <w:r>
        <w:t>Wiley: Angewandte Chemie International Edition: Table of Contents</w:t>
      </w:r>
      <w:r>
        <w:t xml:space="preserve">    </w:t>
      </w:r>
      <w:r>
        <w:rPr>
          <w:b/>
        </w:rPr>
        <w:t xml:space="preserve">Pub date: </w:t>
      </w:r>
      <w:r>
        <w:t>2026-02-15 08:28:48+00:00</w:t>
      </w:r>
      <w:r>
        <w:t xml:space="preserve">    </w:t>
      </w:r>
      <w:r>
        <w:rPr>
          <w:b/>
        </w:rPr>
        <w:t xml:space="preserve">DOI: </w:t>
      </w:r>
      <w:hyperlink r:id="rId106">
        <w:r>
          <w:rPr>
            <w:color w:val="1155CC"/>
            <w:u w:val="single"/>
          </w:rPr>
          <w:t>10.1002/anie.202521900</w:t>
        </w:r>
      </w:hyperlink>
    </w:p>
    <w:p>
      <w:pPr>
        <w:spacing w:before="0" w:after="120"/>
      </w:pPr>
      <w:r>
        <w:rPr>
          <w:b/>
        </w:rPr>
        <w:t xml:space="preserve">Notes: </w:t>
      </w:r>
      <w:r>
        <w:t>abstract_source=crossref</w:t>
      </w:r>
    </w:p>
    <w:p>
      <w:pPr>
        <w:spacing w:before="0" w:after="80" w:lineRule="auto" w:line="276"/>
      </w:pPr>
      <w:r>
        <w:rPr>
          <w:b/>
        </w:rPr>
        <w:t xml:space="preserve">摘要（ZH）: </w:t>
      </w:r>
      <w:r>
        <w:t>微小型硅氧化物(μSiO x)被认为是商业高能李电池中最有希望的阳极之一,因为其成本低,容量高,但是,由于固体电解中继器(SEI)不稳定,活性锂离子的不可逆转消耗和电解液持续分解发生,使μSiOx的长期稳定性成为一项重大挑战。在这里,我们通过氢化学的双重功能,即界面调节和大气保护,通过氢化学的双重功能,有效地提高SEI在μSiOx阳极表面的稳定性。</w:t>
      </w:r>
    </w:p>
    <w:p>
      <w:pPr>
        <w:spacing w:before="0" w:after="200" w:lineRule="auto" w:line="276"/>
      </w:pPr>
      <w:r>
        <w:rPr>
          <w:b/>
        </w:rPr>
        <w:t xml:space="preserve">Abstract (EN): </w:t>
      </w:r>
      <w:r>
        <w:t>Micro‐sized silicon oxide (µSiO</w:t>
      </w:r>
      <w:r>
        <w:t xml:space="preserve"> </w:t>
      </w:r>
      <w:r>
        <w:t>x</w:t>
      </w:r>
      <w:r>
        <w:t xml:space="preserve"> </w:t>
      </w:r>
      <w:r>
        <w:t>) is considered one of the most promising anodes for commercial high‐energy Li batteries owing to its low cost and high capacity. However, due to the instability of its solid electrolyte interphase (SEI), irreversible consumption of active lithium ions and continuous decomposition of the electrolyte occur, making long‐term stability of µSiO</w:t>
      </w:r>
      <w:r>
        <w:t xml:space="preserve"> </w:t>
      </w:r>
      <w:r>
        <w:t>x</w:t>
      </w:r>
      <w:r>
        <w:t xml:space="preserve"> </w:t>
      </w:r>
      <w:r>
        <w:t>a significant challenge. Herein, we effectively enhance the stability of the SEI on the surface of the µSiO</w:t>
      </w:r>
      <w:r>
        <w:t xml:space="preserve"> </w:t>
      </w:r>
      <w:r>
        <w:t>x</w:t>
      </w:r>
      <w:r>
        <w:t xml:space="preserve"> </w:t>
      </w:r>
      <w:r>
        <w:t>anode through the dual functionality of hydrogen chemistry, namely interface regulation and atmospheric protection. With the assistance of the highly reversible hydrogen evolution and oxidation redox reactions, the discharge capacity of the µSiO</w:t>
      </w:r>
      <w:r>
        <w:t xml:space="preserve"> </w:t>
      </w:r>
      <w:r>
        <w:t>x</w:t>
      </w:r>
      <w:r>
        <w:t xml:space="preserve"> </w:t>
      </w:r>
      <w:r>
        <w:t>anode can reach ∼1568 mAh g</w:t>
      </w:r>
      <w:r>
        <w:t xml:space="preserve"> </w:t>
      </w:r>
      <w:r>
        <w:t>−1</w:t>
      </w:r>
      <w:r>
        <w:t xml:space="preserve"> </w:t>
      </w:r>
      <w:r>
        <w:t>at 1 C when the charge capacity is 1600 mAh g</w:t>
      </w:r>
      <w:r>
        <w:t xml:space="preserve"> </w:t>
      </w:r>
      <w:r>
        <w:t>−1</w:t>
      </w:r>
      <w:r>
        <w:t xml:space="preserve"> </w:t>
      </w:r>
      <w:r>
        <w:t>. Meanwhile, the µSiO</w:t>
      </w:r>
      <w:r>
        <w:t xml:space="preserve"> </w:t>
      </w:r>
      <w:r>
        <w:t>x</w:t>
      </w:r>
      <w:r>
        <w:t xml:space="preserve"> </w:t>
      </w:r>
      <w:r>
        <w:t>anode can stably cycle for 2000 h with a Coulombic efficiency of ∼98% at a charge capacity of 700 mAh g</w:t>
      </w:r>
      <w:r>
        <w:t xml:space="preserve"> </w:t>
      </w:r>
      <w:r>
        <w:t>−1</w:t>
      </w:r>
      <w:r>
        <w:t xml:space="preserve"> </w:t>
      </w:r>
      <w:r>
        <w:t>. Even at a high areal capacity of 3 mAh cm</w:t>
      </w:r>
      <w:r>
        <w:t xml:space="preserve"> </w:t>
      </w:r>
      <w:r>
        <w:t>−2</w:t>
      </w:r>
      <w:r>
        <w:t xml:space="preserve"> </w:t>
      </w:r>
      <w:r>
        <w:t>, the µSiO</w:t>
      </w:r>
      <w:r>
        <w:t xml:space="preserve"> </w:t>
      </w:r>
      <w:r>
        <w:t>x</w:t>
      </w:r>
      <w:r>
        <w:t xml:space="preserve"> </w:t>
      </w:r>
      <w:r>
        <w:t>anode can still cycle 600 h with the discharge capacity remaining ∼2.93 mAh cm</w:t>
      </w:r>
      <w:r>
        <w:t xml:space="preserve"> </w:t>
      </w:r>
      <w:r>
        <w:t>−2</w:t>
      </w:r>
      <w:r>
        <w:t xml:space="preserve"> </w:t>
      </w:r>
      <w:r>
        <w:t>(∼726 mAh g</w:t>
      </w:r>
      <w:r>
        <w:t xml:space="preserve"> </w:t>
      </w:r>
      <w:r>
        <w:t>−1</w:t>
      </w:r>
      <w:r>
        <w:t xml:space="preserve"> </w:t>
      </w:r>
      <w:r>
        <w:t>). This study provides a proof‐of‐concept stabilization strategy for µSiO</w:t>
      </w:r>
      <w:r>
        <w:t xml:space="preserve"> </w:t>
      </w:r>
      <w:r>
        <w:t>x</w:t>
      </w:r>
      <w:r>
        <w:t xml:space="preserve"> </w:t>
      </w:r>
      <w:r>
        <w:t>under high‐capacity conditions, bringing this challenging anode material one step closer to practical applications.</w:t>
      </w:r>
    </w:p>
    <w:p>
      <w:pPr>
        <w:spacing w:before="120" w:after="120"/>
      </w:pPr>
      <w:r>
        <w:rPr>
          <w:sz w:val="18"/>
        </w:rPr>
        <w:t>——————————————————————————————————————————————————————————————————————</w:t>
      </w:r>
    </w:p>
    <w:p>
      <w:pPr>
        <w:spacing w:before="160" w:after="40" w:line="240" w:lineRule="auto"/>
      </w:pPr>
      <w:r>
        <w:rPr>
          <w:b/>
        </w:rPr>
        <w:t xml:space="preserve">[74] </w:t>
      </w:r>
      <w:hyperlink r:id="rId107">
        <w:r>
          <w:rPr>
            <w:color w:val="1155CC"/>
            <w:u w:val="single"/>
          </w:rPr>
          <w:t>通过可编程的实地工程促进能源高效海洋碳清除自我比对式电解技术</w:t>
        </w:r>
      </w:hyperlink>
    </w:p>
    <w:p>
      <w:pPr>
        <w:spacing w:before="0" w:after="80"/>
      </w:pPr>
      <w:r>
        <w:rPr>
          <w:i/>
          <w:sz w:val="20"/>
        </w:rPr>
        <w:t>EN: Self‐Biased Electro‐Mineralization via Programmable Field Engineering for Energy‐Efficient Ocean Carbon Removal</w:t>
      </w:r>
    </w:p>
    <w:p>
      <w:pPr>
        <w:spacing w:before="0" w:after="120"/>
      </w:pPr>
      <w:r>
        <w:rPr>
          <w:b/>
        </w:rPr>
        <w:t xml:space="preserve">Source: </w:t>
      </w:r>
      <w:r>
        <w:t>Wiley: Angewandte Chemie International Edition: Table of Contents</w:t>
      </w:r>
      <w:r>
        <w:t xml:space="preserve">    </w:t>
      </w:r>
      <w:r>
        <w:rPr>
          <w:b/>
        </w:rPr>
        <w:t xml:space="preserve">Pub date: </w:t>
      </w:r>
      <w:r>
        <w:t>2026-02-15 08:29:54+00:00</w:t>
      </w:r>
      <w:r>
        <w:t xml:space="preserve">    </w:t>
      </w:r>
      <w:r>
        <w:rPr>
          <w:b/>
        </w:rPr>
        <w:t xml:space="preserve">DOI: </w:t>
      </w:r>
      <w:hyperlink r:id="rId108">
        <w:r>
          <w:rPr>
            <w:color w:val="1155CC"/>
            <w:u w:val="single"/>
          </w:rPr>
          <w:t>10.1002/anie.1737498</w:t>
        </w:r>
      </w:hyperlink>
    </w:p>
    <w:p>
      <w:pPr>
        <w:spacing w:before="0" w:after="120"/>
      </w:pPr>
      <w:r>
        <w:rPr>
          <w:b/>
        </w:rPr>
        <w:t xml:space="preserve">Notes: </w:t>
      </w:r>
      <w:r>
        <w:t>abstract_source=crossref</w:t>
      </w:r>
    </w:p>
    <w:p>
      <w:pPr>
        <w:spacing w:before="0" w:after="80" w:lineRule="auto" w:line="276"/>
      </w:pPr>
      <w:r>
        <w:rPr>
          <w:b/>
        </w:rPr>
        <w:t xml:space="preserve">摘要（ZH）: </w:t>
      </w:r>
      <w:r>
        <w:t>ABSTACT Gigaton-比例碳清除要求以低土地、水和能源成本为低土地、水和能源成本进行地质永久化。海洋路径很有前景,但许多电化学路线需要大型pH滚动、膜/吸附物,并受到污染。我们报告说,自咬电子矿物化是通往海洋碳清除的实用途径。波岩岩心壳电极电极方案间空域,引导Ca 2+/CO 3 2-在模拟海水中运输并触发孔状结晶,没有薄膜堆或大容量pH滚动。实地强度可通过核心/壳比、聚合物化学和固定充电密度进行,使建筑得以交付。</w:t>
      </w:r>
    </w:p>
    <w:p>
      <w:pPr>
        <w:spacing w:before="0" w:after="200" w:lineRule="auto" w:line="276"/>
      </w:pPr>
      <w:r>
        <w:rPr>
          <w:b/>
        </w:rPr>
        <w:t xml:space="preserve">Abstract (EN): </w:t>
      </w:r>
      <w:r>
        <w:t>Gigaton‐scale carbon removal demands geologic permanence at low land, water, and energy cost. Ocean pathways are promising, but many electrochemical routes require large pH swings, membranes/sorbents, and suffer from fouling. We report the self‐biased electro‐mineralization as a practical route to ocean carbon removal. Porous core‐shell electrodes program interfacial fields that direct Ca</w:t>
      </w:r>
      <w:r>
        <w:t xml:space="preserve"> </w:t>
      </w:r>
      <w:r>
        <w:t>2+</w:t>
      </w:r>
      <w:r>
        <w:t xml:space="preserve"> </w:t>
      </w:r>
      <w:r>
        <w:t>/CO</w:t>
      </w:r>
      <w:r>
        <w:rPr>
          <w:vertAlign w:val="subscript"/>
        </w:rPr>
        <w:t>3</w:t>
      </w:r>
      <w:r>
        <w:t>2−</w:t>
      </w:r>
      <w:r>
        <w:t>transport and trigger in‐pore crystallization in simulated seawater, without membrane stacks or large bulk pH swings. Field strength is tunable via core/shell ratio, polymer chemistry, and fixed‐charge density, enabling the architecture to deliver long‐duration, fouling‐resistant operation (&amp;gt;2000 h), ∼25% DIC conversion under flow. A 400 cm</w:t>
      </w:r>
      <w:r>
        <w:rPr>
          <w:vertAlign w:val="subscript"/>
        </w:rPr>
        <w:t>2</w:t>
      </w:r>
      <w:r>
        <w:t>cell and a simple 100‐liter stirred reactor show that the microscale, uniform field both preserves performance under geometry area scale‐up and enables low‐overhead capacity expansion. Techno‐economic analysis projects an energy consumption of 44 kJ mol</w:t>
      </w:r>
      <w:r>
        <w:t xml:space="preserve"> </w:t>
      </w:r>
      <w:r>
        <w:t>−1</w:t>
      </w:r>
      <w:r>
        <w:t xml:space="preserve"> </w:t>
      </w:r>
      <w:r>
        <w:t>CO</w:t>
      </w:r>
      <w:r>
        <w:rPr>
          <w:vertAlign w:val="subscript"/>
        </w:rPr>
        <w:t>2</w:t>
      </w:r>
      <w:r>
        <w:t>and a cost of $139 t</w:t>
      </w:r>
      <w:r>
        <w:t xml:space="preserve"> </w:t>
      </w:r>
      <w:r>
        <w:t>−1</w:t>
      </w:r>
      <w:r>
        <w:t xml:space="preserve"> </w:t>
      </w:r>
      <w:r>
        <w:t>CO</w:t>
      </w:r>
      <w:r>
        <w:rPr>
          <w:vertAlign w:val="subscript"/>
        </w:rPr>
        <w:t>2</w:t>
      </w:r>
      <w:r>
        <w:t>. Extending beyond CaCO</w:t>
      </w:r>
      <w:r>
        <w:rPr>
          <w:vertAlign w:val="subscript"/>
        </w:rPr>
        <w:t>3</w:t>
      </w:r>
      <w:r>
        <w:t>, we precipitate additional sparingly soluble phases (CaF</w:t>
      </w:r>
      <w:r>
        <w:rPr>
          <w:vertAlign w:val="subscript"/>
        </w:rPr>
        <w:t>2</w:t>
      </w:r>
      <w:r>
        <w:t>, BaSO</w:t>
      </w:r>
      <w:r>
        <w:rPr>
          <w:vertAlign w:val="subscript"/>
        </w:rPr>
        <w:t>4</w:t>
      </w:r>
      <w:r>
        <w:t>, PbSO</w:t>
      </w:r>
      <w:r>
        <w:rPr>
          <w:vertAlign w:val="subscript"/>
        </w:rPr>
        <w:t>4</w:t>
      </w:r>
      <w:r>
        <w:t>) from complex brines, establishing a platform also supporting resource recovery. These results shift ocean mineralization from bulk‐solution manipulation to programmable reaction‐environment design, advancing a scalable, cost‐effective pathway to climate relevant carbon removal.</w:t>
      </w:r>
    </w:p>
    <w:p>
      <w:pPr>
        <w:spacing w:before="120" w:after="120"/>
      </w:pPr>
      <w:r>
        <w:rPr>
          <w:sz w:val="18"/>
        </w:rPr>
        <w:t>——————————————————————————————————————————————————————————————————————</w:t>
      </w:r>
    </w:p>
    <w:p>
      <w:pPr>
        <w:spacing w:before="160" w:after="40" w:line="240" w:lineRule="auto"/>
      </w:pPr>
      <w:r>
        <w:rPr>
          <w:b/>
        </w:rPr>
        <w:t xml:space="preserve">[75] </w:t>
      </w:r>
      <w:hyperlink r:id="rId109">
        <w:r>
          <w:rPr>
            <w:color w:val="1155CC"/>
            <w:u w:val="single"/>
          </w:rPr>
          <w:t>高性能金属电池3D电极激光处理</w:t>
        </w:r>
      </w:hyperlink>
    </w:p>
    <w:p>
      <w:pPr>
        <w:spacing w:before="0" w:after="80"/>
      </w:pPr>
      <w:r>
        <w:rPr>
          <w:i/>
          <w:sz w:val="20"/>
        </w:rPr>
        <w:t>EN: Laser Processing of 3D Electrodes for High‐Performance Metal‐ion Batteries</w:t>
      </w:r>
    </w:p>
    <w:p>
      <w:pPr>
        <w:spacing w:before="0" w:after="120"/>
      </w:pPr>
      <w:r>
        <w:rPr>
          <w:b/>
        </w:rPr>
        <w:t xml:space="preserve">Source: </w:t>
      </w:r>
      <w:r>
        <w:t>Wiley: Advanced Materials: Table of Contents</w:t>
      </w:r>
      <w:r>
        <w:t xml:space="preserve">    </w:t>
      </w:r>
      <w:r>
        <w:rPr>
          <w:b/>
        </w:rPr>
        <w:t xml:space="preserve">Pub date: </w:t>
      </w:r>
      <w:r>
        <w:t>2026-02-15 08:30:49+00:00</w:t>
      </w:r>
      <w:r>
        <w:t xml:space="preserve">    </w:t>
      </w:r>
      <w:r>
        <w:rPr>
          <w:b/>
        </w:rPr>
        <w:t xml:space="preserve">DOI: </w:t>
      </w:r>
      <w:hyperlink r:id="rId110">
        <w:r>
          <w:rPr>
            <w:color w:val="1155CC"/>
            <w:u w:val="single"/>
          </w:rPr>
          <w:t>10.1002/adma.202519582</w:t>
        </w:r>
      </w:hyperlink>
    </w:p>
    <w:p>
      <w:pPr>
        <w:spacing w:before="0" w:after="120"/>
      </w:pPr>
      <w:r>
        <w:rPr>
          <w:b/>
        </w:rPr>
        <w:t xml:space="preserve">Notes: </w:t>
      </w:r>
      <w:r>
        <w:t>abstract_source=crossref</w:t>
      </w:r>
    </w:p>
    <w:p>
      <w:pPr>
        <w:spacing w:before="0" w:after="80" w:lineRule="auto" w:line="276"/>
      </w:pPr>
      <w:r>
        <w:rPr>
          <w:b/>
        </w:rPr>
        <w:t xml:space="preserve">摘要（ZH）: </w:t>
      </w:r>
      <w:r>
        <w:t>随着电子设备、电动车辆和智能电网中金属电池的快速开发和应用,对高性能电池的需求急剧增加,三维(3D)电极已成为提高各种电池性能的有效战略,作为新兴的精密制造技术,激光处理最近证明在制造3D电极、定制材料和结构特性方面有很大的优势,在这次审查中,首先从提高整体电池性能的角度全面分析设计3D电极的原则。</w:t>
      </w:r>
    </w:p>
    <w:p>
      <w:pPr>
        <w:spacing w:before="0" w:after="200" w:lineRule="auto" w:line="276"/>
      </w:pPr>
      <w:r>
        <w:rPr>
          <w:b/>
        </w:rPr>
        <w:t xml:space="preserve">Abstract (EN): </w:t>
      </w:r>
      <w:r>
        <w:t>With the fast development and application of metal‐ion batteries in electronic devices, electric vehicles, and smart grids, the demand for high‐performance batteries is dramatically increasing. Three‐dimensional (3D) electrodes have emerged as an effective strategy to improve the performance of various batteries. As an emerging precision manufacturing technology, laser processing has recently been demonstrated to offer significant advantages in fabricating 3D electrodes and tailoring material and structural properties. In this review, the principles of designing 3D electrodes are comprehensively analyzed first from the perspective of enhancing overall battery performance. Based on these targeted 3D structures, the platform and techniques of laser processing are systematically introduced, and the typical methods—including laser texturing, laser drilling, laser cutting, and laser‐induced modification—are demonstrated. As a result, the review highlights performance enhancements in practical capacity, rate capability, cycling stability, and operation under extreme conditions. Moreover, the compatibility of laser processing with current battery manufacturing technologies is discussed, and the potential for high‐efficiency, large‐scale fabrication of 3D electrodes using laser techniques is envisaged. Finally, the opportunities and challenges for laser processing of 3D electrodes are summarized, providing a systematic understanding of this emerging technology. This review is anticipated to guide both fundamental research and industrial applications of laser‐processed high‐performance 3D electrodes.</w:t>
      </w:r>
    </w:p>
    <w:p>
      <w:pPr>
        <w:spacing w:before="120" w:after="120"/>
      </w:pPr>
      <w:r>
        <w:rPr>
          <w:sz w:val="18"/>
        </w:rPr>
        <w:t>——————————————————————————————————————————————————————————————————————</w:t>
      </w:r>
    </w:p>
    <w:p>
      <w:pPr>
        <w:spacing w:before="160" w:after="40" w:line="240" w:lineRule="auto"/>
      </w:pPr>
      <w:r>
        <w:rPr>
          <w:b/>
        </w:rPr>
        <w:t xml:space="preserve">[76] </w:t>
      </w:r>
      <w:hyperlink r:id="rId111">
        <w:r>
          <w:rPr>
            <w:color w:val="1155CC"/>
            <w:u w:val="single"/>
          </w:rPr>
          <w:t>以对称瓶刷聚合物(Asymaty Bottlebrush) 生成的热强六边形六边形过半拉菌</w:t>
        </w:r>
      </w:hyperlink>
    </w:p>
    <w:p>
      <w:pPr>
        <w:spacing w:before="0" w:after="80"/>
      </w:pPr>
      <w:r>
        <w:rPr>
          <w:i/>
          <w:sz w:val="20"/>
        </w:rPr>
        <w:t>EN: Thermally Robust Hexagonally Perforated Lamellae Enabled by Asymmetric Bottlebrush Copolymers</w:t>
      </w:r>
    </w:p>
    <w:p>
      <w:pPr>
        <w:spacing w:before="0" w:after="120"/>
      </w:pPr>
      <w:r>
        <w:rPr>
          <w:b/>
        </w:rPr>
        <w:t xml:space="preserve">Source: </w:t>
      </w:r>
      <w:r>
        <w:t>Wiley: Angewandte Chemie International Edition: Table of Contents</w:t>
      </w:r>
      <w:r>
        <w:t xml:space="preserve">    </w:t>
      </w:r>
      <w:r>
        <w:rPr>
          <w:b/>
        </w:rPr>
        <w:t xml:space="preserve">Pub date: </w:t>
      </w:r>
      <w:r>
        <w:t>2026-02-15 08:30:57+00:00</w:t>
      </w:r>
      <w:r>
        <w:t xml:space="preserve">    </w:t>
      </w:r>
      <w:r>
        <w:rPr>
          <w:b/>
        </w:rPr>
        <w:t xml:space="preserve">DOI: </w:t>
      </w:r>
      <w:hyperlink r:id="rId112">
        <w:r>
          <w:rPr>
            <w:color w:val="1155CC"/>
            <w:u w:val="single"/>
          </w:rPr>
          <w:t>10.1002/anie.202523944</w:t>
        </w:r>
      </w:hyperlink>
    </w:p>
    <w:p>
      <w:pPr>
        <w:spacing w:before="0" w:after="120"/>
      </w:pPr>
      <w:r>
        <w:rPr>
          <w:b/>
        </w:rPr>
        <w:t xml:space="preserve">Notes: </w:t>
      </w:r>
      <w:r>
        <w:t>abstract_source=crossref</w:t>
      </w:r>
    </w:p>
    <w:p>
      <w:pPr>
        <w:spacing w:before="0" w:after="80" w:lineRule="auto" w:line="276"/>
      </w:pPr>
      <w:r>
        <w:rPr>
          <w:b/>
        </w:rPr>
        <w:t xml:space="preserve">摘要（ZH）: </w:t>
      </w:r>
      <w:r>
        <w:t>六边根穿透的瘸子(HPL)通过块状共聚物(BCP)的自组合体(HPL)(HPL)成为先进应用中最热门的纳米结构之一,然而,由于其在常规线性双向BCP中的内在内隐性,这些纳米结构的实际实施仍然难以实现。 在这里,我们通过采用非对称的瓶式碎块共聚物(BBCPs)和工程设计建筑和符合性不对称,展示了HPL阶段稳定性的范式转变。这种分子设计战略从根本上消除了历来困扰着HPL阶段的链式包装挫折,产生了稳定的散装材料中的HPL阶段。我们的方法实现了前所未有的构成窗口和超常热稳定性,无序地达到300°C。</w:t>
      </w:r>
    </w:p>
    <w:p>
      <w:pPr>
        <w:spacing w:before="0" w:after="200" w:lineRule="auto" w:line="276"/>
      </w:pPr>
      <w:r>
        <w:rPr>
          <w:b/>
        </w:rPr>
        <w:t xml:space="preserve">Abstract (EN): </w:t>
      </w:r>
      <w:r>
        <w:t>Hexagonally perforated lamellae (HPL) via self‐assembly of block copolymers (BCPs) represent one of the most sought‐after nanostructures for advanced applications, yet their practical implementation has remained elusive due to their inherent metastability in conventional linear BCPs. Here, we demonstrate a paradigm shift in HPL phase stability by introducing asymmetric bottlebrush block copolymers (BBCPs) with engineered architectural and conformational asymmetries. This molecular design strategy fundamentally eliminates the chain packing frustrations that have historically plagued HPL phases, yielding the stable HPL phases in bulk materials. Our approach achieves an unprecedented composition window and exceptional thermal stability up to 300°C without order‐to‐disorder transitions. Dissipative particle dynamics (DPD) simulations reveal that the synergy between backbone semi‐rigidity and asymmetric side chain lengths drives this remarkable stabilization. By transforming HPL phases from metastable phases into robust, readily accessible nanomaterials, this work opens new opportunities for their deployment in high‐performance photonic crystals, selective separation membranes, and mechanical metamaterials.</w:t>
      </w:r>
    </w:p>
    <w:p>
      <w:pPr>
        <w:spacing w:before="120" w:after="120"/>
      </w:pPr>
      <w:r>
        <w:rPr>
          <w:sz w:val="18"/>
        </w:rPr>
        <w:t>——————————————————————————————————————————————————————————————————————</w:t>
      </w:r>
    </w:p>
    <w:p>
      <w:pPr>
        <w:spacing w:before="160" w:after="40" w:line="240" w:lineRule="auto"/>
      </w:pPr>
      <w:r>
        <w:rPr>
          <w:b/>
        </w:rPr>
        <w:t xml:space="preserve">[77] </w:t>
      </w:r>
      <w:hyperlink r:id="rId113">
        <w:r>
          <w:rPr>
            <w:color w:val="1155CC"/>
            <w:u w:val="single"/>
          </w:rPr>
          <w:t>Wadsley缺陷和疾病疾病对加强MONb12O33扩散的作用</w:t>
        </w:r>
      </w:hyperlink>
    </w:p>
    <w:p>
      <w:pPr>
        <w:spacing w:before="0" w:after="80"/>
      </w:pPr>
      <w:r>
        <w:rPr>
          <w:i/>
          <w:sz w:val="20"/>
        </w:rPr>
        <w:t>EN: Role of Wadsley Defects and Cation Disorder to Enhance MoNb12O33 Diffusion</w:t>
      </w:r>
    </w:p>
    <w:p>
      <w:pPr>
        <w:spacing w:before="0" w:after="120"/>
      </w:pPr>
      <w:r>
        <w:rPr>
          <w:b/>
        </w:rPr>
        <w:t xml:space="preserve">Source: </w:t>
      </w:r>
      <w:r>
        <w:t>Wiley: Advanced Energy Materials: Table of Contents</w:t>
      </w:r>
      <w:r>
        <w:t xml:space="preserve">    </w:t>
      </w:r>
      <w:r>
        <w:rPr>
          <w:b/>
        </w:rPr>
        <w:t xml:space="preserve">Pub date: </w:t>
      </w:r>
      <w:r>
        <w:t>2026-02-15 08:31:33+00:00</w:t>
      </w:r>
      <w:r>
        <w:t xml:space="preserve">    </w:t>
      </w:r>
      <w:r>
        <w:rPr>
          <w:b/>
        </w:rPr>
        <w:t xml:space="preserve">DOI: </w:t>
      </w:r>
      <w:hyperlink r:id="rId114">
        <w:r>
          <w:rPr>
            <w:color w:val="1155CC"/>
            <w:u w:val="single"/>
          </w:rPr>
          <w:t>10.1002/aenm.202506454</w:t>
        </w:r>
      </w:hyperlink>
    </w:p>
    <w:p>
      <w:pPr>
        <w:spacing w:before="0" w:after="120"/>
      </w:pPr>
      <w:r>
        <w:rPr>
          <w:b/>
        </w:rPr>
        <w:t xml:space="preserve">Notes: </w:t>
      </w:r>
      <w:r>
        <w:t>abstract_source=crossref</w:t>
      </w:r>
    </w:p>
    <w:p>
      <w:pPr>
        <w:spacing w:before="0" w:after="80" w:lineRule="auto" w:line="276"/>
      </w:pPr>
      <w:r>
        <w:rPr>
          <w:b/>
        </w:rPr>
        <w:t xml:space="preserve">摘要（ZH）: </w:t>
      </w:r>
      <w:r>
        <w:t>WadsleyRoth(WW)硝化物已成为高端阳极材料,可以将迅速的离子扩散与良好的电子传导性结合起来,而WER化合物则由于有限的肛门作用而变质,然而,这种材料往往含有多种缺陷,特别是Wadsley缺陷(可变区块大小)和过渡性金属紊乱都有可能改变运输速度,但相应的效应并不很机械化地为人们所熟知。</w:t>
      </w:r>
    </w:p>
    <w:p>
      <w:pPr>
        <w:spacing w:before="0" w:after="200" w:lineRule="auto" w:line="276"/>
      </w:pPr>
      <w:r>
        <w:rPr>
          <w:b/>
        </w:rPr>
        <w:t xml:space="preserve">Abstract (EN): </w:t>
      </w:r>
      <w:r>
        <w:t>Wadsley‐Roth (WR) niobates have emerged as high‐rate anode materials that can combine rapid ionic diffusion with good electronic conductivity. WR compounds have been defect‐enhanced by limited annealing, however, such materials often contain multiple types of defects. In particular, both Wadsley defects (variable block size) and transition metal disorder have the potential to modify transport rates, however the corresponding effects are not well understood mechanistically. Here, MoNb</w:t>
      </w:r>
      <w:r>
        <w:rPr>
          <w:vertAlign w:val="subscript"/>
        </w:rPr>
        <w:t>12</w:t>
      </w:r>
      <w:r>
        <w:t>O</w:t>
      </w:r>
      <w:r>
        <w:rPr>
          <w:vertAlign w:val="subscript"/>
        </w:rPr>
        <w:t>33</w:t>
      </w:r>
      <w:r>
        <w:t>(MNO) was calcined at two different temperatures to compare a defect‐rich condition (MNO‐800) with a proximal order‐rich condition (MNO‐900) as assessed through XRD, XANES, EXAFS, and STEM characterizations. Galvanostatically cycled lithium half cells of MNO‐800 exhibited additional capacity (307 mAhg</w:t>
      </w:r>
      <w:r>
        <w:t xml:space="preserve"> </w:t>
      </w:r>
      <w:r>
        <w:t>−1</w:t>
      </w:r>
      <w:r>
        <w:t xml:space="preserve"> </w:t>
      </w:r>
      <w:r>
        <w:t>at 0.1C, 4.66% higher) and improved high‐rate capacity of 200 mAhg</w:t>
      </w:r>
      <w:r>
        <w:t xml:space="preserve"> </w:t>
      </w:r>
      <w:r>
        <w:t>−1</w:t>
      </w:r>
      <w:r>
        <w:t xml:space="preserve"> </w:t>
      </w:r>
      <w:r>
        <w:t>at 10C. ICI‐based overpotential analysis identified solid state diffusion as the dominant rate limiting process where MNO‐800 correspondingly exhibited ∼3X faster capacity‐weighted diffusivity. A machine‐learning interatomic potential was trained to density functional theory and then applied with molecular dynamics (MLIP‐MD) to examine the possible roles of Wadsley defects and transition metal disorder. For both defect‐types, Li was found to populate and activate fast diffusion paths from window sites at lower extents of lithiation as compared to the order‐rich model.</w:t>
      </w:r>
    </w:p>
    <w:p>
      <w:pPr>
        <w:spacing w:before="120" w:after="120"/>
      </w:pPr>
      <w:r>
        <w:rPr>
          <w:sz w:val="18"/>
        </w:rPr>
        <w:t>——————————————————————————————————————————————————————————————————————</w:t>
      </w:r>
    </w:p>
    <w:p>
      <w:pPr>
        <w:spacing w:before="160" w:after="40" w:line="240" w:lineRule="auto"/>
      </w:pPr>
      <w:r>
        <w:rPr>
          <w:b/>
        </w:rPr>
        <w:t xml:space="preserve">[78] </w:t>
      </w:r>
      <w:hyperlink r:id="rId115">
        <w:r>
          <w:rPr>
            <w:color w:val="1155CC"/>
            <w:u w:val="single"/>
          </w:rPr>
          <w:t>AG2Se热电网络 推进多式智能感知</w:t>
        </w:r>
      </w:hyperlink>
    </w:p>
    <w:p>
      <w:pPr>
        <w:spacing w:before="0" w:after="80"/>
      </w:pPr>
      <w:r>
        <w:rPr>
          <w:i/>
          <w:sz w:val="20"/>
        </w:rPr>
        <w:t>EN: Three‐Dimensional Ag2Se Thermoelectric Network Advances Multimodal Intelligent Perception</w:t>
      </w:r>
    </w:p>
    <w:p>
      <w:pPr>
        <w:spacing w:before="0" w:after="120"/>
      </w:pPr>
      <w:r>
        <w:rPr>
          <w:b/>
        </w:rPr>
        <w:t xml:space="preserve">Source: </w:t>
      </w:r>
      <w:r>
        <w:t>Wiley: Advanced Energy Materials: Table of Contents</w:t>
      </w:r>
      <w:r>
        <w:t xml:space="preserve">    </w:t>
      </w:r>
      <w:r>
        <w:rPr>
          <w:b/>
        </w:rPr>
        <w:t xml:space="preserve">Pub date: </w:t>
      </w:r>
      <w:r>
        <w:t>2026-02-15 08:32:05+00:00</w:t>
      </w:r>
      <w:r>
        <w:t xml:space="preserve">    </w:t>
      </w:r>
      <w:r>
        <w:rPr>
          <w:b/>
        </w:rPr>
        <w:t xml:space="preserve">DOI: </w:t>
      </w:r>
      <w:hyperlink r:id="rId116">
        <w:r>
          <w:rPr>
            <w:color w:val="1155CC"/>
            <w:u w:val="single"/>
          </w:rPr>
          <w:t>10.1002/aenm.202506640</w:t>
        </w:r>
      </w:hyperlink>
    </w:p>
    <w:p>
      <w:pPr>
        <w:spacing w:before="0" w:after="120"/>
      </w:pPr>
      <w:r>
        <w:rPr>
          <w:b/>
        </w:rPr>
        <w:t xml:space="preserve">Notes: </w:t>
      </w:r>
      <w:r>
        <w:t>abstract_source=crossref</w:t>
      </w:r>
    </w:p>
    <w:p>
      <w:pPr>
        <w:spacing w:before="0" w:after="80" w:lineRule="auto" w:line="276"/>
      </w:pPr>
      <w:r>
        <w:rPr>
          <w:b/>
        </w:rPr>
        <w:t xml:space="preserve">摘要（ZH）: </w:t>
      </w:r>
      <w:r>
        <w:t>嵌入式人工智能(ABSTRACT)取决于多式联运和物理互动的一体化,以实现在复杂环境中的自主感知和适应控制,然而,传统的多式联运遥感系统往往依赖对每一种物理刺激的单独传感器,导致整合挑战和信号干扰。这里,我们报告一个基于3D AG 2 热电网络的单体双式传感器,该传感器能够同时和分离地检测单一装置内的温度和压力。传感器显示-122.7 μV K-1的高温度敏感度,快速反应时间为 0.14秒,以及</w:t>
      </w:r>
    </w:p>
    <w:p>
      <w:pPr>
        <w:spacing w:before="0" w:after="200" w:lineRule="auto" w:line="276"/>
      </w:pPr>
      <w:r>
        <w:rPr>
          <w:b/>
        </w:rPr>
        <w:t xml:space="preserve">Abstract (EN): </w:t>
      </w:r>
      <w:r>
        <w:t>Embodied artificial intelligence (Embodied AI) depends on the integration of multimodal sensing and physical interaction to achieve autonomous perception and adaptive control in complex environments. However, conventional multimodal sensing systems often rely on separate sensors for each physical stimulus, leading to integration challenges and signal interference. Here, we report a monolithic bimodal sensor based on a 3D Ag</w:t>
      </w:r>
      <w:r>
        <w:rPr>
          <w:vertAlign w:val="subscript"/>
        </w:rPr>
        <w:t>2</w:t>
      </w:r>
      <w:r>
        <w:t>Se thermoelectric network that enables simultaneous and decoupled detection of temperature and pressure within a single device. The sensor demonstrates a high temperature sensitivity of −122.7 µV K</w:t>
      </w:r>
      <w:r>
        <w:t xml:space="preserve"> </w:t>
      </w:r>
      <w:r>
        <w:t>−1</w:t>
      </w:r>
      <w:r>
        <w:t xml:space="preserve"> </w:t>
      </w:r>
      <w:r>
        <w:t>with a fast response time of ∼0.14 s, and a high pressure sensitivity of −2.94% kPa</w:t>
      </w:r>
      <w:r>
        <w:t xml:space="preserve"> </w:t>
      </w:r>
      <w:r>
        <w:t>−1</w:t>
      </w:r>
      <w:r>
        <w:t xml:space="preserve"> </w:t>
      </w:r>
      <w:r>
        <w:t>with a fast response time of about 0.08 s, indicating excellent signal isolation between the two sensing channels. When combined with deep learning, the sensor enables a real‐time intelligent sorting system that achieves 96% recognition accuracy across nine materials, outperforming single‐mode sensing approaches. This work provides an integrated multimodal sensing solution that advances the deployment of embodied AI in complex environments.</w:t>
      </w:r>
    </w:p>
    <w:p>
      <w:pPr>
        <w:spacing w:before="120" w:after="120"/>
      </w:pPr>
      <w:r>
        <w:rPr>
          <w:sz w:val="18"/>
        </w:rPr>
        <w:t>——————————————————————————————————————————————————————————————————————</w:t>
      </w:r>
    </w:p>
    <w:p>
      <w:pPr>
        <w:spacing w:before="160" w:after="40" w:line="240" w:lineRule="auto"/>
      </w:pPr>
      <w:r>
        <w:rPr>
          <w:b/>
        </w:rPr>
        <w:t xml:space="preserve">[79] </w:t>
      </w:r>
      <w:hyperlink r:id="rId117">
        <w:r>
          <w:rPr>
            <w:color w:val="1155CC"/>
            <w:u w:val="single"/>
          </w:rPr>
          <w:t>人工摄影合成:从H2进化到减少二氧化碳及以后</w:t>
        </w:r>
      </w:hyperlink>
    </w:p>
    <w:p>
      <w:pPr>
        <w:spacing w:before="0" w:after="80"/>
      </w:pPr>
      <w:r>
        <w:rPr>
          <w:i/>
          <w:sz w:val="20"/>
        </w:rPr>
        <w:t>EN: Quantum Dots Encapsulated in Porous Matrices for Artificial Photosynthesis: From H2 Evolution to CO2 Reduction and Beyond</w:t>
      </w:r>
    </w:p>
    <w:p>
      <w:pPr>
        <w:spacing w:before="0" w:after="120"/>
      </w:pPr>
      <w:r>
        <w:rPr>
          <w:b/>
        </w:rPr>
        <w:t xml:space="preserve">Source: </w:t>
      </w:r>
      <w:r>
        <w:t>Wiley: Advanced Materials: Table of Contents</w:t>
      </w:r>
      <w:r>
        <w:t xml:space="preserve">    </w:t>
      </w:r>
      <w:r>
        <w:rPr>
          <w:b/>
        </w:rPr>
        <w:t xml:space="preserve">Pub date: </w:t>
      </w:r>
      <w:r>
        <w:t>2026-02-15 08:32:52+00:00</w:t>
      </w:r>
      <w:r>
        <w:t xml:space="preserve">    </w:t>
      </w:r>
      <w:r>
        <w:rPr>
          <w:b/>
        </w:rPr>
        <w:t xml:space="preserve">DOI: </w:t>
      </w:r>
      <w:hyperlink r:id="rId118">
        <w:r>
          <w:rPr>
            <w:color w:val="1155CC"/>
            <w:u w:val="single"/>
          </w:rPr>
          <w:t>10.1002/adma.202522563</w:t>
        </w:r>
      </w:hyperlink>
    </w:p>
    <w:p>
      <w:pPr>
        <w:spacing w:before="0" w:after="120"/>
      </w:pPr>
      <w:r>
        <w:rPr>
          <w:b/>
        </w:rPr>
        <w:t xml:space="preserve">Notes: </w:t>
      </w:r>
      <w:r>
        <w:t>abstract_source=crossref</w:t>
      </w:r>
    </w:p>
    <w:p>
      <w:pPr>
        <w:spacing w:before="0" w:after="80" w:lineRule="auto" w:line="276"/>
      </w:pPr>
      <w:r>
        <w:rPr>
          <w:b/>
        </w:rPr>
        <w:t xml:space="preserve">摘要（ZH）: </w:t>
      </w:r>
      <w:r>
        <w:t>ABSTACT 半导体量子点(QDs)由于其特殊的光收获能力、高效刺激发电和金枪鱼表面特性,已成为有希望的人工光合作用材料,但是,在提高其太阳化转换效率、反应选择性、长期稳定性和再氧化反应多样化方面仍然存在挑战。解决这些限制的一个有希望的战略是,将QDs精确地限制在多孔基质(灵活或僵硬的框架)内,为先进的人造光合作系统提供了新的机会。此外,纳米材料合成和先进特征鉴定技术的最近进展使得创新的近似技术得以实现。</w:t>
      </w:r>
    </w:p>
    <w:p>
      <w:pPr>
        <w:spacing w:before="0" w:after="200" w:lineRule="auto" w:line="276"/>
      </w:pPr>
      <w:r>
        <w:rPr>
          <w:b/>
        </w:rPr>
        <w:t xml:space="preserve">Abstract (EN): </w:t>
      </w:r>
      <w:r>
        <w:t>Semiconductor quantum dots (QDs) have emerged as promising materials for artificial photosynthesis, owing to their exceptional light‐harvesting capabilities, efficient exciton generation, and tunable surface properties. However, challenges still remain in enhancing their solar‐to‐chemical conversion efficiency, reaction selectivity, long‐term stability, and diversification of redox reactions. A promising strategy to address these limitations involves the precise confinement of QDs within porous matrices (either flexible or rigid frameworks), which offers new opportunities for advanced artificial photosynthetic systems. Furthermore, recent progress in nanomaterial synthesis and advanced characterization techniques has enabled innovative approaches for encapsulating QDs in porous matrices. This review systematically summarizes recent advancements in this field, covering fabrication strategies, charge carrier dynamics, and emerging functionalities. First, the predominant synthetic approaches is discussed, including “ship‐in‐a‐bottle” and “bottle‐around‐the‐ship” methods, along with the benefits and challenges of QD encapsulation in porous matrices. Next, key applications is highlighted, such as photocatalytic H</w:t>
      </w:r>
      <w:r>
        <w:rPr>
          <w:vertAlign w:val="subscript"/>
        </w:rPr>
        <w:t>2</w:t>
      </w:r>
      <w:r>
        <w:t>evolution, CO</w:t>
      </w:r>
      <w:r>
        <w:rPr>
          <w:vertAlign w:val="subscript"/>
        </w:rPr>
        <w:t>2</w:t>
      </w:r>
      <w:r>
        <w:t>photoreduction, and organic photoredox catalysis, providing mechanistic insights and performance comparisons. Finally, current challenges is outlined and future study directions to inspire the rational design of QD/porous material composites for large‐scale, practical photochemical applications and beyond.</w:t>
      </w:r>
    </w:p>
    <w:p>
      <w:pPr>
        <w:spacing w:before="120" w:after="120"/>
      </w:pPr>
      <w:r>
        <w:rPr>
          <w:sz w:val="18"/>
        </w:rPr>
        <w:t>——————————————————————————————————————————————————————————————————————</w:t>
      </w:r>
    </w:p>
    <w:p>
      <w:pPr>
        <w:spacing w:before="160" w:after="40" w:line="240" w:lineRule="auto"/>
      </w:pPr>
      <w:r>
        <w:rPr>
          <w:b/>
        </w:rPr>
        <w:t xml:space="preserve">[80] </w:t>
      </w:r>
      <w:hyperlink r:id="rId119">
        <w:r>
          <w:rPr>
            <w:color w:val="1155CC"/>
            <w:u w:val="single"/>
          </w:rPr>
          <w:t>用于All-Perovskite Tandem太阳能电池的Pirovskite Tandem太阳能电池</w:t>
        </w:r>
      </w:hyperlink>
    </w:p>
    <w:p>
      <w:pPr>
        <w:spacing w:before="0" w:after="80"/>
      </w:pPr>
      <w:r>
        <w:rPr>
          <w:i/>
          <w:sz w:val="20"/>
        </w:rPr>
        <w:t>EN: Bimolecular Hetero‐Spatial Co‐Passivation Enables Efficient MA‐Free Wide‐Bandgap Perovskites for All‐Perovskite Tandem Solar Cells</w:t>
      </w:r>
    </w:p>
    <w:p>
      <w:pPr>
        <w:spacing w:before="0" w:after="120"/>
      </w:pPr>
      <w:r>
        <w:rPr>
          <w:b/>
        </w:rPr>
        <w:t xml:space="preserve">Source: </w:t>
      </w:r>
      <w:r>
        <w:t>Wiley: Advanced Energy Materials: Table of Contents</w:t>
      </w:r>
      <w:r>
        <w:t xml:space="preserve">    </w:t>
      </w:r>
      <w:r>
        <w:rPr>
          <w:b/>
        </w:rPr>
        <w:t xml:space="preserve">Pub date: </w:t>
      </w:r>
      <w:r>
        <w:t>2026-02-15 08:33:29+00:00</w:t>
      </w:r>
      <w:r>
        <w:t xml:space="preserve">    </w:t>
      </w:r>
      <w:r>
        <w:rPr>
          <w:b/>
        </w:rPr>
        <w:t xml:space="preserve">DOI: </w:t>
      </w:r>
      <w:hyperlink r:id="rId120">
        <w:r>
          <w:rPr>
            <w:color w:val="1155CC"/>
            <w:u w:val="single"/>
          </w:rPr>
          <w:t>10.1002/aenm.70755</w:t>
        </w:r>
      </w:hyperlink>
    </w:p>
    <w:p>
      <w:pPr>
        <w:spacing w:before="0" w:after="120"/>
      </w:pPr>
      <w:r>
        <w:rPr>
          <w:b/>
        </w:rPr>
        <w:t xml:space="preserve">Notes: </w:t>
      </w:r>
      <w:r>
        <w:t>abstract_source=crossref</w:t>
      </w:r>
    </w:p>
    <w:p>
      <w:pPr>
        <w:spacing w:before="0" w:after="80" w:lineRule="auto" w:line="276"/>
      </w:pPr>
      <w:r>
        <w:rPr>
          <w:b/>
        </w:rPr>
        <w:t xml:space="preserve">摘要（ZH）: </w:t>
      </w:r>
      <w:r>
        <w:t>ABSTACT All-perovskite all-perovskite 同步太阳能电池(APTSCs)有可能超过Shockleyueisser(S)的单管极光太阳能电池(PSCs)限制,然而,宽带(WBG)子电池由于地表缺陷和在WBG Perovskite/C 60接口的能量水平不匹配而受到严重的露天电压(VOC)损失。</w:t>
      </w:r>
    </w:p>
    <w:p>
      <w:pPr>
        <w:spacing w:before="0" w:after="200" w:lineRule="auto" w:line="276"/>
      </w:pPr>
      <w:r>
        <w:rPr>
          <w:b/>
        </w:rPr>
        <w:t xml:space="preserve">Abstract (EN): </w:t>
      </w:r>
      <w:r>
        <w:t>All‐perovskite tandem solar cells (AP‐TSCs) offer the potential to surpass the Shockley–Queisser (S–Q) limit of single‐junction perovskite solar cells (PSCs). Nevertheless, the wide‐bandgap (WBG) sub‐cells suffer from severe open‐circuit voltage (</w:t>
      </w:r>
      <w:r>
        <w:t xml:space="preserve"> </w:t>
      </w:r>
      <w:r>
        <w:t>V</w:t>
      </w:r>
      <w:r>
        <w:t xml:space="preserve"> </w:t>
      </w:r>
      <w:r>
        <w:t>OC</w:t>
      </w:r>
      <w:r>
        <w:t xml:space="preserve"> </w:t>
      </w:r>
      <w:r>
        <w:t>) losses induced by surface defects and energy‐level mismatch at the WBG perovskite/C</w:t>
      </w:r>
      <w:r>
        <w:rPr>
          <w:vertAlign w:val="subscript"/>
        </w:rPr>
        <w:t>60</w:t>
      </w:r>
      <w:r>
        <w:t>interface. Herein, we implemented a bimolecular passivation strategy by achieving hetero‐spatial distribution of piperazinium bromide (PipBr) and 3‐(methylthio) propylamine hydrobromide (3MTPABr) in the WBG perovskite surface layer. Pip</w:t>
      </w:r>
      <w:r>
        <w:t xml:space="preserve"> </w:t>
      </w:r>
      <w:r>
        <w:t>+</w:t>
      </w:r>
      <w:r>
        <w:t xml:space="preserve"> </w:t>
      </w:r>
      <w:r>
        <w:t>facilitates a reconstruction of the perovskite surface to form an anchored‐gradient passivation region, while 3MTPA</w:t>
      </w:r>
      <w:r>
        <w:t xml:space="preserve"> </w:t>
      </w:r>
      <w:r>
        <w:t>+</w:t>
      </w:r>
      <w:r>
        <w:t xml:space="preserve"> </w:t>
      </w:r>
      <w:r>
        <w:t>constructs an ultrathin low‐dimensional perovskite capping layer atop this reconstructed region. This thumbtack‐type spatial distribution of the two molecules effectively passivates surface defects and optimizes the energy‐level alignment at the perovskite/C</w:t>
      </w:r>
      <w:r>
        <w:rPr>
          <w:vertAlign w:val="subscript"/>
        </w:rPr>
        <w:t>60</w:t>
      </w:r>
      <w:r>
        <w:t>interface, achieving suppressed interfacial non‐radiative recombination, enhanced charge transport, and improved surface hydrophobicity. Consequently, single‐junction gas‐quenched MA‐free WBG (∼1.76 eV) PSCs achieve a power conversion efficiency (PCE) of 20.80% (with a certified value of 20.02%) and retain 91.1% of their initial PCE after 600 h of operation under 1.0 sun illumination, demonstrating the importance of spatial molecular distribution in WBG perovskite co‐passivation. Notably, the fabricated 2‐terminal AP‐TSC device attains a PCE of 28.34%, highlighting its considerable potential for AP‐TSC applications.</w:t>
      </w:r>
    </w:p>
    <w:p>
      <w:pPr>
        <w:spacing w:before="120" w:after="120"/>
      </w:pPr>
      <w:r>
        <w:rPr>
          <w:sz w:val="18"/>
        </w:rPr>
        <w:t>——————————————————————————————————————————————————————————————————————</w:t>
      </w:r>
    </w:p>
    <w:p>
      <w:pPr>
        <w:spacing w:before="160" w:after="40" w:line="240" w:lineRule="auto"/>
      </w:pPr>
      <w:r>
        <w:rPr>
          <w:b/>
        </w:rPr>
        <w:t xml:space="preserve">[81] </w:t>
      </w:r>
      <w:hyperlink r:id="rId121">
        <w:r>
          <w:rPr>
            <w:color w:val="1155CC"/>
            <w:u w:val="single"/>
          </w:rPr>
          <w:t>高稳定性和电电催化活性微花、Fe2/Ni协调的碳与氧氧红外反应的空缺场地</w:t>
        </w:r>
      </w:hyperlink>
    </w:p>
    <w:p>
      <w:pPr>
        <w:spacing w:before="0" w:after="80"/>
      </w:pPr>
      <w:r>
        <w:rPr>
          <w:i/>
          <w:sz w:val="20"/>
        </w:rPr>
        <w:t>EN: Highly Stable and Electrocatalytically Active Microflower‐Shaped, Fe2/Ni‐Coordinated N‐Doped Carbons With Vacancy Sites for Oxygen Redox Reactions</w:t>
      </w:r>
    </w:p>
    <w:p>
      <w:pPr>
        <w:spacing w:before="0" w:after="120"/>
      </w:pPr>
      <w:r>
        <w:rPr>
          <w:b/>
        </w:rPr>
        <w:t xml:space="preserve">Source: </w:t>
      </w:r>
      <w:r>
        <w:t>Wiley: Advanced Energy Materials: Table of Contents</w:t>
      </w:r>
      <w:r>
        <w:t xml:space="preserve">    </w:t>
      </w:r>
      <w:r>
        <w:rPr>
          <w:b/>
        </w:rPr>
        <w:t xml:space="preserve">Pub date: </w:t>
      </w:r>
      <w:r>
        <w:t>2026-02-15 08:37:01+00:00</w:t>
      </w:r>
      <w:r>
        <w:t xml:space="preserve">    </w:t>
      </w:r>
      <w:r>
        <w:rPr>
          <w:b/>
        </w:rPr>
        <w:t xml:space="preserve">DOI: </w:t>
      </w:r>
      <w:hyperlink r:id="rId122">
        <w:r>
          <w:rPr>
            <w:color w:val="1155CC"/>
            <w:u w:val="single"/>
          </w:rPr>
          <w:t>10.1002/aenm.202506668</w:t>
        </w:r>
      </w:hyperlink>
    </w:p>
    <w:p>
      <w:pPr>
        <w:spacing w:before="0" w:after="120"/>
      </w:pPr>
      <w:r>
        <w:rPr>
          <w:b/>
        </w:rPr>
        <w:t xml:space="preserve">Notes: </w:t>
      </w:r>
      <w:r>
        <w:t>abstract_source=crossref</w:t>
      </w:r>
    </w:p>
    <w:p>
      <w:pPr>
        <w:spacing w:before="0" w:after="80" w:lineRule="auto" w:line="276"/>
      </w:pPr>
      <w:r>
        <w:rPr>
          <w:b/>
        </w:rPr>
        <w:t xml:space="preserve">摘要（ZH）: </w:t>
      </w:r>
      <w:r>
        <w:t>为氧气减少反应和氧气进化反应开发高效和稳定的电动分析器对于大规模部署可再充电锌-空气电池(ZABs)至关重要。 此处,由Fe 2  和 Ni 协调、花形、含有碳空缺场地的Ndopped碳微粒(Fe 2 / NiNC CVMFs)组成的新型顶生蛋白催化器,采用简便的两步制热处理战略合成。</w:t>
      </w:r>
    </w:p>
    <w:p>
      <w:pPr>
        <w:spacing w:before="0" w:after="200" w:lineRule="auto" w:line="276"/>
      </w:pPr>
      <w:r>
        <w:rPr>
          <w:b/>
        </w:rPr>
        <w:t xml:space="preserve">Abstract (EN): </w:t>
      </w:r>
      <w:r>
        <w:t>Developing highly efficient and stable electrocatalysts for both the oxygen reduction reaction (ORR) and the oxygen evolution reaction (OER) is vital for the large‐scale deployment of rechargeable zinc‐air batteries (ZABs). Herein, a novel ternary‐atom catalyst, composed of Fe</w:t>
      </w:r>
      <w:r>
        <w:rPr>
          <w:vertAlign w:val="subscript"/>
        </w:rPr>
        <w:t>2</w:t>
      </w:r>
      <w:r>
        <w:t>‐ and Ni‐coordinated, flower‐shaped, N‐doped carbon microparticles containing carbon vacancy sites (Fe</w:t>
      </w:r>
      <w:r>
        <w:rPr>
          <w:vertAlign w:val="subscript"/>
        </w:rPr>
        <w:t>2</w:t>
      </w:r>
      <w:r>
        <w:t>/Ni‐N‐C</w:t>
      </w:r>
      <w:r>
        <w:t xml:space="preserve"> </w:t>
      </w:r>
      <w:r>
        <w:t>CV</w:t>
      </w:r>
      <w:r>
        <w:t xml:space="preserve"> </w:t>
      </w:r>
      <w:r>
        <w:t>MFs), is synthesized using a facile two‐step heat‐treatment strategy. The material possesses Fe</w:t>
      </w:r>
      <w:r>
        <w:rPr>
          <w:vertAlign w:val="subscript"/>
        </w:rPr>
        <w:t>2</w:t>
      </w:r>
      <w:r>
        <w:t>‒N</w:t>
      </w:r>
      <w:r>
        <w:rPr>
          <w:vertAlign w:val="subscript"/>
        </w:rPr>
        <w:t>6</w:t>
      </w:r>
      <w:r>
        <w:t>and Ni‒N</w:t>
      </w:r>
      <w:r>
        <w:rPr>
          <w:vertAlign w:val="subscript"/>
        </w:rPr>
        <w:t>4</w:t>
      </w:r>
      <w:r>
        <w:t>co‐structures as well as abundant carbon vacancy sites. These render the material remarkable bifunctional electrocatalytic activity and outstanding stability in alkaline media. Density functional theory simulations indicate that: i) the Fe</w:t>
      </w:r>
      <w:r>
        <w:rPr>
          <w:vertAlign w:val="subscript"/>
        </w:rPr>
        <w:t>2</w:t>
      </w:r>
      <w:r>
        <w:t>‒N</w:t>
      </w:r>
      <w:r>
        <w:rPr>
          <w:vertAlign w:val="subscript"/>
        </w:rPr>
        <w:t>6</w:t>
      </w:r>
      <w:r>
        <w:t>sites stabilize the reaction intermediate *OOH through bidentate adsorption, ii) the Ni‒N</w:t>
      </w:r>
      <w:r>
        <w:rPr>
          <w:vertAlign w:val="subscript"/>
        </w:rPr>
        <w:t>4</w:t>
      </w:r>
      <w:r>
        <w:t>sites favorably modulate the electronic states of Fe</w:t>
      </w:r>
      <w:r>
        <w:rPr>
          <w:vertAlign w:val="subscript"/>
        </w:rPr>
        <w:t>2</w:t>
      </w:r>
      <w:r>
        <w:t>‒N</w:t>
      </w:r>
      <w:r>
        <w:rPr>
          <w:vertAlign w:val="subscript"/>
        </w:rPr>
        <w:t>6</w:t>
      </w:r>
      <w:r>
        <w:t>sites, and iii) the carbon vacancy sites around the metallic species hinder the dissolution of the metallic centers. Furthermore, the catalyst exhibits a high peak power density of 264.4 mW cm</w:t>
      </w:r>
      <w:r>
        <w:t xml:space="preserve"> </w:t>
      </w:r>
      <w:r>
        <w:t>‒2</w:t>
      </w:r>
      <w:r>
        <w:t xml:space="preserve"> </w:t>
      </w:r>
      <w:r>
        <w:t>and excellent long‐term cycling stability for 1000 h in rechargeable ZABs. This work will not only guide the development of robust multi‐atom catalysts through the rational modulation of multi‐metallic and vacancy sites, but also provide a new approach to optimizing the electronic structures of the metal centers in such catalysts to enhance electrocatalytic performance.</w:t>
      </w:r>
    </w:p>
    <w:p>
      <w:pPr>
        <w:spacing w:before="120" w:after="120"/>
      </w:pPr>
      <w:r>
        <w:rPr>
          <w:sz w:val="18"/>
        </w:rPr>
        <w:t>——————————————————————————————————————————————————————————————————————</w:t>
      </w:r>
    </w:p>
    <w:p>
      <w:pPr>
        <w:spacing w:before="160" w:after="40" w:line="240" w:lineRule="auto"/>
      </w:pPr>
      <w:r>
        <w:rPr>
          <w:b/>
        </w:rPr>
        <w:t xml:space="preserve">[82] </w:t>
      </w:r>
      <w:hyperlink r:id="rId123">
        <w:r>
          <w:rPr>
            <w:color w:val="1155CC"/>
            <w:u w:val="single"/>
          </w:rPr>
          <w:t>金属有机框架允许高性能固态钠电池的离子氧化运输</w:t>
        </w:r>
      </w:hyperlink>
    </w:p>
    <w:p>
      <w:pPr>
        <w:spacing w:before="0" w:after="80"/>
      </w:pPr>
      <w:r>
        <w:rPr>
          <w:i/>
          <w:sz w:val="20"/>
        </w:rPr>
        <w:t>EN: Anion‐Immobilized Polar Nanochannels in Metal‐Organic Frameworks Enable Ion‐Decoupled Transport for High‐Performance Solid‐State Sodium Batteries</w:t>
      </w:r>
    </w:p>
    <w:p>
      <w:pPr>
        <w:spacing w:before="0" w:after="120"/>
      </w:pPr>
      <w:r>
        <w:rPr>
          <w:b/>
        </w:rPr>
        <w:t xml:space="preserve">Source: </w:t>
      </w:r>
      <w:r>
        <w:t>Wiley: Angewandte Chemie International Edition: Table of Contents</w:t>
      </w:r>
      <w:r>
        <w:t xml:space="preserve">    </w:t>
      </w:r>
      <w:r>
        <w:rPr>
          <w:b/>
        </w:rPr>
        <w:t xml:space="preserve">Pub date: </w:t>
      </w:r>
      <w:r>
        <w:t>2026-02-15 08:38:00+00:00</w:t>
      </w:r>
      <w:r>
        <w:t xml:space="preserve">    </w:t>
      </w:r>
      <w:r>
        <w:rPr>
          <w:b/>
        </w:rPr>
        <w:t xml:space="preserve">DOI: </w:t>
      </w:r>
      <w:hyperlink r:id="rId124">
        <w:r>
          <w:rPr>
            <w:color w:val="1155CC"/>
            <w:u w:val="single"/>
          </w:rPr>
          <w:t>10.1002/anie.202525120</w:t>
        </w:r>
      </w:hyperlink>
    </w:p>
    <w:p>
      <w:pPr>
        <w:spacing w:before="0" w:after="120"/>
      </w:pPr>
      <w:r>
        <w:rPr>
          <w:b/>
        </w:rPr>
        <w:t xml:space="preserve">Notes: </w:t>
      </w:r>
      <w:r>
        <w:t>abstract_source=crossref</w:t>
      </w:r>
    </w:p>
    <w:p>
      <w:pPr>
        <w:spacing w:before="0" w:after="80" w:lineRule="auto" w:line="276"/>
      </w:pPr>
      <w:r>
        <w:rPr>
          <w:b/>
        </w:rPr>
        <w:t xml:space="preserve">摘要（ZH）: </w:t>
      </w:r>
      <w:r>
        <w:t>由于聚合电解液中盐分解不足和离离子迁移不平衡,所有固体聚合聚合金属电池(ASSPSMBs)的开发受到聚合电解液中盐分解不足和离子迁移不平衡的阻碍。我们在此提出一个原子级精确孔隙工程战略,将孔状集聚与表面极化结合纳入一个金属有机框架(MOF) CAU10PyDC。春性氮原子的电回射效应导致一种局部有积极反应的微环境,这种环境能有力地固定电离子,促进纳夫齐西公司分解,并在低能量屏障下建立离裂式运输通道。同时,优化孔尺寸为高效的纳+米格拉提提供了低能量阻力通道。</w:t>
      </w:r>
    </w:p>
    <w:p>
      <w:pPr>
        <w:spacing w:before="0" w:after="200" w:lineRule="auto" w:line="276"/>
      </w:pPr>
      <w:r>
        <w:rPr>
          <w:b/>
        </w:rPr>
        <w:t xml:space="preserve">Abstract (EN): </w:t>
      </w:r>
      <w:r>
        <w:t>The development of all‐solid‐state polymer sodium metal batteries (ASSP‐SMBs) is hindered by insufficient salt dissociation and imbalanced ion migration in polymer electrolytes. Herein, we propose an atomic level precise pore engineering strategy that integrates pore confinement with surface polarization in a metal‐organic framework (MOF) CAU‐10‐PyDC. The electron‐withdrawing effect of the pyridinic nitrogen atoms induces a localized positively charged microenvironment, which strongly anchors anions, promotes NaTFSI dissociation and establishes ion‐decoupled transport pathways with low energy barriers. Simultaneously, the optimized pore size offers a low‐energy‐barrier pathway for efficient Na</w:t>
      </w:r>
      <w:r>
        <w:t xml:space="preserve"> </w:t>
      </w:r>
      <w:r>
        <w:t>+</w:t>
      </w:r>
      <w:r>
        <w:t xml:space="preserve"> </w:t>
      </w:r>
      <w:r>
        <w:t>migration. Importantly, CAU‐10‐PyDC synergistically promoted polymer electrolyte (PyDC‐MSPE) induces the formation of stable, inorganic‐rich SEI and CEI layers, effectively suppressing dendrite growth and interfacial side reactions. The PyDC‐MSPE electrolyte demonstrates a high ionic conductivity of 3.37×10</w:t>
      </w:r>
      <w:r>
        <w:t xml:space="preserve"> </w:t>
      </w:r>
      <w:r>
        <w:t>−4</w:t>
      </w:r>
      <w:r>
        <w:t xml:space="preserve"> </w:t>
      </w:r>
      <w:r>
        <w:t>S cm</w:t>
      </w:r>
      <w:r>
        <w:t xml:space="preserve"> </w:t>
      </w:r>
      <w:r>
        <w:t>−1</w:t>
      </w:r>
      <w:r>
        <w:t xml:space="preserve"> </w:t>
      </w:r>
      <w:r>
        <w:t>and a Na</w:t>
      </w:r>
      <w:r>
        <w:t xml:space="preserve"> </w:t>
      </w:r>
      <w:r>
        <w:t>+</w:t>
      </w:r>
      <w:r>
        <w:t xml:space="preserve"> </w:t>
      </w:r>
      <w:r>
        <w:t>transference number of 0.75. Na|PyDC‐MSPE|Na</w:t>
      </w:r>
      <w:r>
        <w:rPr>
          <w:vertAlign w:val="subscript"/>
        </w:rPr>
        <w:t>3</w:t>
      </w:r>
      <w:r>
        <w:t>V</w:t>
      </w:r>
      <w:r>
        <w:rPr>
          <w:vertAlign w:val="subscript"/>
        </w:rPr>
        <w:t>2</w:t>
      </w:r>
      <w:r>
        <w:t>(PO</w:t>
      </w:r>
      <w:r>
        <w:rPr>
          <w:vertAlign w:val="subscript"/>
        </w:rPr>
        <w:t>4</w:t>
      </w:r>
      <w:r>
        <w:t>)</w:t>
      </w:r>
      <w:r>
        <w:rPr>
          <w:vertAlign w:val="subscript"/>
        </w:rPr>
        <w:t>3</w:t>
      </w:r>
      <w:r>
        <w:t>ASSP‐SMB maintains a specific capacity of 111.2 mAh g</w:t>
      </w:r>
      <w:r>
        <w:t xml:space="preserve"> </w:t>
      </w:r>
      <w:r>
        <w:t>−1</w:t>
      </w:r>
      <w:r>
        <w:t xml:space="preserve"> </w:t>
      </w:r>
      <w:r>
        <w:t>after 1000 cycles at 2C. The corresponding pouch cell achieves an energy density of 325.7 Wh kg</w:t>
      </w:r>
      <w:r>
        <w:t xml:space="preserve"> </w:t>
      </w:r>
      <w:r>
        <w:t>−1</w:t>
      </w:r>
      <w:r>
        <w:t xml:space="preserve"> </w:t>
      </w:r>
      <w:r>
        <w:t>, with high‐capacity retention of 87.7% after 100 cycles. This study unveils a novel mechanism where pore confinement synergizes surface polarization to regulate ion transport, offering an effective approach to addressing sodium salt dissociation and ion transport challenges in ASSP‐SMBs.</w:t>
      </w:r>
    </w:p>
    <w:p>
      <w:pPr>
        <w:spacing w:before="120" w:after="120"/>
      </w:pPr>
      <w:r>
        <w:rPr>
          <w:sz w:val="18"/>
        </w:rPr>
        <w:t>——————————————————————————————————————————————————————————————————————</w:t>
      </w:r>
    </w:p>
    <w:p>
      <w:pPr>
        <w:spacing w:before="160" w:after="40" w:line="240" w:lineRule="auto"/>
      </w:pPr>
      <w:r>
        <w:rPr>
          <w:b/>
        </w:rPr>
        <w:t xml:space="preserve">[83] </w:t>
      </w:r>
      <w:hyperlink r:id="rId125">
        <w:r>
          <w:rPr>
            <w:color w:val="1155CC"/>
            <w:u w:val="single"/>
          </w:rPr>
          <w:t>原子精度 [CuCuu54] 纳米集聚团-Catalyzed 3°C</w:t>
        </w:r>
      </w:hyperlink>
    </w:p>
    <w:p>
      <w:pPr>
        <w:spacing w:before="0" w:after="80"/>
      </w:pPr>
      <w:r>
        <w:rPr>
          <w:i/>
          <w:sz w:val="20"/>
        </w:rPr>
        <w:t>EN: Atomically Precise [Cu‐Cu54] Nanocluster‐Catalyzed Three‐Component Borylative Coupling of Alkynes with Alkyl Bromides and Chlorides</w:t>
      </w:r>
    </w:p>
    <w:p>
      <w:pPr>
        <w:spacing w:before="0" w:after="120"/>
      </w:pPr>
      <w:r>
        <w:rPr>
          <w:b/>
        </w:rPr>
        <w:t xml:space="preserve">Source: </w:t>
      </w:r>
      <w:r>
        <w:t>Wiley: Angewandte Chemie International Edition: Table of Contents</w:t>
      </w:r>
      <w:r>
        <w:t xml:space="preserve">    </w:t>
      </w:r>
      <w:r>
        <w:rPr>
          <w:b/>
        </w:rPr>
        <w:t xml:space="preserve">Pub date: </w:t>
      </w:r>
      <w:r>
        <w:t>2026-02-15 08:39:14+00:00</w:t>
      </w:r>
      <w:r>
        <w:t xml:space="preserve">    </w:t>
      </w:r>
      <w:r>
        <w:rPr>
          <w:b/>
        </w:rPr>
        <w:t xml:space="preserve">DOI: </w:t>
      </w:r>
      <w:hyperlink r:id="rId126">
        <w:r>
          <w:rPr>
            <w:color w:val="1155CC"/>
            <w:u w:val="single"/>
          </w:rPr>
          <w:t>10.1002/anie.202523716</w:t>
        </w:r>
      </w:hyperlink>
    </w:p>
    <w:p>
      <w:pPr>
        <w:spacing w:before="0" w:after="120"/>
      </w:pPr>
      <w:r>
        <w:rPr>
          <w:b/>
        </w:rPr>
        <w:t xml:space="preserve">Notes: </w:t>
      </w:r>
      <w:r>
        <w:t>abstract_source=crossref</w:t>
      </w:r>
    </w:p>
    <w:p>
      <w:pPr>
        <w:spacing w:before="0" w:after="80" w:lineRule="auto" w:line="276"/>
      </w:pPr>
      <w:r>
        <w:rPr>
          <w:b/>
        </w:rPr>
        <w:t xml:space="preserve">摘要（ZH）: </w:t>
      </w:r>
      <w:r>
        <w:t>明确定义的金属纳米集束(NCs)已成为有机合成的多用途和可持续催化剂,然而,基于NCs的同步C-C和C-B联结反应催化剂的开发尚不得而知,因此,我们开发了原子精度、混杂性(Cu I/Cu II)、高核二元NC、Cu 55 S 20 (St Bu) 20 (O 3 S t)</w:t>
      </w:r>
    </w:p>
    <w:p>
      <w:pPr>
        <w:spacing w:before="0" w:after="200" w:lineRule="auto" w:line="276"/>
      </w:pPr>
      <w:r>
        <w:rPr>
          <w:b/>
        </w:rPr>
        <w:t xml:space="preserve">Abstract (EN): </w:t>
      </w:r>
      <w:r>
        <w:t>The well‐defined metal nanoclusters (NCs) have emerged as versatile and sustainable catalysts for organic synthesis. However, development of catalyst for simultaneous C─C and C─B bond‐forming reactions based on NCs is still unknown. Herein, we developed an atomically precise, mixed‐valence (Cu</w:t>
      </w:r>
      <w:r>
        <w:t xml:space="preserve"> </w:t>
      </w:r>
      <w:r>
        <w:t>I</w:t>
      </w:r>
      <w:r>
        <w:t xml:space="preserve"> </w:t>
      </w:r>
      <w:r>
        <w:t>/Cu</w:t>
      </w:r>
      <w:r>
        <w:t xml:space="preserve"> </w:t>
      </w:r>
      <w:r>
        <w:t>II</w:t>
      </w:r>
      <w:r>
        <w:t xml:space="preserve"> </w:t>
      </w:r>
      <w:r>
        <w:t>), high‐nuclearity binary NC, Cu</w:t>
      </w:r>
      <w:r>
        <w:rPr>
          <w:vertAlign w:val="subscript"/>
        </w:rPr>
        <w:t>55</w:t>
      </w:r>
      <w:r>
        <w:t>S</w:t>
      </w:r>
      <w:r>
        <w:rPr>
          <w:vertAlign w:val="subscript"/>
        </w:rPr>
        <w:t>20</w:t>
      </w:r>
      <w:r>
        <w:t>(S</w:t>
      </w:r>
      <w:r>
        <w:t xml:space="preserve"> </w:t>
      </w:r>
      <w:r>
        <w:t>t</w:t>
      </w:r>
      <w:r>
        <w:t xml:space="preserve"> </w:t>
      </w:r>
      <w:r>
        <w:t>Bu)</w:t>
      </w:r>
      <w:r>
        <w:rPr>
          <w:vertAlign w:val="subscript"/>
        </w:rPr>
        <w:t>20</w:t>
      </w:r>
      <w:r>
        <w:t>(O</w:t>
      </w:r>
      <w:r>
        <w:rPr>
          <w:vertAlign w:val="subscript"/>
        </w:rPr>
        <w:t>3</w:t>
      </w:r>
      <w:r>
        <w:t>S</w:t>
      </w:r>
      <w:r>
        <w:t xml:space="preserve"> </w:t>
      </w:r>
      <w:r>
        <w:t>t</w:t>
      </w:r>
      <w:r>
        <w:t xml:space="preserve"> </w:t>
      </w:r>
      <w:r>
        <w:t>Bu)</w:t>
      </w:r>
      <w:r>
        <w:rPr>
          <w:vertAlign w:val="subscript"/>
        </w:rPr>
        <w:t>12</w:t>
      </w:r>
      <w:r>
        <w:t>[</w:t>
      </w:r>
      <w:r>
        <w:t xml:space="preserve"> </w:t>
      </w:r>
      <w:r>
        <w:t>Cu‐Cu</w:t>
      </w:r>
      <w:r>
        <w:rPr>
          <w:vertAlign w:val="subscript"/>
        </w:rPr>
        <w:t>54</w:t>
      </w:r>
      <w:r>
        <w:t xml:space="preserve"> </w:t>
      </w:r>
      <w:r>
        <w:t>], synthesized in high yield</w:t>
      </w:r>
      <w:r>
        <w:t xml:space="preserve"> </w:t>
      </w:r>
      <w:r>
        <w:t>via</w:t>
      </w:r>
      <w:r>
        <w:t xml:space="preserve"> </w:t>
      </w:r>
      <w:r>
        <w:t>a reducing agent‐assisted trithiocarbamate dissociation approach. The [</w:t>
      </w:r>
      <w:r>
        <w:t xml:space="preserve"> </w:t>
      </w:r>
      <w:r>
        <w:t>Cu‐Cu</w:t>
      </w:r>
      <w:r>
        <w:rPr>
          <w:vertAlign w:val="subscript"/>
        </w:rPr>
        <w:t>54</w:t>
      </w:r>
      <w:r>
        <w:t xml:space="preserve"> </w:t>
      </w:r>
      <w:r>
        <w:t>] NC was characterized by single‐crystal X‐ray diffraction (SCXRD), X‐ray photoelectron spectroscopy (XPS), electron paramagnetic resonance (EPR), and nuclear magnetic resonance (NMR) spectroscopy. SCXRD uncovers a nested concentric layers architecture with a core {Cu@Cu</w:t>
      </w:r>
      <w:r>
        <w:rPr>
          <w:vertAlign w:val="subscript"/>
        </w:rPr>
        <w:t>12</w:t>
      </w:r>
      <w:r>
        <w:t>@S</w:t>
      </w:r>
      <w:r>
        <w:rPr>
          <w:vertAlign w:val="subscript"/>
        </w:rPr>
        <w:t>12</w:t>
      </w:r>
      <w:r>
        <w:t>@S</w:t>
      </w:r>
      <w:r>
        <w:rPr>
          <w:vertAlign w:val="subscript"/>
        </w:rPr>
        <w:t>8</w:t>
      </w:r>
      <w:r>
        <w:t>} and a shell {Cu</w:t>
      </w:r>
      <w:r>
        <w:rPr>
          <w:vertAlign w:val="subscript"/>
        </w:rPr>
        <w:t>24</w:t>
      </w:r>
      <w:r>
        <w:t>@Cu</w:t>
      </w:r>
      <w:r>
        <w:rPr>
          <w:vertAlign w:val="subscript"/>
        </w:rPr>
        <w:t>12</w:t>
      </w:r>
      <w:r>
        <w:t>@Cu</w:t>
      </w:r>
      <w:r>
        <w:rPr>
          <w:vertAlign w:val="subscript"/>
        </w:rPr>
        <w:t>6</w:t>
      </w:r>
      <w:r>
        <w:t>@(S</w:t>
      </w:r>
      <w:r>
        <w:t xml:space="preserve"> </w:t>
      </w:r>
      <w:r>
        <w:t>t</w:t>
      </w:r>
      <w:r>
        <w:t xml:space="preserve"> </w:t>
      </w:r>
      <w:r>
        <w:t>Bu)</w:t>
      </w:r>
      <w:r>
        <w:rPr>
          <w:vertAlign w:val="subscript"/>
        </w:rPr>
        <w:t>20</w:t>
      </w:r>
      <w:r>
        <w:t>(O</w:t>
      </w:r>
      <w:r>
        <w:rPr>
          <w:vertAlign w:val="subscript"/>
        </w:rPr>
        <w:t>3</w:t>
      </w:r>
      <w:r>
        <w:t>S</w:t>
      </w:r>
      <w:r>
        <w:t xml:space="preserve"> </w:t>
      </w:r>
      <w:r>
        <w:t>t</w:t>
      </w:r>
      <w:r>
        <w:t xml:space="preserve"> </w:t>
      </w:r>
      <w:r>
        <w:t>Bu)</w:t>
      </w:r>
      <w:r>
        <w:rPr>
          <w:vertAlign w:val="subscript"/>
        </w:rPr>
        <w:t>1</w:t>
      </w:r>
      <w:r>
        <w:rPr>
          <w:vertAlign w:val="subscript"/>
        </w:rPr>
        <w:t>2</w:t>
      </w:r>
      <w:r>
        <w:t>}, featuring a metal‐centered icosahedral Cu@Cu</w:t>
      </w:r>
      <w:r>
        <w:rPr>
          <w:vertAlign w:val="subscript"/>
        </w:rPr>
        <w:t>12</w:t>
      </w:r>
      <w:r>
        <w:t>unit that has never been observed in copper sulfide [Cu–S] NCs. Distinctly, [</w:t>
      </w:r>
      <w:r>
        <w:t xml:space="preserve"> </w:t>
      </w:r>
      <w:r>
        <w:t>Cu‐Cu</w:t>
      </w:r>
      <w:r>
        <w:rPr>
          <w:vertAlign w:val="subscript"/>
        </w:rPr>
        <w:t>54</w:t>
      </w:r>
      <w:r>
        <w:t xml:space="preserve"> </w:t>
      </w:r>
      <w:r>
        <w:t>] NC serve as an efficient catalyst for the highly selective three‐component difunctionalization of alkynes with</w:t>
      </w:r>
      <w:r>
        <w:t xml:space="preserve"> </w:t>
      </w:r>
      <w:r>
        <w:t>bis</w:t>
      </w:r>
      <w:r>
        <w:t xml:space="preserve"> </w:t>
      </w:r>
      <w:r>
        <w:t>(pinacolato)diborane (B</w:t>
      </w:r>
      <w:r>
        <w:rPr>
          <w:vertAlign w:val="subscript"/>
        </w:rPr>
        <w:t>2</w:t>
      </w:r>
      <w:r>
        <w:t>pin</w:t>
      </w:r>
      <w:r>
        <w:rPr>
          <w:vertAlign w:val="subscript"/>
        </w:rPr>
        <w:t>2</w:t>
      </w:r>
      <w:r>
        <w:t>) and alkyl electrophiles including alkyl chlorides under mild reaction conditions. The desired trisubstituted vinylboronate esters were obtained in excellent yields with a wide range of electronically diverse carbon electrophiles and alkyne. Additionally, in the absence of electrophiles, the hydroboration of alkynes efficiently afforded vinylboronate esters in high yields with excellent regioselectivity. The synthetic transformations and gram‐scale reaction further highlight the usefulness of this protocol.</w:t>
      </w:r>
    </w:p>
    <w:p>
      <w:pPr>
        <w:spacing w:before="120" w:after="120"/>
      </w:pPr>
      <w:r>
        <w:rPr>
          <w:sz w:val="18"/>
        </w:rPr>
        <w:t>——————————————————————————————————————————————————————————————————————</w:t>
      </w:r>
    </w:p>
    <w:p>
      <w:pPr>
        <w:spacing w:before="160" w:after="40" w:line="240" w:lineRule="auto"/>
      </w:pPr>
      <w:r>
        <w:rPr>
          <w:b/>
        </w:rPr>
        <w:t xml:space="preserve">[84] </w:t>
      </w:r>
      <w:hyperlink r:id="rId127">
        <w:r>
          <w:rPr>
            <w:color w:val="1155CC"/>
            <w:u w:val="single"/>
          </w:rPr>
          <w:t>液晶网络和液色铬溶液液晶体模版水凝胶</w:t>
        </w:r>
      </w:hyperlink>
    </w:p>
    <w:p>
      <w:pPr>
        <w:spacing w:before="0" w:after="80"/>
      </w:pPr>
      <w:r>
        <w:rPr>
          <w:i/>
          <w:sz w:val="20"/>
        </w:rPr>
        <w:t>EN: Porous Hybrid Soft Actuators From Liquid Crystal Networks and Lyotropic Chromonic Liquid Crystal Templated Hydrogels</w:t>
      </w:r>
    </w:p>
    <w:p>
      <w:pPr>
        <w:spacing w:before="0" w:after="120"/>
      </w:pPr>
      <w:r>
        <w:rPr>
          <w:b/>
        </w:rPr>
        <w:t xml:space="preserve">Source: </w:t>
      </w:r>
      <w:r>
        <w:t>Wiley: Advanced Materials: Table of Contents</w:t>
      </w:r>
      <w:r>
        <w:t xml:space="preserve">    </w:t>
      </w:r>
      <w:r>
        <w:rPr>
          <w:b/>
        </w:rPr>
        <w:t xml:space="preserve">Pub date: </w:t>
      </w:r>
      <w:r>
        <w:t>2026-02-15 08:40:40+00:00</w:t>
      </w:r>
      <w:r>
        <w:t xml:space="preserve">    </w:t>
      </w:r>
      <w:r>
        <w:rPr>
          <w:b/>
        </w:rPr>
        <w:t xml:space="preserve">DOI: </w:t>
      </w:r>
      <w:hyperlink r:id="rId128">
        <w:r>
          <w:rPr>
            <w:color w:val="1155CC"/>
            <w:u w:val="single"/>
          </w:rPr>
          <w:t>10.1002/adma.202516677</w:t>
        </w:r>
      </w:hyperlink>
    </w:p>
    <w:p>
      <w:pPr>
        <w:spacing w:before="0" w:after="120"/>
      </w:pPr>
      <w:r>
        <w:rPr>
          <w:b/>
        </w:rPr>
        <w:t xml:space="preserve">Notes: </w:t>
      </w:r>
      <w:r>
        <w:t>abstract_source=crossref</w:t>
      </w:r>
    </w:p>
    <w:p>
      <w:pPr>
        <w:spacing w:before="0" w:after="80" w:lineRule="auto" w:line="276"/>
      </w:pPr>
      <w:r>
        <w:rPr>
          <w:b/>
        </w:rPr>
        <w:t xml:space="preserve">摘要（ZH）: </w:t>
      </w:r>
      <w:r>
        <w:t>ABSTACT 液体晶体网络(LCNs)在软机器人作为人工肌肉方面已经显示出巨大的实用性。 然而,其在生物医学应用(如药物输送)方面的潜力仍然在很大程度上尚未开发。 这部分可以归因于LCNs与生物环境的有限兼容性,以及非氮基微型结构和形态学。 目前的研究侧重于开发活化器,通过创建以液态晶体水化凝胶(LCHs)混合成的液态晶水晶凝胶(LCHs)为基础的建筑来改善孔隙性。 在我们的设计中,LCNs提供了机械完整性和刺激性反应性,而LCHs则引入了结构孔性和对变形的精确控制。 为了操纵LCHs的微结构并设计混合活化器的变形程序,我们使用了磁性结合的淋染色体。</w:t>
      </w:r>
    </w:p>
    <w:p>
      <w:pPr>
        <w:spacing w:before="0" w:after="200" w:lineRule="auto" w:line="276"/>
      </w:pPr>
      <w:r>
        <w:rPr>
          <w:b/>
        </w:rPr>
        <w:t xml:space="preserve">Abstract (EN): </w:t>
      </w:r>
      <w:r>
        <w:t>Liquid crystal networks (LCNs) have shown great utility in soft robotics as artificial muscles. Yet, their potential in biomedical applications, such as drug delivery, remains largely untapped. This can be partly attributed to LCNs’ limited compatibility with biological environments, and non‐porous microstructure and morphology. The current study focuses on developing actuators with improved porosity by creating constructs based on LCNs hybridized with liquid crystal hydrogels (LCHs). In our design, LCNs provide mechanical integrity and stimuli‐responsiveness, while LCHs introduce structural porosity and precise control over deformation. To manipulate LCHs’ microstructure and program the deformation of hybrid actuators, we used magnetically aligned lyotropic chromonic liquid crystals (LCLC) derived from disodium cromoglicate (DSCG) to template desired morphologies in acrylamide (AAM)‐based LCHs. Our results revealed that the integration of LCHs into LCNs dramatically increases the porosity of the construct. Interestingly, the distinct alignment and stimuli‐responsiveness of LCN and LCH layers can be leveraged to obtain complex programmable deformation. We believe that the inherent porosity and biocompatibility of LCHs can be used to expand the application of LCNs in therapeutic delivery and in enabling safer interaction with biological tissues, positioning them as promising materials for use in minimally invasive medical devices and adaptive implants.</w:t>
      </w:r>
    </w:p>
    <w:p>
      <w:pPr>
        <w:spacing w:before="120" w:after="120"/>
      </w:pPr>
      <w:r>
        <w:rPr>
          <w:sz w:val="18"/>
        </w:rPr>
        <w:t>——————————————————————————————————————————————————————————————————————</w:t>
      </w:r>
    </w:p>
    <w:p>
      <w:pPr>
        <w:spacing w:before="160" w:after="40" w:line="240" w:lineRule="auto"/>
      </w:pPr>
      <w:r>
        <w:rPr>
          <w:b/>
        </w:rPr>
        <w:t xml:space="preserve">[85] </w:t>
      </w:r>
      <w:hyperlink r:id="rId129">
        <w:r>
          <w:rPr>
            <w:color w:val="1155CC"/>
            <w:u w:val="single"/>
          </w:rPr>
          <w:t>NO+三重债券的金属自由切割</w:t>
        </w:r>
      </w:hyperlink>
    </w:p>
    <w:p>
      <w:pPr>
        <w:spacing w:before="0" w:after="80"/>
      </w:pPr>
      <w:r>
        <w:rPr>
          <w:i/>
          <w:sz w:val="20"/>
        </w:rPr>
        <w:t>EN: Metal‐Free Scission of the NO+ Triple Bond</w:t>
      </w:r>
    </w:p>
    <w:p>
      <w:pPr>
        <w:spacing w:before="0" w:after="120"/>
      </w:pPr>
      <w:r>
        <w:rPr>
          <w:b/>
        </w:rPr>
        <w:t xml:space="preserve">Source: </w:t>
      </w:r>
      <w:r>
        <w:t>Wiley: Angewandte Chemie International Edition: Table of Contents</w:t>
      </w:r>
      <w:r>
        <w:t xml:space="preserve">    </w:t>
      </w:r>
      <w:r>
        <w:rPr>
          <w:b/>
        </w:rPr>
        <w:t xml:space="preserve">Pub date: </w:t>
      </w:r>
      <w:r>
        <w:t>2026-02-15 08:41:26+00:00</w:t>
      </w:r>
      <w:r>
        <w:t xml:space="preserve">    </w:t>
      </w:r>
      <w:r>
        <w:rPr>
          <w:b/>
        </w:rPr>
        <w:t xml:space="preserve">DOI: </w:t>
      </w:r>
      <w:hyperlink r:id="rId130">
        <w:r>
          <w:rPr>
            <w:color w:val="1155CC"/>
            <w:u w:val="single"/>
          </w:rPr>
          <w:t>10.1002/anie.202524527</w:t>
        </w:r>
      </w:hyperlink>
    </w:p>
    <w:p>
      <w:pPr>
        <w:spacing w:before="0" w:after="120"/>
      </w:pPr>
      <w:r>
        <w:rPr>
          <w:b/>
        </w:rPr>
        <w:t xml:space="preserve">Notes: </w:t>
      </w:r>
      <w:r>
        <w:t>abstract_source=crossref</w:t>
      </w:r>
    </w:p>
    <w:p>
      <w:pPr>
        <w:spacing w:before="0" w:after="80" w:lineRule="auto" w:line="276"/>
      </w:pPr>
      <w:r>
        <w:rPr>
          <w:b/>
        </w:rPr>
        <w:t xml:space="preserve">摘要（ZH）: </w:t>
      </w:r>
      <w:r>
        <w:t>我们报告NO+三联结的表面和直接室温无分子分离,NO+三联结是已知最强化学联结,离散能量为1049 kJ mol-1。NO[AL(OR F) 4](R F = C(CF 3) 3)和PNP t Bu(2,6Bis (di tert 丁基磷酰甲基)对丙烯的响应。</w:t>
      </w:r>
    </w:p>
    <w:p>
      <w:pPr>
        <w:spacing w:before="0" w:after="200" w:lineRule="auto" w:line="276"/>
      </w:pPr>
      <w:r>
        <w:rPr>
          <w:b/>
        </w:rPr>
        <w:t xml:space="preserve">Abstract (EN): </w:t>
      </w:r>
      <w:r>
        <w:t>We report the facile and direct room temperature unimolecular scission of the N≡O</w:t>
      </w:r>
      <w:r>
        <w:t xml:space="preserve"> </w:t>
      </w:r>
      <w:r>
        <w:t>+</w:t>
      </w:r>
      <w:r>
        <w:t xml:space="preserve"> </w:t>
      </w:r>
      <w:r>
        <w:t>triple bond, one of the strongest known chemical bonds with a bond dissociation energy of 1049 kJ mol</w:t>
      </w:r>
      <w:r>
        <w:t xml:space="preserve"> </w:t>
      </w:r>
      <w:r>
        <w:t>−1</w:t>
      </w:r>
      <w:r>
        <w:t xml:space="preserve"> </w:t>
      </w:r>
      <w:r>
        <w:t>. The reaction of NO[Al(OR</w:t>
      </w:r>
      <w:r>
        <w:t xml:space="preserve"> </w:t>
      </w:r>
      <w:r>
        <w:t>F</w:t>
      </w:r>
      <w:r>
        <w:t xml:space="preserve"> </w:t>
      </w:r>
      <w:r>
        <w:t>)</w:t>
      </w:r>
      <w:r>
        <w:rPr>
          <w:vertAlign w:val="subscript"/>
        </w:rPr>
        <w:t>4</w:t>
      </w:r>
      <w:r>
        <w:t>] (R</w:t>
      </w:r>
      <w:r>
        <w:t xml:space="preserve"> </w:t>
      </w:r>
      <w:r>
        <w:t>F</w:t>
      </w:r>
      <w:r>
        <w:t xml:space="preserve"> </w:t>
      </w:r>
      <w:r>
        <w:t>= C(CF</w:t>
      </w:r>
      <w:r>
        <w:rPr>
          <w:vertAlign w:val="subscript"/>
        </w:rPr>
        <w:t>3</w:t>
      </w:r>
      <w:r>
        <w:t>)</w:t>
      </w:r>
      <w:r>
        <w:rPr>
          <w:vertAlign w:val="subscript"/>
        </w:rPr>
        <w:t>3</w:t>
      </w:r>
      <w:r>
        <w:t>) and PNP</w:t>
      </w:r>
      <w:r>
        <w:t xml:space="preserve"> </w:t>
      </w:r>
      <w:r>
        <w:t>t</w:t>
      </w:r>
      <w:r>
        <w:t xml:space="preserve"> </w:t>
      </w:r>
      <w:r>
        <w:t>Bu</w:t>
      </w:r>
      <w:r>
        <w:t xml:space="preserve"> </w:t>
      </w:r>
      <w:r>
        <w:t>(2,6‐bis(di‐</w:t>
      </w:r>
      <w:r>
        <w:t xml:space="preserve"> </w:t>
      </w:r>
      <w:r>
        <w:t>tert</w:t>
      </w:r>
      <w:r>
        <w:t xml:space="preserve"> </w:t>
      </w:r>
      <w:r>
        <w:t>‐butylphosphinomethyl)pyridine) in CH</w:t>
      </w:r>
      <w:r>
        <w:rPr>
          <w:vertAlign w:val="subscript"/>
        </w:rPr>
        <w:t>2</w:t>
      </w:r>
      <w:r>
        <w:t>Cl</w:t>
      </w:r>
      <w:r>
        <w:rPr>
          <w:vertAlign w:val="subscript"/>
        </w:rPr>
        <w:t>2</w:t>
      </w:r>
      <w:r>
        <w:t>yields the 1,2,3‐diazaphospholo[1,5‐</w:t>
      </w:r>
      <w:r>
        <w:t xml:space="preserve"> </w:t>
      </w:r>
      <w:r>
        <w:t>a</w:t>
      </w:r>
      <w:r>
        <w:t xml:space="preserve"> </w:t>
      </w:r>
      <w:r>
        <w:t>]pyridinium derivative [DAPP</w:t>
      </w:r>
      <w:r>
        <w:t xml:space="preserve"> </w:t>
      </w:r>
      <w:r>
        <w:t>t</w:t>
      </w:r>
      <w:r>
        <w:t xml:space="preserve"> </w:t>
      </w:r>
      <w:r>
        <w:t>Bu</w:t>
      </w:r>
      <w:r>
        <w:t xml:space="preserve"> </w:t>
      </w:r>
      <w:r>
        <w:t>]</w:t>
      </w:r>
      <w:r>
        <w:t xml:space="preserve"> </w:t>
      </w:r>
      <w:r>
        <w:t>+</w:t>
      </w:r>
      <w:r>
        <w:t xml:space="preserve"> </w:t>
      </w:r>
      <w:r>
        <w:t>[Al(OR</w:t>
      </w:r>
      <w:r>
        <w:t xml:space="preserve"> </w:t>
      </w:r>
      <w:r>
        <w:t>F</w:t>
      </w:r>
      <w:r>
        <w:t xml:space="preserve"> </w:t>
      </w:r>
      <w:r>
        <w:t>)</w:t>
      </w:r>
      <w:r>
        <w:rPr>
          <w:vertAlign w:val="subscript"/>
        </w:rPr>
        <w:t>4</w:t>
      </w:r>
      <w:r>
        <w:t>]</w:t>
      </w:r>
      <w:r>
        <w:t xml:space="preserve"> </w:t>
      </w:r>
      <w:r>
        <w:t>–</w:t>
      </w:r>
      <w:r>
        <w:t xml:space="preserve"> </w:t>
      </w:r>
      <w:r>
        <w:t>(</w:t>
      </w:r>
      <w:r>
        <w:rPr>
          <w:vertAlign w:val="subscript"/>
        </w:rPr>
        <w:t>1</w:t>
      </w:r>
      <w:r>
        <w:t>), featuring the complete cleavage of the N≡O</w:t>
      </w:r>
      <w:r>
        <w:t xml:space="preserve"> </w:t>
      </w:r>
      <w:r>
        <w:t>+</w:t>
      </w:r>
      <w:r>
        <w:t xml:space="preserve"> </w:t>
      </w:r>
      <w:r>
        <w:t>bond. At −30°C, the reaction intermediate [PNOP</w:t>
      </w:r>
      <w:r>
        <w:t xml:space="preserve"> </w:t>
      </w:r>
      <w:r>
        <w:t>t</w:t>
      </w:r>
      <w:r>
        <w:t xml:space="preserve"> </w:t>
      </w:r>
      <w:r>
        <w:t>Bu</w:t>
      </w:r>
      <w:r>
        <w:t xml:space="preserve"> </w:t>
      </w:r>
      <w:r>
        <w:t>]</w:t>
      </w:r>
      <w:r>
        <w:t xml:space="preserve"> </w:t>
      </w:r>
      <w:r>
        <w:t>+</w:t>
      </w:r>
      <w:r>
        <w:t xml:space="preserve"> </w:t>
      </w:r>
      <w:r>
        <w:t>[Al(OR</w:t>
      </w:r>
      <w:r>
        <w:t xml:space="preserve"> </w:t>
      </w:r>
      <w:r>
        <w:t>F</w:t>
      </w:r>
      <w:r>
        <w:t xml:space="preserve"> </w:t>
      </w:r>
      <w:r>
        <w:t>)</w:t>
      </w:r>
      <w:r>
        <w:rPr>
          <w:vertAlign w:val="subscript"/>
        </w:rPr>
        <w:t>4</w:t>
      </w:r>
      <w:r>
        <w:t>]</w:t>
      </w:r>
      <w:r>
        <w:t xml:space="preserve"> </w:t>
      </w:r>
      <w:r>
        <w:t>–</w:t>
      </w:r>
      <w:r>
        <w:t xml:space="preserve"> </w:t>
      </w:r>
      <w:r>
        <w:t>(</w:t>
      </w:r>
      <w:r>
        <w:rPr>
          <w:vertAlign w:val="subscript"/>
        </w:rPr>
        <w:t>2</w:t>
      </w:r>
      <w:r>
        <w:t>), which contains the novel bridging P═N−O−P</w:t>
      </w:r>
      <w:r>
        <w:t xml:space="preserve"> </w:t>
      </w:r>
      <w:r>
        <w:t>+</w:t>
      </w:r>
      <w:r>
        <w:t xml:space="preserve"> </w:t>
      </w:r>
      <w:r>
        <w:t>motif, can be isolated. Mechanistic insights were gained through quantum chemical calculations, which elucidated the formation pathways of</w:t>
      </w:r>
      <w:r>
        <w:rPr>
          <w:vertAlign w:val="subscript"/>
        </w:rPr>
        <w:t>1</w:t>
      </w:r>
      <w:r>
        <w:t>and</w:t>
      </w:r>
      <w:r>
        <w:rPr>
          <w:vertAlign w:val="subscript"/>
        </w:rPr>
        <w:t>2</w:t>
      </w:r>
      <w:r>
        <w:t>, while NMR spectroscopic kinetic studies quantified the conversion rate from</w:t>
      </w:r>
      <w:r>
        <w:rPr>
          <w:vertAlign w:val="subscript"/>
        </w:rPr>
        <w:t>2</w:t>
      </w:r>
      <w:r>
        <w:t>to</w:t>
      </w:r>
      <w:r>
        <w:rPr>
          <w:vertAlign w:val="subscript"/>
        </w:rPr>
        <w:t>1</w:t>
      </w:r>
      <w:r>
        <w:t>.</w:t>
      </w:r>
    </w:p>
    <w:p>
      <w:pPr>
        <w:spacing w:before="120" w:after="120"/>
      </w:pPr>
      <w:r>
        <w:rPr>
          <w:sz w:val="18"/>
        </w:rPr>
        <w:t>——————————————————————————————————————————————————————————————————————</w:t>
      </w:r>
    </w:p>
    <w:p>
      <w:pPr>
        <w:spacing w:before="160" w:after="40" w:line="240" w:lineRule="auto"/>
      </w:pPr>
      <w:r>
        <w:rPr>
          <w:b/>
        </w:rPr>
        <w:t xml:space="preserve">[86] </w:t>
      </w:r>
      <w:hyperlink r:id="rId131">
        <w:r>
          <w:rPr>
            <w:color w:val="1155CC"/>
            <w:u w:val="single"/>
          </w:rPr>
          <w:t>百份Perovskite 与批量高度一致的量度点的金字塔增强、高水平和直接环境合成</w:t>
        </w:r>
      </w:hyperlink>
    </w:p>
    <w:p>
      <w:pPr>
        <w:spacing w:before="0" w:after="80"/>
      </w:pPr>
      <w:r>
        <w:rPr>
          <w:i/>
          <w:sz w:val="20"/>
        </w:rPr>
        <w:t>EN: 100‐Fold Scaling‐Up, Gram‐Level and Direct Ambient Synthesis of Perovskite Quantum Dots with High Batch Consistency</w:t>
      </w:r>
    </w:p>
    <w:p>
      <w:pPr>
        <w:spacing w:before="0" w:after="120"/>
      </w:pPr>
      <w:r>
        <w:rPr>
          <w:b/>
        </w:rPr>
        <w:t xml:space="preserve">Source: </w:t>
      </w:r>
      <w:r>
        <w:t>Wiley: Advanced Materials: Table of Contents</w:t>
      </w:r>
      <w:r>
        <w:t xml:space="preserve">    </w:t>
      </w:r>
      <w:r>
        <w:rPr>
          <w:b/>
        </w:rPr>
        <w:t xml:space="preserve">Pub date: </w:t>
      </w:r>
      <w:r>
        <w:t>2026-02-15 08:41:54+00:00</w:t>
      </w:r>
      <w:r>
        <w:t xml:space="preserve">    </w:t>
      </w:r>
      <w:r>
        <w:rPr>
          <w:b/>
        </w:rPr>
        <w:t xml:space="preserve">DOI: </w:t>
      </w:r>
      <w:hyperlink r:id="rId132">
        <w:r>
          <w:rPr>
            <w:color w:val="1155CC"/>
            <w:u w:val="single"/>
          </w:rPr>
          <w:t>10.1002/adma.72580</w:t>
        </w:r>
      </w:hyperlink>
    </w:p>
    <w:p>
      <w:pPr>
        <w:spacing w:before="0" w:after="120"/>
      </w:pPr>
      <w:r>
        <w:rPr>
          <w:b/>
        </w:rPr>
        <w:t xml:space="preserve">Notes: </w:t>
      </w:r>
      <w:r>
        <w:t>abstract_source=crossref</w:t>
      </w:r>
    </w:p>
    <w:p>
      <w:pPr>
        <w:spacing w:before="0" w:after="80" w:lineRule="auto" w:line="276"/>
      </w:pPr>
      <w:r>
        <w:rPr>
          <w:b/>
        </w:rPr>
        <w:t xml:space="preserve">摘要（ZH）: </w:t>
      </w:r>
      <w:r>
        <w:t>Perovskite量点(PQDs)显示在光电子领域有很有潜力的潜力,但其商业应用却因实验室规模的可缩缩和在惰性大气中的复杂合成而受到限制,特别是在基于IQ的再排放量点中。PQDs感到不安的是,捕捉状态导致可缩缩缩的合成性能下降,因为捕捉状态是薄弱的皮层丧失和复杂的注射过程产生的不平衡的核分离/增长。这里,在环境空气中实现了CSPBI 3纯化的CSPBI 3合成100倍(800毫升)和2.19克(2.19克)。</w:t>
      </w:r>
    </w:p>
    <w:p>
      <w:pPr>
        <w:spacing w:before="0" w:after="200" w:lineRule="auto" w:line="276"/>
      </w:pPr>
      <w:r>
        <w:rPr>
          <w:b/>
        </w:rPr>
        <w:t xml:space="preserve">Abstract (EN): </w:t>
      </w:r>
      <w:r>
        <w:t>Perovskite quantum dots (PQDs) show promising potential in the optoelectronic field, but their commercial application is limited by the scalability in laboratory scale and complicated synthesis in an inert atmosphere, especially in I‐based red‐emission PQDs. The PQDs are disturbed by the performance decrease in the scalable synthesis caused by the trap states from weakly‐bonded ligand loss and uneven nucleation/growth from the complicated injection process. Here, a 100‐fold scalable (800 mL) and gram‐level (2.19 g) synthesis of CsPbI</w:t>
      </w:r>
      <w:r>
        <w:rPr>
          <w:vertAlign w:val="subscript"/>
        </w:rPr>
        <w:t>3</w:t>
      </w:r>
      <w:r>
        <w:t>pure‐red PQDs is achieved in ambient air. This is realized by a strongly‐coordinated dual‐ligand strategy with phosphorus‐oxygen groups to interact strongly with Pb</w:t>
      </w:r>
      <w:r>
        <w:t xml:space="preserve"> </w:t>
      </w:r>
      <w:r>
        <w:t>2+</w:t>
      </w:r>
      <w:r>
        <w:t xml:space="preserve"> </w:t>
      </w:r>
      <w:r>
        <w:t>and protect PQDs from moisture/oxygen, ensuring the ambient air scalable synthesis. The 100‐fold scaled‐up PQDs show no significant emission shift or broadening (ΔPL = 0.7 nm, ΔFWHM = 0.8 nm) and remain over 80% PLQY. Also, pure‐red light‐emitting diode (LED) based on the scalable PQDs reserves 86.3% EQE of LEDs based on small‐scale PQDs, showing the excellent batch consistency and commercial potential of PQDs.</w:t>
      </w:r>
    </w:p>
    <w:p>
      <w:pPr>
        <w:spacing w:before="120" w:after="120"/>
      </w:pPr>
      <w:r>
        <w:rPr>
          <w:sz w:val="18"/>
        </w:rPr>
        <w:t>——————————————————————————————————————————————————————————————————————</w:t>
      </w:r>
    </w:p>
    <w:p>
      <w:pPr>
        <w:spacing w:before="160" w:after="40" w:line="240" w:lineRule="auto"/>
      </w:pPr>
      <w:r>
        <w:rPr>
          <w:b/>
        </w:rPr>
        <w:t xml:space="preserve">[87] </w:t>
      </w:r>
      <w:hyperlink r:id="rId133">
        <w:r>
          <w:rPr>
            <w:color w:val="1155CC"/>
            <w:u w:val="single"/>
          </w:rPr>
          <w:t>高密度和高导导高浓和高导导MXen光纤维制造除尘战略</w:t>
        </w:r>
      </w:hyperlink>
    </w:p>
    <w:p>
      <w:pPr>
        <w:spacing w:before="0" w:after="80"/>
      </w:pPr>
      <w:r>
        <w:rPr>
          <w:i/>
          <w:sz w:val="20"/>
        </w:rPr>
        <w:t>EN: Defect‐Elimination Strategies for Fabricating High‐Strength and Highly Conductive MXene Fibers</w:t>
      </w:r>
    </w:p>
    <w:p>
      <w:pPr>
        <w:spacing w:before="0" w:after="120"/>
      </w:pPr>
      <w:r>
        <w:rPr>
          <w:b/>
        </w:rPr>
        <w:t xml:space="preserve">Source: </w:t>
      </w:r>
      <w:r>
        <w:t>Wiley: Advanced Materials: Table of Contents</w:t>
      </w:r>
      <w:r>
        <w:t xml:space="preserve">    </w:t>
      </w:r>
      <w:r>
        <w:rPr>
          <w:b/>
        </w:rPr>
        <w:t xml:space="preserve">Pub date: </w:t>
      </w:r>
      <w:r>
        <w:t>2026-02-15 08:41:55+00:00</w:t>
      </w:r>
      <w:r>
        <w:t xml:space="preserve">    </w:t>
      </w:r>
      <w:r>
        <w:rPr>
          <w:b/>
        </w:rPr>
        <w:t xml:space="preserve">DOI: </w:t>
      </w:r>
      <w:hyperlink r:id="rId134">
        <w:r>
          <w:rPr>
            <w:color w:val="1155CC"/>
            <w:u w:val="single"/>
          </w:rPr>
          <w:t>10.1002/adma.202514754</w:t>
        </w:r>
      </w:hyperlink>
    </w:p>
    <w:p>
      <w:pPr>
        <w:spacing w:before="0" w:after="120"/>
      </w:pPr>
      <w:r>
        <w:rPr>
          <w:b/>
        </w:rPr>
        <w:t xml:space="preserve">Notes: </w:t>
      </w:r>
      <w:r>
        <w:t>abstract_source=crossref</w:t>
      </w:r>
    </w:p>
    <w:p>
      <w:pPr>
        <w:spacing w:before="0" w:after="80" w:lineRule="auto" w:line="276"/>
      </w:pPr>
      <w:r>
        <w:rPr>
          <w:b/>
        </w:rPr>
        <w:t xml:space="preserve">摘要（ZH）: </w:t>
      </w:r>
      <w:r>
        <w:t>二维(2D) 过渡性金属碳化物和氮化物(MXenes) 纳米表具有杰出的机械、电气、电化学和光热转换特性,并具有良好的溶性处理能力,使其极有可能制造高性能导导导MXene纤维,然而,薄弱的相互作用、结构紊乱和纳米表皱纹等问题往往造成无效的缺陷,妨碍负载和电子转移,从而限制大型显性MXene纤维的性能。</w:t>
      </w:r>
    </w:p>
    <w:p>
      <w:pPr>
        <w:spacing w:before="0" w:after="200" w:lineRule="auto" w:line="276"/>
      </w:pPr>
      <w:r>
        <w:rPr>
          <w:b/>
        </w:rPr>
        <w:t xml:space="preserve">Abstract (EN): </w:t>
      </w:r>
      <w:r>
        <w:t>Two‐dimensional (2D) transition metal carbides and nitrides (MXenes) nanosheets exhibit outstanding mechanical, electrical, electrochemical, and photothermal conversion properties, along with good solution processability, making them highly promising for the fabrication of high‐performance conductive MXene fibers. However, issues such as weak interfacial interactions, structural disorder, and nanosheet wrinkling often result in void defects, which hinder both load and electron transfer, thereby limiting the performance of macroscopic MXene fibers. This review systematically summarizes the recent progress in the defect‐elimination strategies for the fabrication of high‐strength and highly conductive MXene fibers, with a focus on performance and applications, from the perspectives of structure and interfacial design. Particular attention is given to strategies aimed at performance enhancement, especially those focused on strengthening interfacial interactions, improving alignment of MXene nanosheets, and eliminating voids, which are critical factors in assembling high‐performance conductive MXene fibers. Meanwhile, this review highlights the diverse multifunctional applications of MXene fibers in wearable electronic textiles. Finally, we conclude by discussing the key advantages and persistent challenges associated with various assembly structures, and present an outlook on the future design and development of high‐performance conductive MXene fibers, offering valuable insights for advancing research and practical applications of MXene fibers.</w:t>
      </w:r>
    </w:p>
    <w:p>
      <w:pPr>
        <w:spacing w:before="120" w:after="120"/>
      </w:pPr>
      <w:r>
        <w:rPr>
          <w:sz w:val="18"/>
        </w:rPr>
        <w:t>——————————————————————————————————————————————————————————————————————</w:t>
      </w:r>
    </w:p>
    <w:p>
      <w:pPr>
        <w:spacing w:before="160" w:after="40" w:line="240" w:lineRule="auto"/>
      </w:pPr>
      <w:r>
        <w:rPr>
          <w:b/>
        </w:rPr>
        <w:t xml:space="preserve">[88] </w:t>
      </w:r>
      <w:hyperlink r:id="rId135">
        <w:r>
          <w:rPr>
            <w:color w:val="1155CC"/>
            <w:u w:val="single"/>
          </w:rPr>
          <w:t>阻燃剂: 锰(I) 催化奥多C-H 苯甲酸结合</w:t>
        </w:r>
      </w:hyperlink>
    </w:p>
    <w:p>
      <w:pPr>
        <w:spacing w:before="0" w:after="80"/>
      </w:pPr>
      <w:r>
        <w:rPr>
          <w:i/>
          <w:sz w:val="20"/>
        </w:rPr>
        <w:t>EN: RETRACTION: Manganese(I) Catalyzed Ortho C−H Allylation of Benzoic Acids</w:t>
      </w:r>
    </w:p>
    <w:p>
      <w:pPr>
        <w:spacing w:before="0" w:after="120"/>
      </w:pPr>
      <w:r>
        <w:rPr>
          <w:b/>
        </w:rPr>
        <w:t xml:space="preserve">Source: </w:t>
      </w:r>
      <w:r>
        <w:t>Wiley: Angewandte Chemie International Edition: Table of Contents</w:t>
      </w:r>
      <w:r>
        <w:t xml:space="preserve">    </w:t>
      </w:r>
      <w:r>
        <w:rPr>
          <w:b/>
        </w:rPr>
        <w:t xml:space="preserve">Pub date: </w:t>
      </w:r>
      <w:r>
        <w:t>2026-02-15 08:42:08+00:00</w:t>
      </w:r>
      <w:r>
        <w:t xml:space="preserve">    </w:t>
      </w:r>
      <w:r>
        <w:rPr>
          <w:b/>
        </w:rPr>
        <w:t xml:space="preserve">DOI: </w:t>
      </w:r>
      <w:hyperlink r:id="rId136">
        <w:r>
          <w:rPr>
            <w:color w:val="1155CC"/>
            <w:u w:val="single"/>
          </w:rPr>
          <w:t>10.1002/anie.2026-m0902043000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[89] </w:t>
      </w:r>
      <w:hyperlink r:id="rId137">
        <w:r>
          <w:rPr>
            <w:color w:val="1155CC"/>
            <w:u w:val="single"/>
          </w:rPr>
          <w:t>在内在可伸展的有机光学检测仪中,催化诱导的检测增强</w:t>
        </w:r>
      </w:hyperlink>
    </w:p>
    <w:p>
      <w:pPr>
        <w:spacing w:before="0" w:after="80"/>
      </w:pPr>
      <w:r>
        <w:rPr>
          <w:i/>
          <w:sz w:val="20"/>
        </w:rPr>
        <w:t>EN: Strain‐Induced Detectivity Enhancement in Intrinsically Stretchable Organic Photodetectors</w:t>
      </w:r>
    </w:p>
    <w:p>
      <w:pPr>
        <w:spacing w:before="0" w:after="120"/>
      </w:pPr>
      <w:r>
        <w:rPr>
          <w:b/>
        </w:rPr>
        <w:t xml:space="preserve">Source: </w:t>
      </w:r>
      <w:r>
        <w:t>Wiley: Advanced Materials: Table of Contents</w:t>
      </w:r>
      <w:r>
        <w:t xml:space="preserve">    </w:t>
      </w:r>
      <w:r>
        <w:rPr>
          <w:b/>
        </w:rPr>
        <w:t xml:space="preserve">Pub date: </w:t>
      </w:r>
      <w:r>
        <w:t>2026-02-15 08:43:01+00:00</w:t>
      </w:r>
      <w:r>
        <w:t xml:space="preserve">    </w:t>
      </w:r>
      <w:r>
        <w:rPr>
          <w:b/>
        </w:rPr>
        <w:t xml:space="preserve">DOI: </w:t>
      </w:r>
      <w:hyperlink r:id="rId138">
        <w:r>
          <w:rPr>
            <w:color w:val="1155CC"/>
            <w:u w:val="single"/>
          </w:rPr>
          <w:t>10.1002/adma.202514951</w:t>
        </w:r>
      </w:hyperlink>
    </w:p>
    <w:p>
      <w:pPr>
        <w:spacing w:before="0" w:after="120"/>
      </w:pPr>
      <w:r>
        <w:rPr>
          <w:b/>
        </w:rPr>
        <w:t xml:space="preserve">Notes: </w:t>
      </w:r>
      <w:r>
        <w:t>abstract_source=crossref</w:t>
      </w:r>
    </w:p>
    <w:p>
      <w:pPr>
        <w:spacing w:before="0" w:after="80" w:lineRule="auto" w:line="276"/>
      </w:pPr>
      <w:r>
        <w:rPr>
          <w:b/>
        </w:rPr>
        <w:t xml:space="preserve">摘要（ZH）: </w:t>
      </w:r>
      <w:r>
        <w:t>ABSTACT 内部可伸展的有机光光测仪(ISOPDs)对于下一代需要机械耐久性和可靠光学感测的可磨损电子设备至关重要,然而,由于光活层机械和光电特性之间的内在平衡,ISOPD目前的性能在抗拉线下降解。 我们在这里报告了ISOPD的发展,即通过设计机械强力和高效的双层类型光活性建筑(EBLDD),显示强度和诱发的检测性(D)增强。具体地说,我们采用了渗透聚合物捐赠者(P D):在底部的扩张器网络(P D):在底部的扩张器网络。</w:t>
      </w:r>
    </w:p>
    <w:p>
      <w:pPr>
        <w:spacing w:before="0" w:after="200" w:lineRule="auto" w:line="276"/>
      </w:pPr>
      <w:r>
        <w:rPr>
          <w:b/>
        </w:rPr>
        <w:t xml:space="preserve">Abstract (EN): </w:t>
      </w:r>
      <w:r>
        <w:t>Intrinsically stretchable organic photodetectors (IS‐OPDs) are essential for next‐generation wearable electronics requiring both mechanical durability and reliable optical sensing. However, current performance of IS‐OPDs degrades under tensile strain due to inherent trade‐offs between mechanical and optoelectronic properties in photoactive layers. Here, we report the development of the IS‐OPD that exhibits strain‐induced detectivity (</w:t>
      </w:r>
      <w:r>
        <w:t xml:space="preserve"> </w:t>
      </w:r>
      <w:r>
        <w:t>D</w:t>
      </w:r>
      <w:r>
        <w:t xml:space="preserve"> </w:t>
      </w:r>
      <w:r>
        <w:t>) enhancement, enabled by designing mechanically robust and efficient bilayer‐type photoactive architecture (EBL‐D). Specifically, we incorporate percolated polymer donor (</w:t>
      </w:r>
      <w:r>
        <w:t xml:space="preserve"> </w:t>
      </w:r>
      <w:r>
        <w:t>P</w:t>
      </w:r>
      <w:r>
        <w:t xml:space="preserve"> </w:t>
      </w:r>
      <w:r>
        <w:t>D</w:t>
      </w:r>
      <w:r>
        <w:t xml:space="preserve"> </w:t>
      </w:r>
      <w:r>
        <w:t>):elastomer networks at the bottom layer, which simultaneously offer excellent stretchability and efficient charge transport. Subsequently, we deposit a small‐molecule acceptor layer atop the</w:t>
      </w:r>
      <w:r>
        <w:t xml:space="preserve"> </w:t>
      </w:r>
      <w:r>
        <w:t>P</w:t>
      </w:r>
      <w:r>
        <w:t xml:space="preserve"> </w:t>
      </w:r>
      <w:r>
        <w:t>D</w:t>
      </w:r>
      <w:r>
        <w:t xml:space="preserve"> </w:t>
      </w:r>
      <w:r>
        <w:t>:elastomer layer, expanding the optical absorption range into the near‐infrared region while minimizing undesirable charge recombination. The resulting IS‐OPD based on the EBL‐D architecture maintains high responsivity and effectively suppresses dark current under strain. Consequently, the device exhibits 1.5‐fold improvement in specific detectivity from 1.9 × 10</w:t>
      </w:r>
      <w:r>
        <w:rPr>
          <w:vertAlign w:val="subscript"/>
        </w:rPr>
        <w:t>13</w:t>
      </w:r>
      <w:r>
        <w:t>to 2.8 × 10</w:t>
      </w:r>
      <w:r>
        <w:rPr>
          <w:vertAlign w:val="subscript"/>
        </w:rPr>
        <w:t>13</w:t>
      </w:r>
      <w:r>
        <w:t>Jones at λ = 860 nm under 75% strain, corresponding to a 1.3‐fold increase in</w:t>
      </w:r>
      <w:r>
        <w:t xml:space="preserve"> </w:t>
      </w:r>
      <w:r>
        <w:t>D</w:t>
      </w:r>
      <w:r>
        <w:t xml:space="preserve"> </w:t>
      </w:r>
      <w:r>
        <w:t>after accounting for the enlarged photoactive area. To the best of our knowledge, this work is the first to experimentally demonstrate strain‐induced D enhancement in stretchable OPDs.</w:t>
      </w:r>
    </w:p>
    <w:p>
      <w:pPr>
        <w:spacing w:before="120" w:after="120"/>
      </w:pPr>
      <w:r>
        <w:rPr>
          <w:sz w:val="18"/>
        </w:rPr>
        <w:t>——————————————————————————————————————————————————————————————————————</w:t>
      </w:r>
    </w:p>
    <w:p>
      <w:pPr>
        <w:spacing w:before="160" w:after="40" w:line="240" w:lineRule="auto"/>
      </w:pPr>
      <w:r>
        <w:rPr>
          <w:b/>
        </w:rPr>
        <w:t xml:space="preserve">[90] </w:t>
      </w:r>
      <w:hyperlink r:id="rId139">
        <w:r>
          <w:rPr>
            <w:color w:val="1155CC"/>
            <w:u w:val="single"/>
          </w:rPr>
          <w:t>在基于金属的分子复合体中,对协调的微环境进行协调,使之适合同力催化利-S电池反应</w:t>
        </w:r>
      </w:hyperlink>
    </w:p>
    <w:p>
      <w:pPr>
        <w:spacing w:before="0" w:after="80"/>
      </w:pPr>
      <w:r>
        <w:rPr>
          <w:i/>
          <w:sz w:val="20"/>
        </w:rPr>
        <w:t>EN: Tailoring Coordination Micro‐Environments in Metal‐Based Molecular Complexes to Homogeneously Catalyze Li─S Battery Reactions</w:t>
      </w:r>
    </w:p>
    <w:p>
      <w:pPr>
        <w:spacing w:before="0" w:after="120"/>
      </w:pPr>
      <w:r>
        <w:rPr>
          <w:b/>
        </w:rPr>
        <w:t xml:space="preserve">Source: </w:t>
      </w:r>
      <w:r>
        <w:t>Wiley: Angewandte Chemie International Edition: Table of Contents</w:t>
      </w:r>
      <w:r>
        <w:t xml:space="preserve">    </w:t>
      </w:r>
      <w:r>
        <w:rPr>
          <w:b/>
        </w:rPr>
        <w:t xml:space="preserve">Pub date: </w:t>
      </w:r>
      <w:r>
        <w:t>2026-02-15 08:44:03+00:00</w:t>
      </w:r>
      <w:r>
        <w:t xml:space="preserve">    </w:t>
      </w:r>
      <w:r>
        <w:rPr>
          <w:b/>
        </w:rPr>
        <w:t xml:space="preserve">DOI: </w:t>
      </w:r>
      <w:hyperlink r:id="rId140">
        <w:r>
          <w:rPr>
            <w:color w:val="1155CC"/>
            <w:u w:val="single"/>
          </w:rPr>
          <w:t>10.1002/anie.202519282</w:t>
        </w:r>
      </w:hyperlink>
    </w:p>
    <w:p>
      <w:pPr>
        <w:spacing w:before="0" w:after="120"/>
      </w:pPr>
      <w:r>
        <w:rPr>
          <w:b/>
        </w:rPr>
        <w:t xml:space="preserve">Notes: </w:t>
      </w:r>
      <w:r>
        <w:t>abstract_source=crossref</w:t>
      </w:r>
    </w:p>
    <w:p>
      <w:pPr>
        <w:spacing w:before="0" w:after="80" w:lineRule="auto" w:line="276"/>
      </w:pPr>
      <w:r>
        <w:rPr>
          <w:b/>
        </w:rPr>
        <w:t xml:space="preserve">摘要（ZH）: </w:t>
      </w:r>
      <w:r>
        <w:t>氨基硫化锂电池(Li-S)的性能受到致命聚硫化阻塞、慢慢硫硫重新氧化动力学和无法控制的锂沉积的严重影响。 有机金属分子最近成为新型的促动器,能够通过多种或同质机制调节硫和锂物种的演变,以解决这些问题。 此处,通过在电解内部调整协调微环境,开发了同质金属基苯乙烯分子催化剂。 通过改变金属中心类型,电解层(Co-ETL)的基于煤的复合体显示了Co-N 4的相同协调几何法,而Fe-He-Co-N(Co-N-N)的复合体则显示了Co-N 4的相同协调几何法。</w:t>
      </w:r>
    </w:p>
    <w:p>
      <w:pPr>
        <w:spacing w:before="0" w:after="200" w:lineRule="auto" w:line="276"/>
      </w:pPr>
      <w:r>
        <w:rPr>
          <w:b/>
        </w:rPr>
        <w:t xml:space="preserve">Abstract (EN): </w:t>
      </w:r>
      <w:r>
        <w:t>The performance of lithium‐sulfur (Li─S) batteries is severely constrained by fatal polysulfide shuttling, sluggish sulfur redox kinetics, and uncontrollable lithium deposition. Organic metal‐based molecules have recently emerged as a novel type of promoters capable of modulating sulfur and lithium species evolution through either heterogeneous or homogeneous mechanisms to respond these issues. Herein, homogeneous metal‐based phenanthroline molecular catalysts are developed by tailoring coordination micro‐environments within electrolyte. By altering metal center type, the Co‐based complex in the electrolyte (Co‐ETL) shows an identical coordination geometry of Co–N</w:t>
      </w:r>
      <w:r>
        <w:rPr>
          <w:vertAlign w:val="subscript"/>
        </w:rPr>
        <w:t>4</w:t>
      </w:r>
      <w:r>
        <w:t>, whereas the Fe‐based complex in the electrolyte (Fe‐ETL) exhibits dual Fe─N</w:t>
      </w:r>
      <w:r>
        <w:rPr>
          <w:vertAlign w:val="subscript"/>
        </w:rPr>
        <w:t>2</w:t>
      </w:r>
      <w:r>
        <w:t>/Fe─N</w:t>
      </w:r>
      <w:r>
        <w:rPr>
          <w:vertAlign w:val="subscript"/>
        </w:rPr>
        <w:t>4</w:t>
      </w:r>
      <w:r>
        <w:t>coordination structures. Specifically, the Fe─N</w:t>
      </w:r>
      <w:r>
        <w:rPr>
          <w:vertAlign w:val="subscript"/>
        </w:rPr>
        <w:t>2</w:t>
      </w:r>
      <w:r>
        <w:t>coordination enhances adsorption of sulfur and lithium species, whereas the Fe─N</w:t>
      </w:r>
      <w:r>
        <w:rPr>
          <w:vertAlign w:val="subscript"/>
        </w:rPr>
        <w:t>4</w:t>
      </w:r>
      <w:r>
        <w:t>coordination promotes lithium atom diffusion more efficiently. Such a rational functionality division remarkably enhance the homogeneous optimization activity of the Fe‐ETL toward the kinetically favorable sulfur cathode reactions and improved lithium anode stability. Therefore, the battery demonstrates stable cycling at 5.0 C over 500 cycles with a low degradation of 0.03% per cycle. Even under a sulfur loading of 7.1 mg cm</w:t>
      </w:r>
      <w:r>
        <w:t xml:space="preserve"> </w:t>
      </w:r>
      <w:r>
        <w:t>−2</w:t>
      </w:r>
      <w:r>
        <w:t xml:space="preserve"> </w:t>
      </w:r>
      <w:r>
        <w:t>, the battery delivers a remarkable initial areal capacity of 6.4 mA h cm</w:t>
      </w:r>
      <w:r>
        <w:t xml:space="preserve"> </w:t>
      </w:r>
      <w:r>
        <w:t>−2</w:t>
      </w:r>
      <w:r>
        <w:t xml:space="preserve"> </w:t>
      </w:r>
      <w:r>
        <w:t>and maintains a favorable cycling stability.</w:t>
      </w:r>
    </w:p>
    <w:p>
      <w:pPr>
        <w:spacing w:before="120" w:after="120"/>
      </w:pPr>
      <w:r>
        <w:rPr>
          <w:sz w:val="18"/>
        </w:rPr>
        <w:t>——————————————————————————————————————————————————————————————————————</w:t>
      </w:r>
    </w:p>
    <w:p>
      <w:pPr>
        <w:spacing w:before="160" w:after="40" w:line="240" w:lineRule="auto"/>
      </w:pPr>
      <w:r>
        <w:rPr>
          <w:b/>
        </w:rPr>
        <w:t xml:space="preserve">[91] </w:t>
      </w:r>
      <w:hyperlink r:id="rId141">
        <w:r>
          <w:rPr>
            <w:color w:val="1155CC"/>
            <w:u w:val="single"/>
          </w:rPr>
          <w:t>RNA 多种疗法和疫苗的有效提供</w:t>
        </w:r>
      </w:hyperlink>
    </w:p>
    <w:p>
      <w:pPr>
        <w:spacing w:before="0" w:after="80"/>
      </w:pPr>
      <w:r>
        <w:rPr>
          <w:i/>
          <w:sz w:val="20"/>
        </w:rPr>
        <w:t>EN: Modular Supramolecular Polycations Enable Efficient Delivery of Diverse RNA Therapeutics and Vaccines</w:t>
      </w:r>
    </w:p>
    <w:p>
      <w:pPr>
        <w:spacing w:before="0" w:after="120"/>
      </w:pPr>
      <w:r>
        <w:rPr>
          <w:b/>
        </w:rPr>
        <w:t xml:space="preserve">Source: </w:t>
      </w:r>
      <w:r>
        <w:t>Wiley: Advanced Materials: Table of Contents</w:t>
      </w:r>
      <w:r>
        <w:t xml:space="preserve">    </w:t>
      </w:r>
      <w:r>
        <w:rPr>
          <w:b/>
        </w:rPr>
        <w:t xml:space="preserve">Pub date: </w:t>
      </w:r>
      <w:r>
        <w:t>2026-02-15 08:44:06+00:00</w:t>
      </w:r>
      <w:r>
        <w:t xml:space="preserve">    </w:t>
      </w:r>
      <w:r>
        <w:rPr>
          <w:b/>
        </w:rPr>
        <w:t xml:space="preserve">DOI: </w:t>
      </w:r>
      <w:hyperlink r:id="rId142">
        <w:r>
          <w:rPr>
            <w:color w:val="1155CC"/>
            <w:u w:val="single"/>
          </w:rPr>
          <w:t>10.1002/adma.202513315</w:t>
        </w:r>
      </w:hyperlink>
    </w:p>
    <w:p>
      <w:pPr>
        <w:spacing w:before="0" w:after="120"/>
      </w:pPr>
      <w:r>
        <w:rPr>
          <w:b/>
        </w:rPr>
        <w:t xml:space="preserve">Notes: </w:t>
      </w:r>
      <w:r>
        <w:t>abstract_source=crossref</w:t>
      </w:r>
    </w:p>
    <w:p>
      <w:pPr>
        <w:spacing w:before="0" w:after="80" w:lineRule="auto" w:line="276"/>
      </w:pPr>
      <w:r>
        <w:rPr>
          <w:b/>
        </w:rPr>
        <w:t xml:space="preserve">摘要（ZH）: </w:t>
      </w:r>
      <w:r>
        <w:t>我们描述一个模块化、多样化和可定制的超分子材料平台,该平台可以在体外和体外提供核酸。所部署的化学设备能够生成多个超分子多元体,这些超分子多元体可以与RNA相联系,形成多元电解复合体,但具有可逆交叉链接这一独特特征,即通过显示芳烃氨基酸用量的单体与curbit[8]8/uril(CB[8])的宿主—令人质疑的相互作用,通过显示芳烃氨基酸用量尼的单体[8]来显示超分子聚合物[8]。 超分子聚合物的家族可以通过单体结构的简单变异来进行准备,从而能够调节特性。我们证明这些与RNA的超分子多元体复合体可以通过自动化程序很容易地进行准备,以产生符合临界质量的纳米粒子。</w:t>
      </w:r>
    </w:p>
    <w:p>
      <w:pPr>
        <w:spacing w:before="0" w:after="200" w:lineRule="auto" w:line="276"/>
      </w:pPr>
      <w:r>
        <w:rPr>
          <w:b/>
        </w:rPr>
        <w:t xml:space="preserve">Abstract (EN): </w:t>
      </w:r>
      <w:r>
        <w:t>We describe a modular, diverse, and customizable supramolecular‐materials platform that can deliver nucleic acids in vitro and in vivo. The chemistries deployed enable the generation of multiple supramolecular polycations, which can associate with RNA to form polyelectrolyte complexes, but which have the unique feature of reversible cross‐links, via host–guest interactions of monomers that display aromatic amino acid termini with cucurbit[8]uril (CB[8]). Families of supramolecular polymers can be prepared by simple variation in monomer structure, enabling the tuning of properties. We demonstrate that these supramolecular polyelectrolyte complexes with RNA can be prepared easily via automatable procedures to generate nanoparticles that meet Critical Quality Attributes for manufactured RNA vaccines and therapeutics. We show that these materials can deliver RNA to a range of cell types, displaying reporter‐protein expression at levels equivalent to, or greater than, commercial transfection reagents, with no acute adverse phenotypic effects. Finally, we demonstrate the success of our materials platform across a range of nucleic acid types, with expression of mRNA within tumors of an orthotopic Triple‐Negative Breast Cancer mouse model, knockdown of a kinase implicated in cancer progression via siRNA, and effective protection against H1N1 influenza virus challenge in mice following injections of self‐amplifying RNA.</w:t>
      </w:r>
    </w:p>
    <w:p>
      <w:pPr>
        <w:spacing w:before="120" w:after="120"/>
      </w:pPr>
      <w:r>
        <w:rPr>
          <w:sz w:val="18"/>
        </w:rPr>
        <w:t>——————————————————————————————————————————————————————————————————————</w:t>
      </w:r>
    </w:p>
    <w:p>
      <w:pPr>
        <w:spacing w:before="160" w:after="40" w:line="240" w:lineRule="auto"/>
      </w:pPr>
      <w:r>
        <w:rPr>
          <w:b/>
        </w:rPr>
        <w:t xml:space="preserve">[92] </w:t>
      </w:r>
      <w:hyperlink r:id="rId143">
        <w:r>
          <w:rPr>
            <w:color w:val="1155CC"/>
            <w:u w:val="single"/>
          </w:rPr>
          <w:t>用于高效酸水氧化氧化作用的Iridium Oxygen Oxygen Oxygen 激进堆合</w:t>
        </w:r>
      </w:hyperlink>
    </w:p>
    <w:p>
      <w:pPr>
        <w:spacing w:before="0" w:after="80"/>
      </w:pPr>
      <w:r>
        <w:rPr>
          <w:i/>
          <w:sz w:val="20"/>
        </w:rPr>
        <w:t>EN: Lithium‐mediated Reconfiguration Activates Oxygen Radical Coupling in Iridium Oxide for Efficient Acidic Water Oxidation</w:t>
      </w:r>
    </w:p>
    <w:p>
      <w:pPr>
        <w:spacing w:before="0" w:after="120"/>
      </w:pPr>
      <w:r>
        <w:rPr>
          <w:b/>
        </w:rPr>
        <w:t xml:space="preserve">Source: </w:t>
      </w:r>
      <w:r>
        <w:t>Wiley: Advanced Energy Materials: Table of Contents</w:t>
      </w:r>
      <w:r>
        <w:t xml:space="preserve">    </w:t>
      </w:r>
      <w:r>
        <w:rPr>
          <w:b/>
        </w:rPr>
        <w:t xml:space="preserve">Pub date: </w:t>
      </w:r>
      <w:r>
        <w:t>2026-02-15 08:44:57+00:00</w:t>
      </w:r>
      <w:r>
        <w:t xml:space="preserve">    </w:t>
      </w:r>
      <w:r>
        <w:rPr>
          <w:b/>
        </w:rPr>
        <w:t xml:space="preserve">DOI: </w:t>
      </w:r>
      <w:hyperlink r:id="rId144">
        <w:r>
          <w:rPr>
            <w:color w:val="1155CC"/>
            <w:u w:val="single"/>
          </w:rPr>
          <w:t>10.1002/aenm.202506195</w:t>
        </w:r>
      </w:hyperlink>
    </w:p>
    <w:p>
      <w:pPr>
        <w:spacing w:before="0" w:after="120"/>
      </w:pPr>
      <w:r>
        <w:rPr>
          <w:b/>
        </w:rPr>
        <w:t xml:space="preserve">Notes: </w:t>
      </w:r>
      <w:r>
        <w:t>abstract_source=crossref</w:t>
      </w:r>
    </w:p>
    <w:p>
      <w:pPr>
        <w:spacing w:before="0" w:after="80" w:lineRule="auto" w:line="276"/>
      </w:pPr>
      <w:r>
        <w:rPr>
          <w:b/>
        </w:rPr>
        <w:t xml:space="preserve">摘要（ZH）: </w:t>
      </w:r>
      <w:r>
        <w:t>ABSTACT 在酸性介质中激活稳健的氧进化反应(OER)路径仍然是通过质子交换膜水电解(PEMWE)而使可缩放氢生产面临的主要挑战。 在这里,我们报告了一个光/脱离(L/D)工程战略,使IrO 2 的机械式转换从常规吸吸附进机制(AEM)向激进氧合流路径转变。 这一转变是由两个合作效应驱动的:缩短了Ir-Ir距离,从几何学上有利于O-O交织;以及增加了对吸氧物种的氧洞形成,促进了反应性O的生成。</w:t>
      </w:r>
    </w:p>
    <w:p>
      <w:pPr>
        <w:spacing w:before="0" w:after="200" w:lineRule="auto" w:line="276"/>
      </w:pPr>
      <w:r>
        <w:rPr>
          <w:b/>
        </w:rPr>
        <w:t xml:space="preserve">Abstract (EN): </w:t>
      </w:r>
      <w:r>
        <w:t>Activating robust oxygen evolution reaction (OER) pathways in acidic media remains a major challenge for scalable hydrogen production via proton‐exchange membrane water electrolysis (PEMWE). Here, we report a lithiation/delithiation (L/D) engineering strategy that enables a mechanistic switch in IrO</w:t>
      </w:r>
      <w:r>
        <w:rPr>
          <w:vertAlign w:val="subscript"/>
        </w:rPr>
        <w:t>2</w:t>
      </w:r>
      <w:r>
        <w:t>from the conventional adsorbate evolution mechanism (AEM) to a radical oxygen coupling pathway. This transition is driven by two cooperative effects: shortened Ir–Ir distances that geometrically favor O–O coupling; and enhanced oxygen hole formation on adsorbed oxygen species (</w:t>
      </w:r>
      <w:r>
        <w:t xml:space="preserve"> </w:t>
      </w:r>
      <w:r>
        <w:t>*</w:t>
      </w:r>
      <w:r>
        <w:t xml:space="preserve"> </w:t>
      </w:r>
      <w:r>
        <w:t>O</w:t>
      </w:r>
      <w:r>
        <w:t xml:space="preserve"> </w:t>
      </w:r>
      <w:r>
        <w:t>ads</w:t>
      </w:r>
      <w:r>
        <w:t xml:space="preserve"> </w:t>
      </w:r>
      <w:r>
        <w:t>), promoting the generation of reactive O</w:t>
      </w:r>
      <w:r>
        <w:t xml:space="preserve"> </w:t>
      </w:r>
      <w:r>
        <w:t>ads</w:t>
      </w:r>
      <w:r>
        <w:t xml:space="preserve"> </w:t>
      </w:r>
      <w:r>
        <w:t>2−x</w:t>
      </w:r>
      <w:r>
        <w:t xml:space="preserve"> </w:t>
      </w:r>
      <w:r>
        <w:t>like intermediates.</w:t>
      </w:r>
      <w:r>
        <w:t xml:space="preserve"> </w:t>
      </w:r>
      <w:r>
        <w:t>Operando</w:t>
      </w:r>
      <w:r>
        <w:t xml:space="preserve"> </w:t>
      </w:r>
      <w:r>
        <w:t>spectroscopy and density functional theory (DFT) calculations corroborate that these geometric and electronic modulations synergistically activate direct (</w:t>
      </w:r>
      <w:r>
        <w:t xml:space="preserve"> </w:t>
      </w:r>
      <w:r>
        <w:t>*</w:t>
      </w:r>
      <w:r>
        <w:t xml:space="preserve"> </w:t>
      </w:r>
      <w:r>
        <w:t>O</w:t>
      </w:r>
      <w:r>
        <w:t xml:space="preserve"> </w:t>
      </w:r>
      <w:r>
        <w:t>ads</w:t>
      </w:r>
      <w:r>
        <w:t xml:space="preserve"> </w:t>
      </w:r>
      <w:r>
        <w:t>–</w:t>
      </w:r>
      <w:r>
        <w:t xml:space="preserve"> </w:t>
      </w:r>
      <w:r>
        <w:t>*</w:t>
      </w:r>
      <w:r>
        <w:t xml:space="preserve"> </w:t>
      </w:r>
      <w:r>
        <w:t>O</w:t>
      </w:r>
      <w:r>
        <w:t xml:space="preserve"> </w:t>
      </w:r>
      <w:r>
        <w:t>ads</w:t>
      </w:r>
      <w:r>
        <w:t xml:space="preserve"> </w:t>
      </w:r>
      <w:r>
        <w:t>) coupling. The L/D‐IrO</w:t>
      </w:r>
      <w:r>
        <w:rPr>
          <w:vertAlign w:val="subscript"/>
        </w:rPr>
        <w:t>2</w:t>
      </w:r>
      <w:r>
        <w:t>catalyst achieves an ultralow OER overpotential of 204 mV at 10 mA cm</w:t>
      </w:r>
      <w:r>
        <w:t xml:space="preserve"> </w:t>
      </w:r>
      <w:r>
        <w:t>−2</w:t>
      </w:r>
      <w:r>
        <w:t xml:space="preserve"> </w:t>
      </w:r>
      <w:r>
        <w:t>and delivers outstanding durability over 1200 h in 0.5</w:t>
      </w:r>
      <w:r>
        <w:t xml:space="preserve"> </w:t>
      </w:r>
      <w:r>
        <w:t>m</w:t>
      </w:r>
      <w:r>
        <w:t xml:space="preserve"> </w:t>
      </w:r>
      <w:r>
        <w:t>H</w:t>
      </w:r>
      <w:r>
        <w:rPr>
          <w:vertAlign w:val="subscript"/>
        </w:rPr>
        <w:t>2</w:t>
      </w:r>
      <w:r>
        <w:t>SO</w:t>
      </w:r>
      <w:r>
        <w:rPr>
          <w:vertAlign w:val="subscript"/>
        </w:rPr>
        <w:t>4</w:t>
      </w:r>
      <w:r>
        <w:t>. Integrated into a PEMWE device, it enables a current density of 3 A cm</w:t>
      </w:r>
      <w:r>
        <w:t xml:space="preserve"> </w:t>
      </w:r>
      <w:r>
        <w:t>−2</w:t>
      </w:r>
      <w:r>
        <w:t xml:space="preserve"> </w:t>
      </w:r>
      <w:r>
        <w:t>at only 1.799 V, and stable operation at 500 mA cm</w:t>
      </w:r>
      <w:r>
        <w:t xml:space="preserve"> </w:t>
      </w:r>
      <w:r>
        <w:t>−2</w:t>
      </w:r>
      <w:r>
        <w:t xml:space="preserve"> </w:t>
      </w:r>
      <w:r>
        <w:t>for 1200 h, with extended high‐current durability from 1 to 3 A cm</w:t>
      </w:r>
      <w:r>
        <w:t xml:space="preserve"> </w:t>
      </w:r>
      <w:r>
        <w:t>−2</w:t>
      </w:r>
      <w:r>
        <w:t xml:space="preserve"> </w:t>
      </w:r>
      <w:r>
        <w:t>. These findings establish a clear structure‐activity correlation for oxygen coupling activation and provide a generalizable strategy for designing efficient and durable acidic OER electrocatalysts.</w:t>
      </w:r>
    </w:p>
    <w:p>
      <w:pPr>
        <w:spacing w:before="120" w:after="120"/>
      </w:pPr>
      <w:r>
        <w:rPr>
          <w:sz w:val="18"/>
        </w:rPr>
        <w:t>——————————————————————————————————————————————————————————————————————</w:t>
      </w:r>
    </w:p>
    <w:p>
      <w:pPr>
        <w:spacing w:before="160" w:after="40" w:line="240" w:lineRule="auto"/>
      </w:pPr>
      <w:r>
        <w:rPr>
          <w:b/>
        </w:rPr>
        <w:t xml:space="preserve">[93] </w:t>
      </w:r>
      <w:hyperlink r:id="rId145">
        <w:r>
          <w:rPr>
            <w:color w:val="1155CC"/>
            <w:u w:val="single"/>
          </w:rPr>
          <w:t>Na2FeSiO4 实现零排放行动和超稳定钠储存</w:t>
        </w:r>
      </w:hyperlink>
    </w:p>
    <w:p>
      <w:pPr>
        <w:spacing w:before="0" w:after="80"/>
      </w:pPr>
      <w:r>
        <w:rPr>
          <w:i/>
          <w:sz w:val="20"/>
        </w:rPr>
        <w:t>EN: Facet‐Engineered Na2FeSiO4 Cathodes Realizing Zero‐Strain Operation and Ultra‐Stable Sodium Storage</w:t>
      </w:r>
    </w:p>
    <w:p>
      <w:pPr>
        <w:spacing w:before="0" w:after="120"/>
      </w:pPr>
      <w:r>
        <w:rPr>
          <w:b/>
        </w:rPr>
        <w:t xml:space="preserve">Source: </w:t>
      </w:r>
      <w:r>
        <w:t>Wiley: Advanced Energy Materials: Table of Contents</w:t>
      </w:r>
      <w:r>
        <w:t xml:space="preserve">    </w:t>
      </w:r>
      <w:r>
        <w:rPr>
          <w:b/>
        </w:rPr>
        <w:t xml:space="preserve">Pub date: </w:t>
      </w:r>
      <w:r>
        <w:t>2026-02-15 08:46:57+00:00</w:t>
      </w:r>
      <w:r>
        <w:t xml:space="preserve">    </w:t>
      </w:r>
      <w:r>
        <w:rPr>
          <w:b/>
        </w:rPr>
        <w:t xml:space="preserve">DOI: </w:t>
      </w:r>
      <w:hyperlink r:id="rId146">
        <w:r>
          <w:rPr>
            <w:color w:val="1155CC"/>
            <w:u w:val="single"/>
          </w:rPr>
          <w:t>10.1002/aenm.202506481</w:t>
        </w:r>
      </w:hyperlink>
    </w:p>
    <w:p>
      <w:pPr>
        <w:spacing w:before="0" w:after="120"/>
      </w:pPr>
      <w:r>
        <w:rPr>
          <w:b/>
        </w:rPr>
        <w:t xml:space="preserve">Notes: </w:t>
      </w:r>
      <w:r>
        <w:t>abstract_source=crossref</w:t>
      </w:r>
    </w:p>
    <w:p>
      <w:pPr>
        <w:spacing w:before="0" w:after="80" w:lineRule="auto" w:line="276"/>
      </w:pPr>
      <w:r>
        <w:rPr>
          <w:b/>
        </w:rPr>
        <w:t xml:space="preserve">摘要（ZH）: </w:t>
      </w:r>
      <w:r>
        <w:t>ABSTACT 设计能同时提供结构稳定性和快速纳+运输的多氮共聚体设计,这仍然是钠电池面临的主要挑战。这里,我们提出一个面向的拉蒂工程战略,在 Na 2 FeSiO 4 (NFS) 中能够进行受控晶体定向、缺陷化学和离子迁移动能学。溶剂协调加上热动力引导的烧合,产生1立方P 2 1 3级立方(P 210/(211)的优先接触。结构分析和密度功能理论确定</w:t>
      </w:r>
    </w:p>
    <w:p>
      <w:pPr>
        <w:spacing w:before="0" w:after="200" w:lineRule="auto" w:line="276"/>
      </w:pPr>
      <w:r>
        <w:rPr>
          <w:b/>
        </w:rPr>
        <w:t xml:space="preserve">Abstract (EN): </w:t>
      </w:r>
      <w:r>
        <w:t>Designing polyanionic cathodes that simultaneously deliver structural stability and fast Na</w:t>
      </w:r>
      <w:r>
        <w:t xml:space="preserve"> </w:t>
      </w:r>
      <w:r>
        <w:t>+</w:t>
      </w:r>
      <w:r>
        <w:t xml:space="preserve"> </w:t>
      </w:r>
      <w:r>
        <w:t>transport remains a key challenge for sodium‐ion batteries. Here, we present a facet‐directed lattice engineering strategy that enables controlled crystallographic orientation, defect chemistry, and ion‐transport kinetics in Na</w:t>
      </w:r>
      <w:r>
        <w:rPr>
          <w:vertAlign w:val="subscript"/>
        </w:rPr>
        <w:t>2</w:t>
      </w:r>
      <w:r>
        <w:t>FeSiO</w:t>
      </w:r>
      <w:r>
        <w:rPr>
          <w:vertAlign w:val="subscript"/>
        </w:rPr>
        <w:t>4</w:t>
      </w:r>
      <w:r>
        <w:t>(NFS). Solvent coordination coupled with thermodynamically guided calcination yields a cubic</w:t>
      </w:r>
      <w:r>
        <w:t xml:space="preserve"> </w:t>
      </w:r>
      <w:r>
        <w:t>P</w:t>
      </w:r>
      <w:r>
        <w:rPr>
          <w:vertAlign w:val="subscript"/>
        </w:rPr>
        <w:t>2</w:t>
      </w:r>
      <w:r>
        <w:rPr>
          <w:vertAlign w:val="subscript"/>
        </w:rPr>
        <w:t>1</w:t>
      </w:r>
      <w:r>
        <w:t>3 phase with preferential exposure of the (210)/(211) facets. Structural analyses and density functional theory identify these planes as dominant Na</w:t>
      </w:r>
      <w:r>
        <w:t xml:space="preserve"> </w:t>
      </w:r>
      <w:r>
        <w:t>+</w:t>
      </w:r>
      <w:r>
        <w:t xml:space="preserve"> </w:t>
      </w:r>
      <w:r>
        <w:t>migration highways with ultralow barriers (0.21–0.25 eV) and reversible elastic lattice breathing, supporting near‐zero‐strain operation during cycling. The optimized cathode delivers a high reversible capacity of 173.6 mAh g</w:t>
      </w:r>
      <w:r>
        <w:t xml:space="preserve"> </w:t>
      </w:r>
      <w:r>
        <w:t>−</w:t>
      </w:r>
      <w:r>
        <w:rPr>
          <w:vertAlign w:val="subscript"/>
        </w:rPr>
        <w:t>1</w:t>
      </w:r>
      <w:r>
        <w:t>at 0.2 C with 92.3% retention, minimal voltage hysteresis, and excellent rate capability. Beyond facet effects, the engineered lattice environment stabilizes the Fe</w:t>
      </w:r>
      <w:r>
        <w:rPr>
          <w:vertAlign w:val="subscript"/>
        </w:rPr>
        <w:t>2</w:t>
      </w:r>
      <w:r>
        <w:t>+</w:t>
      </w:r>
      <w:r>
        <w:t xml:space="preserve"> </w:t>
      </w:r>
      <w:r>
        <w:t>/Fe</w:t>
      </w:r>
      <w:r>
        <w:rPr>
          <w:vertAlign w:val="subscript"/>
        </w:rPr>
        <w:t>3</w:t>
      </w:r>
      <w:r>
        <w:t>+</w:t>
      </w:r>
      <w:r>
        <w:t xml:space="preserve"> </w:t>
      </w:r>
      <w:r>
        <w:t>redox balance and an optimized oxygen‐vacancy landscape, while the nanosheet architecture shortens diffusion lengths and buffers interfacial strain; concurrently, in situ–derived carbon forms a percolating conductive network that promotes electron transport and stabilizes the cathode–electrolyte interface (CEI). In pouch‐cell configuration, the material retains &amp;gt;80% capacity with the lowest charge‐transfer resistance among all variants, underscoring scalability and durability. This facet‐governed design concept links atomic‐scale crystal engineering with practical electrodes, offering a general route to high‐rate, long‐life sodium‐ion batteries.</w:t>
      </w:r>
    </w:p>
    <w:p>
      <w:pPr>
        <w:spacing w:before="120" w:after="120"/>
      </w:pPr>
      <w:r>
        <w:rPr>
          <w:sz w:val="18"/>
        </w:rPr>
        <w:t>——————————————————————————————————————————————————————————————————————</w:t>
      </w:r>
    </w:p>
    <w:p>
      <w:pPr>
        <w:spacing w:before="160" w:after="40" w:line="240" w:lineRule="auto"/>
      </w:pPr>
      <w:r>
        <w:rPr>
          <w:b/>
        </w:rPr>
        <w:t xml:space="preserve">[94] </w:t>
      </w:r>
      <w:hyperlink r:id="rId147">
        <w:r>
          <w:rPr>
            <w:color w:val="1155CC"/>
            <w:u w:val="single"/>
          </w:rPr>
          <w:t>锂金属电解沉积中 理金属金属电解沉积中 生理病理差异的化学力源</w:t>
        </w:r>
      </w:hyperlink>
    </w:p>
    <w:p>
      <w:pPr>
        <w:spacing w:before="0" w:after="80"/>
      </w:pPr>
      <w:r>
        <w:rPr>
          <w:i/>
          <w:sz w:val="20"/>
        </w:rPr>
        <w:t>EN: Chemomechanical Origin of Morphological Disparity in Lithium Metal Electrodeposition</w:t>
      </w:r>
    </w:p>
    <w:p>
      <w:pPr>
        <w:spacing w:before="0" w:after="120"/>
      </w:pPr>
      <w:r>
        <w:rPr>
          <w:b/>
        </w:rPr>
        <w:t xml:space="preserve">Source: </w:t>
      </w:r>
      <w:r>
        <w:t>Wiley: Advanced Materials: Table of Contents</w:t>
      </w:r>
      <w:r>
        <w:t xml:space="preserve">    </w:t>
      </w:r>
      <w:r>
        <w:rPr>
          <w:b/>
        </w:rPr>
        <w:t xml:space="preserve">Pub date: </w:t>
      </w:r>
      <w:r>
        <w:t>2026-02-15 08:47:02+00:00</w:t>
      </w:r>
      <w:r>
        <w:t xml:space="preserve">    </w:t>
      </w:r>
      <w:r>
        <w:rPr>
          <w:b/>
        </w:rPr>
        <w:t xml:space="preserve">DOI: </w:t>
      </w:r>
      <w:hyperlink r:id="rId148">
        <w:r>
          <w:rPr>
            <w:color w:val="1155CC"/>
            <w:u w:val="single"/>
          </w:rPr>
          <w:t>10.1002/adma.202522026</w:t>
        </w:r>
      </w:hyperlink>
    </w:p>
    <w:p>
      <w:pPr>
        <w:spacing w:before="0" w:after="120"/>
      </w:pPr>
      <w:r>
        <w:rPr>
          <w:b/>
        </w:rPr>
        <w:t xml:space="preserve">Notes: </w:t>
      </w:r>
      <w:r>
        <w:t>abstract_source=crossref</w:t>
      </w:r>
    </w:p>
    <w:p>
      <w:pPr>
        <w:spacing w:before="0" w:after="80" w:lineRule="auto" w:line="276"/>
      </w:pPr>
      <w:r>
        <w:rPr>
          <w:b/>
        </w:rPr>
        <w:t xml:space="preserve">摘要（ZH）: </w:t>
      </w:r>
      <w:r>
        <w:t>ABSTACT 电化学沉积锂(Li)的形态对李金属电池的循环稳定性和安全性起着关键作用,但基本控制因素仍然不甚清楚。 即使在同一个硬币电池内,李矿床也能够表现出惊人的不同形态,例如与类似粒子矿床共存的稀疏的胡须,表明生长条件在本地存在巨大的差异。 通过将低温传导电子显微镜与相位模型结合起来,我们在这里确定了这种差异的根源。 我们发现,形态差异源于铜(Cu)基质上形成的最初SEI层的结构和化学构成的变化。</w:t>
      </w:r>
    </w:p>
    <w:p>
      <w:pPr>
        <w:spacing w:before="0" w:after="200" w:lineRule="auto" w:line="276"/>
      </w:pPr>
      <w:r>
        <w:rPr>
          <w:b/>
        </w:rPr>
        <w:t xml:space="preserve">Abstract (EN): </w:t>
      </w:r>
      <w:r>
        <w:t>The morphology of electrochemically deposited lithium (Li) critically governs the cycling stability and safety of Li metal batteries, yet the underlying controlling factors remain poorly understood. Even within the same coin cell, Li deposits can exhibit strikingly different morphologies, for example, sparse whiskers coexisting with particle‐like deposits, indicting strong local variations in growth conditions. By combining cryogenic transmission electron microscopy with phase‐field modeling, here we identify the root cause of this disparity. We reveal that the morphological divergence originates from the variations in structure and chemical composition of the initial SEI layer formed on the copper (Cu) substrate. Solvent‐derived organic SEI favors whisker growth, whereas salt‐derived SEI promotes particle formation. This study establishes a direct mechanistic link between SEI chemomechanical properties and Li morphology, providing design principles for tailoring SEI layers to control Li deposition.</w:t>
      </w:r>
    </w:p>
    <w:p>
      <w:pPr>
        <w:spacing w:before="120" w:after="120"/>
      </w:pPr>
      <w:r>
        <w:rPr>
          <w:sz w:val="18"/>
        </w:rPr>
        <w:t>——————————————————————————————————————————————————————————————————————</w:t>
      </w:r>
    </w:p>
    <w:p>
      <w:pPr>
        <w:spacing w:before="160" w:after="40" w:line="240" w:lineRule="auto"/>
      </w:pPr>
      <w:r>
        <w:rPr>
          <w:b/>
        </w:rPr>
        <w:t xml:space="preserve">[95] </w:t>
      </w:r>
      <w:hyperlink r:id="rId149">
        <w:r>
          <w:rPr>
            <w:color w:val="1155CC"/>
            <w:u w:val="single"/>
          </w:rPr>
          <w:t>NASICON 使V4+/V5+再毒性和无先例的硅电池循环可耐受性</w:t>
        </w:r>
      </w:hyperlink>
    </w:p>
    <w:p>
      <w:pPr>
        <w:spacing w:before="0" w:after="80"/>
      </w:pPr>
      <w:r>
        <w:rPr>
          <w:i/>
          <w:sz w:val="20"/>
        </w:rPr>
        <w:t>EN: Entropy‐Stabilized NASICON Cathodes Enabling Efficient V4+/V5+ Redox and Unprecedented Cycling Durability for Sodium‐Ion Batteries</w:t>
      </w:r>
    </w:p>
    <w:p>
      <w:pPr>
        <w:spacing w:before="0" w:after="120"/>
      </w:pPr>
      <w:r>
        <w:rPr>
          <w:b/>
        </w:rPr>
        <w:t xml:space="preserve">Source: </w:t>
      </w:r>
      <w:r>
        <w:t>Wiley: Advanced Energy Materials: Table of Contents</w:t>
      </w:r>
      <w:r>
        <w:t xml:space="preserve">    </w:t>
      </w:r>
      <w:r>
        <w:rPr>
          <w:b/>
        </w:rPr>
        <w:t xml:space="preserve">Pub date: </w:t>
      </w:r>
      <w:r>
        <w:t>2026-02-15 08:47:26+00:00</w:t>
      </w:r>
      <w:r>
        <w:t xml:space="preserve">    </w:t>
      </w:r>
      <w:r>
        <w:rPr>
          <w:b/>
        </w:rPr>
        <w:t xml:space="preserve">DOI: </w:t>
      </w:r>
      <w:hyperlink r:id="rId150">
        <w:r>
          <w:rPr>
            <w:color w:val="1155CC"/>
            <w:u w:val="single"/>
          </w:rPr>
          <w:t>10.1002/aenm.202506800</w:t>
        </w:r>
      </w:hyperlink>
    </w:p>
    <w:p>
      <w:pPr>
        <w:spacing w:before="0" w:after="120"/>
      </w:pPr>
      <w:r>
        <w:rPr>
          <w:b/>
        </w:rPr>
        <w:t xml:space="preserve">Notes: </w:t>
      </w:r>
      <w:r>
        <w:t>abstract_source=crossref</w:t>
      </w:r>
    </w:p>
    <w:p>
      <w:pPr>
        <w:spacing w:before="0" w:after="80" w:lineRule="auto" w:line="276"/>
      </w:pPr>
      <w:r>
        <w:rPr>
          <w:b/>
        </w:rPr>
        <w:t xml:space="preserve">摘要（ZH）: </w:t>
      </w:r>
      <w:r>
        <w:t>ABSTACT 构造结合高操作电压和长期稳定性结合的阴极材料,对于钠-离子电池(SIBs)至关重要。 虽然Na 3 V 2 (PO 4 ) 3 ( NVP) 3 ( NVP) 3 ( NVP) 被认为是有希望的候选物,但其实际应用却因高电压中低内在电子导电率和结构扭曲而受到限制。 在这里,我们通过共同引入 Cr 3+、 Al 3+、 Al 3+、 Mg 2+、 Mn 2+ 和 Cu 来调节配置导管。</w:t>
      </w:r>
    </w:p>
    <w:p>
      <w:pPr>
        <w:spacing w:before="0" w:after="200" w:lineRule="auto" w:line="276"/>
      </w:pPr>
      <w:r>
        <w:rPr>
          <w:b/>
        </w:rPr>
        <w:t xml:space="preserve">Abstract (EN): </w:t>
      </w:r>
      <w:r>
        <w:t>Constructing cathode materials combining high operating voltage with long‐term stability is critical for sodium–ion batteries (SIBs). Although Na</w:t>
      </w:r>
      <w:r>
        <w:rPr>
          <w:vertAlign w:val="subscript"/>
        </w:rPr>
        <w:t>3</w:t>
      </w:r>
      <w:r>
        <w:t>V</w:t>
      </w:r>
      <w:r>
        <w:rPr>
          <w:vertAlign w:val="subscript"/>
        </w:rPr>
        <w:t>2</w:t>
      </w:r>
      <w:r>
        <w:t>(PO</w:t>
      </w:r>
      <w:r>
        <w:rPr>
          <w:vertAlign w:val="subscript"/>
        </w:rPr>
        <w:t>4</w:t>
      </w:r>
      <w:r>
        <w:t>)</w:t>
      </w:r>
      <w:r>
        <w:rPr>
          <w:vertAlign w:val="subscript"/>
        </w:rPr>
        <w:t>3</w:t>
      </w:r>
      <w:r>
        <w:t>(NVP) is regarded as a promising candidate, its practical application is limited by low intrinsic electronic conductivity and structural distortion at high voltages. Herein, we regulate the configurational entropy by co–introducing Cr</w:t>
      </w:r>
      <w:r>
        <w:t xml:space="preserve"> </w:t>
      </w:r>
      <w:r>
        <w:t>3+</w:t>
      </w:r>
      <w:r>
        <w:t xml:space="preserve"> </w:t>
      </w:r>
      <w:r>
        <w:t>, Al</w:t>
      </w:r>
      <w:r>
        <w:t xml:space="preserve"> </w:t>
      </w:r>
      <w:r>
        <w:t>3+</w:t>
      </w:r>
      <w:r>
        <w:t xml:space="preserve"> </w:t>
      </w:r>
      <w:r>
        <w:t>, Mg</w:t>
      </w:r>
      <w:r>
        <w:t xml:space="preserve"> </w:t>
      </w:r>
      <w:r>
        <w:t>2+</w:t>
      </w:r>
      <w:r>
        <w:t xml:space="preserve"> </w:t>
      </w:r>
      <w:r>
        <w:t>, Mn</w:t>
      </w:r>
      <w:r>
        <w:t xml:space="preserve"> </w:t>
      </w:r>
      <w:r>
        <w:t>2+</w:t>
      </w:r>
      <w:r>
        <w:t xml:space="preserve"> </w:t>
      </w:r>
      <w:r>
        <w:t>and Cu</w:t>
      </w:r>
      <w:r>
        <w:t xml:space="preserve"> </w:t>
      </w:r>
      <w:r>
        <w:t>2+</w:t>
      </w:r>
      <w:r>
        <w:t xml:space="preserve"> </w:t>
      </w:r>
      <w:r>
        <w:t>into NVP to develop a novel Na</w:t>
      </w:r>
      <w:r>
        <w:t xml:space="preserve"> </w:t>
      </w:r>
      <w:r>
        <w:t>3.18</w:t>
      </w:r>
      <w:r>
        <w:t xml:space="preserve"> </w:t>
      </w:r>
      <w:r>
        <w:t>V</w:t>
      </w:r>
      <w:r>
        <w:t xml:space="preserve"> </w:t>
      </w:r>
      <w:r>
        <w:t>1.7</w:t>
      </w:r>
      <w:r>
        <w:t xml:space="preserve"> </w:t>
      </w:r>
      <w:r>
        <w:t>(CrAlMgMnCu)</w:t>
      </w:r>
      <w:r>
        <w:t xml:space="preserve"> </w:t>
      </w:r>
      <w:r>
        <w:t>0.3</w:t>
      </w:r>
      <w:r>
        <w:t xml:space="preserve"> </w:t>
      </w:r>
      <w:r>
        <w:t>(PO</w:t>
      </w:r>
      <w:r>
        <w:rPr>
          <w:vertAlign w:val="subscript"/>
        </w:rPr>
        <w:t>4</w:t>
      </w:r>
      <w:r>
        <w:t>)</w:t>
      </w:r>
      <w:r>
        <w:rPr>
          <w:vertAlign w:val="subscript"/>
        </w:rPr>
        <w:t>3</w:t>
      </w:r>
      <w:r>
        <w:t>(NVMP) cathode. Through the successful activation of the reversible V</w:t>
      </w:r>
      <w:r>
        <w:t xml:space="preserve"> </w:t>
      </w:r>
      <w:r>
        <w:t>4+</w:t>
      </w:r>
      <w:r>
        <w:t xml:space="preserve"> </w:t>
      </w:r>
      <w:r>
        <w:t>/V</w:t>
      </w:r>
      <w:r>
        <w:t xml:space="preserve"> </w:t>
      </w:r>
      <w:r>
        <w:t>5+</w:t>
      </w:r>
      <w:r>
        <w:t xml:space="preserve"> </w:t>
      </w:r>
      <w:r>
        <w:t>redox couple at ∼4.0 V, the configurational entropy regulation strategy in NVMP effectively enhances the intrinsic electronic conductivity and reaction kinetics. Concurrently, it optimizes the phase transition behavior during (de)intercalation, which collectively contributes to superior rate capability and long–term cycling stability. As a result, NVMP exhibits an average operating voltage of 3.64 V and a high energy density of approximately 425 Wh kg</w:t>
      </w:r>
      <w:r>
        <w:t xml:space="preserve"> </w:t>
      </w:r>
      <w:r>
        <w:t>−1</w:t>
      </w:r>
      <w:r>
        <w:t xml:space="preserve"> </w:t>
      </w:r>
      <w:r>
        <w:t>. Notably, it retains 95.9% of its initial capacity after 5000 cycles at a high rate of 20 C, demonstrating exceptional cycling stability. This work provides valuable insights for designing high–performance NASICON–type cathodes for SIBs.</w:t>
      </w:r>
    </w:p>
    <w:p>
      <w:pPr>
        <w:spacing w:before="120" w:after="120"/>
      </w:pPr>
      <w:r>
        <w:rPr>
          <w:sz w:val="18"/>
        </w:rPr>
        <w:t>——————————————————————————————————————————————————————————————————————</w:t>
      </w:r>
    </w:p>
    <w:p>
      <w:pPr>
        <w:spacing w:before="160" w:after="40" w:line="240" w:lineRule="auto"/>
      </w:pPr>
      <w:r>
        <w:rPr>
          <w:b/>
        </w:rPr>
        <w:t xml:space="preserve">[96] </w:t>
      </w:r>
      <w:hyperlink r:id="rId151">
        <w:r>
          <w:rPr>
            <w:color w:val="1155CC"/>
            <w:u w:val="single"/>
          </w:rPr>
          <w:t>高成效、有针对性的米托昆德里转移和AUTAC4-加强风湿性炎双重更新战略</w:t>
        </w:r>
      </w:hyperlink>
    </w:p>
    <w:p>
      <w:pPr>
        <w:spacing w:before="0" w:after="80"/>
      </w:pPr>
      <w:r>
        <w:rPr>
          <w:i/>
          <w:sz w:val="20"/>
        </w:rPr>
        <w:t>EN: High‐Efficiency Targeted Mitochondrial Transfer and AUTAC4‐Enhanced Dual Renewal Strategy for Rheumatoid Arthritis</w:t>
      </w:r>
    </w:p>
    <w:p>
      <w:pPr>
        <w:spacing w:before="0" w:after="120"/>
      </w:pPr>
      <w:r>
        <w:rPr>
          <w:b/>
        </w:rPr>
        <w:t xml:space="preserve">Source: </w:t>
      </w:r>
      <w:r>
        <w:t>Wiley: Advanced Materials: Table of Contents</w:t>
      </w:r>
      <w:r>
        <w:t xml:space="preserve">    </w:t>
      </w:r>
      <w:r>
        <w:rPr>
          <w:b/>
        </w:rPr>
        <w:t xml:space="preserve">Pub date: </w:t>
      </w:r>
      <w:r>
        <w:t>2026-02-15 08:48:50+00:00</w:t>
      </w:r>
      <w:r>
        <w:t xml:space="preserve">    </w:t>
      </w:r>
      <w:r>
        <w:rPr>
          <w:b/>
        </w:rPr>
        <w:t xml:space="preserve">DOI: </w:t>
      </w:r>
      <w:hyperlink r:id="rId152">
        <w:r>
          <w:rPr>
            <w:color w:val="1155CC"/>
            <w:u w:val="single"/>
          </w:rPr>
          <w:t>10.1002/adma.202514070</w:t>
        </w:r>
      </w:hyperlink>
    </w:p>
    <w:p>
      <w:pPr>
        <w:spacing w:before="0" w:after="120"/>
      </w:pPr>
      <w:r>
        <w:rPr>
          <w:b/>
        </w:rPr>
        <w:t xml:space="preserve">Notes: </w:t>
      </w:r>
      <w:r>
        <w:t>abstract_source=crossref</w:t>
      </w:r>
    </w:p>
    <w:p>
      <w:pPr>
        <w:spacing w:before="0" w:after="80" w:lineRule="auto" w:line="276"/>
      </w:pPr>
      <w:r>
        <w:rPr>
          <w:b/>
        </w:rPr>
        <w:t xml:space="preserve">摘要（ZH）: </w:t>
      </w:r>
      <w:r>
        <w:t>ABSTACT 风湿性关节炎(RA)是一种慢性自体免疫疾病,常规生物材料的治疗效果有限,常规生物材料的治疗效果有限,往往缺乏有针对性的准确性、交付效率和生物兼容性。在这里,我们提供了一种生物模拟工程载运材料,将米托乔因德里亚作为“活材料”作为“活性材料”,以恢复亚美尼亚的细胞内软静状态。 双作用载体包括一种以RA联合体中活性M1大型phages为目标的叶酸改良巨型膜,它使得在现场进行线粒体转移,其交付效率增加两倍以上,这是目前方法的关键限制。</w:t>
      </w:r>
    </w:p>
    <w:p>
      <w:pPr>
        <w:spacing w:before="0" w:after="200" w:lineRule="auto" w:line="276"/>
      </w:pPr>
      <w:r>
        <w:rPr>
          <w:b/>
        </w:rPr>
        <w:t xml:space="preserve">Abstract (EN): </w:t>
      </w:r>
      <w:r>
        <w:t>Rheumatoid arthritis (RA) is a chronic autoimmune disease with limited therapeutic effectiveness of conventional biomaterials, which often lack targeted accuracy, delivery efficiency, and biocompatibility. Here, we present a biomimetically engineered carrier material using mitochondria as “living materials” to restore cell homeostasis in RA. The dual action carrier consists of a folic acid‐modified macrophage membrane targeting activated M1 macrophages in RA joints, and it enables in situ mitochondrial transfer with more than twofold increase of delivery efficiency, which is a critical limitation of current approaches. By facilitating precise intracellular transfer of healthy mitochondria, and incorporating autophagy targeting chimera 4 (AUTAC4) in order to selectively destroy dysfunctional mitochondria, this design achieves complete mitochondrial renewal, increasing energy metabolism and homeostasis. In an RA model, the Dual‐Action Mitochondrial Renewal Therapy (DAMRT) showed significant therapeutic potential. It could be used as a novel platform for treatment for RA and other mitochondrial dysfunction.</w:t>
      </w:r>
    </w:p>
    <w:p>
      <w:pPr>
        <w:spacing w:before="120" w:after="120"/>
      </w:pPr>
      <w:r>
        <w:rPr>
          <w:sz w:val="18"/>
        </w:rPr>
        <w:t>——————————————————————————————————————————————————————————————————————</w:t>
      </w:r>
    </w:p>
    <w:p>
      <w:pPr>
        <w:spacing w:before="160" w:after="40" w:line="240" w:lineRule="auto"/>
      </w:pPr>
      <w:r>
        <w:rPr>
          <w:b/>
        </w:rPr>
        <w:t xml:space="preserve">[97] </w:t>
      </w:r>
      <w:hyperlink r:id="rId153">
        <w:r>
          <w:rPr>
            <w:color w:val="1155CC"/>
            <w:u w:val="single"/>
          </w:rPr>
          <w:t>块状聚合物时产生的微部域对齐</w:t>
        </w:r>
      </w:hyperlink>
    </w:p>
    <w:p>
      <w:pPr>
        <w:spacing w:before="0" w:after="80"/>
      </w:pPr>
      <w:r>
        <w:rPr>
          <w:i/>
          <w:sz w:val="20"/>
        </w:rPr>
        <w:t>EN: Flow‐Induced Microdomain Alignment During Block Copolymer Graphoepitaxy</w:t>
      </w:r>
    </w:p>
    <w:p>
      <w:pPr>
        <w:spacing w:before="0" w:after="120"/>
      </w:pPr>
      <w:r>
        <w:rPr>
          <w:b/>
        </w:rPr>
        <w:t xml:space="preserve">Source: </w:t>
      </w:r>
      <w:r>
        <w:t>Wiley: Advanced Materials: Table of Contents</w:t>
      </w:r>
      <w:r>
        <w:t xml:space="preserve">    </w:t>
      </w:r>
      <w:r>
        <w:rPr>
          <w:b/>
        </w:rPr>
        <w:t xml:space="preserve">Pub date: </w:t>
      </w:r>
      <w:r>
        <w:t>2026-02-15 08:52:34+00:00</w:t>
      </w:r>
      <w:r>
        <w:t xml:space="preserve">    </w:t>
      </w:r>
      <w:r>
        <w:rPr>
          <w:b/>
        </w:rPr>
        <w:t xml:space="preserve">DOI: </w:t>
      </w:r>
      <w:hyperlink r:id="rId154">
        <w:r>
          <w:rPr>
            <w:color w:val="1155CC"/>
            <w:u w:val="single"/>
          </w:rPr>
          <w:t>10.1002/adma.202519483</w:t>
        </w:r>
      </w:hyperlink>
    </w:p>
    <w:p>
      <w:pPr>
        <w:spacing w:before="0" w:after="120"/>
      </w:pPr>
      <w:r>
        <w:rPr>
          <w:b/>
        </w:rPr>
        <w:t xml:space="preserve">Notes: </w:t>
      </w:r>
      <w:r>
        <w:t>abstract_source=crossref</w:t>
      </w:r>
    </w:p>
    <w:p>
      <w:pPr>
        <w:spacing w:before="0" w:after="80" w:lineRule="auto" w:line="276"/>
      </w:pPr>
      <w:r>
        <w:rPr>
          <w:b/>
        </w:rPr>
        <w:t xml:space="preserve">摘要（ZH）: </w:t>
      </w:r>
      <w:r>
        <w:t>块状共聚物( BCP) 图形孔径轴提供了一种基于自我组合的先进纳米制造策略,然而,由于子层地形及其对自组装微体形态的影响而发生的聚合物流动过程尚未被很好地理解。在这里,通过分析胶片厚度剖面和微体形态,作为溶剂蒸气喷射过程中时间的函数,流程过程的时间尺度(毛流和脱湿),以及它们如何确定圆柱体微田与底层嵌入的海沟侧壁有关的机体方向,这些过程如何被揭示出来。 毛状体在整形过程中的第一分钟流将胶片转化为凝固的厚度。 胶片随后通过核酸化而脱湿。</w:t>
      </w:r>
    </w:p>
    <w:p>
      <w:pPr>
        <w:spacing w:before="0" w:after="200" w:lineRule="auto" w:line="276"/>
      </w:pPr>
      <w:r>
        <w:rPr>
          <w:b/>
        </w:rPr>
        <w:t xml:space="preserve">Abstract (EN): </w:t>
      </w:r>
      <w:r>
        <w:t>Block copolymer (BCP) graphoepitaxy provides a strategy for advanced nanofabrication based on self‐assembly. However, the polymer flow processes that occur due to the topography of the substrates and their effects on the self‐assembled microdomain patterns are not well understood. Here, by analyzing film thickness profiles and microdomain morphologies as a function of time during solvent vapor annealing, the time scale of the flow processes (capillary flow and dewetting) and how they determine the in‐plane orientation of cylindrical microdomains with respect to the sidewalls of trenches etched in the substrate are revealed. Capillary flow in the first minute of annealing planarizes the film into an incommensurate thickness. The film then dewets through nucleation and growth of islands and holes, which extend either isotropically or anisotropically along the trench axis, depending on film thickness. Isotropic dewetting produces microdomains, which are primarily transverse to the trench sidewalls, whereas anisotropic dewetting promotes alignment parallel to the trench walls. This study demonstrates an intriguing connection between flow‐induced microdomain alignment, film thickness, and trench depth during BCP graphoepitaxy, revealing general principles for controlling BCP microdomain orientation over topographical templates.</w:t>
      </w:r>
    </w:p>
    <w:p>
      <w:pPr>
        <w:spacing w:before="120" w:after="120"/>
      </w:pPr>
      <w:r>
        <w:rPr>
          <w:sz w:val="18"/>
        </w:rPr>
        <w:t>——————————————————————————————————————————————————————————————————————</w:t>
      </w:r>
    </w:p>
    <w:p>
      <w:pPr>
        <w:spacing w:before="160" w:after="40" w:line="240" w:lineRule="auto"/>
      </w:pPr>
      <w:r>
        <w:rPr>
          <w:b/>
        </w:rPr>
        <w:t xml:space="preserve">[98] </w:t>
      </w:r>
      <w:hyperlink r:id="rId155">
        <w:r>
          <w:rPr>
            <w:color w:val="1155CC"/>
            <w:u w:val="single"/>
          </w:rPr>
          <w:t>基于WO3和聚氨酯的节能应用电子色素智能窗口</w:t>
        </w:r>
      </w:hyperlink>
    </w:p>
    <w:p>
      <w:pPr>
        <w:spacing w:before="0" w:after="80"/>
      </w:pPr>
      <w:r>
        <w:rPr>
          <w:i/>
          <w:sz w:val="20"/>
        </w:rPr>
        <w:t>EN: High‐Performance Electrochromic Smart Window for Energy‐Saving Applications Based on WO3 and Polycarbazole</w:t>
      </w:r>
    </w:p>
    <w:p>
      <w:pPr>
        <w:spacing w:before="0" w:after="120"/>
      </w:pPr>
      <w:r>
        <w:rPr>
          <w:b/>
        </w:rPr>
        <w:t xml:space="preserve">Source: </w:t>
      </w:r>
      <w:r>
        <w:t>Wiley: Advanced Energy Materials: Table of Contents</w:t>
      </w:r>
      <w:r>
        <w:t xml:space="preserve">    </w:t>
      </w:r>
      <w:r>
        <w:rPr>
          <w:b/>
        </w:rPr>
        <w:t xml:space="preserve">Pub date: </w:t>
      </w:r>
      <w:r>
        <w:t>2026-02-15 08:55:40+00:00</w:t>
      </w:r>
      <w:r>
        <w:t xml:space="preserve">    </w:t>
      </w:r>
      <w:r>
        <w:rPr>
          <w:b/>
        </w:rPr>
        <w:t xml:space="preserve">DOI: </w:t>
      </w:r>
      <w:hyperlink r:id="rId156">
        <w:r>
          <w:rPr>
            <w:color w:val="1155CC"/>
            <w:u w:val="single"/>
          </w:rPr>
          <w:t>10.1002/aenm.70756</w:t>
        </w:r>
      </w:hyperlink>
    </w:p>
    <w:p>
      <w:pPr>
        <w:spacing w:before="0" w:after="120"/>
      </w:pPr>
      <w:r>
        <w:rPr>
          <w:b/>
        </w:rPr>
        <w:t xml:space="preserve">Notes: </w:t>
      </w:r>
      <w:r>
        <w:t>abstract_source=crossref</w:t>
      </w:r>
    </w:p>
    <w:p>
      <w:pPr>
        <w:spacing w:before="0" w:after="80" w:lineRule="auto" w:line="276"/>
      </w:pPr>
      <w:r>
        <w:rPr>
          <w:b/>
        </w:rPr>
        <w:t xml:space="preserve">摘要（ZH）: </w:t>
      </w:r>
      <w:r>
        <w:t>电相色技术因其动态太阳能调节能力而吸引了对智能窗口的极大关注。然而,目前的实施受到一些限制,如光学对比低、开关速度慢和自行车稳定性差等限制。本研究通过设计双极电相色结构,将热相 WO 3 和 烷-氧-功能化聚碳氨酯衍生物(CTPAO1 和 CTPAO3 )结合起来,从而应对了这些挑战。 优化的 ECD2 (基于WO 3 和 CTPAO3 ) 实现了77.4%(200-2350 nm)的全面对比,730 纳米时的峰值调整率为87.5%。 设备展示了出色的循环稳定性,保留了i的95%。</w:t>
      </w:r>
    </w:p>
    <w:p>
      <w:pPr>
        <w:spacing w:before="0" w:after="200" w:lineRule="auto" w:line="276"/>
      </w:pPr>
      <w:r>
        <w:rPr>
          <w:b/>
        </w:rPr>
        <w:t xml:space="preserve">Abstract (EN): </w:t>
      </w:r>
      <w:r>
        <w:t>Electrochromic technology has garnered significant attention for smart windows due to its dynamic solar regulation capability. However, current implementations suffer from limitations such as low optical contrast, slow switching speed, and poor cycling stability. This study addresses these challenges by designing a bipolar electrochromic architecture combining thermally‐cured WO</w:t>
      </w:r>
      <w:r>
        <w:rPr>
          <w:vertAlign w:val="subscript"/>
        </w:rPr>
        <w:t>3</w:t>
      </w:r>
      <w:r>
        <w:t>and alkoxy‐functionalized polycarbazole derivatives (CTPAO1 and CTPAO3). The optimized ECD2 (based on WO</w:t>
      </w:r>
      <w:r>
        <w:rPr>
          <w:vertAlign w:val="subscript"/>
        </w:rPr>
        <w:t>3</w:t>
      </w:r>
      <w:r>
        <w:t>and CTPAO3) achieves a comprehensive contrast of 77.4% (200–2350 nm) with a peak modulation of 87.5% at 730 nm. The device exhibits outstanding cycling stability, retaining 95% of its optical contrast after 20 000 cycles. Notably, benefiting from efficient ion transport pathways, it also shows excellent switching kinetics with a coloration time of 1.0 s and a bleaching time of 0.7 s. Building energy efficiency simulations predict that smart windows incorporating ECD2 can achieve total annual energy savings ranging from 13.1% to 50.8% across five climate zones in China. The energy‐saving effect is particularly significant in Haikou, with an estimated annual saving of 56.5 kW h/m</w:t>
      </w:r>
      <w:r>
        <w:rPr>
          <w:vertAlign w:val="subscript"/>
        </w:rPr>
        <w:t>2</w:t>
      </w:r>
      <w:r>
        <w:t>. This work provides a feasible solution for high‐performance, energy‐efficient electrochromic smart windows.</w:t>
      </w:r>
    </w:p>
    <w:p>
      <w:pPr>
        <w:spacing w:before="120" w:after="120"/>
      </w:pPr>
      <w:r>
        <w:rPr>
          <w:sz w:val="18"/>
        </w:rPr>
        <w:t>——————————————————————————————————————————————————————————————————————</w:t>
      </w:r>
    </w:p>
    <w:p>
      <w:pPr>
        <w:spacing w:before="160" w:after="40" w:line="240" w:lineRule="auto"/>
      </w:pPr>
      <w:r>
        <w:rPr>
          <w:b/>
        </w:rPr>
        <w:t xml:space="preserve">[99] </w:t>
      </w:r>
      <w:hyperlink r:id="rId157">
        <w:r>
          <w:rPr>
            <w:color w:val="1155CC"/>
            <w:u w:val="single"/>
          </w:rPr>
          <w:t>高效益H2O2光合作用双子聚氨酯捐赠者-接受者-聚性聚氨酯(Long-Lived Triplet Excittons)</w:t>
        </w:r>
      </w:hyperlink>
    </w:p>
    <w:p>
      <w:pPr>
        <w:spacing w:before="0" w:after="80"/>
      </w:pPr>
      <w:r>
        <w:rPr>
          <w:i/>
          <w:sz w:val="20"/>
        </w:rPr>
        <w:t>EN: Dual‐Polarized Donor–Acceptor Polymer Unlocks Long‐Lived Triplet Excitons for High‐Efficiency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2026-02-15 08:58:28+00:00</w:t>
      </w:r>
      <w:r>
        <w:t xml:space="preserve">    </w:t>
      </w:r>
      <w:r>
        <w:rPr>
          <w:b/>
        </w:rPr>
        <w:t xml:space="preserve">DOI: </w:t>
      </w:r>
      <w:hyperlink r:id="rId158">
        <w:r>
          <w:rPr>
            <w:color w:val="1155CC"/>
            <w:u w:val="single"/>
          </w:rPr>
          <w:t>10.1002/anie.202521132</w:t>
        </w:r>
      </w:hyperlink>
    </w:p>
    <w:p>
      <w:pPr>
        <w:spacing w:before="0" w:after="120"/>
      </w:pPr>
      <w:r>
        <w:rPr>
          <w:b/>
        </w:rPr>
        <w:t xml:space="preserve">Notes: </w:t>
      </w:r>
      <w:r>
        <w:t>abstract_source=crossref</w:t>
      </w:r>
    </w:p>
    <w:p>
      <w:pPr>
        <w:spacing w:before="0" w:after="80" w:lineRule="auto" w:line="276"/>
      </w:pPr>
      <w:r>
        <w:rPr>
          <w:b/>
        </w:rPr>
        <w:t xml:space="preserve">摘要（ZH）: </w:t>
      </w:r>
      <w:r>
        <w:t>聚合物中寿命长的三颗激素对于推动光化催化H2 O 2生产中的氧减量反应(ORR)至关重要,但是其形成通常受到松软的旋转轨道联动(SOC)和大型单三颗粒分解能量(EST ST ) 的限制。 我们在这里展示了一个新的捐赠者-接受(D-A)聚合物(MQDP)的“双极化”战略,其中包括SQN-C和CQN-C联系。 MQDP聚合物是通过丙苯丙酮(AQ)、二苯二甲苯基苯基五氧化(DPO)和毫列姆(ME)的超分子前体聚合物(AQ)、二苯甲苯基苯基苯基苯(DPO)和毫列姆(ME)制成的。</w:t>
      </w:r>
    </w:p>
    <w:p>
      <w:pPr>
        <w:spacing w:before="0" w:after="200" w:lineRule="auto" w:line="276"/>
      </w:pPr>
      <w:r>
        <w:rPr>
          <w:b/>
        </w:rPr>
        <w:t xml:space="preserve">Abstract (EN): </w:t>
      </w:r>
      <w:r>
        <w:t>Long‐lived triplet excitons in polymers are crucial for driving oxygen reduction reaction (ORR) in photocatalytic H</w:t>
      </w:r>
      <w:r>
        <w:rPr>
          <w:vertAlign w:val="subscript"/>
        </w:rPr>
        <w:t>2</w:t>
      </w:r>
      <w:r>
        <w:t>O</w:t>
      </w:r>
      <w:r>
        <w:rPr>
          <w:vertAlign w:val="subscript"/>
        </w:rPr>
        <w:t>2</w:t>
      </w:r>
      <w:r>
        <w:t>production, but their formation is typically limited by weak spin‐orbit coupling (SOC) and a large singlet–triplet splitting energy (Δ</w:t>
      </w:r>
      <w:r>
        <w:t xml:space="preserve"> </w:t>
      </w:r>
      <w:r>
        <w:t>E</w:t>
      </w:r>
      <w:r>
        <w:t xml:space="preserve"> </w:t>
      </w:r>
      <w:r>
        <w:t>ST</w:t>
      </w:r>
      <w:r>
        <w:t xml:space="preserve"> </w:t>
      </w:r>
      <w:r>
        <w:t>). Here we present a “dual‐polarized” strategy in a novel donor–acceptor (D–A) polymer (MQDP) containing S═N─C and C═N─C linkages. MQDP polymer was prepared via supramolecular precursor polymerization of acenaphthenequinone (AQ), dibenzothiophene‐5‐oxide (DPO), and melem (ME). Compared to the single‐polarized analogue MQP (</w:t>
      </w:r>
      <w:r>
        <w:t xml:space="preserve"> </w:t>
      </w:r>
      <w:r>
        <w:t>τ</w:t>
      </w:r>
      <w:r>
        <w:t xml:space="preserve"> </w:t>
      </w:r>
      <w:r>
        <w:t>p</w:t>
      </w:r>
      <w:r>
        <w:t xml:space="preserve"> </w:t>
      </w:r>
      <w:r>
        <w:t>= 672 µs), the dual‐polarized units in MQDP enhance SOC and reduce Δ</w:t>
      </w:r>
      <w:r>
        <w:t xml:space="preserve"> </w:t>
      </w:r>
      <w:r>
        <w:t>E</w:t>
      </w:r>
      <w:r>
        <w:t xml:space="preserve"> </w:t>
      </w:r>
      <w:r>
        <w:t>ST</w:t>
      </w:r>
      <w:r>
        <w:t xml:space="preserve"> </w:t>
      </w:r>
      <w:r>
        <w:t>, thereby generating multiple singlet‐to‐triplet intersystem crossing (ISC) transfer channels to produce long‐lived triplet excitons (</w:t>
      </w:r>
      <w:r>
        <w:t xml:space="preserve"> </w:t>
      </w:r>
      <w:r>
        <w:t>τ</w:t>
      </w:r>
      <w:r>
        <w:t xml:space="preserve"> </w:t>
      </w:r>
      <w:r>
        <w:t>p</w:t>
      </w:r>
      <w:r>
        <w:t xml:space="preserve"> </w:t>
      </w:r>
      <w:r>
        <w:t>= 868 µs). In addition, the dual‐polarized MQDP enriches surface−active sites for O</w:t>
      </w:r>
      <w:r>
        <w:rPr>
          <w:vertAlign w:val="subscript"/>
        </w:rPr>
        <w:t>2</w:t>
      </w:r>
      <w:r>
        <w:t>adsorption, effectively reducing the energy barrier for ORR. The MQDP achieves a remarkable H</w:t>
      </w:r>
      <w:r>
        <w:rPr>
          <w:vertAlign w:val="subscript"/>
        </w:rPr>
        <w:t>2</w:t>
      </w:r>
      <w:r>
        <w:t>O</w:t>
      </w:r>
      <w:r>
        <w:rPr>
          <w:vertAlign w:val="subscript"/>
        </w:rPr>
        <w:t>2</w:t>
      </w:r>
      <w:r>
        <w:t>generation rate of 15.38 mmol g</w:t>
      </w:r>
      <w:r>
        <w:t xml:space="preserve"> </w:t>
      </w:r>
      <w:r>
        <w:t>−1</w:t>
      </w:r>
      <w:r>
        <w:t xml:space="preserve"> </w:t>
      </w:r>
      <w:r>
        <w:t>h</w:t>
      </w:r>
      <w:r>
        <w:t xml:space="preserve"> </w:t>
      </w:r>
      <w:r>
        <w:t>−1</w:t>
      </w:r>
      <w:r>
        <w:t xml:space="preserve"> </w:t>
      </w:r>
      <w:r>
        <w:t>under visible light irradiation and ambient air, nearly 1.9 times higher than that of MQP (8.13 mmol g</w:t>
      </w:r>
      <w:r>
        <w:t xml:space="preserve"> </w:t>
      </w:r>
      <w:r>
        <w:t>−1</w:t>
      </w:r>
      <w:r>
        <w:t xml:space="preserve"> </w:t>
      </w:r>
      <w:r>
        <w:t>h</w:t>
      </w:r>
      <w:r>
        <w:t xml:space="preserve"> </w:t>
      </w:r>
      <w:r>
        <w:t>−1</w:t>
      </w:r>
      <w:r>
        <w:t xml:space="preserve"> </w:t>
      </w:r>
      <w:r>
        <w:t>). These findings demonstrate the effectiveness of the dual‐polarized design in tuning exciton dynamics and surface reactivity of D–A polymers for enhanced photocatalysis.</w:t>
      </w:r>
    </w:p>
    <w:p>
      <w:pPr>
        <w:spacing w:before="120" w:after="120"/>
      </w:pPr>
      <w:r>
        <w:rPr>
          <w:sz w:val="18"/>
        </w:rPr>
        <w:t>——————————————————————————————————————————————————————————————————————</w:t>
      </w:r>
    </w:p>
    <w:p>
      <w:pPr>
        <w:spacing w:before="160" w:after="40" w:line="240" w:lineRule="auto"/>
      </w:pPr>
      <w:r>
        <w:rPr>
          <w:b/>
        </w:rPr>
        <w:t xml:space="preserve">[100] </w:t>
      </w:r>
      <w:hyperlink r:id="rId159">
        <w:r>
          <w:rPr>
            <w:color w:val="1155CC"/>
            <w:u w:val="single"/>
          </w:rPr>
          <w:t>解码NASICON及其固态电池金属界面</w:t>
        </w:r>
      </w:hyperlink>
    </w:p>
    <w:p>
      <w:pPr>
        <w:spacing w:before="0" w:after="80"/>
      </w:pPr>
      <w:r>
        <w:rPr>
          <w:i/>
          <w:sz w:val="20"/>
        </w:rPr>
        <w:t>EN: Decoding NASICON and Its Metal Interface for Solid‐State Batteries</w:t>
      </w:r>
    </w:p>
    <w:p>
      <w:pPr>
        <w:spacing w:before="0" w:after="120"/>
      </w:pPr>
      <w:r>
        <w:rPr>
          <w:b/>
        </w:rPr>
        <w:t xml:space="preserve">Source: </w:t>
      </w:r>
      <w:r>
        <w:t>Wiley: Advanced Materials: Table of Contents</w:t>
      </w:r>
      <w:r>
        <w:t xml:space="preserve">    </w:t>
      </w:r>
      <w:r>
        <w:rPr>
          <w:b/>
        </w:rPr>
        <w:t xml:space="preserve">Pub date: </w:t>
      </w:r>
      <w:r>
        <w:t>2026-02-15 08:59:56+00:00</w:t>
      </w:r>
      <w:r>
        <w:t xml:space="preserve">    </w:t>
      </w:r>
      <w:r>
        <w:rPr>
          <w:b/>
        </w:rPr>
        <w:t xml:space="preserve">DOI: </w:t>
      </w:r>
      <w:hyperlink r:id="rId160">
        <w:r>
          <w:rPr>
            <w:color w:val="1155CC"/>
            <w:u w:val="single"/>
          </w:rPr>
          <w:t>10.1002/adma.202520270</w:t>
        </w:r>
      </w:hyperlink>
    </w:p>
    <w:p>
      <w:pPr>
        <w:spacing w:before="0" w:after="120"/>
      </w:pPr>
      <w:r>
        <w:rPr>
          <w:b/>
        </w:rPr>
        <w:t xml:space="preserve">Notes: </w:t>
      </w:r>
      <w:r>
        <w:t>abstract_source=crossref</w:t>
      </w:r>
    </w:p>
    <w:p>
      <w:pPr>
        <w:spacing w:before="0" w:after="80" w:lineRule="auto" w:line="276"/>
      </w:pPr>
      <w:r>
        <w:rPr>
          <w:b/>
        </w:rPr>
        <w:t xml:space="preserve">摘要（ZH）: </w:t>
      </w:r>
      <w:r>
        <w:t>固态电池是最有希望的下一代能源储存技术之一,它提供了特殊的安全性、高能源密度和快速充电能力,在所有类型的固态电解解液中,钠超离子导体(NASICON)因其廉价材料前体、空气稳定性和高离子传导性而是最有希望的候选体之一,然而,它面临着一个严峻的挑战:与金属阳极的周期性不稳定,导致分解形成和渗透,最终导致电池故障。</w:t>
      </w:r>
    </w:p>
    <w:p>
      <w:pPr>
        <w:spacing w:before="0" w:after="200" w:lineRule="auto" w:line="276"/>
      </w:pPr>
      <w:r>
        <w:rPr>
          <w:b/>
        </w:rPr>
        <w:t xml:space="preserve">Abstract (EN): </w:t>
      </w:r>
      <w:r>
        <w:t>Solid‐state batteries (SSBs) are among the most promising next‐generation energy storage technologies, offering exceptional safety, high energy density, and fast‐charging capability. Among all kinds of solid electrolytes, sodium super ionic conductor (NASICON) is one of the most promising candidates due to its inexpensive material precursors, air stability, and high ionic conductivity. However, it faces a critical challenge: interfacial instability with metal anodes, leading to dendrite formation and penetration that ultimately cause battery failure. Addressing this issue requires a systematic understanding of the solid electrolyte itself, interfacial failure mechanisms, and robust mitigation strategies. Therefore, this review focuses on NASICON as a model system for both sodium‐ and lithium‐based SSBs, providing a comprehensive overview and new insights into NASICON and its metal interfaces. A top‐down approach is adopted, beginning with the fundamentals of NASICON's crystallography, thermodynamics, and kinetics to elucidate its intrinsic properties and interfacial degradation behaviors. Advanced characterization techniques for probing such failures are then reviewed, followed by a comprehensive discussion of mitigation strategies targeting the electrolyte, electrode, and their interface, along with practical insights into NASICON manufacturing. Finally, future research directions are proposed to guide the advancement of NASICON‐based SSBs toward practical commercialization.</w:t>
      </w:r>
    </w:p>
    <w:p>
      <w:pPr>
        <w:spacing w:before="120" w:after="120"/>
      </w:pPr>
      <w:r>
        <w:rPr>
          <w:sz w:val="18"/>
        </w:rPr>
        <w:t>——————————————————————————————————————————————————————————————————————</w:t>
      </w:r>
    </w:p>
    <w:p>
      <w:pPr>
        <w:spacing w:before="160" w:after="40" w:line="240" w:lineRule="auto"/>
      </w:pPr>
      <w:r>
        <w:rPr>
          <w:b/>
        </w:rPr>
        <w:t xml:space="preserve">[101] </w:t>
      </w:r>
      <w:hyperlink r:id="rId161">
        <w:r>
          <w:rPr>
            <w:color w:val="1155CC"/>
            <w:u w:val="single"/>
          </w:rPr>
          <w:t>分阶段 多样化 受过训练的机器学习 高多元反应状态优化</w:t>
        </w:r>
      </w:hyperlink>
    </w:p>
    <w:p>
      <w:pPr>
        <w:spacing w:before="0" w:after="80"/>
      </w:pPr>
      <w:r>
        <w:rPr>
          <w:i/>
          <w:sz w:val="20"/>
        </w:rPr>
        <w:t>EN: Staged Diversity‐Constrained Machine Learning for High‐Dimensional Reaction Condition Optimization</w:t>
      </w:r>
    </w:p>
    <w:p>
      <w:pPr>
        <w:spacing w:before="0" w:after="120"/>
      </w:pPr>
      <w:r>
        <w:rPr>
          <w:b/>
        </w:rPr>
        <w:t xml:space="preserve">Source: </w:t>
      </w:r>
      <w:r>
        <w:t>Wiley: Angewandte Chemie International Edition: Table of Contents</w:t>
      </w:r>
      <w:r>
        <w:t xml:space="preserve">    </w:t>
      </w:r>
      <w:r>
        <w:rPr>
          <w:b/>
        </w:rPr>
        <w:t xml:space="preserve">Pub date: </w:t>
      </w:r>
      <w:r>
        <w:t>2026-02-15 09:01:49+00:00</w:t>
      </w:r>
      <w:r>
        <w:t xml:space="preserve">    </w:t>
      </w:r>
      <w:r>
        <w:rPr>
          <w:b/>
        </w:rPr>
        <w:t xml:space="preserve">DOI: </w:t>
      </w:r>
      <w:hyperlink r:id="rId162">
        <w:r>
          <w:rPr>
            <w:color w:val="1155CC"/>
            <w:u w:val="single"/>
          </w:rPr>
          <w:t>10.1002/anie.4418883</w:t>
        </w:r>
      </w:hyperlink>
    </w:p>
    <w:p>
      <w:pPr>
        <w:spacing w:before="0" w:after="120"/>
      </w:pPr>
      <w:r>
        <w:rPr>
          <w:b/>
        </w:rPr>
        <w:t xml:space="preserve">Notes: </w:t>
      </w:r>
      <w:r>
        <w:t>abstract_source=crossref</w:t>
      </w:r>
    </w:p>
    <w:p>
      <w:pPr>
        <w:spacing w:before="0" w:after="80" w:lineRule="auto" w:line="276"/>
      </w:pPr>
      <w:r>
        <w:rPr>
          <w:b/>
        </w:rPr>
        <w:t xml:space="preserve">摘要（ZH）: </w:t>
      </w:r>
      <w:r>
        <w:t>ABSTACT 优化高维化学空间的反应条件仍然是现代合成的一个中心挑战,在这方面,我们制定并评价了一个分阶段的多样化和受限制的机器学习框架,在条件优化期间有效平衡勘探和开发;在每一阶段,在“内部”多样性限制下,化学品涵盖面广泛,同时限制逐渐放松,把重点放在有希望的子空间上。 大规模焦化碳和C-N混合数据集的系统评估表明,阶段数目而不是勘探部分是决定优化效率的主导因素。</w:t>
      </w:r>
    </w:p>
    <w:p>
      <w:pPr>
        <w:spacing w:before="0" w:after="200" w:lineRule="auto" w:line="276"/>
      </w:pPr>
      <w:r>
        <w:rPr>
          <w:b/>
        </w:rPr>
        <w:t xml:space="preserve">Abstract (EN): </w:t>
      </w:r>
      <w:r>
        <w:t>Optimizing reaction conditions in high‐dimensional chemical spaces remains a central challenge in modern synthesis. In this context, we developed and evaluated a staged diversity‐constrained machine learning framework that efficiently balances exploration and exploitation during condition optimization. At each stage, a within‐batch diversity constraint promotes broad chemical coverage, while the constraint is progressively relaxed to focus on promising subspaces. Systematic evaluation across large‐scale palladium‐catalyzed C─C and C─N coupling datasets revealed that the number of stages, rather than the exploration portion, was the dominant factor governing optimization efficiency. A comparison with Bayesian optimization (BO) methods shows a dimension‐dependent performance trend. Here, the staged diversity‐constrained strategy was shown to be more advantageous in higher‐dimensional reaction spaces, whereas BO performed better in lower‐dimensional settings. Moreover, we developed a user‐friendly software tool making the herein developed framework readily accessible for experimental chemists. Our strategy was further applied to challenging ruthenium‐catalyzed</w:t>
      </w:r>
      <w:r>
        <w:t xml:space="preserve"> </w:t>
      </w:r>
      <w:r>
        <w:t>meta</w:t>
      </w:r>
      <w:r>
        <w:t xml:space="preserve"> </w:t>
      </w:r>
      <w:r>
        <w:t>‐C─H functionalization involving 11,880 possible conditions, only 44 experiments were required to identify the optimal setup (91% yield). This work provides a validated and practical framework for accelerating high‐dimensional reaction condition optimization, bridging data‐driven modeling with experimental synthesis.</w:t>
      </w:r>
    </w:p>
    <w:p>
      <w:pPr>
        <w:spacing w:before="120" w:after="120"/>
      </w:pPr>
      <w:r>
        <w:rPr>
          <w:sz w:val="18"/>
        </w:rPr>
        <w:t>——————————————————————————————————————————————————————————————————————</w:t>
      </w:r>
    </w:p>
    <w:p>
      <w:pPr>
        <w:spacing w:before="160" w:after="40" w:line="240" w:lineRule="auto"/>
      </w:pPr>
      <w:r>
        <w:rPr>
          <w:b/>
        </w:rPr>
        <w:t xml:space="preserve">[102] </w:t>
      </w:r>
      <w:hyperlink r:id="rId163">
        <w:r>
          <w:rPr>
            <w:color w:val="1155CC"/>
            <w:u w:val="single"/>
          </w:rPr>
          <w:t>高苯丙合金高浓度空气凝胶的高能效硝酸盐电压降低</w:t>
        </w:r>
      </w:hyperlink>
    </w:p>
    <w:p>
      <w:pPr>
        <w:spacing w:before="0" w:after="80"/>
      </w:pPr>
      <w:r>
        <w:rPr>
          <w:i/>
          <w:sz w:val="20"/>
        </w:rPr>
        <w:t>EN: Dynamic Proton Allocation Drives High‐Efficiency Nitrate Electroreduction on High‐Entropy Alloy Aerogels Across Broad Concentration Ranges</w:t>
      </w:r>
    </w:p>
    <w:p>
      <w:pPr>
        <w:spacing w:before="0" w:after="120"/>
      </w:pPr>
      <w:r>
        <w:rPr>
          <w:b/>
        </w:rPr>
        <w:t xml:space="preserve">Source: </w:t>
      </w:r>
      <w:r>
        <w:t>Wiley: Angewandte Chemie International Edition: Table of Contents</w:t>
      </w:r>
      <w:r>
        <w:t xml:space="preserve">    </w:t>
      </w:r>
      <w:r>
        <w:rPr>
          <w:b/>
        </w:rPr>
        <w:t xml:space="preserve">Pub date: </w:t>
      </w:r>
      <w:r>
        <w:t>2026-02-15 09:03:33+00:00</w:t>
      </w:r>
      <w:r>
        <w:t xml:space="preserve">    </w:t>
      </w:r>
      <w:r>
        <w:rPr>
          <w:b/>
        </w:rPr>
        <w:t xml:space="preserve">DOI: </w:t>
      </w:r>
      <w:hyperlink r:id="rId164">
        <w:r>
          <w:rPr>
            <w:color w:val="1155CC"/>
            <w:u w:val="single"/>
          </w:rPr>
          <w:t>10.1002/anie.202520035</w:t>
        </w:r>
      </w:hyperlink>
    </w:p>
    <w:p>
      <w:pPr>
        <w:spacing w:before="0" w:after="120"/>
      </w:pPr>
      <w:r>
        <w:rPr>
          <w:b/>
        </w:rPr>
        <w:t xml:space="preserve">Notes: </w:t>
      </w:r>
      <w:r>
        <w:t>abstract_source=crossref</w:t>
      </w:r>
    </w:p>
    <w:p>
      <w:pPr>
        <w:spacing w:before="0" w:after="80" w:lineRule="auto" w:line="276"/>
      </w:pPr>
      <w:r>
        <w:rPr>
          <w:b/>
        </w:rPr>
        <w:t xml:space="preserve">摘要（ZH）: </w:t>
      </w:r>
      <w:r>
        <w:t>对氨(NH 3)而言,有效减少废水中广泛浓度的硝硝酸盐仍然是一个重大挑战,因为氨(NH 3)的电化学硝酸减少量(NO 3 RR)仍是一个重大挑战,而氨(NH 3)对活质子的动态控制至关重要。我们在这里提出了一个动态质子分配战略,根据当地硝酸水平对活质子的供应量进行适应性控制。这一方法适用于高硝基有机合合合金气凝胶,在从0.0111.0M到接近NH3产量上升的NH3浓度高于在相同的硝酸盐的其他催化剂之间,达到了90%的法拉达效率。</w:t>
      </w:r>
    </w:p>
    <w:p>
      <w:pPr>
        <w:spacing w:before="0" w:after="200" w:lineRule="auto" w:line="276"/>
      </w:pPr>
      <w:r>
        <w:rPr>
          <w:b/>
        </w:rPr>
        <w:t xml:space="preserve">Abstract (EN): </w:t>
      </w:r>
      <w:r>
        <w:t>Efficiently reducing nitrate across wide‐range concentrations in wastewater remains a major challenge for electrochemical nitrate reduction (NO</w:t>
      </w:r>
      <w:r>
        <w:rPr>
          <w:vertAlign w:val="subscript"/>
        </w:rPr>
        <w:t>3</w:t>
      </w:r>
      <w:r>
        <w:t>RR) to ammonia (NH</w:t>
      </w:r>
      <w:r>
        <w:rPr>
          <w:vertAlign w:val="subscript"/>
        </w:rPr>
        <w:t>3</w:t>
      </w:r>
      <w:r>
        <w:t>), where the dynamic control of active proton is critical. Here we proposed a dynamic proton allocator strategy featuring adaptive control of active proton availability in response to local nitrate levels. Applied to high‐entropy alloy aerogels, this approach achieved &amp;gt;90% Faradaic efficiencies (FE) over a wide nitrate concentration range from 0.01∼1.0 M, nearly an order‐of‐magnitude increase in NH</w:t>
      </w:r>
      <w:r>
        <w:rPr>
          <w:vertAlign w:val="subscript"/>
        </w:rPr>
        <w:t>3</w:t>
      </w:r>
      <w:r>
        <w:t>yield rate compared to other catalysts at identical nitrate concentrations. In situ spectroscopic investigations revealed that the high‐entropy element distribution modulated molecular structure of interfacial water, enhancing active proton availability for nitrate hydrogenation. Theoretical calculations demonstrated that the unique high‐entropy electronic configuration optimized intermediate adsorption, shifted the rate‐determining step and lowered the reaction energy, promoting NH</w:t>
      </w:r>
      <w:r>
        <w:rPr>
          <w:vertAlign w:val="subscript"/>
        </w:rPr>
        <w:t>3</w:t>
      </w:r>
      <w:r>
        <w:t>formation. These results highlight the pivotal role of proton management across wide‐ranging nitrate concentrations in NO</w:t>
      </w:r>
      <w:r>
        <w:rPr>
          <w:vertAlign w:val="subscript"/>
        </w:rPr>
        <w:t>3</w:t>
      </w:r>
      <w:r>
        <w:t>RR, demonstrating the potential for integrating sustainable chemical synthesis with environmental restoration.</w:t>
      </w:r>
    </w:p>
    <w:p>
      <w:pPr>
        <w:spacing w:before="120" w:after="120"/>
      </w:pPr>
      <w:r>
        <w:rPr>
          <w:sz w:val="18"/>
        </w:rPr>
        <w:t>——————————————————————————————————————————————————————————————————————</w:t>
      </w:r>
    </w:p>
    <w:p>
      <w:pPr>
        <w:spacing w:before="160" w:after="40" w:line="240" w:lineRule="auto"/>
      </w:pPr>
      <w:r>
        <w:rPr>
          <w:b/>
        </w:rPr>
        <w:t xml:space="preserve">[103] </w:t>
      </w:r>
      <w:hyperlink r:id="rId165">
        <w:r>
          <w:rPr>
            <w:color w:val="1155CC"/>
            <w:u w:val="single"/>
          </w:rPr>
          <w:t>原子层相互作用能够“Nearero Strain”用于超饱和水磁性电池的原子级相互作用</w:t>
        </w:r>
      </w:hyperlink>
    </w:p>
    <w:p>
      <w:pPr>
        <w:spacing w:before="0" w:after="80"/>
      </w:pPr>
      <w:r>
        <w:rPr>
          <w:i/>
          <w:sz w:val="20"/>
        </w:rPr>
        <w:t>EN: Atomic‐Level Interactions Enable “Near‐Zero Strain” Cathodes for Ultra‐Stable Aqueous Magnesium‐Ion Batteries</w:t>
      </w:r>
    </w:p>
    <w:p>
      <w:pPr>
        <w:spacing w:before="0" w:after="120"/>
      </w:pPr>
      <w:r>
        <w:rPr>
          <w:b/>
        </w:rPr>
        <w:t xml:space="preserve">Source: </w:t>
      </w:r>
      <w:r>
        <w:t>Wiley: Advanced Materials: Table of Contents</w:t>
      </w:r>
      <w:r>
        <w:t xml:space="preserve">    </w:t>
      </w:r>
      <w:r>
        <w:rPr>
          <w:b/>
        </w:rPr>
        <w:t xml:space="preserve">Pub date: </w:t>
      </w:r>
      <w:r>
        <w:t>2026-02-15 09:08:43+00:00</w:t>
      </w:r>
      <w:r>
        <w:t xml:space="preserve">    </w:t>
      </w:r>
      <w:r>
        <w:rPr>
          <w:b/>
        </w:rPr>
        <w:t xml:space="preserve">DOI: </w:t>
      </w:r>
      <w:hyperlink r:id="rId166">
        <w:r>
          <w:rPr>
            <w:color w:val="1155CC"/>
            <w:u w:val="single"/>
          </w:rPr>
          <w:t>10.1002/adma.72448</w:t>
        </w:r>
      </w:hyperlink>
    </w:p>
    <w:p>
      <w:pPr>
        <w:spacing w:before="0" w:after="120"/>
      </w:pPr>
      <w:r>
        <w:rPr>
          <w:b/>
        </w:rPr>
        <w:t xml:space="preserve">Notes: </w:t>
      </w:r>
      <w:r>
        <w:t>abstract_source=crossref</w:t>
      </w:r>
    </w:p>
    <w:p>
      <w:pPr>
        <w:spacing w:before="0" w:after="80" w:lineRule="auto" w:line="276"/>
      </w:pPr>
      <w:r>
        <w:rPr>
          <w:b/>
        </w:rPr>
        <w:t xml:space="preserve">摘要（ZH）: </w:t>
      </w:r>
      <w:r>
        <w:t>ABSTACT 水镁电池(AMIB) 由于其高度安全、理论能力和资源丰富,下一代能源储存装置很有希望,但是,Mg和常规阴极之间的强烈静电相互作用通常导致循环不稳定性差,且速度有限。 在这里,我们首次在AMIBs引进了“Nearñero Strain”工程,以开发具有超可控循环性能的超可变俄罗斯蓝色模拟(HEPBA)粘合材料的证明材料。原子级相互作用和长程无序拉蒂菌菌场使得HEPBA能够自发地应对离子相互膨胀引起的压力,并带来可逆的变换的衬垫结构变化。</w:t>
      </w:r>
    </w:p>
    <w:p>
      <w:pPr>
        <w:spacing w:before="0" w:after="200" w:lineRule="auto" w:line="276"/>
      </w:pPr>
      <w:r>
        <w:rPr>
          <w:b/>
        </w:rPr>
        <w:t xml:space="preserve">Abstract (EN): </w:t>
      </w:r>
      <w:r>
        <w:t>Aqueous magnesium‐ion batteries (AMIBs) are promising next‐generation energy storage devices owing to their high safety, theoretical capacity, and resource abundance. However, the strong electrostatic interactions between Mg‐ions and conventional cathodes usually lead to poor cycling stability and limited rate capability. Herein, we, for the first time, introduced “Near‐Zero Strain” engineering in AMIBs to developed the proof‐of‐the‐concept high entropy Prussian blue analog (HEPBA) cathodes materials with ultra‐stable cycling performance. The atomic‐level interactions and long‐range disordered lattice strain field enable HEPBA to spontaneously respond to ion intercalation‐induced stress with reversible changes in lattice structure, achieving one of the best long‐term stability among AMIBs (above 96.7% capacity retention after 20 000 cycles at a high current density of 5.0 A g</w:t>
      </w:r>
      <w:r>
        <w:t xml:space="preserve"> </w:t>
      </w:r>
      <w:r>
        <w:t>−</w:t>
      </w:r>
      <w:r>
        <w:rPr>
          <w:vertAlign w:val="subscript"/>
        </w:rPr>
        <w:t>1</w:t>
      </w:r>
      <w:r>
        <w:t>). Meanwhile, diverse metal atoms with overlapped</w:t>
      </w:r>
      <w:r>
        <w:t xml:space="preserve"> </w:t>
      </w:r>
      <w:r>
        <w:t>d</w:t>
      </w:r>
      <w:r>
        <w:t xml:space="preserve"> </w:t>
      </w:r>
      <w:r>
        <w:t>‐band toward optimized HEPBA features efficient charge compensation with drastically enhanced rate capability (over 80.1 mAh g</w:t>
      </w:r>
      <w:r>
        <w:t xml:space="preserve"> </w:t>
      </w:r>
      <w:r>
        <w:t>−1</w:t>
      </w:r>
      <w:r>
        <w:t xml:space="preserve"> </w:t>
      </w:r>
      <w:r>
        <w:t>at 5.0 A g</w:t>
      </w:r>
      <w:r>
        <w:t xml:space="preserve"> </w:t>
      </w:r>
      <w:r>
        <w:t>−</w:t>
      </w:r>
      <w:r>
        <w:rPr>
          <w:vertAlign w:val="subscript"/>
        </w:rPr>
        <w:t>1</w:t>
      </w:r>
      <w:r>
        <w:t>). Overall, the novel near‐zero strain engineering strategy toward cathode materials in this work revealed the enormous potentiality to improve multivalent‐ion batteries performance.</w:t>
      </w:r>
    </w:p>
    <w:p>
      <w:pPr>
        <w:spacing w:before="120" w:after="120"/>
      </w:pPr>
      <w:r>
        <w:rPr>
          <w:sz w:val="18"/>
        </w:rPr>
        <w:t>——————————————————————————————————————————————————————————————————————</w:t>
      </w:r>
    </w:p>
    <w:p>
      <w:pPr>
        <w:spacing w:before="160" w:after="40" w:line="240" w:lineRule="auto"/>
      </w:pPr>
      <w:r>
        <w:rPr>
          <w:b/>
        </w:rPr>
        <w:t xml:space="preserve">[104] </w:t>
      </w:r>
      <w:hyperlink r:id="rId167">
        <w:r>
          <w:rPr>
            <w:color w:val="1155CC"/>
            <w:u w:val="single"/>
          </w:rPr>
          <w:t>[ASAP] 带状平散 [20] 带硬的、可调适的多式充分复合化碳的铜</w:t>
        </w:r>
      </w:hyperlink>
    </w:p>
    <w:p>
      <w:pPr>
        <w:spacing w:before="0" w:after="80"/>
      </w:pPr>
      <w:r>
        <w:rPr>
          <w:i/>
          <w:sz w:val="20"/>
        </w:rPr>
        <w:t>EN: [ASAP] Belt-Shaped [20]Collarene with a Rigid Yet Adaptable Cavity for Multimodal Fullerene Complexation</w:t>
      </w:r>
    </w:p>
    <w:p>
      <w:pPr>
        <w:spacing w:before="0" w:after="120"/>
      </w:pPr>
      <w:r>
        <w:rPr>
          <w:b/>
        </w:rPr>
        <w:t xml:space="preserve">Source: </w:t>
      </w:r>
      <w:r>
        <w:t>Journal of the American Chemical Society: Latest Articles (ACS Publications)</w:t>
      </w:r>
      <w:r>
        <w:t xml:space="preserve">    </w:t>
      </w:r>
      <w:r>
        <w:rPr>
          <w:b/>
        </w:rPr>
        <w:t xml:space="preserve">Pub date: </w:t>
      </w:r>
      <w:r>
        <w:t>2026-02-15 18:04:15+00:00</w:t>
      </w:r>
      <w:r>
        <w:t xml:space="preserve">    </w:t>
      </w:r>
      <w:r>
        <w:rPr>
          <w:b/>
        </w:rPr>
        <w:t xml:space="preserve">DOI: </w:t>
      </w:r>
      <w:hyperlink r:id="rId168">
        <w:r>
          <w:rPr>
            <w:color w:val="1155CC"/>
            <w:u w:val="single"/>
          </w:rPr>
          <w:t>10.1021/jacs.5c17804</w:t>
        </w:r>
      </w:hyperlink>
    </w:p>
    <w:p>
      <w:pPr>
        <w:spacing w:before="0" w:after="120"/>
      </w:pPr>
      <w:r>
        <w:rPr>
          <w:b/>
        </w:rPr>
        <w:t xml:space="preserve">Notes: </w:t>
      </w:r>
      <w:r>
        <w:t>abstract_source=pubmed</w:t>
      </w:r>
    </w:p>
    <w:p>
      <w:pPr>
        <w:spacing w:before="0" w:after="80" w:lineRule="auto" w:line="276"/>
      </w:pPr>
      <w:r>
        <w:rPr>
          <w:b/>
        </w:rPr>
        <w:t xml:space="preserve">摘要（ZH）: </w:t>
      </w:r>
      <w:r>
        <w:t>交替交接的双苯和1,4-环甲二二苯环结合成形成带状碳氢化合物的交替交接苯共聚物和1,4-环己二烯环结合成圆状碳氢化合物,显示出作为超分子化学分子容器的极有希望,然而,对其宿主-客人化学的实验性调查仍然基本上尚未开发。在此,我们报告了20[20]-二氯和一系列更美的分子之间的多式复合行为。 [20] 碳能将C60和C70混合成融合复合体,正如质子核磁共振谱学、异热热热热热热热热焦量测量、高分辨率质质谱谱和单晶状X射线晶体学所证实的那样。</w:t>
      </w:r>
    </w:p>
    <w:p>
      <w:pPr>
        <w:spacing w:before="0" w:after="200" w:lineRule="auto" w:line="276"/>
      </w:pPr>
      <w:r>
        <w:rPr>
          <w:b/>
        </w:rPr>
        <w:t xml:space="preserve">Abstract (EN): </w:t>
      </w:r>
      <w:r>
        <w:t>Collarenes, in which alternating benzenoid and 1,4-cyclohexadiene rings are fused to form belt-shaped hydrocarbons, show exceptional promise as molecular containers in supramolecular chemistry. However, the experimental investigation of their host-guest chemistry remains largely untapped. Herein, we report multimodal complexation behaviors between [20]collarene and a series of fullerenes. [20]Collarene is capable of complexing both C60 and C70 to form inclusion complexes, as confirmed by proton nuclear magnetic resonance spectroscopy, isothermal titration calorimetry, high-resolution mass spectrometry, and single-crystal X-ray crystallography. The strong binding affinities for fullerenes (Ka up to 105 M-1) lead to host-guest complexes that display ultrafast charge separation and a stable charge-separated state. Moreover, [20]collarene possesses a shape-adaptable cavity when complexing with two fullerene derivatives, PC61BM and DPC61Py, via different complexation modes. Specifically, [20]collarene exhibits fully encapsulated host-guest complexation with PC61BM, whereas it engages in solvent-synergistic complexation with DPC61Py. This work systematically establishes the host-guest chemistry of [20]collarene with a rigid yet adaptive cavity, thereby laying a crucial foundation in the field of collarene-based supramolecular chemistry and guiding its future development toward functional materials.</w:t>
      </w:r>
    </w:p>
    <w:p>
      <w:pPr>
        <w:spacing w:before="120" w:after="120"/>
      </w:pPr>
      <w:r>
        <w:rPr>
          <w:sz w:val="18"/>
        </w:rPr>
        <w:t>——————————————————————————————————————————————————————————————————————</w:t>
      </w:r>
    </w:p>
    <w:p>
      <w:pPr>
        <w:spacing w:before="160" w:after="40" w:line="240" w:lineRule="auto"/>
      </w:pPr>
      <w:r>
        <w:rPr>
          <w:b/>
        </w:rPr>
        <w:t xml:space="preserve">[105] </w:t>
      </w:r>
      <w:hyperlink r:id="rId169">
        <w:r>
          <w:rPr>
            <w:color w:val="1155CC"/>
            <w:u w:val="single"/>
          </w:rPr>
          <w:t>[ASAP] 绿色荧光蛋白质的兴奋状态质子转移期间的环境二极放松</w:t>
        </w:r>
      </w:hyperlink>
    </w:p>
    <w:p>
      <w:pPr>
        <w:spacing w:before="0" w:after="80"/>
      </w:pPr>
      <w:r>
        <w:rPr>
          <w:i/>
          <w:sz w:val="20"/>
        </w:rPr>
        <w:t>EN: [ASAP] Environmental Dipolar Relaxation during Excited-State Proton Transfer in Green Fluorescent Protein</w:t>
      </w:r>
    </w:p>
    <w:p>
      <w:pPr>
        <w:spacing w:before="0" w:after="120"/>
      </w:pPr>
      <w:r>
        <w:rPr>
          <w:b/>
        </w:rPr>
        <w:t xml:space="preserve">Source: </w:t>
      </w:r>
      <w:r>
        <w:t>Journal of the American Chemical Society: Latest Articles (ACS Publications)</w:t>
      </w:r>
      <w:r>
        <w:t xml:space="preserve">    </w:t>
      </w:r>
      <w:r>
        <w:rPr>
          <w:b/>
        </w:rPr>
        <w:t xml:space="preserve">Pub date: </w:t>
      </w:r>
      <w:r>
        <w:t>2026-02-15 18:04:45+00:00</w:t>
      </w:r>
      <w:r>
        <w:t xml:space="preserve">    </w:t>
      </w:r>
      <w:r>
        <w:rPr>
          <w:b/>
        </w:rPr>
        <w:t xml:space="preserve">DOI: </w:t>
      </w:r>
      <w:hyperlink r:id="rId170">
        <w:r>
          <w:rPr>
            <w:color w:val="1155CC"/>
            <w:u w:val="single"/>
          </w:rPr>
          <w:t>10.1021/jacs.5c21097</w:t>
        </w:r>
      </w:hyperlink>
    </w:p>
    <w:p>
      <w:pPr>
        <w:spacing w:before="0" w:after="120"/>
      </w:pPr>
      <w:r>
        <w:rPr>
          <w:b/>
        </w:rPr>
        <w:t xml:space="preserve">Notes: </w:t>
      </w:r>
      <w:r>
        <w:t>abstract_source=pubmed</w:t>
      </w:r>
    </w:p>
    <w:p>
      <w:pPr>
        <w:spacing w:before="0" w:after="80" w:lineRule="auto" w:line="276"/>
      </w:pPr>
      <w:r>
        <w:rPr>
          <w:b/>
        </w:rPr>
        <w:t xml:space="preserve">摘要（ZH）: </w:t>
      </w:r>
      <w:r>
        <w:t>绿色荧光蛋白变异物被广泛用作生物成像的基因编码标签。通过激动状态质子转移至E222,通过分子电线向E222产生一种允许性厌离性厌离性苯甲酸酯状态。计算研究表明,ESPT符合电子对异速率表达方式。虽然接近对异端界限的反应对环境二极放松十分敏感,但对这种放松的作用在GFP的ESPT期间鲜为人知。我们提出了第一个实验性证据,表明在ESPT期间,由于刺激状态GFP铬聚苯丙胺浓度分布的变化,蛋白质矩阵的双极放松是关键决定因素。</w:t>
      </w:r>
    </w:p>
    <w:p>
      <w:pPr>
        <w:spacing w:before="0" w:after="200" w:lineRule="auto" w:line="276"/>
      </w:pPr>
      <w:r>
        <w:rPr>
          <w:b/>
        </w:rPr>
        <w:t xml:space="preserve">Abstract (EN): </w:t>
      </w:r>
      <w:r>
        <w:t>Variants of Green Fluorescent Protein (GFP) are in widespread use as genetically encoded labels for biological imaging. Excitation of its neutral phenolic ground-state chromophore populates an emissive anionic phenolate state via excited-state proton transfer (ESPT) to E222 along a molecular wire. Computational studies indicate that ESPT fits an electronically adiabatic rate expression. Although reactions that operate close to the adiabatic limit can be sensitive to environmental dipolar relaxation, little is known about the role of such relaxation during ESPT in GFP. We present the first experimental evidence that dipolar relaxation of the protein matrix occurs during ESPT in response to the change in charge density distribution in the excited-state GFP chromophore and is a key determinant of the reaction pathway. Using fluorescence spectroscopy, we excited along the red edge of the neutral phenolic ground-state absorption band of several GFP variants with differing chromophore environments. Instead of resulting in a significant red shift of the center of spectral mass (CSM) of the emission spectra common for biological chromophores such as tryptophan, the CSM of each GFP variant remains almost unchanged as a function of excitation wavelength. This is consistent with each subpopulation that is selectively excited along the red edge reaching the same fully relaxed state before emission of a photon. The kinetics of environmental dipolar relaxation are therefore on the same subnanosecond time scale as ESPT, which provides an explanation for its adiabatic nature and could inform the rational design of novel fluorescent proteins with tailored photophysics.</w:t>
      </w:r>
    </w:p>
    <w:p>
      <w:pPr>
        <w:spacing w:before="120" w:after="120"/>
      </w:pPr>
      <w:r>
        <w:rPr>
          <w:sz w:val="18"/>
        </w:rPr>
        <w:t>——————————————————————————————————————————————————————————————————————</w:t>
      </w:r>
    </w:p>
    <w:p>
      <w:pPr>
        <w:spacing w:before="160" w:after="40" w:line="240" w:lineRule="auto"/>
      </w:pPr>
      <w:r>
        <w:rPr>
          <w:b/>
        </w:rPr>
        <w:t xml:space="preserve">[106] </w:t>
      </w:r>
      <w:hyperlink r:id="rId171">
        <w:r>
          <w:rPr>
            <w:color w:val="1155CC"/>
            <w:u w:val="single"/>
          </w:rPr>
          <w:t>[ASAP] 二级电池中的多功能Zeelites</w:t>
        </w:r>
      </w:hyperlink>
    </w:p>
    <w:p>
      <w:pPr>
        <w:spacing w:before="0" w:after="80"/>
      </w:pPr>
      <w:r>
        <w:rPr>
          <w:i/>
          <w:sz w:val="20"/>
        </w:rPr>
        <w:t>EN: [ASAP] Multifunctional Zeolites in Secondary Batteries</w:t>
      </w:r>
    </w:p>
    <w:p>
      <w:pPr>
        <w:spacing w:before="0" w:after="120"/>
      </w:pPr>
      <w:r>
        <w:rPr>
          <w:b/>
        </w:rPr>
        <w:t xml:space="preserve">Source: </w:t>
      </w:r>
      <w:r>
        <w:t>Chemical Reviews: Latest Articles (ACS Publications)</w:t>
      </w:r>
      <w:r>
        <w:t xml:space="preserve">    </w:t>
      </w:r>
      <w:r>
        <w:rPr>
          <w:b/>
        </w:rPr>
        <w:t xml:space="preserve">Pub date: </w:t>
      </w:r>
      <w:r>
        <w:t>2026-02-15 18:06:44+00:00</w:t>
      </w:r>
      <w:r>
        <w:t xml:space="preserve">    </w:t>
      </w:r>
      <w:r>
        <w:rPr>
          <w:b/>
        </w:rPr>
        <w:t xml:space="preserve">DOI: </w:t>
      </w:r>
      <w:hyperlink r:id="rId172">
        <w:r>
          <w:rPr>
            <w:color w:val="1155CC"/>
            <w:u w:val="single"/>
          </w:rPr>
          <w:t>10.1021/acs.chemrev.5c00626</w:t>
        </w:r>
      </w:hyperlink>
    </w:p>
    <w:p>
      <w:pPr>
        <w:spacing w:before="0" w:after="120"/>
      </w:pPr>
      <w:r>
        <w:rPr>
          <w:b/>
        </w:rPr>
        <w:t xml:space="preserve">Notes: </w:t>
      </w:r>
      <w:r>
        <w:t>abstract_source=pubmed</w:t>
      </w:r>
    </w:p>
    <w:p>
      <w:pPr>
        <w:spacing w:before="0" w:after="80" w:lineRule="auto" w:line="276"/>
      </w:pPr>
      <w:r>
        <w:rPr>
          <w:b/>
        </w:rPr>
        <w:t xml:space="preserve">摘要（ZH）: </w:t>
      </w:r>
      <w:r>
        <w:t>碳中性的目标要求开发低成本、高安全和高能量密度二级电池,预期将青蒿素全面纳入电池设计将满足这些关键要求。根据高度可调的分子筛选效应、离子导电率、催化特性等,目标导向的zeolite能够适应电池部件固有的差异和独特期望,从而实现溶剂结构调节、稳定的界面构造、固态电解优化/建造、电极储存机制调节等,从而改善电池的性能。因此,全面审查对于揭示电池中青蒿素的普遍适用性和多功能性至关重要。</w:t>
      </w:r>
    </w:p>
    <w:p>
      <w:pPr>
        <w:spacing w:before="0" w:after="200" w:lineRule="auto" w:line="276"/>
      </w:pPr>
      <w:r>
        <w:rPr>
          <w:b/>
        </w:rPr>
        <w:t xml:space="preserve">Abstract (EN): </w:t>
      </w:r>
      <w:r>
        <w:t>The goal of carbon neutrality requires the development of low-cost, high safety, and high energy density secondary batteries. The comprehensive integration of zeolites into battery design is expected to meet these key requirements. Based on highly adjustable molecular sieve effect, ion conductivity, catalytic properties, etc., goal-oriented zeolite can adapt to inherent differentiation and distinctive expectations of battery components, which achieves solvent structure regulation, stable interface construction, solid-state electrolyte optimization/construction, electrode storage mechanism regulation, etc., thereby improving various battery performance. Therefore, a comprehensive review is essential to reveal the universal applicability and multifunctionality of zeolites in batteries. This review first summarizes the structures, classifications, properties and synthesis route, and the application roadmap of zeolites is systematically described in chronological order. Most importantly, based on the elucidation of zeolite-involved physical and electrochemical behavior in electrolytes, interface, electrode, and separators optimization, we systematically analyze the structure-property-performance relationship and design principles of zeolite-integrated batteries. In addition, the scientific deficiencies, engineering challenges and possible future research directions of zeolite-integrated secondary batteries are summarized and discussed in depth. This review aims to provide guidance and new perspectives for the future research and application of emerging zeolite-based batteries.</w:t>
      </w:r>
    </w:p>
    <w:p>
      <w:pPr>
        <w:spacing w:before="120" w:after="120"/>
      </w:pPr>
      <w:r>
        <w:rPr>
          <w:sz w:val="18"/>
        </w:rPr>
        <w:t>——————————————————————————————————————————————————————————————————————</w:t>
      </w:r>
    </w:p>
    <w:p>
      <w:pPr>
        <w:spacing w:before="160" w:after="40" w:line="240" w:lineRule="auto"/>
      </w:pPr>
      <w:r>
        <w:rPr>
          <w:b/>
        </w:rPr>
        <w:t xml:space="preserve">[107] </w:t>
      </w:r>
      <w:hyperlink r:id="rId173">
        <w:r>
          <w:rPr>
            <w:color w:val="1155CC"/>
            <w:u w:val="single"/>
          </w:rPr>
          <w:t>[ASAP] 将命令带到高性能电催化器的混乱状态</w:t>
        </w:r>
      </w:hyperlink>
    </w:p>
    <w:p>
      <w:pPr>
        <w:spacing w:before="0" w:after="80"/>
      </w:pPr>
      <w:r>
        <w:rPr>
          <w:i/>
          <w:sz w:val="20"/>
        </w:rPr>
        <w:t>EN: [ASAP] Bringing Order to Chaos in High-Entropy Electrocatalysts</w:t>
      </w:r>
    </w:p>
    <w:p>
      <w:pPr>
        <w:spacing w:before="0" w:after="120"/>
      </w:pPr>
      <w:r>
        <w:rPr>
          <w:b/>
        </w:rPr>
        <w:t xml:space="preserve">Source: </w:t>
      </w:r>
      <w:r>
        <w:t>ACS Energy Letters: Latest Articles (ACS Publications)</w:t>
      </w:r>
      <w:r>
        <w:t xml:space="preserve">    </w:t>
      </w:r>
      <w:r>
        <w:rPr>
          <w:b/>
        </w:rPr>
        <w:t xml:space="preserve">Pub date: </w:t>
      </w:r>
      <w:r>
        <w:t>2026-02-15 18:20:42+00:00</w:t>
      </w:r>
      <w:r>
        <w:t xml:space="preserve">    </w:t>
      </w:r>
      <w:r>
        <w:rPr>
          <w:b/>
        </w:rPr>
        <w:t xml:space="preserve">DOI: </w:t>
      </w:r>
      <w:hyperlink r:id="rId174">
        <w:r>
          <w:rPr>
            <w:color w:val="1155CC"/>
            <w:u w:val="single"/>
          </w:rPr>
          <w:t>10.1021/acsenergylett.6c00141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175">
        <w:r>
          <w:rPr>
            <w:color w:val="1155CC"/>
            <w:u w:val="single"/>
          </w:rPr>
          <w:t>[ASAP] N2 选择性电催化内尿再循环用拉蒂-发动机镍氧化氧化镍</w:t>
        </w:r>
      </w:hyperlink>
    </w:p>
    <w:p>
      <w:pPr>
        <w:spacing w:before="0" w:after="80"/>
      </w:pPr>
      <w:r>
        <w:rPr>
          <w:i/>
          <w:sz w:val="20"/>
        </w:rPr>
        <w:t>EN: [ASAP] Lattice-Engineered Nickel Oxide for Electrocatalytic Urea Recycling with Near-Unity N2 Selectivity</w:t>
      </w:r>
    </w:p>
    <w:p>
      <w:pPr>
        <w:spacing w:before="0" w:after="120"/>
      </w:pPr>
      <w:r>
        <w:rPr>
          <w:b/>
        </w:rPr>
        <w:t xml:space="preserve">Source: </w:t>
      </w:r>
      <w:r>
        <w:t>Journal of the American Chemical Society: Latest Articles (ACS Publications)</w:t>
      </w:r>
      <w:r>
        <w:t xml:space="preserve">    </w:t>
      </w:r>
      <w:r>
        <w:rPr>
          <w:b/>
        </w:rPr>
        <w:t xml:space="preserve">Pub date: </w:t>
      </w:r>
      <w:r>
        <w:t>2026-02-15 18:24:53+00:00</w:t>
      </w:r>
      <w:r>
        <w:t xml:space="preserve">    </w:t>
      </w:r>
      <w:r>
        <w:rPr>
          <w:b/>
        </w:rPr>
        <w:t xml:space="preserve">DOI: </w:t>
      </w:r>
      <w:hyperlink r:id="rId176">
        <w:r>
          <w:rPr>
            <w:color w:val="1155CC"/>
            <w:u w:val="single"/>
          </w:rPr>
          <w:t>10.1021/jacs.5c13017</w:t>
        </w:r>
      </w:hyperlink>
    </w:p>
    <w:p>
      <w:pPr>
        <w:spacing w:before="0" w:after="120"/>
      </w:pPr>
      <w:r>
        <w:rPr>
          <w:b/>
        </w:rPr>
        <w:t xml:space="preserve">Notes: </w:t>
      </w:r>
      <w:r>
        <w:t>abstract_source=pubmed</w:t>
      </w:r>
    </w:p>
    <w:p>
      <w:pPr>
        <w:spacing w:before="0" w:after="80" w:lineRule="auto" w:line="276"/>
      </w:pPr>
      <w:r>
        <w:rPr>
          <w:b/>
        </w:rPr>
        <w:t xml:space="preserve">摘要（ZH）: </w:t>
      </w:r>
      <w:r>
        <w:t>循环氮对于我们生物系统的可持续性至关重要。 环氮是氮物种的一种核心形式,它维持着我们的食物供应,但是它天然丰富的废水和人类代谢物的肥沃性自然要求将技术传回无污染的二氮基(N2),否则它会污染环境。电化学尿素改革可以使用可再生电力将尿素分子分解成N2和二氢(H2),而N2可以通过在催化表面的氧化分子内部分子N-N-N混合直接形成。然而,由于N2的选择性低,这一改革技术仍然难以实现。 在这里,我们发现了一种有选择地将尿素分解为N2的尿氧化途径,这种途径是由镍附近的氧化镍矿点驱动的氧化二氧化二氧化物(NiO)拉特克。</w:t>
      </w:r>
    </w:p>
    <w:p>
      <w:pPr>
        <w:spacing w:before="0" w:after="200" w:lineRule="auto" w:line="276"/>
      </w:pPr>
      <w:r>
        <w:rPr>
          <w:b/>
        </w:rPr>
        <w:t xml:space="preserve">Abstract (EN): </w:t>
      </w:r>
      <w:r>
        <w:t>Circulating nitrogen is crucial to the sustainability of our living system. Urea is a central form of nitrogen species that sustains our food supply, but its natural abundance in fertilizing effluent and human metabolite demands circulating technology back to innocuous dinitrogen (N2), while it would otherwise pollute the environment. Electrochemical urea reforming can fragment the urea molecule into N2 and dihydrogen (H2) using renewable electricity, and N2 can be formed directly via oxidative intramolecular N-N coupling on catalytic surfaces. However, this reforming technology remains elusive due to the low N2 selectivity. Herein, we uncovered a urea oxidation pathway that selectively splits urea into N2, driven by nickel oxide (NiO) lattices with adjacent Ni sites. The double-ended urea coordination on NiO facilitates intramolecular N-N coupling and suppresses C-N cleavage toward undesired overoxidation products. Further lattice engineering via Al substitution creates the optimal performance of near-unity N2 selectivity toward N-based products and a 1 order of magnitude higher N2 production rate compared to those of most reported catalysts. The electrochemical urea reforming devices can effectively split urea into N2 and H2 using both synthetic urea and artificial urine, reviving this technology as a bridge of sustainable energy and environmental treatment toward the water-energy-food nexus.</w:t>
      </w:r>
    </w:p>
    <w:p>
      <w:pPr>
        <w:spacing w:before="120" w:after="120"/>
      </w:pPr>
      <w:r>
        <w:rPr>
          <w:sz w:val="18"/>
        </w:rPr>
        <w:t>——————————————————————————————————————————————————————————————————————</w:t>
      </w:r>
    </w:p>
    <w:p>
      <w:pPr>
        <w:spacing w:before="160" w:after="40" w:line="240" w:lineRule="auto"/>
      </w:pPr>
      <w:r>
        <w:rPr>
          <w:b/>
        </w:rPr>
        <w:t xml:space="preserve">[109] </w:t>
      </w:r>
      <w:hyperlink r:id="rId177">
        <w:r>
          <w:rPr>
            <w:color w:val="1155CC"/>
            <w:u w:val="single"/>
          </w:rPr>
          <w:t>[ASAP] 利用高脂肪抗力高光色光电极光化波罗酸盐对 Lewis酸催化进行电解</w:t>
        </w:r>
      </w:hyperlink>
    </w:p>
    <w:p>
      <w:pPr>
        <w:spacing w:before="0" w:after="80"/>
      </w:pPr>
      <w:r>
        <w:rPr>
          <w:i/>
          <w:sz w:val="20"/>
        </w:rPr>
        <w:t>EN: [ASAP] Photoswitching Lewis Acid Catalysis with Highly Fatigue Resistant Photochromic Boronates</w:t>
      </w:r>
    </w:p>
    <w:p>
      <w:pPr>
        <w:spacing w:before="0" w:after="120"/>
      </w:pPr>
      <w:r>
        <w:rPr>
          <w:b/>
        </w:rPr>
        <w:t xml:space="preserve">Source: </w:t>
      </w:r>
      <w:r>
        <w:t>Journal of the American Chemical Society: Latest Articles (ACS Publications)</w:t>
      </w:r>
      <w:r>
        <w:t xml:space="preserve">    </w:t>
      </w:r>
      <w:r>
        <w:rPr>
          <w:b/>
        </w:rPr>
        <w:t xml:space="preserve">Pub date: </w:t>
      </w:r>
      <w:r>
        <w:t>2026-02-15 19:07:30+00:00</w:t>
      </w:r>
      <w:r>
        <w:t xml:space="preserve">    </w:t>
      </w:r>
      <w:r>
        <w:rPr>
          <w:b/>
        </w:rPr>
        <w:t xml:space="preserve">DOI: </w:t>
      </w:r>
      <w:hyperlink r:id="rId178">
        <w:r>
          <w:rPr>
            <w:color w:val="1155CC"/>
            <w:u w:val="single"/>
          </w:rPr>
          <w:t>10.1021/jacs.5c22962</w:t>
        </w:r>
      </w:hyperlink>
    </w:p>
    <w:p>
      <w:pPr>
        <w:spacing w:before="0" w:after="120"/>
      </w:pPr>
      <w:r>
        <w:rPr>
          <w:b/>
        </w:rPr>
        <w:t xml:space="preserve">Notes: </w:t>
      </w:r>
      <w:r>
        <w:t>abstract_source=pubmed</w:t>
      </w:r>
    </w:p>
    <w:p>
      <w:pPr>
        <w:spacing w:before="0" w:after="80" w:lineRule="auto" w:line="276"/>
      </w:pPr>
      <w:r>
        <w:rPr>
          <w:b/>
        </w:rPr>
        <w:t xml:space="preserve">摘要（ZH）: </w:t>
      </w:r>
      <w:r>
        <w:t>可光开的刘易斯酸是催化法中尚未开发的前沿。 在这里, 我们引入了高度抗疲劳的日冕- 功能化的冠状物, 并系统地解释替代型态如何控制其光电转换能力。 这些刘易斯酸具有大型金枪鱼可切合性振幅, 适合对多种刘易斯酸催化物进行开/ 脱控制, 以及刘易斯基释放转化。 我们利用全球和有效刘易斯酸度( gLA 和 ELA) 的新兴框架, 展示了光异构体化如何不同地调节刘易斯酸基联体的热动力学和装束子体的激活。 与不可逆转的光化刘易斯酸生成器不同, 该系统的可逆性进一步允许光化生成平衡度以外的状态。</w:t>
      </w:r>
    </w:p>
    <w:p>
      <w:pPr>
        <w:spacing w:before="0" w:after="200" w:lineRule="auto" w:line="276"/>
      </w:pPr>
      <w:r>
        <w:rPr>
          <w:b/>
        </w:rPr>
        <w:t xml:space="preserve">Abstract (EN): </w:t>
      </w:r>
      <w:r>
        <w:t>Photoswitchable Lewis acids represent an untapped frontier in catalysis. Here, we introduce highly fatigue-resistant diarylethene-functionalized boronates and systematically elucidate how substituent patterns govern their photoswitching ability. These Lewis acids feature large tunable affinity amplitudes suitable for on/off control of diverse Lewis acid catalyses and a Lewis base release transformation. Using the emerging framework of global and effective Lewis acidity (gLA and eLA), we demonstrate how photoisomerization divergently modulates both the thermodynamics of Lewis acid-base association and the activation of bound substrates. Unlike irreversible photo Lewis acid generators, the reversibility of this system further allows the photochemical generation of out-of-equilibrium states. These findings highlight the broad potential of photoswitchable boronates for advanced functional applications.</w:t>
      </w:r>
    </w:p>
    <w:p>
      <w:pPr>
        <w:spacing w:before="120" w:after="120"/>
      </w:pPr>
      <w:r>
        <w:rPr>
          <w:sz w:val="18"/>
        </w:rPr>
        <w:t>——————————————————————————————————————————————————————————————————————</w:t>
      </w:r>
    </w:p>
    <w:p>
      <w:pPr>
        <w:spacing w:before="160" w:after="40" w:line="240" w:lineRule="auto"/>
      </w:pPr>
      <w:r>
        <w:rPr>
          <w:b/>
        </w:rPr>
        <w:t xml:space="preserve">[110] </w:t>
      </w:r>
      <w:hyperlink r:id="rId179">
        <w:r>
          <w:rPr>
            <w:color w:val="1155CC"/>
            <w:u w:val="single"/>
          </w:rPr>
          <w:t>[ASAP]对超声超声速强化泛催化肿瘤治疗的高 Entropy Sub-1 nm Nm Nnm Nnnnnnnnnowires的机械学习辅助筛查</w:t>
        </w:r>
      </w:hyperlink>
    </w:p>
    <w:p>
      <w:pPr>
        <w:spacing w:before="0" w:after="80"/>
      </w:pPr>
      <w:r>
        <w:rPr>
          <w:i/>
          <w:sz w:val="20"/>
        </w:rPr>
        <w:t>EN: [ASAP] Machine Learning-Assisted Screening of High-Entropy Sub-1 nm Nanowires for Ultrasound-Augmented Pancatalytic Tumor Therapy</w:t>
      </w:r>
    </w:p>
    <w:p>
      <w:pPr>
        <w:spacing w:before="0" w:after="120"/>
      </w:pPr>
      <w:r>
        <w:rPr>
          <w:b/>
        </w:rPr>
        <w:t xml:space="preserve">Source: </w:t>
      </w:r>
      <w:r>
        <w:t>Journal of the American Chemical Society: Latest Articles (ACS Publications)</w:t>
      </w:r>
      <w:r>
        <w:t xml:space="preserve">    </w:t>
      </w:r>
      <w:r>
        <w:rPr>
          <w:b/>
        </w:rPr>
        <w:t xml:space="preserve">Pub date: </w:t>
      </w:r>
      <w:r>
        <w:t>2026-02-15 19:08:31+00:00</w:t>
      </w:r>
      <w:r>
        <w:t xml:space="preserve">    </w:t>
      </w:r>
      <w:r>
        <w:rPr>
          <w:b/>
        </w:rPr>
        <w:t xml:space="preserve">DOI: </w:t>
      </w:r>
      <w:hyperlink r:id="rId180">
        <w:r>
          <w:rPr>
            <w:color w:val="1155CC"/>
            <w:u w:val="single"/>
          </w:rPr>
          <w:t>10.1021/jacs.5c18947</w:t>
        </w:r>
      </w:hyperlink>
    </w:p>
    <w:p>
      <w:pPr>
        <w:spacing w:before="0" w:after="120"/>
      </w:pPr>
      <w:r>
        <w:rPr>
          <w:b/>
        </w:rPr>
        <w:t xml:space="preserve">Notes: </w:t>
      </w:r>
      <w:r>
        <w:t>abstract_source=pubmed</w:t>
      </w:r>
    </w:p>
    <w:p>
      <w:pPr>
        <w:spacing w:before="0" w:after="80" w:lineRule="auto" w:line="276"/>
      </w:pPr>
      <w:r>
        <w:rPr>
          <w:b/>
        </w:rPr>
        <w:t xml:space="preserve">摘要（ZH）: </w:t>
      </w:r>
      <w:r>
        <w:t>合理设计催化纳米材料,特别是高有机物合金(HEA)纳米材料及其独特结构,对于推进全催化治疗至关重要,并有望促进催化生物医学应用,然而,传统HEA开发试验和紧急方法仍然效率低,需要资源,强调亟需以数据驱动战略加速设计下一代催化平台。我们在此报告一个机器学习(ML)辅助框架,用于合理设计下南热仪,加强治疗三负乳腺癌的多动性活动。ML算法利用广泛整理的纳米酶构成和活动数据集,确定了关键的金属元素。</w:t>
      </w:r>
    </w:p>
    <w:p>
      <w:pPr>
        <w:spacing w:before="0" w:after="200" w:lineRule="auto" w:line="276"/>
      </w:pPr>
      <w:r>
        <w:rPr>
          <w:b/>
        </w:rPr>
        <w:t xml:space="preserve">Abstract (EN): </w:t>
      </w:r>
      <w:r>
        <w:t>The rational design of catalytic nanomaterials, particularly high-entropy alloy (HEA) nanomaterials with their unique structures, is crucial for advancing pancatalytic therapy and holds promise for catalytic biomedical applications. Nevertheless, conventional trial-and-error approaches to HEA development persist in being inefficient and resource-demanding, underscoring the critical need for data-driven strategies to accelerate the design of next-generation catalytic platforms. Herein, we report a machine learning (ML)-assisted framework for the rational design of subnanometer HEAs with enhanced multicatalytic activities for the treatment of triple-negative breast cancer. Using an extensively curated dataset of nanozyme compositions and activities, ML algorithms identified key metal elements with the highest contribution to catalytic performance. Guided by these insights, a distinct PtFeMoCoNiRu HEA subnanowire (HESNW) was synthesized, in which the subnanostructure confers maximized active-site exposure and superior atomic utilization, enabling exceptional reactive oxygen species (ROS) generation. Ultrasound (US), characterized by its noninvasive and deep penetration, is employed to activate catalytic reactions. Excessive ROS production with HESNW under US irradiation induces extensive DNA damage, activating the cGAS-STING signaling pathway and leading to PANoptosis. This ML-guided design strategy enables the precise tailoring of multicatalytic HEA nanomaterials and provides a generalizable blueprint for accelerating the discovery of multifunctional nanocatalysts through data-driven methodologies.</w:t>
      </w:r>
    </w:p>
    <w:p>
      <w:pPr>
        <w:spacing w:before="120" w:after="120"/>
      </w:pPr>
      <w:r>
        <w:rPr>
          <w:sz w:val="18"/>
        </w:rPr>
        <w:t>——————————————————————————————————————————————————————————————————————</w:t>
      </w:r>
    </w:p>
    <w:p>
      <w:pPr>
        <w:spacing w:before="160" w:after="40" w:line="240" w:lineRule="auto"/>
      </w:pPr>
      <w:r>
        <w:rPr>
          <w:b/>
        </w:rPr>
        <w:t xml:space="preserve">[111] </w:t>
      </w:r>
      <w:hyperlink r:id="rId181">
        <w:r>
          <w:rPr>
            <w:color w:val="1155CC"/>
            <w:u w:val="single"/>
          </w:rPr>
          <w:t>Chemoproteomics将STAT3确定为在改善肝纤维化过程中,Baicalin的关键目标之一。</w:t>
        </w:r>
      </w:hyperlink>
    </w:p>
    <w:p>
      <w:pPr>
        <w:spacing w:before="0" w:after="80"/>
      </w:pPr>
      <w:r>
        <w:rPr>
          <w:i/>
          <w:sz w:val="20"/>
        </w:rPr>
        <w:t>EN: Chemoproteomics identifies STAT3 as a key target of baicalin in ameliorating liver fibrosis</w:t>
      </w:r>
    </w:p>
    <w:p>
      <w:pPr>
        <w:spacing w:before="0" w:after="120"/>
      </w:pPr>
      <w:r>
        <w:rPr>
          <w:b/>
        </w:rPr>
        <w:t xml:space="preserve">Source: </w:t>
      </w:r>
      <w:r>
        <w:t>National Science Review Advance Access</w:t>
      </w:r>
      <w:r>
        <w:t xml:space="preserve">    </w:t>
      </w:r>
      <w:r>
        <w:rPr>
          <w:b/>
        </w:rPr>
        <w:t xml:space="preserve">Pub date: </w:t>
      </w:r>
      <w:r>
        <w:t>2026-02-16 00:00:00+00:00</w:t>
      </w:r>
      <w:r>
        <w:t xml:space="preserve">    </w:t>
      </w:r>
      <w:r>
        <w:rPr>
          <w:b/>
        </w:rPr>
        <w:t xml:space="preserve">DOI: </w:t>
      </w:r>
      <w:hyperlink r:id="rId182">
        <w:r>
          <w:rPr>
            <w:color w:val="1155CC"/>
            <w:u w:val="single"/>
          </w:rPr>
          <w:t>10.1093/nsr/nwag093/8487640</w:t>
        </w:r>
      </w:hyperlink>
    </w:p>
    <w:p>
      <w:pPr>
        <w:spacing w:before="0" w:after="120"/>
      </w:pPr>
      <w:r>
        <w:rPr>
          <w:b/>
        </w:rPr>
        <w:t xml:space="preserve">Notes: </w:t>
      </w:r>
      <w:r>
        <w:t>abstract_source=rss_oup</w:t>
      </w:r>
    </w:p>
    <w:p>
      <w:pPr>
        <w:spacing w:before="0" w:after="80" w:lineRule="auto" w:line="276"/>
      </w:pPr>
      <w:r>
        <w:rPr>
          <w:b/>
        </w:rPr>
        <w:t xml:space="preserve">摘要（ZH）: </w:t>
      </w:r>
      <w:r>
        <w:t>肝脏肝脏外细胞基体的沉积和降解不平衡,导致肝脏肝脏纤维纤维化。 目前,肝肝脏目前没有有效的治疗药物。 在这次研究中,我们证明,是中国传统医学Scutellaria baicers的主要活性成分之一。</w:t>
      </w:r>
    </w:p>
    <w:p>
      <w:pPr>
        <w:spacing w:before="0" w:after="200" w:lineRule="auto" w:line="276"/>
      </w:pPr>
      <w:r>
        <w:rPr>
          <w:b/>
        </w:rPr>
        <w:t xml:space="preserve">Abstract (EN): </w:t>
      </w:r>
      <w:r>
        <w:t>Liver fibrosis results from an imbalance between the deposition and degradation of the extracellular matrix in the liver, where there are currently no effective therapeutic drugs available. In this study, we demonstrated that baicalin, a major active component of the traditional Chinese medicine Scutellaria baicalensis</w:t>
      </w:r>
    </w:p>
    <w:p>
      <w:pPr>
        <w:spacing w:before="120" w:after="120"/>
      </w:pPr>
      <w:r>
        <w:rPr>
          <w:sz w:val="18"/>
        </w:rPr>
        <w:t>——————————————————————————————————————————————————————————————————————</w:t>
      </w:r>
    </w:p>
    <w:p>
      <w:pPr>
        <w:spacing w:before="160" w:after="40" w:line="240" w:lineRule="auto"/>
      </w:pPr>
      <w:r>
        <w:rPr>
          <w:b/>
        </w:rPr>
        <w:t xml:space="preserve">[112] </w:t>
      </w:r>
      <w:hyperlink r:id="rId183">
        <w:r>
          <w:rPr>
            <w:color w:val="1155CC"/>
            <w:u w:val="single"/>
          </w:rPr>
          <w:t>财政政策和能源价格冲击</w:t>
        </w:r>
      </w:hyperlink>
    </w:p>
    <w:p>
      <w:pPr>
        <w:spacing w:before="0" w:after="80"/>
      </w:pPr>
      <w:r>
        <w:rPr>
          <w:i/>
          <w:sz w:val="20"/>
        </w:rPr>
        <w:t>EN: Fiscal policy and energy price shocks</w:t>
      </w:r>
    </w:p>
    <w:p>
      <w:pPr>
        <w:spacing w:before="0" w:after="120"/>
      </w:pPr>
      <w:r>
        <w:rPr>
          <w:b/>
        </w:rPr>
        <w:t xml:space="preserve">Source: </w:t>
      </w:r>
      <w:r>
        <w:t>ScienceDirect Publication: Energy Policy</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184">
        <w:r>
          <w:rPr>
            <w:color w:val="1155CC"/>
            <w:u w:val="single"/>
          </w:rPr>
          <w:t>N-氧化的选择性非卤化和</w:t>
        </w:r>
      </w:hyperlink>
    </w:p>
    <w:p>
      <w:pPr>
        <w:spacing w:before="0" w:after="80"/>
      </w:pPr>
      <w:r>
        <w:rPr>
          <w:i/>
          <w:sz w:val="20"/>
        </w:rPr>
        <w:t>EN: Nucleophilic regioselective meta-halogenation and -sulfuration of pyridine N-oxides</w:t>
      </w:r>
    </w:p>
    <w:p>
      <w:pPr>
        <w:spacing w:before="0" w:after="120"/>
      </w:pPr>
      <w:r>
        <w:rPr>
          <w:b/>
        </w:rPr>
        <w:t xml:space="preserve">Source: </w:t>
      </w:r>
      <w:r>
        <w:t>Chem</w:t>
      </w:r>
      <w:r>
        <w:t xml:space="preserve">    </w:t>
      </w:r>
      <w:r>
        <w:rPr>
          <w:b/>
        </w:rPr>
        <w:t xml:space="preserve">Pub date: </w:t>
      </w:r>
      <w:r>
        <w:t>2026-02-16 00:00:00+00:00</w:t>
      </w:r>
    </w:p>
    <w:p>
      <w:pPr>
        <w:spacing w:before="0" w:after="120"/>
      </w:pPr>
      <w:r>
        <w:rPr>
          <w:b/>
        </w:rPr>
        <w:t xml:space="preserve">Notes: </w:t>
      </w:r>
      <w:r>
        <w:t>abstract_source=rss_cell</w:t>
      </w:r>
    </w:p>
    <w:p>
      <w:pPr>
        <w:spacing w:before="0" w:after="80" w:lineRule="auto" w:line="276"/>
      </w:pPr>
      <w:r>
        <w:rPr>
          <w:b/>
        </w:rPr>
        <w:t xml:space="preserve">摘要（ZH）: </w:t>
      </w:r>
      <w:r>
        <w:t>歌曲和同事报告说,通过原地重聚-还原战略,对pyridine进行核生殖、C-5-regio选择性卤化。卤化试剂-imidoyl halides的商业供应和实用的简单化使这一方法具有实际价值。这种核生殖性卤化战略可以作为对Pyridine现有的电子生殖或激进代谢方法的有益补充。</w:t>
      </w:r>
    </w:p>
    <w:p>
      <w:pPr>
        <w:spacing w:before="0" w:after="200" w:lineRule="auto" w:line="276"/>
      </w:pPr>
      <w:r>
        <w:rPr>
          <w:b/>
        </w:rPr>
        <w:t xml:space="preserve">Abstract (EN): </w:t>
      </w:r>
      <w:r>
        <w:t>Song and co-workers report a nucleophilic, C-5-regioselective halogenation of pyridines via an in situ dearomatization-rearomatization strategy. The commercial availability of halogenating reagents—imidoyl halides—and operational simplicity endow this method with practical value. This nucleophilic halogenation strategy can serve as a beneficial complement to existing electrophilic or radical meta-halogenation methods for pyridines.</w:t>
      </w:r>
    </w:p>
    <w:p>
      <w:pPr>
        <w:spacing w:before="120" w:after="120"/>
      </w:pPr>
      <w:r>
        <w:rPr>
          <w:sz w:val="18"/>
        </w:rPr>
        <w:t>——————————————————————————————————————————————————————————————————————</w:t>
      </w:r>
    </w:p>
    <w:p>
      <w:pPr>
        <w:spacing w:before="160" w:after="40" w:line="240" w:lineRule="auto"/>
      </w:pPr>
      <w:r>
        <w:rPr>
          <w:b/>
        </w:rPr>
        <w:t xml:space="preserve">[114] </w:t>
      </w:r>
      <w:hyperlink r:id="rId185">
        <w:r>
          <w:rPr>
            <w:color w:val="1155CC"/>
            <w:u w:val="single"/>
          </w:rPr>
          <w:t>Trican:一个分阶段过渡分子机器人, 实现闭环感官感官计算活性控制 以控制炎症触发骨骼再生</w:t>
        </w:r>
      </w:hyperlink>
    </w:p>
    <w:p>
      <w:pPr>
        <w:spacing w:before="0" w:after="80"/>
      </w:pPr>
      <w:r>
        <w:rPr>
          <w:i/>
          <w:sz w:val="20"/>
        </w:rPr>
        <w:t>EN: TriCAN: A phase-transition molecular robot realizing closed-loop sense-compute-actuate control for inflammation-triggered bone regeneration</w:t>
      </w:r>
    </w:p>
    <w:p>
      <w:pPr>
        <w:spacing w:before="0" w:after="120"/>
      </w:pPr>
      <w:r>
        <w:rPr>
          <w:b/>
        </w:rPr>
        <w:t xml:space="preserve">Source: </w:t>
      </w:r>
      <w:r>
        <w:t>Chem</w:t>
      </w:r>
      <w:r>
        <w:t xml:space="preserve">    </w:t>
      </w:r>
      <w:r>
        <w:rPr>
          <w:b/>
        </w:rPr>
        <w:t xml:space="preserve">Pub date: </w:t>
      </w:r>
      <w:r>
        <w:t>2026-02-16 00:00:00+00:00</w:t>
      </w:r>
    </w:p>
    <w:p>
      <w:pPr>
        <w:spacing w:before="0" w:after="120"/>
      </w:pPr>
      <w:r>
        <w:rPr>
          <w:b/>
        </w:rPr>
        <w:t xml:space="preserve">Notes: </w:t>
      </w:r>
      <w:r>
        <w:t>abstract_source=rss_cell</w:t>
      </w:r>
    </w:p>
    <w:p>
      <w:pPr>
        <w:spacing w:before="0" w:after="80" w:lineRule="auto" w:line="276"/>
      </w:pPr>
      <w:r>
        <w:rPr>
          <w:b/>
        </w:rPr>
        <w:t xml:space="preserve">摘要（ZH）: </w:t>
      </w:r>
      <w:r>
        <w:t>多数药物携带者一旦看到一个信号就立即开火,即使组织没有真正被感染。 这项工作造就了一个“纳米机器人 ” ( nanorobot ), Trican(三发细胞适应性纳米机器人 ), 等待三种条件:接触骨形干细胞、酸性pH和过量氧化剂。 只有这样,凝胶到滴子到溶液的过渡阶段才能解除骨质再生的浸泡,在保持健康地点的同时修复发热的周期骨骼。</w:t>
      </w:r>
    </w:p>
    <w:p>
      <w:pPr>
        <w:spacing w:before="0" w:after="200" w:lineRule="auto" w:line="276"/>
      </w:pPr>
      <w:r>
        <w:rPr>
          <w:b/>
        </w:rPr>
        <w:t xml:space="preserve">Abstract (EN): </w:t>
      </w:r>
      <w:r>
        <w:t>Most drug carriers fire as soon as they see one signal, even if the tissue is not truly diseased. This work builds a peptide “nanorobot,” TriCAN (tri-phasic cell-adaptive nanorobot), that waits for three conditions: contact with a bone-forming stem cell, acidic pH, and excess oxidants. Only then does a gel-to-droplet-to-solution phase transition uncage a bone-regenerating peptide, repairing inflamed periodontal bone while sparing healthy sites.</w:t>
      </w:r>
    </w:p>
    <w:p>
      <w:pPr>
        <w:spacing w:before="120" w:after="120"/>
      </w:pPr>
      <w:r>
        <w:rPr>
          <w:sz w:val="18"/>
        </w:rPr>
        <w:t>——————————————————————————————————————————————————————————————————————</w:t>
      </w:r>
    </w:p>
    <w:p>
      <w:pPr>
        <w:spacing w:before="160" w:after="40" w:line="240" w:lineRule="auto"/>
      </w:pPr>
      <w:r>
        <w:rPr>
          <w:b/>
        </w:rPr>
        <w:t xml:space="preserve">[115] </w:t>
      </w:r>
      <w:hyperlink r:id="rId186">
        <w:r>
          <w:rPr>
            <w:color w:val="1155CC"/>
            <w:u w:val="single"/>
          </w:rPr>
          <w:t>通过机器学习制导激光激光除尘器,超伸缩性超超气候恐惧表面</w:t>
        </w:r>
      </w:hyperlink>
    </w:p>
    <w:p>
      <w:pPr>
        <w:spacing w:before="0" w:after="80"/>
      </w:pPr>
      <w:r>
        <w:rPr>
          <w:i/>
          <w:sz w:val="20"/>
        </w:rPr>
        <w:t>EN: Ultra-stretchable superomniphobic surfaces via machine-learning-guided laser ablation</w:t>
      </w:r>
    </w:p>
    <w:p>
      <w:pPr>
        <w:spacing w:before="0" w:after="120"/>
      </w:pPr>
      <w:r>
        <w:rPr>
          <w:b/>
        </w:rPr>
        <w:t xml:space="preserve">Source: </w:t>
      </w:r>
      <w:r>
        <w:t>Matter</w:t>
      </w:r>
      <w:r>
        <w:t xml:space="preserve">    </w:t>
      </w:r>
      <w:r>
        <w:rPr>
          <w:b/>
        </w:rPr>
        <w:t xml:space="preserve">Pub date: </w:t>
      </w:r>
      <w:r>
        <w:t>2026-02-16 00:00:00+00:00</w:t>
      </w:r>
    </w:p>
    <w:p>
      <w:pPr>
        <w:spacing w:before="0" w:after="120"/>
      </w:pPr>
      <w:r>
        <w:rPr>
          <w:b/>
        </w:rPr>
        <w:t xml:space="preserve">Notes: </w:t>
      </w:r>
      <w:r>
        <w:t>abstract_source=rss_cell</w:t>
      </w:r>
    </w:p>
    <w:p>
      <w:pPr>
        <w:spacing w:before="0" w:after="80" w:lineRule="auto" w:line="276"/>
      </w:pPr>
      <w:r>
        <w:rPr>
          <w:b/>
        </w:rPr>
        <w:t xml:space="preserve">摘要（ZH）: </w:t>
      </w:r>
      <w:r>
        <w:t>我们开发了一种简单、可缩放和无溶剂的二氧化碳激光熔化技术,以制造超伸缩超超感光化表面。 由于激光材料的相互作用非常复杂,我们使用一个机器学习框架来确定最佳激光熔化条件,而没有广泛的试发实验。 由此形成的表面可以在多种变形模式中保留超感光化性,包括400%的压力和5 000+伸展释放周期。</w:t>
      </w:r>
    </w:p>
    <w:p>
      <w:pPr>
        <w:spacing w:before="0" w:after="200" w:lineRule="auto" w:line="276"/>
      </w:pPr>
      <w:r>
        <w:rPr>
          <w:b/>
        </w:rPr>
        <w:t xml:space="preserve">Abstract (EN): </w:t>
      </w:r>
      <w:r>
        <w:t>We developed a simple, scalable, and solvent-free CO2 laser ablation technique to fabricate ultra-stretchable superomniphobic surfaces. Since laser-material interactions are highly complex, we used a machine learning framework to identify the optimal laser ablation conditions without extensive trial-and-error experimentation. The resulting surfaces can retain superomniphobicity in multiple deformation modes, including 400% strain and 5,000+ stretch-release cycles.</w:t>
      </w:r>
    </w:p>
    <w:p>
      <w:pPr>
        <w:spacing w:before="120" w:after="120"/>
      </w:pPr>
      <w:r>
        <w:rPr>
          <w:sz w:val="18"/>
        </w:rPr>
        <w:t>——————————————————————————————————————————————————————————————————————</w:t>
      </w:r>
    </w:p>
    <w:p>
      <w:pPr>
        <w:spacing w:before="160" w:after="40" w:line="240" w:lineRule="auto"/>
      </w:pPr>
      <w:r>
        <w:rPr>
          <w:b/>
        </w:rPr>
        <w:t xml:space="preserve">[116] </w:t>
      </w:r>
      <w:hyperlink r:id="rId187">
        <w:r>
          <w:rPr>
            <w:color w:val="1155CC"/>
            <w:u w:val="single"/>
          </w:rPr>
          <w:t>有机光电子材料的耐感测试</w:t>
        </w:r>
      </w:hyperlink>
    </w:p>
    <w:p>
      <w:pPr>
        <w:spacing w:before="0" w:after="80"/>
      </w:pPr>
      <w:r>
        <w:rPr>
          <w:i/>
          <w:sz w:val="20"/>
        </w:rPr>
        <w:t>EN: Tensile testing of organic optoelectronic materials</w:t>
      </w:r>
    </w:p>
    <w:p>
      <w:pPr>
        <w:spacing w:before="0" w:after="120"/>
      </w:pPr>
      <w:r>
        <w:rPr>
          <w:b/>
        </w:rPr>
        <w:t xml:space="preserve">Source: </w:t>
      </w:r>
      <w:r>
        <w:t>Nature Reviews Clean Technology</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[117] </w:t>
      </w:r>
      <w:hyperlink r:id="rId188">
        <w:r>
          <w:rPr>
            <w:color w:val="1155CC"/>
            <w:u w:val="single"/>
          </w:rPr>
          <w:t>用于大规模能源储存的半液体锂-硫电池</w:t>
        </w:r>
      </w:hyperlink>
    </w:p>
    <w:p>
      <w:pPr>
        <w:spacing w:before="0" w:after="80"/>
      </w:pPr>
      <w:r>
        <w:rPr>
          <w:i/>
          <w:sz w:val="20"/>
        </w:rPr>
        <w:t>EN: Semi-liquid lithium−sulfur batteries for large-scale energy storage</w:t>
      </w:r>
    </w:p>
    <w:p>
      <w:pPr>
        <w:spacing w:before="0" w:after="120"/>
      </w:pPr>
      <w:r>
        <w:rPr>
          <w:b/>
        </w:rPr>
        <w:t xml:space="preserve">Source: </w:t>
      </w:r>
      <w:r>
        <w:t>Nature Reviews Clean Technology</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从风和太阳能等可再生能源获得可靠电力是绿色经济的基础,而能源储存是这个体系的重要组成部分。 在各种能源储存技术中,锂-硫(Li-S)电池因其多电子再氧化反应、高理论能源密度(2,500Whk千克-1)和成本效益而引起了人们的兴趣。 然而,实现潜力的主要挑战在于形成可溶液液体中间体和固体硫物种不受控制的降水,从而损害长期循环的稳定。 在本次审查中,我们讨论开发半液体-硅-硫电池,将可溶性硫物质作为木化活性材料(催化剂 ), 这可以解决不可逆转的固体-液体-固体阶段过渡。</w:t>
      </w:r>
    </w:p>
    <w:p>
      <w:pPr>
        <w:spacing w:before="0" w:after="200" w:lineRule="auto" w:line="276"/>
      </w:pPr>
      <w:r>
        <w:rPr>
          <w:b/>
        </w:rPr>
        <w:t xml:space="preserve">Abstract (EN): </w:t>
      </w:r>
      <w:r>
        <w:t>Reliable access to electricity from renewable sources such as wind and solar underpins the green economy, and energy storage is an essential component of this system. Among various energy storage technologies, lithium–sulfur (Li–S) batteries have attracted interest due to their multielectron redox reactions, high theoretical energy density (2,500 Wh kg–1) and cost-effectiveness. However, major challenges in realizing their potential lie in the formation of soluble liquid intermediates and uncontrolled precipitation of solid sulfur species, impairing long-term cycling stability. In this Review, we discuss the development of semi-liquid Li–S batteries with soluble sulfur species as cathode active materials (catholytes), which can resolve the irreversible solid–liquid–solid phase transitions that affect conventional Li–S systems. In both static and redox-flow configurations, the attainable energy density of semi-liquid Li–S batteries is governed primarily by the solubility and utilization of active sulfur species in non-aqueous catholytes. Rational optimization of the catholyte composition, electrode substrates and cell architectures is therefore required to balance sulfur utilization, mass transport and device-level constraints. Continued advances in improving sulfur solubility in catholytes and reducing system complexity and cost will be critical for translating semi-liquid Li–S batteries into scalable technologies for large-scale energy storage.</w:t>
      </w:r>
    </w:p>
    <w:p>
      <w:pPr>
        <w:spacing w:before="120" w:after="120"/>
      </w:pPr>
      <w:r>
        <w:rPr>
          <w:sz w:val="18"/>
        </w:rPr>
        <w:t>——————————————————————————————————————————————————————————————————————</w:t>
      </w:r>
    </w:p>
    <w:p>
      <w:pPr>
        <w:spacing w:before="160" w:after="40" w:line="240" w:lineRule="auto"/>
      </w:pPr>
      <w:r>
        <w:rPr>
          <w:b/>
        </w:rPr>
        <w:t xml:space="preserve">[118] </w:t>
      </w:r>
      <w:hyperlink r:id="rId189">
        <w:r>
          <w:rPr>
            <w:color w:val="1155CC"/>
            <w:u w:val="single"/>
          </w:rPr>
          <w:t>将油脂纳米粒子交叉连接起来,可提高MRNA疫苗的交付效率和功效</w:t>
        </w:r>
      </w:hyperlink>
    </w:p>
    <w:p>
      <w:pPr>
        <w:spacing w:before="0" w:after="80"/>
      </w:pPr>
      <w:r>
        <w:rPr>
          <w:i/>
          <w:sz w:val="20"/>
        </w:rPr>
        <w:t>EN: Crosslinking of lipid nanoparticles enhances the delivery efficiency and efficacy of mRNA vaccines</w:t>
      </w:r>
    </w:p>
    <w:p>
      <w:pPr>
        <w:spacing w:before="0" w:after="120"/>
      </w:pPr>
      <w:r>
        <w:rPr>
          <w:b/>
        </w:rPr>
        <w:t xml:space="preserve">Source: </w:t>
      </w:r>
      <w:r>
        <w:t>Nature Chemical Engineering</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利皮纳米粒子(LNPs)使得能够有效提供RNA治疗和 mRNA疫苗,然而,它们的更广泛应用受到低于最优化的稳定性和内分泌脱逃效率的限制。我们在这里介绍了一种易于采用、能够加强MRNA LNP的结构和功能稳定性的组合后交叉连接方法。我们利用一系列胆固醇衍生物和交叉连接方法,在 mRNA LNP组装后,在脂质成分之间促成交叉连接,形成交叉连接的LNPs。我们系统地评估了交叉连接参数,并确定了提高CLNP的物理稳定性和转基因效率的最佳条件。我们的调查结果表明,CLNPs在储存和液压下表现出更好的结构完整性。</w:t>
      </w:r>
    </w:p>
    <w:p>
      <w:pPr>
        <w:spacing w:before="0" w:after="200" w:lineRule="auto" w:line="276"/>
      </w:pPr>
      <w:r>
        <w:rPr>
          <w:b/>
        </w:rPr>
        <w:t xml:space="preserve">Abstract (EN): </w:t>
      </w:r>
      <w:r>
        <w:t>Lipid nanoparticles (LNPs) have enabled the effective delivery of RNA therapeutics and mRNA vaccines. However, their broader applications are limited by suboptimal stability and endosomal escape efficiency. Here we present a readily adoptable post-assembly crosslinking approach that enhances the structural and functional stability of mRNA LNPs. By leveraging a series of cholesterol derivatives and crosslinking methods, we induce crosslinks between the lipid components following mRNA LNP assembly, forming crosslinked LNPs (cLNPs). We systematically evaluated crosslinking parameters and identified the optimal conditions that enhance both the physical stability and transfection efficiency of cLNPs. Our findings demonstrate that cLNPs exhibit improved structural integrity under storage and lyophilization conditions, and increased extracellular stability and endosomal escape efficiency, resulting in improved performance of mRNA LNPs both in vitro and in vivo. This crosslinking strategy enables more resilient formulations and expands the applicability of LNP-based therapies for gene therapy and vaccine delivery. Our work lays the foundation for next-generation LNPs with enhanced stability and delivery efficiency, amplifying the impact of RNA therapeutics and vaccines.</w:t>
      </w:r>
    </w:p>
    <w:p>
      <w:pPr>
        <w:spacing w:before="120" w:after="120"/>
      </w:pPr>
      <w:r>
        <w:rPr>
          <w:sz w:val="18"/>
        </w:rPr>
        <w:t>——————————————————————————————————————————————————————————————————————</w:t>
      </w:r>
    </w:p>
    <w:p>
      <w:pPr>
        <w:spacing w:before="160" w:after="40" w:line="240" w:lineRule="auto"/>
      </w:pPr>
      <w:r>
        <w:rPr>
          <w:b/>
        </w:rPr>
        <w:t xml:space="preserve">[119] </w:t>
      </w:r>
      <w:hyperlink r:id="rId190">
        <w:r>
          <w:rPr>
            <w:color w:val="1155CC"/>
            <w:u w:val="single"/>
          </w:rPr>
          <w:t>确保生物地球化学行星界间的一致性</w:t>
        </w:r>
      </w:hyperlink>
    </w:p>
    <w:p>
      <w:pPr>
        <w:spacing w:before="0" w:after="80"/>
      </w:pPr>
      <w:r>
        <w:rPr>
          <w:i/>
          <w:sz w:val="20"/>
        </w:rPr>
        <w:t>EN: Ensuring consistency between biogeochemical planetary boundaries</w:t>
      </w:r>
    </w:p>
    <w:p>
      <w:pPr>
        <w:spacing w:before="0" w:after="120"/>
      </w:pPr>
      <w:r>
        <w:rPr>
          <w:b/>
        </w:rPr>
        <w:t xml:space="preserve">Source: </w:t>
      </w:r>
      <w:r>
        <w:t>Nature Sustainability</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行星边界框架设定了将人类置于安全运行空间的防范限度,目的是维持一个稳定、类似全新地球的地球系统。但是,目前估算这些限度的方法由于过度统计与气候变化有关的生物地球化学风险而造成了不平衡。我们在这里提出了一个与其它生物地球化学流动界限相一致的、经修订的、以流动为基础的、用于估算气候变化边界的方法。我们发现,在一致的方针下,气候变化比氮和磷更加严重。这符合人们广泛接受的观点,即温室气体排放是环境保护中最紧迫的生物地球化学问题之一。</w:t>
      </w:r>
    </w:p>
    <w:p>
      <w:pPr>
        <w:spacing w:before="0" w:after="200" w:lineRule="auto" w:line="276"/>
      </w:pPr>
      <w:r>
        <w:rPr>
          <w:b/>
        </w:rPr>
        <w:t xml:space="preserve">Abstract (EN): </w:t>
      </w:r>
      <w:r>
        <w:t>The planetary boundaries framework sets precautionary limits to keep humanity within a safe operating space, aiming to maintain a stable, Holocene-like Earth system. Current methods for estimating these limits, however, create an imbalance by overstating biogeochemical risks relative to climate change. Here we propose a revised, flow-based, method for estimating the climate change boundary, aligned with the other biogeochemical flow boundaries. We find that under a consistent approach, climate change is in greater violation than nitrogen and phosphorus. This is consistent with the widely accepted view that greenhouse gas emissions constitute one of the most pressing biogeochemical issues in environmental protection.</w:t>
      </w:r>
    </w:p>
    <w:p>
      <w:pPr>
        <w:spacing w:before="120" w:after="120"/>
      </w:pPr>
      <w:r>
        <w:rPr>
          <w:sz w:val="18"/>
        </w:rPr>
        <w:t>——————————————————————————————————————————————————————————————————————</w:t>
      </w:r>
    </w:p>
    <w:p>
      <w:pPr>
        <w:spacing w:before="160" w:after="40" w:line="240" w:lineRule="auto"/>
      </w:pPr>
      <w:r>
        <w:rPr>
          <w:b/>
        </w:rPr>
        <w:t xml:space="preserve">[120] </w:t>
      </w:r>
      <w:hyperlink r:id="rId191">
        <w:r>
          <w:rPr>
            <w:color w:val="1155CC"/>
            <w:u w:val="single"/>
          </w:rPr>
          <w:t>校正:应对EGFR封锁直肠癌的基因组景观</w:t>
        </w:r>
      </w:hyperlink>
    </w:p>
    <w:p>
      <w:pPr>
        <w:spacing w:before="0" w:after="80"/>
      </w:pPr>
      <w:r>
        <w:rPr>
          <w:i/>
          <w:sz w:val="20"/>
        </w:rPr>
        <w:t>EN: Author Correction: The genomic landscape of response to EGFR blockade in colorectal cancer</w:t>
      </w:r>
    </w:p>
    <w:p>
      <w:pPr>
        <w:spacing w:before="0" w:after="120"/>
      </w:pPr>
      <w:r>
        <w:rPr>
          <w:b/>
        </w:rPr>
        <w:t xml:space="preserve">Source: </w:t>
      </w:r>
      <w:r>
        <w:t>Nature</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[121] </w:t>
      </w:r>
      <w:hyperlink r:id="rId192">
        <w:r>
          <w:rPr>
            <w:color w:val="1155CC"/>
            <w:u w:val="single"/>
          </w:rPr>
          <w:t>为什么欧洲不让中国参加旗舰地平地平线研究方案</w:t>
        </w:r>
      </w:hyperlink>
    </w:p>
    <w:p>
      <w:pPr>
        <w:spacing w:before="0" w:after="80"/>
      </w:pPr>
      <w:r>
        <w:rPr>
          <w:i/>
          <w:sz w:val="20"/>
        </w:rPr>
        <w:t>EN: Why Europe barred China from flagship Horizon research programmes</w:t>
      </w:r>
    </w:p>
    <w:p>
      <w:pPr>
        <w:spacing w:before="0" w:after="120"/>
      </w:pPr>
      <w:r>
        <w:rPr>
          <w:b/>
        </w:rPr>
        <w:t xml:space="preserve">Source: </w:t>
      </w:r>
      <w:r>
        <w:t>Nature</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[122] </w:t>
      </w:r>
      <w:hyperlink r:id="rId193">
        <w:r>
          <w:rPr>
            <w:color w:val="1155CC"/>
            <w:u w:val="single"/>
          </w:rPr>
          <w:t>能否理解意识——死亡的这一方面?</w:t>
        </w:r>
      </w:hyperlink>
    </w:p>
    <w:p>
      <w:pPr>
        <w:spacing w:before="0" w:after="80"/>
      </w:pPr>
      <w:r>
        <w:rPr>
          <w:i/>
          <w:sz w:val="20"/>
        </w:rPr>
        <w:t>EN: Can consciousness ever be understood — this side of death?</w:t>
      </w:r>
    </w:p>
    <w:p>
      <w:pPr>
        <w:spacing w:before="0" w:after="120"/>
      </w:pPr>
      <w:r>
        <w:rPr>
          <w:b/>
        </w:rPr>
        <w:t xml:space="preserve">Source: </w:t>
      </w:r>
      <w:r>
        <w:t>Nature</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194">
        <w:r>
          <w:rPr>
            <w:color w:val="1155CC"/>
            <w:u w:val="single"/>
          </w:rPr>
          <w:t>为什么我们不知道公众对于科学的看法?</w:t>
        </w:r>
      </w:hyperlink>
    </w:p>
    <w:p>
      <w:pPr>
        <w:spacing w:before="0" w:after="80"/>
      </w:pPr>
      <w:r>
        <w:rPr>
          <w:i/>
          <w:sz w:val="20"/>
        </w:rPr>
        <w:t>EN: Why we don’t really know what the public thinks about science</w:t>
      </w:r>
    </w:p>
    <w:p>
      <w:pPr>
        <w:spacing w:before="0" w:after="120"/>
      </w:pPr>
      <w:r>
        <w:rPr>
          <w:b/>
        </w:rPr>
        <w:t xml:space="preserve">Source: </w:t>
      </w:r>
      <w:r>
        <w:t>Nature</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[124] </w:t>
      </w:r>
      <w:hyperlink r:id="rId195">
        <w:r>
          <w:rPr>
            <w:color w:val="1155CC"/>
            <w:u w:val="single"/>
          </w:rPr>
          <w:t>如何用你的研究专长 给一个大众化科学作家</w:t>
        </w:r>
      </w:hyperlink>
    </w:p>
    <w:p>
      <w:pPr>
        <w:spacing w:before="0" w:after="80"/>
      </w:pPr>
      <w:r>
        <w:rPr>
          <w:i/>
          <w:sz w:val="20"/>
        </w:rPr>
        <w:t>EN: How to wow a popular-science writer with your research expertise</w:t>
      </w:r>
    </w:p>
    <w:p>
      <w:pPr>
        <w:spacing w:before="0" w:after="120"/>
      </w:pPr>
      <w:r>
        <w:rPr>
          <w:b/>
        </w:rPr>
        <w:t xml:space="preserve">Source: </w:t>
      </w:r>
      <w:r>
        <w:t>Nature</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196">
        <w:r>
          <w:rPr>
            <w:color w:val="1155CC"/>
            <w:u w:val="single"/>
          </w:rPr>
          <w:t>每日简报:新平台让AI代理商雇用人手</w:t>
        </w:r>
      </w:hyperlink>
    </w:p>
    <w:p>
      <w:pPr>
        <w:spacing w:before="0" w:after="80"/>
      </w:pPr>
      <w:r>
        <w:rPr>
          <w:i/>
          <w:sz w:val="20"/>
        </w:rPr>
        <w:t>EN: Daily briefing: New platform lets AI agents hire human helpers</w:t>
      </w:r>
    </w:p>
    <w:p>
      <w:pPr>
        <w:spacing w:before="0" w:after="120"/>
      </w:pPr>
      <w:r>
        <w:rPr>
          <w:b/>
        </w:rPr>
        <w:t xml:space="preserve">Source: </w:t>
      </w:r>
      <w:r>
        <w:t>Nature</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[126] </w:t>
      </w:r>
      <w:hyperlink r:id="rId197">
        <w:r>
          <w:rPr>
            <w:color w:val="1155CC"/>
            <w:u w:val="single"/>
          </w:rPr>
          <w:t>校正: 作者更正: 大萧条前前皮层与前头部皮层的 内部定向连通连接次区域</w:t>
        </w:r>
      </w:hyperlink>
    </w:p>
    <w:p>
      <w:pPr>
        <w:spacing w:before="0" w:after="80"/>
      </w:pPr>
      <w:r>
        <w:rPr>
          <w:i/>
          <w:sz w:val="20"/>
        </w:rPr>
        <w:t>EN: Author Correction: Intracranial directed connectivity links subregions of the prefrontal cortex to major depression</w:t>
      </w:r>
    </w:p>
    <w:p>
      <w:pPr>
        <w:spacing w:before="0" w:after="120"/>
      </w:pPr>
      <w:r>
        <w:rPr>
          <w:b/>
        </w:rPr>
        <w:t xml:space="preserve">Source: </w:t>
      </w:r>
      <w:r>
        <w:t>Nature Communications</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[127] </w:t>
      </w:r>
      <w:hyperlink r:id="rId198">
        <w:r>
          <w:rPr>
            <w:color w:val="1155CC"/>
            <w:u w:val="single"/>
          </w:rPr>
          <w:t>作者校正:Medicago truncatula结核中的共生生物功能要求不断从共生空间清除切除物。</w:t>
        </w:r>
      </w:hyperlink>
    </w:p>
    <w:p>
      <w:pPr>
        <w:spacing w:before="0" w:after="80"/>
      </w:pPr>
      <w:r>
        <w:rPr>
          <w:i/>
          <w:sz w:val="20"/>
        </w:rPr>
        <w:t>EN: Author Correction: Symbiosome functionality in Medicago truncatula nodules requires continuous clearing of pectins from the symbiosome space</w:t>
      </w:r>
    </w:p>
    <w:p>
      <w:pPr>
        <w:spacing w:before="0" w:after="120"/>
      </w:pPr>
      <w:r>
        <w:rPr>
          <w:b/>
        </w:rPr>
        <w:t xml:space="preserve">Source: </w:t>
      </w:r>
      <w:r>
        <w:t>Nature Communications</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[128] </w:t>
      </w:r>
      <w:hyperlink r:id="rId199">
        <w:r>
          <w:rPr>
            <w:color w:val="1155CC"/>
            <w:u w:val="single"/>
          </w:rPr>
          <w:t>捐赠者-接受者 Stenhouse 管道在单分子交接点的两条传导通道</w:t>
        </w:r>
      </w:hyperlink>
    </w:p>
    <w:p>
      <w:pPr>
        <w:spacing w:before="0" w:after="80"/>
      </w:pPr>
      <w:r>
        <w:rPr>
          <w:i/>
          <w:sz w:val="20"/>
        </w:rPr>
        <w:t>EN: Photogated two conductive pathways of donor-acceptor Stenhouse adducts in single-molecule junctions</w:t>
      </w:r>
    </w:p>
    <w:p>
      <w:pPr>
        <w:spacing w:before="0" w:after="120"/>
      </w:pPr>
      <w:r>
        <w:rPr>
          <w:b/>
        </w:rPr>
        <w:t xml:space="preserve">Source: </w:t>
      </w:r>
      <w:r>
        <w:t>Nature Communications</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操纵分子电子传输可以从根本上调节分子的光学特性、电磁行为和化学反应。但是,在单一分子中实现多重(2)运输路径的同步控制仍是一个重大挑战。在这里,我们报告在单一捐赠者-接受者-Stenhouse adcument (DASA) 分子中,使用扫描隧道显微镜断裂枢纽(STM-BJ)技术对两种不同的传导路径进行轻控调节。捐赠者和桥通道通过设计带有两个三甲基锚定点的DASA来单独控制。在捐赠者路径中,一个侧链节调机制运行,线到循环的异构化导致电子再分配并增加传导性。</w:t>
      </w:r>
    </w:p>
    <w:p>
      <w:pPr>
        <w:spacing w:before="0" w:after="200" w:lineRule="auto" w:line="276"/>
      </w:pPr>
      <w:r>
        <w:rPr>
          <w:b/>
        </w:rPr>
        <w:t xml:space="preserve">Abstract (EN): </w:t>
      </w:r>
      <w:r>
        <w:t>Manipulating intramolecular electron transportation can fundamentally modulate the optical property, electromagnetic behavior and chemical reactivity of molecules. Achieving simultaneous control of multiple ( ≥2) transport pathways within a single molecule, however, remains a significant challenge. Herein, we report light-gated modulation of two distinct conductive pathways in single donor-acceptor Stenhouse adduct (DASA) molecules using the scanning tunneling microscopy break-junction (STM-BJ) technique. The donor and π-bridge pathways are separately controlled by designing DASAs with two thiomethyl anchoring sites. In the donor pathway, a side-chain modulation mechanism operates, where linear-to-cyclic isomerization induces electronic redistribution and increases the conductivity. In contrast, the π-bridge pathway is governed by a main-chain modulation mechanism, in which deformation of the π-conjugated backbone decreases the conductivity. By synthesizing DASAs containing three thiomethyl anchoring sites, these two conductive pathways are integrated within a single-molecule junction and can be simultaneously modulated under 635 nm red-light irradiation and dark relaxation. The π-bridge transport in the linear state exhibits mixed through-bond and through-space character, while photoisomerization leads to an increased through-space contribution in the cyclic state driven by cyclopentenone formation. These results highlight DASAs’ potential in understanding molecular electronics and developing photoresponsive molecular-scale devices.</w:t>
      </w:r>
    </w:p>
    <w:p>
      <w:pPr>
        <w:spacing w:before="120" w:after="120"/>
      </w:pPr>
      <w:r>
        <w:rPr>
          <w:sz w:val="18"/>
        </w:rPr>
        <w:t>——————————————————————————————————————————————————————————————————————</w:t>
      </w:r>
    </w:p>
    <w:p>
      <w:pPr>
        <w:spacing w:before="160" w:after="40" w:line="240" w:lineRule="auto"/>
      </w:pPr>
      <w:r>
        <w:rPr>
          <w:b/>
        </w:rPr>
        <w:t xml:space="preserve">[129] </w:t>
      </w:r>
      <w:hyperlink r:id="rId200">
        <w:r>
          <w:rPr>
            <w:color w:val="1155CC"/>
            <w:u w:val="single"/>
          </w:rPr>
          <w:t>人工智能混合从卫星观测中解码地表降水阶段</w:t>
        </w:r>
      </w:hyperlink>
    </w:p>
    <w:p>
      <w:pPr>
        <w:spacing w:before="0" w:after="80"/>
      </w:pPr>
      <w:r>
        <w:rPr>
          <w:i/>
          <w:sz w:val="20"/>
        </w:rPr>
        <w:t>EN: Snow or rain? hybrid AI deciphers surface precipitation phase from satellite observations</w:t>
      </w:r>
    </w:p>
    <w:p>
      <w:pPr>
        <w:spacing w:before="0" w:after="120"/>
      </w:pPr>
      <w:r>
        <w:rPr>
          <w:b/>
        </w:rPr>
        <w:t xml:space="preserve">Source: </w:t>
      </w:r>
      <w:r>
        <w:t>Nature Communications</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由于地表观测缺乏,地表降水阶段过渡有助于造成毁灭性的暴雪和雪崩,但由于地表观测不足,这仍然是一个全球性挑战。在这里,我们介绍了实时降水阶段-强度合作回收网络(REPPIC-Net),这是一个混合的AI框架,通过卫星观测对地表降水阶段进行量化。通过将AI驱动的FUXi模型的实时3D大气物理场与操作性地球静止卫星通过等级结构进行观测相结合,我们的系统能够实时监测地表降水阶段,而不是目前运行系统至少4小时的悬浮。</w:t>
      </w:r>
    </w:p>
    <w:p>
      <w:pPr>
        <w:spacing w:before="0" w:after="200" w:lineRule="auto" w:line="276"/>
      </w:pPr>
      <w:r>
        <w:rPr>
          <w:b/>
        </w:rPr>
        <w:t xml:space="preserve">Abstract (EN): </w:t>
      </w:r>
      <w:r>
        <w:t>Surface precipitation phase transition is conducive to devastating snowstorms and avalanches yet remains a global challenge due to the scarcity of surface observations. Here, we present the Real-time Precipitation Phase-Intensity Collaborative Retrieval Network (RePPIC-Net), a hybrid AI framework that quantifies surface precipitation phase from satellite observations. By integrating real-time 3D atmospheric physics fields from the AI-driven FuXi model with operational geostationary satellite observations through a hierarchical architecture, our system enables real-time monitoring of surface precipitation phase, as opposed to at least 4-hour latency of current operational systems. Validated against ground stations in China, RePPIC-Net achieves a Critical Success Index for Phase and Detection of 0.1574 (snowfall) and 0.3147 (rainfall) for 0.1-5 mm/h precipitation, outperforming 4-hour latency operational products’ respective scores of 0.1001 and 0.3064. The real-time precipitation phase discrimination capability of RePPIC-Net allows the development of a satellite-based surface precipitation phase nowcasting system, meeting the need for 1-3 hour global surface precipitation phase transition warnings. RePPIC-Net provides a replicable blueprint for AI-powered real-time weather monitoring, filling a gap in wintertime weather disaster warnings.</w:t>
      </w:r>
    </w:p>
    <w:p>
      <w:pPr>
        <w:spacing w:before="120" w:after="120"/>
      </w:pPr>
      <w:r>
        <w:rPr>
          <w:sz w:val="18"/>
        </w:rPr>
        <w:t>——————————————————————————————————————————————————————————————————————</w:t>
      </w:r>
    </w:p>
    <w:p>
      <w:pPr>
        <w:spacing w:before="160" w:after="40" w:line="240" w:lineRule="auto"/>
      </w:pPr>
      <w:r>
        <w:rPr>
          <w:b/>
        </w:rPr>
        <w:t xml:space="preserve">[130] </w:t>
      </w:r>
      <w:hyperlink r:id="rId201">
        <w:r>
          <w:rPr>
            <w:color w:val="1155CC"/>
            <w:u w:val="single"/>
          </w:rPr>
          <w:t>校正:关于横跨大马赫射程的crammjets氢-氨协同燃烧的可行性研究</w:t>
        </w:r>
      </w:hyperlink>
    </w:p>
    <w:p>
      <w:pPr>
        <w:spacing w:before="0" w:after="80"/>
      </w:pPr>
      <w:r>
        <w:rPr>
          <w:i/>
          <w:sz w:val="20"/>
        </w:rPr>
        <w:t>EN: Author Correction: Feasibility study of hydrogen-ammonia synergistic combustion in scramjets across broad Mach ranges</w:t>
      </w:r>
    </w:p>
    <w:p>
      <w:pPr>
        <w:spacing w:before="0" w:after="120"/>
      </w:pPr>
      <w:r>
        <w:rPr>
          <w:b/>
        </w:rPr>
        <w:t xml:space="preserve">Source: </w:t>
      </w:r>
      <w:r>
        <w:t>Nature Communications</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[131] </w:t>
      </w:r>
      <w:hyperlink r:id="rId202">
        <w:r>
          <w:rPr>
            <w:color w:val="1155CC"/>
            <w:u w:val="single"/>
          </w:rPr>
          <w:t>作者更正: 密度波的折折和超导力在加压- La4Ni3O10 中出现, 由超快光谱学证明</w:t>
        </w:r>
      </w:hyperlink>
    </w:p>
    <w:p>
      <w:pPr>
        <w:spacing w:before="0" w:after="80"/>
      </w:pPr>
      <w:r>
        <w:rPr>
          <w:i/>
          <w:sz w:val="20"/>
        </w:rPr>
        <w:t>EN: Author Correction: Collapse of density wave and emergence of superconductivity in pressurized-La4Ni3O10 evidenced by ultrafast spectroscopy</w:t>
      </w:r>
    </w:p>
    <w:p>
      <w:pPr>
        <w:spacing w:before="0" w:after="120"/>
      </w:pPr>
      <w:r>
        <w:rPr>
          <w:b/>
        </w:rPr>
        <w:t xml:space="preserve">Source: </w:t>
      </w:r>
      <w:r>
        <w:t>Nature Communications</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[132] </w:t>
      </w:r>
      <w:hyperlink r:id="rId203">
        <w:r>
          <w:rPr>
            <w:color w:val="1155CC"/>
            <w:u w:val="single"/>
          </w:rPr>
          <w:t>紧紧包装能源</w:t>
        </w:r>
      </w:hyperlink>
    </w:p>
    <w:p>
      <w:pPr>
        <w:spacing w:before="0" w:after="80"/>
      </w:pPr>
      <w:r>
        <w:rPr>
          <w:i/>
          <w:sz w:val="20"/>
        </w:rPr>
        <w:t>EN: Energy packed tightly</w:t>
      </w:r>
    </w:p>
    <w:p>
      <w:pPr>
        <w:spacing w:before="0" w:after="120"/>
      </w:pPr>
      <w:r>
        <w:rPr>
          <w:b/>
        </w:rPr>
        <w:t xml:space="preserve">Source: </w:t>
      </w:r>
      <w:r>
        <w:t>Nature Energy</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[133] </w:t>
      </w:r>
      <w:hyperlink r:id="rId204">
        <w:r>
          <w:rPr>
            <w:color w:val="1155CC"/>
            <w:u w:val="single"/>
          </w:rPr>
          <w:t>高体积能量密度的 Na-ion 电池耐久合金阳极</w:t>
        </w:r>
      </w:hyperlink>
    </w:p>
    <w:p>
      <w:pPr>
        <w:spacing w:before="0" w:after="80"/>
      </w:pPr>
      <w:r>
        <w:rPr>
          <w:i/>
          <w:sz w:val="20"/>
        </w:rPr>
        <w:t>EN: Durable alloy anode for Na-ion batteries with high volumetric energy density</w:t>
      </w:r>
    </w:p>
    <w:p>
      <w:pPr>
        <w:spacing w:before="0" w:after="120"/>
      </w:pPr>
      <w:r>
        <w:rPr>
          <w:b/>
        </w:rPr>
        <w:t xml:space="preserve">Source: </w:t>
      </w:r>
      <w:r>
        <w:t>Nature Energy</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减少体积扩张的常规战略往往牺牲产能和材料的可扩缩性,而有关自行车稳定性和实用性的基本机制则仍未被破灭。 我们在这里为氨-小时级的氨基乙基乙基生产设计了一个可缩缩缩微米Sn 脉冲,它提供了453 Wh-1-1的高体积能量密度,在600个周期内实现了快速充电(~15分钟)。值得注意的是,与LiFEPO4/graphite细胞相比,Sn基细胞表现出较高的低温性能表现。多尺度特征与机器辅助的定量分析相结合,表明,足够和连续的表层学模型显示,这种模型具有超强性能。</w:t>
      </w:r>
    </w:p>
    <w:p>
      <w:pPr>
        <w:spacing w:before="0" w:after="200" w:lineRule="auto" w:line="276"/>
      </w:pPr>
      <w:r>
        <w:rPr>
          <w:b/>
        </w:rPr>
        <w:t xml:space="preserve">Abstract (EN): </w:t>
      </w:r>
      <w:r>
        <w:t>Alloy anodes can offer high energy densities of Na-ion batteries (NIBs) but suffer from poor cycling performance. Conventional strategies to mitigate the volume expansion often sacrifice the capacity delivery and material scalability, while the underlying mechanisms governing the cycling stability and practical applicability remain unrevealed. Here we design a scalable micrometre-scale Sn anode for ampere-hour-level NIBs, which delivers a high volumetric energy density of 453 Wh l−1 and realizes fast charging (~15 min) over 600 cycles. Notably, the Sn-based cell exhibits superior low-temperature performance compared with the LiFePO4/graphite cell. Multiscale characterizations combined with machine learning-assisted quantitative analyses reveal that the adequate and continuous topological morphological evolution of the Sn particles, synergistically reinforced by the cross-linked networks of single-walled carbon nanotubes, ensures stable electrical connection and high active material utilization throughout the cycle life. This work clarifies the structure–stability–performance correlation of alloy-based anodes and highlights their great potential for next-generation high-energy NIBs.</w:t>
      </w:r>
    </w:p>
    <w:p>
      <w:pPr>
        <w:spacing w:before="120" w:after="120"/>
      </w:pPr>
      <w:r>
        <w:rPr>
          <w:sz w:val="18"/>
        </w:rPr>
        <w:t>——————————————————————————————————————————————————————————————————————</w:t>
      </w:r>
    </w:p>
    <w:p>
      <w:pPr>
        <w:spacing w:before="160" w:after="40" w:line="240" w:lineRule="auto"/>
      </w:pPr>
      <w:r>
        <w:rPr>
          <w:b/>
        </w:rPr>
        <w:t xml:space="preserve">[134] </w:t>
      </w:r>
      <w:hyperlink r:id="rId205">
        <w:r>
          <w:rPr>
            <w:color w:val="1155CC"/>
            <w:u w:val="single"/>
          </w:rPr>
          <w:t>脂性双层混合纳米氟化物的电流和滑长优化,以加强表面能量收集</w:t>
        </w:r>
      </w:hyperlink>
    </w:p>
    <w:p>
      <w:pPr>
        <w:spacing w:before="0" w:after="80"/>
      </w:pPr>
      <w:r>
        <w:rPr>
          <w:i/>
          <w:sz w:val="20"/>
        </w:rPr>
        <w:t>EN: Charge and slip-length optimization in lipid-bilayer-coated nanofluidics for enhanced osmotic energy harvesting</w:t>
      </w:r>
    </w:p>
    <w:p>
      <w:pPr>
        <w:spacing w:before="0" w:after="120"/>
      </w:pPr>
      <w:r>
        <w:rPr>
          <w:b/>
        </w:rPr>
        <w:t xml:space="preserve">Source: </w:t>
      </w:r>
      <w:r>
        <w:t>Nature Energy</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蓝度能源(又称蓝度能源)是一个充满希望的可再生能源,可以利用天然盐度梯度。 新兴纳米氟化物系统通过反电透析过程将这种能源直接转换为电。 然而,实现精确的结构控制、固体液态界面调节和纳米氟化物系统中强化水态转化的可缩放示范仍然是一个挑战。 我们在这里开发了一个液化涂层-功能化纳米氟化物系统,将可缩缩放的半导体微制造与纳米封闭环境中的自组脂肪双层相结合。 这个混合平台通过超高表层电荷密度的水合体润滑化实现精确的结构控制和内部调节。</w:t>
      </w:r>
    </w:p>
    <w:p>
      <w:pPr>
        <w:spacing w:before="0" w:after="200" w:lineRule="auto" w:line="276"/>
      </w:pPr>
      <w:r>
        <w:rPr>
          <w:b/>
        </w:rPr>
        <w:t xml:space="preserve">Abstract (EN): </w:t>
      </w:r>
      <w:r>
        <w:t>Osmotic energy, also known as blue energy, is a promising renewable power source that can harness natural salinity gradients. Emerging nanofluidic systems realize direct conversion of this energy to electricity via the reversed electrodialysis process. However, achieving precise structural control, solid–liquid interface regulation and scalable demonstration for enhanced osmotic conversion in a nanofluidic system simultaneously remains a challenge. Here we develop a liquidized coating-functionalized nanofluidic system by combining scalable semiconductor microfabrication with a self-assembled lipid bilayer in nanoconfined environments. This hybrid platform enables precise structural control and interfacial regulation by coupling hydration lubrication with ultrahigh surface charge density. A numerical framework shows that the synergy between surface charge and slip length enhances ion transport and charge separation. Extending this strategy to a membrane-scale system (108 cm−2 porosity, 314 µm2) yields an osmotic power density of ~51.4 kW m−2. This work outlines a promising framework for next-generation nanofluidic energy harvesting.</w:t>
      </w:r>
    </w:p>
    <w:p>
      <w:pPr>
        <w:spacing w:before="120" w:after="120"/>
      </w:pPr>
      <w:r>
        <w:rPr>
          <w:sz w:val="18"/>
        </w:rPr>
        <w:t>——————————————————————————————————————————————————————————————————————</w:t>
      </w:r>
    </w:p>
    <w:p>
      <w:pPr>
        <w:spacing w:before="160" w:after="40" w:line="240" w:lineRule="auto"/>
      </w:pPr>
      <w:r>
        <w:rPr>
          <w:b/>
        </w:rPr>
        <w:t xml:space="preserve">[135] </w:t>
      </w:r>
      <w:hyperlink r:id="rId206">
        <w:r>
          <w:rPr>
            <w:color w:val="1155CC"/>
            <w:u w:val="single"/>
          </w:rPr>
          <w:t>GPCR 外光调制导器的新设计</w:t>
        </w:r>
      </w:hyperlink>
    </w:p>
    <w:p>
      <w:pPr>
        <w:spacing w:before="0" w:after="80"/>
      </w:pPr>
      <w:r>
        <w:rPr>
          <w:i/>
          <w:sz w:val="20"/>
        </w:rPr>
        <w:t>EN: De novo design of GPCR exoframe modulators</w:t>
      </w:r>
    </w:p>
    <w:p>
      <w:pPr>
        <w:spacing w:before="0" w:after="120"/>
      </w:pPr>
      <w:r>
        <w:rPr>
          <w:b/>
        </w:rPr>
        <w:t xml:space="preserve">Source: </w:t>
      </w:r>
      <w:r>
        <w:t>Nature</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G-蛋白质混合受体(G-Protein)是一个重要的治疗目标,主要通过其主食场所,即内生激动剂结合点,成为目标。 1 然而,在气相调控药物发现领域,通缩调制已成为一种有希望和创新的战略,成为气相调试药物发现领域的一种有希望和创新的战略。 1 我们从通过转基因蛋白对气相调试器的自然调节中汲取了灵感,我们开发了气相调和气相调控器(GEMS),删除了专门针对气相调试器转基因管域的无设计蛋白质。 我们利用幻觉式设计方法,设计了GEMS,并有三个战略结构提示,以达到理想的约束模式。 我们选择了多巴胺D1受体作为原型模型,并系统调查了四个GEMs。 结构研究和功能aa</w:t>
      </w:r>
    </w:p>
    <w:p>
      <w:pPr>
        <w:spacing w:before="0" w:after="200" w:lineRule="auto" w:line="276"/>
      </w:pPr>
      <w:r>
        <w:rPr>
          <w:b/>
        </w:rPr>
        <w:t xml:space="preserve">Abstract (EN): </w:t>
      </w:r>
      <w:r>
        <w:t>G-protein-coupled receptors (GPCRs) are important therapeutic targets and have been targeted mainly through their orthosteric site, where the endogenous agonist binds1. However, allosteric modulation has emerged as a promising and innovative strategy in the realm of GPCR drug discovery1. Here, drawing inspiration from the natural regulation of GPCRs by transmembrane proteins, we have developed GPCR exoframe modulators (GEMs), de novo designed proteins that specifically target the transmembrane domain of GPCRs. Utilizing a hallucination-like design approach, we crafted GEMs with three strategic structural prompts to achieve the desired binding modes. We selected the dopamine D1 receptor as a prototypical model and systematically investigated four GEMs. Structural studies and functional assays revealed that these GEMs bind to the transmembrane domains and function as diverse allosteric modulators, including agonist-positive allosteric modulator, negative allosteric modulator and biased allosteric modulator. The ago-PAM GEM restores the activity of various D1 receptor loss-of-function mutants, suggesting a promising therapeutic target for GPCR-related disorders. Our work introduces GEMs that target the transmembrane domain as potent agents for allosteric GPCR modulation and highlights the potential of deep learning-based approaches in the design of function-oriented membrane proteins.</w:t>
      </w:r>
    </w:p>
    <w:p>
      <w:pPr>
        <w:spacing w:before="120" w:after="120"/>
      </w:pPr>
      <w:r>
        <w:rPr>
          <w:sz w:val="18"/>
        </w:rPr>
        <w:t>——————————————————————————————————————————————————————————————————————</w:t>
      </w:r>
    </w:p>
    <w:p>
      <w:pPr>
        <w:spacing w:before="160" w:after="40" w:line="240" w:lineRule="auto"/>
      </w:pPr>
      <w:r>
        <w:rPr>
          <w:b/>
        </w:rPr>
        <w:t xml:space="preserve">[136] </w:t>
      </w:r>
      <w:hyperlink r:id="rId207">
        <w:r>
          <w:rPr>
            <w:color w:val="1155CC"/>
            <w:u w:val="single"/>
          </w:rPr>
          <w:t>“我们在这里做什么?”</w:t>
        </w:r>
      </w:hyperlink>
    </w:p>
    <w:p>
      <w:pPr>
        <w:spacing w:before="0" w:after="80"/>
      </w:pPr>
      <w:r>
        <w:rPr>
          <w:i/>
          <w:sz w:val="20"/>
        </w:rPr>
        <w:t>EN: ‘What are we doing here?’ The polymaths who searched for the meaning of life</w:t>
      </w:r>
    </w:p>
    <w:p>
      <w:pPr>
        <w:spacing w:before="0" w:after="120"/>
      </w:pPr>
      <w:r>
        <w:rPr>
          <w:b/>
        </w:rPr>
        <w:t xml:space="preserve">Source: </w:t>
      </w:r>
      <w:r>
        <w:t>Nature</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208">
        <w:r>
          <w:rPr>
            <w:color w:val="1155CC"/>
            <w:u w:val="single"/>
          </w:rPr>
          <w:t>石油出口经济体的气候政策优化:阿曼环境转型的DSGE办法</w:t>
        </w:r>
      </w:hyperlink>
    </w:p>
    <w:p>
      <w:pPr>
        <w:spacing w:before="0" w:after="80"/>
      </w:pPr>
      <w:r>
        <w:rPr>
          <w:i/>
          <w:sz w:val="20"/>
        </w:rPr>
        <w:t>EN: Climate policy optimization for oil-exporting economies: A DSGE approach to Oman’s environmental transformation</w:t>
      </w:r>
    </w:p>
    <w:p>
      <w:pPr>
        <w:spacing w:before="0" w:after="120"/>
      </w:pPr>
      <w:r>
        <w:rPr>
          <w:b/>
        </w:rPr>
        <w:t xml:space="preserve">Source: </w:t>
      </w:r>
      <w:r>
        <w:t>ScienceDirect Publication: Energy Policy</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[138] </w:t>
      </w:r>
      <w:hyperlink r:id="rId209">
        <w:r>
          <w:rPr>
            <w:color w:val="1155CC"/>
            <w:u w:val="single"/>
          </w:rPr>
          <w:t>通过光学处理的超表表层进行空间光灯调节器</w:t>
        </w:r>
      </w:hyperlink>
    </w:p>
    <w:p>
      <w:pPr>
        <w:spacing w:before="0" w:after="80"/>
      </w:pPr>
      <w:r>
        <w:rPr>
          <w:i/>
          <w:sz w:val="20"/>
        </w:rPr>
        <w:t>EN: Spatial light modulator via optically addressed metasurface</w:t>
      </w:r>
    </w:p>
    <w:p>
      <w:pPr>
        <w:spacing w:before="0" w:after="120"/>
      </w:pPr>
      <w:r>
        <w:rPr>
          <w:b/>
        </w:rPr>
        <w:t xml:space="preserve">Source: </w:t>
      </w:r>
      <w:r>
        <w:t>Nature Nanotechnology</w:t>
      </w:r>
      <w:r>
        <w:t xml:space="preserve">    </w:t>
      </w:r>
      <w:r>
        <w:rPr>
          <w:b/>
        </w:rPr>
        <w:t xml:space="preserve">Pub date: </w:t>
      </w:r>
      <w:r>
        <w:t>2026-02-16 00:00:00+00:00</w:t>
      </w:r>
    </w:p>
    <w:p>
      <w:pPr>
        <w:spacing w:before="0" w:after="120"/>
      </w:pPr>
      <w:r>
        <w:rPr>
          <w:b/>
        </w:rPr>
        <w:t xml:space="preserve">Notes: </w:t>
      </w:r>
      <w:r>
        <w:t>abstract_source=nature_html</w:t>
      </w:r>
    </w:p>
    <w:p>
      <w:pPr>
        <w:spacing w:before="0" w:after="80" w:lineRule="auto" w:line="276"/>
      </w:pPr>
      <w:r>
        <w:rPr>
          <w:b/>
        </w:rPr>
        <w:t xml:space="preserve">摘要（ZH）: </w:t>
      </w:r>
      <w:r>
        <w:t>对全息显示、增强/虚拟现实、光探测和测距中动态波前调控的新兴需求需要高像素密度和快速更新率的空间光调调器(SLMs),然而,现有液晶体和基于表面的可持续土地管理关键参数,如时空产品密度、视野和更新率,仍然远远低于应用要求。我们在此报告,一个由独立、可金枪鱼形元原子超电池组成的光学处理的元表层可持续土地管理,共756海里。这一装置将SLM像素尺寸降低至亚微米规模,同时达到2.3×1012像素-1厘米的表面产品密度,从而达到真实全息学的关键临界阈值。它使实时复杂光谱全息仪能够实现,t</w:t>
      </w:r>
    </w:p>
    <w:p>
      <w:pPr>
        <w:spacing w:before="0" w:after="200" w:lineRule="auto" w:line="276"/>
      </w:pPr>
      <w:r>
        <w:rPr>
          <w:b/>
        </w:rPr>
        <w:t xml:space="preserve">Abstract (EN): </w:t>
      </w:r>
      <w:r>
        <w:t>Emerging demands for dynamic wavefront modulation in holographic displays, augmented/virtual reality, and light detection and ranging require spatial light modulators (SLMs) with high pixel density and fast refresh rates. However, key parameters of existing liquid-crystal and metasurface-based SLMs, such as spatiotemporal product density, field of view and refresh rate, remain far below application requirements. Here we report an optically addressed metasurface SLM composed of independently tunable meta-atom supercells with a 756 nm pitch. This device reduces SLM pixel size to the submicrometre scale while achieving a spatiotemporal product density of 2.3 × 1012 pixels s−1 cm−2, thereby meeting the critical threshold for true holography. It enables real-time complex-amplitude holography, three-dimensional focusing and beam steering over a ±20.6° field of view in the visible spectrum.</w:t>
      </w:r>
    </w:p>
    <w:p>
      <w:pPr>
        <w:spacing w:before="120" w:after="120"/>
      </w:pPr>
      <w:r>
        <w:rPr>
          <w:sz w:val="18"/>
        </w:rPr>
        <w:t>——————————————————————————————————————————————————————————————————————</w:t>
      </w:r>
    </w:p>
    <w:p>
      <w:pPr>
        <w:spacing w:before="160" w:after="40" w:line="240" w:lineRule="auto"/>
      </w:pPr>
      <w:r>
        <w:rPr>
          <w:b/>
        </w:rPr>
        <w:t xml:space="preserve">[139] </w:t>
      </w:r>
      <w:hyperlink r:id="rId210">
        <w:r>
          <w:rPr>
            <w:color w:val="1155CC"/>
            <w:u w:val="single"/>
          </w:rPr>
          <w:t>中国保护区域空气和水氮分界线的不对称</w:t>
        </w:r>
      </w:hyperlink>
    </w:p>
    <w:p>
      <w:pPr>
        <w:spacing w:before="0" w:after="80"/>
      </w:pPr>
      <w:r>
        <w:rPr>
          <w:i/>
          <w:sz w:val="20"/>
        </w:rPr>
        <w:t>EN: Asymmetry of safeguarding regional air and water nitrogen boundaries in China</w:t>
      </w:r>
    </w:p>
    <w:p>
      <w:pPr>
        <w:spacing w:before="0" w:after="120"/>
      </w:pPr>
      <w:r>
        <w:rPr>
          <w:b/>
        </w:rPr>
        <w:t xml:space="preserve">Source: </w:t>
      </w:r>
      <w:r>
        <w:t>National Science Review Advance Access</w:t>
      </w:r>
      <w:r>
        <w:t xml:space="preserve">    </w:t>
      </w:r>
      <w:r>
        <w:rPr>
          <w:b/>
        </w:rPr>
        <w:t xml:space="preserve">Pub date: </w:t>
      </w:r>
      <w:r>
        <w:t>2026-02-16 00:00:00+00:00</w:t>
      </w:r>
      <w:r>
        <w:t xml:space="preserve">    </w:t>
      </w:r>
      <w:r>
        <w:rPr>
          <w:b/>
        </w:rPr>
        <w:t xml:space="preserve">DOI: </w:t>
      </w:r>
      <w:hyperlink r:id="rId211">
        <w:r>
          <w:rPr>
            <w:color w:val="1155CC"/>
            <w:u w:val="single"/>
          </w:rPr>
          <w:t>10.1093/nsr/nwag113/8487642</w:t>
        </w:r>
      </w:hyperlink>
    </w:p>
    <w:p>
      <w:pPr>
        <w:spacing w:before="0" w:after="120"/>
      </w:pPr>
      <w:r>
        <w:rPr>
          <w:b/>
        </w:rPr>
        <w:t xml:space="preserve">Notes: </w:t>
      </w:r>
      <w:r>
        <w:t>abstract_source=rss_oup</w:t>
      </w:r>
    </w:p>
    <w:p>
      <w:pPr>
        <w:spacing w:before="0" w:after="80" w:lineRule="auto" w:line="276"/>
      </w:pPr>
      <w:r>
        <w:rPr>
          <w:b/>
        </w:rPr>
        <w:t xml:space="preserve">摘要（ZH）: </w:t>
      </w:r>
      <w:r>
        <w:t>人类活动极大地扰乱了全球氮循环,将其定位为全球最大超越地球边界的国家之一,作为氮通量最大的国家,中国面临诸多环境挑战,因为来自不同来源的空气和水的活性氮(Nr)过度流失。通过量化县一级空气和水的区域氮边界,我们发现中国大气排放Nr、氮径流到地表水和渗入地下水的区域安全总边界每年分别为14.6、5.2和480万吨。 2020年,累计Nr损失分别超过这些边界54%、262%和258%。</w:t>
      </w:r>
    </w:p>
    <w:p>
      <w:pPr>
        <w:spacing w:before="0" w:after="200" w:lineRule="auto" w:line="276"/>
      </w:pPr>
      <w:r>
        <w:rPr>
          <w:b/>
        </w:rPr>
        <w:t xml:space="preserve">Abstract (EN): </w:t>
      </w:r>
      <w:r>
        <w:t>Human activities have significantly disrupted the global nitrogen cycle, positioning it as one of the most severely surpassed planetary boundaries. As the country with the largest nitrogen flux, China faces numerous environmental challenges due to excessive losses of reactive nitrogen (Nr) to both air and water from various sources. By quantifying regional nitrogen boundaries for air and water at the county level, we found that the aggregated regional safe boundaries in China for atmospheric release of Nr, nitrogen runoff to surface water, and leaching to groundwater are 14.6, 5.2, and 4.8 million tonnes per year, respectively. In 2020, cumulative Nr losses exceeded these boundaries by 54%, 262%, and 258%, respectively. Implementing cross-system technical mitigation measures could potentially halve the total Nr losses to both air and water, yielding benefits approximately 2.5 times greater than the net implementation costs. Despite most counties being capable of meeting the emission boundary for atmospheric release of Nr after abatement, boundaries for surface water and groundwater remain exceeded in over half of the counties. This highlights a significant asymmetry in nitrogen pollution control between air and water, further necessitating socioeconomic transformations to effectively address the persistent issue of water pollution in China.</w:t>
      </w:r>
    </w:p>
    <w:p>
      <w:pPr>
        <w:spacing w:before="120" w:after="120"/>
      </w:pPr>
      <w:r>
        <w:rPr>
          <w:sz w:val="18"/>
        </w:rPr>
        <w:t>——————————————————————————————————————————————————————————————————————</w:t>
      </w:r>
    </w:p>
    <w:p>
      <w:pPr>
        <w:spacing w:before="160" w:after="40" w:line="240" w:lineRule="auto"/>
      </w:pPr>
      <w:r>
        <w:rPr>
          <w:b/>
        </w:rPr>
        <w:t xml:space="preserve">[140] </w:t>
      </w:r>
      <w:hyperlink r:id="rId212">
        <w:r>
          <w:rPr>
            <w:color w:val="1155CC"/>
            <w:u w:val="single"/>
          </w:rPr>
          <w:t>MP-Grid: 检测电网断电,进行地形机学学习</w:t>
        </w:r>
      </w:hyperlink>
    </w:p>
    <w:p>
      <w:pPr>
        <w:spacing w:before="0" w:after="80"/>
      </w:pPr>
      <w:r>
        <w:rPr>
          <w:i/>
          <w:sz w:val="20"/>
        </w:rPr>
        <w:t>EN: MP-Grid: Detecting power grid outages with topological machine learning</w:t>
      </w:r>
    </w:p>
    <w:p>
      <w:pPr>
        <w:spacing w:before="0" w:after="120"/>
      </w:pPr>
      <w:r>
        <w:rPr>
          <w:b/>
        </w:rPr>
        <w:t xml:space="preserve">Source: </w:t>
      </w:r>
      <w:r>
        <w:t>ScienceDirect Publication: Applied Energy</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[141] </w:t>
      </w:r>
      <w:hyperlink r:id="rId213">
        <w:r>
          <w:rPr>
            <w:color w:val="1155CC"/>
            <w:u w:val="single"/>
          </w:rPr>
          <w:t>基于碳-经济合同和履行-承诺发送的公平、低碳V2G时间表框架</w:t>
        </w:r>
      </w:hyperlink>
    </w:p>
    <w:p>
      <w:pPr>
        <w:spacing w:before="0" w:after="80"/>
      </w:pPr>
      <w:r>
        <w:rPr>
          <w:i/>
          <w:sz w:val="20"/>
        </w:rPr>
        <w:t>EN: A fair and low-carbon V2G scheduling framework based on carbon-economic contracts and fulfillment-aware dispatch</w:t>
      </w:r>
    </w:p>
    <w:p>
      <w:pPr>
        <w:spacing w:before="0" w:after="120"/>
      </w:pPr>
      <w:r>
        <w:rPr>
          <w:b/>
        </w:rPr>
        <w:t xml:space="preserve">Source: </w:t>
      </w:r>
      <w:r>
        <w:t>ScienceDirect Publication: Applied Energy</w:t>
      </w:r>
      <w:r>
        <w:t xml:space="preserve">    </w:t>
      </w:r>
      <w:r>
        <w:rPr>
          <w:b/>
        </w:rPr>
        <w:t xml:space="preserve">Pub date: </w:t>
      </w:r>
      <w:r>
        <w:t>2026-02-16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[142] </w:t>
      </w:r>
      <w:hyperlink r:id="rId214">
        <w:r>
          <w:rPr>
            <w:color w:val="1155CC"/>
            <w:u w:val="single"/>
          </w:rPr>
          <w:t>有机异卤素化学使稳定的锌电池能够产生高压溴红氧化物,用于稳定的锌电池</w:t>
        </w:r>
      </w:hyperlink>
    </w:p>
    <w:p>
      <w:pPr>
        <w:spacing w:before="0" w:after="80"/>
      </w:pPr>
      <w:r>
        <w:rPr>
          <w:i/>
          <w:sz w:val="20"/>
        </w:rPr>
        <w:t>EN: Organo-interhalogen chemistry enables high-voltage bromine redox for stable zinc batteries</w:t>
      </w:r>
    </w:p>
    <w:p>
      <w:pPr>
        <w:spacing w:before="0" w:after="120"/>
      </w:pPr>
      <w:r>
        <w:rPr>
          <w:b/>
        </w:rPr>
        <w:t xml:space="preserve">Source: </w:t>
      </w:r>
      <w:r>
        <w:t>RSC - Energy Environ. Sci. latest articles</w:t>
      </w:r>
      <w:r>
        <w:t xml:space="preserve">    </w:t>
      </w:r>
      <w:r>
        <w:rPr>
          <w:b/>
        </w:rPr>
        <w:t xml:space="preserve">Pub date: </w:t>
      </w:r>
      <w:r>
        <w:t>2026-02-16 00:00:00+00:00</w:t>
      </w:r>
    </w:p>
    <w:p>
      <w:pPr>
        <w:spacing w:before="0" w:after="120"/>
      </w:pPr>
      <w:r>
        <w:rPr>
          <w:b/>
        </w:rPr>
        <w:t xml:space="preserve">Notes: </w:t>
      </w:r>
      <w:r>
        <w:t>abstract_source=rsc_html</w:t>
      </w:r>
    </w:p>
    <w:p>
      <w:pPr>
        <w:spacing w:before="0" w:after="80" w:lineRule="auto" w:line="276"/>
      </w:pPr>
      <w:r>
        <w:rPr>
          <w:b/>
        </w:rPr>
        <w:t xml:space="preserve">摘要（ZH）: </w:t>
      </w:r>
      <w:r>
        <w:t>高压BR3-/BR+ 红氧化物为高能水氧化锌电池带来了希望,然而,它依赖氯-浓缩通常会导致严重的Zn坑和电池腐烂。在这里,我们启动了有机-异卤素路径,以快速稳定的Br3-/Br+红氧化物,从而消除了氯-浓缩依赖。氯丙酮(CA)作为有机的同卤素联感受体,有效地结合了激活的Br+中间体,形成了稳定的有机 - interhalgen 粘合剂。与常规的Cl- 介质路径相比,这一新路径同时降低了Br3-/Br+再氧化物屏障,并减少了同卤素的轴- 活动。此外,CAA提高了电解剂的CL2进化反应潜力,避免了Zn的沉淀。因此,Zn&amp;TBABR3电池利用了级联苯- 。</w:t>
      </w:r>
    </w:p>
    <w:p>
      <w:pPr>
        <w:spacing w:before="0" w:after="200" w:lineRule="auto" w:line="276"/>
      </w:pPr>
      <w:r>
        <w:rPr>
          <w:b/>
        </w:rPr>
        <w:t xml:space="preserve">Abstract (EN): </w:t>
      </w:r>
      <w:r>
        <w:t>High-voltage Br3−/Br+ redox offers promise for energetic aqueous Zn batteries, yet its reliance on Cl−-concentration usually causes severe Zn pitting and battery decay. Herein, we initiate an organo–interhalogen pathway to fast and stable Br3−/Br+ redox, eliminating the Cl−-concentration reliance. Chloroacetone (CA), as an organic interhalogen bonding receptor, efficiently binds the activated Br+ intermediate, forming a stable organo–interhalogen adduct. Compared with the conventional Cl−-mediated pathway, this new pathway simultaneously lowers the Br3−/Br+ redox barrier and reduces the axial σ-site activity of interhalogens. Additionally, CA raises the Cl2 evolution reaction (CER) potential of the electrolyte and averts Zn pitting. Consequently, a Zn‖TBABr3 battery leveraging cascaded Br−/Br3−/Br+ conversion exhibits a high specific capacity (508 mAh g−1) and dual plateaus (Br3−/Br+: 2.0 V; Br−/Br3−: 1.7 V). With PEG 200 as an electrolyte co-solvent, a lifespan of over 1000 cycles, a high-rate capability of up to 10 A g−1 and high energy/power densities (848 Wh kg−1/19.7 kW kg−1) are further achieved. This work establishes a feasible organo–interhalogen pathway to unlock multi-electron halogen redox for high-energy aqueous batteries.</w:t>
      </w:r>
    </w:p>
    <w:p>
      <w:pPr>
        <w:spacing w:before="120" w:after="120"/>
      </w:pPr>
      <w:r>
        <w:rPr>
          <w:sz w:val="18"/>
        </w:rPr>
        <w:t>——————————————————————————————————————————————————————————————————————</w:t>
      </w:r>
    </w:p>
    <w:p>
      <w:pPr>
        <w:spacing w:before="160" w:after="40" w:line="240" w:lineRule="auto"/>
      </w:pPr>
      <w:r>
        <w:rPr>
          <w:b/>
        </w:rPr>
        <w:t xml:space="preserve">[143] </w:t>
      </w:r>
      <w:hyperlink r:id="rId215">
        <w:r>
          <w:rPr>
            <w:color w:val="1155CC"/>
            <w:u w:val="single"/>
          </w:rPr>
          <w:t>能够对全球DNA合成进行可核查和私下筛选的系统</w:t>
        </w:r>
      </w:hyperlink>
    </w:p>
    <w:p>
      <w:pPr>
        <w:spacing w:before="0" w:after="80"/>
      </w:pPr>
      <w:r>
        <w:rPr>
          <w:i/>
          <w:sz w:val="20"/>
        </w:rPr>
        <w:t>EN: A system capable of verifiably and privately screening global DNA synthesis</w:t>
      </w:r>
    </w:p>
    <w:p>
      <w:pPr>
        <w:spacing w:before="0" w:after="120"/>
      </w:pPr>
      <w:r>
        <w:rPr>
          <w:b/>
        </w:rPr>
        <w:t xml:space="preserve">Source: </w:t>
      </w:r>
      <w:r>
        <w:t>National Science Review Advance Access</w:t>
      </w:r>
      <w:r>
        <w:t xml:space="preserve">    </w:t>
      </w:r>
      <w:r>
        <w:rPr>
          <w:b/>
        </w:rPr>
        <w:t xml:space="preserve">Pub date: </w:t>
      </w:r>
      <w:r>
        <w:t>2026-02-16 00:00:00+00:00</w:t>
      </w:r>
      <w:r>
        <w:t xml:space="preserve">    </w:t>
      </w:r>
      <w:r>
        <w:rPr>
          <w:b/>
        </w:rPr>
        <w:t xml:space="preserve">DOI: </w:t>
      </w:r>
      <w:hyperlink r:id="rId216">
        <w:r>
          <w:rPr>
            <w:color w:val="1155CC"/>
            <w:u w:val="single"/>
          </w:rPr>
          <w:t>10.1093/nsr/nwag103/8487636</w:t>
        </w:r>
      </w:hyperlink>
    </w:p>
    <w:p>
      <w:pPr>
        <w:spacing w:before="0" w:after="120"/>
      </w:pPr>
      <w:r>
        <w:rPr>
          <w:b/>
        </w:rPr>
        <w:t xml:space="preserve">Notes: </w:t>
      </w:r>
      <w:r>
        <w:t>abstract_source=rss_oup</w:t>
      </w:r>
    </w:p>
    <w:p>
      <w:pPr>
        <w:spacing w:before="0" w:after="80" w:lineRule="auto" w:line="276"/>
      </w:pPr>
      <w:r>
        <w:rPr>
          <w:b/>
        </w:rPr>
        <w:t xml:space="preserve">摘要（ZH）: </w:t>
      </w:r>
      <w:r>
        <w:t>印刷自定制的DNA序列对于科学和生物医学研究至关重要,但这种技术可以用来制造瘟疫和治疗方法。 正如墨水打印机承认并拒绝伪造货币的企图一样,DNA合成器和组装者应该拒绝未经授权的要求,制造可能被滥用的病毒DNA。 有三个复杂因素。 首先,我们不需要迅速更新打印机,以对付新发现的货币,而我们经常了解到新的潜在流行病病毒和其他生物威胁。 其次,令人信服的假钞不能用小块和胶合的方式一起印刷,同时防止分散的合成和随后重新组装受控序列,这就需要追踪哪些DNA碎片已经订购在各地。</w:t>
      </w:r>
    </w:p>
    <w:p>
      <w:pPr>
        <w:spacing w:before="0" w:after="200" w:lineRule="auto" w:line="276"/>
      </w:pPr>
      <w:r>
        <w:rPr>
          <w:b/>
        </w:rPr>
        <w:t xml:space="preserve">Abstract (EN): </w:t>
      </w:r>
      <w:r>
        <w:t>Printing custom DNA sequences is essential to scientific and biomedical research, but the technology can be used to manufacture plagues as well as cures. Just as ink printers recognize and reject attempts to counterfeit money, DNA synthesizers and assemblers should deny unauthorized requests to make viral DNA that could be misused. There are three complications. First, we don’t need to quickly update printers to deal with newly discovered currencies, whereas we regularly learn of new potential pandemic viruses and other biological threats. Second, convincing counterfeit bills can’t be printed in small pieces and taped together, while preventing the distributed synthesis and subsequent re-assembly of controlled sequences will require tracking which DNA fragments have been ordered across all providers and benchtop devices while protecting legitimate customer privacy. Finally, counterfeiting can at worst undermine faith in currency, whereas unauthorized DNA synthesis could be used to deliberately cause pandemics. Here we describe SecureDNA, a free, privacy-preserving, and fully automated system capable of verifiably screening all DNA synthesis orders of 30 + nucleotides against an up-to-date database of controlled sequences, and its operational performance and specificity when applied to 67 million nucleotides of DNA synthesized by providers in the United States, Europe, and China.</w:t>
      </w:r>
    </w:p>
    <w:p>
      <w:pPr>
        <w:spacing w:before="120" w:after="120"/>
      </w:pPr>
      <w:r>
        <w:rPr>
          <w:sz w:val="18"/>
        </w:rPr>
        <w:t>——————————————————————————————————————————————————————————————————————</w:t>
      </w:r>
    </w:p>
    <w:p>
      <w:pPr>
        <w:spacing w:before="160" w:after="40" w:line="240" w:lineRule="auto"/>
      </w:pPr>
      <w:r>
        <w:rPr>
          <w:b/>
        </w:rPr>
        <w:t xml:space="preserve">[144] </w:t>
      </w:r>
      <w:hyperlink r:id="rId217">
        <w:r>
          <w:rPr>
            <w:color w:val="1155CC"/>
            <w:u w:val="single"/>
          </w:rPr>
          <w:t>增强的d-p轨道混合化加速了二步半固态硫在钠-硫电池中的转化。</w:t>
        </w:r>
      </w:hyperlink>
    </w:p>
    <w:p>
      <w:pPr>
        <w:spacing w:before="0" w:after="80"/>
      </w:pPr>
      <w:r>
        <w:rPr>
          <w:i/>
          <w:sz w:val="20"/>
        </w:rPr>
        <w:t>EN: Enhanced d–p orbital hybridization accelerates two-step quasi-solid-state sulfur conversion in sodium–sulfur batteries</w:t>
      </w:r>
    </w:p>
    <w:p>
      <w:pPr>
        <w:spacing w:before="0" w:after="120"/>
      </w:pPr>
      <w:r>
        <w:rPr>
          <w:b/>
        </w:rPr>
        <w:t xml:space="preserve">Source: </w:t>
      </w:r>
      <w:r>
        <w:t>RSC - Energy Environ. Sci. latest articles</w:t>
      </w:r>
      <w:r>
        <w:t xml:space="preserve">    </w:t>
      </w:r>
      <w:r>
        <w:rPr>
          <w:b/>
        </w:rPr>
        <w:t xml:space="preserve">Pub date: </w:t>
      </w:r>
      <w:r>
        <w:t>2026-02-16 00:00:00+00:00</w:t>
      </w:r>
    </w:p>
    <w:p>
      <w:pPr>
        <w:spacing w:before="0" w:after="120"/>
      </w:pPr>
      <w:r>
        <w:rPr>
          <w:b/>
        </w:rPr>
        <w:t xml:space="preserve">Notes: </w:t>
      </w:r>
      <w:r>
        <w:t>abstract_source=rsc_html</w:t>
      </w:r>
    </w:p>
    <w:p>
      <w:pPr>
        <w:spacing w:before="0" w:after="80" w:lineRule="auto" w:line="276"/>
      </w:pPr>
      <w:r>
        <w:rPr>
          <w:b/>
        </w:rPr>
        <w:t xml:space="preserve">摘要（ZH）: </w:t>
      </w:r>
      <w:r>
        <w:t>室温钠-硫(RT Na-S)电池对于大规模能源储存很有希望,因为硫的容量和钠含量都很高,但是其应用却受到缓慢的红氧化动能和贫乏的硫利用的阻碍。 在这里,我们实现了从硫到Na2S4至Na2S的快速和可逆的两步半固态再氧化路径,而Na2S2却无法通过d-p轨道混合诱导的跨式电子结构调节而检测到可检测到的积累。 统一嵌入交叉关联碳领域的超trafine Mo2C纳米粒子激活了惰性脱氧和dx2-y2轨道,允许与硫的状态进行强有力的脱硫混合,从而有效地促进了硫转化动力学。 光化分析揭示了Mo ac的可逆价值演化。</w:t>
      </w:r>
    </w:p>
    <w:p>
      <w:pPr>
        <w:spacing w:before="0" w:after="200" w:lineRule="auto" w:line="276"/>
      </w:pPr>
      <w:r>
        <w:rPr>
          <w:b/>
        </w:rPr>
        <w:t xml:space="preserve">Abstract (EN): </w:t>
      </w:r>
      <w:r>
        <w:t>Room-temperature sodium–sulfur (RT Na–S) batteries are promising for large-scale energy storage owing to the high capacity of sulfur and the abundance of sodium, yet their application is hindered by sluggish redox kinetics and poor sulfur utilization. Here, we realize a fast and reversible two-step quasi-solid-state redox pathway from sulfur through Na2S4 to Na2S without detectable accumulation of Na2S2 through d–p orbital hybridization-induced interfacial electronic structure modulation. Ultrafine Mo2C nanoparticles uniformly embedded in cross-linked carbon spheres activate the inert dxy and dx²–y² orbitals, allowing strong d–p hybridization with sulfur p states, which effectively promotes the sulfur conversion kinetics. Spectroscopic analysis reveals reversible valence evolution of Mo accompanied by dynamic changes in its local electronic structure, confirming the electronic structure modulation that accelerates charge transfer and stabilizes intermediates. Multi-scale in situ visualization further captures Na-ion transport and structural evolution in real time, directly linking interfacial stability with ultrafast redox kinetics. The resulting S@Mo2C/C cathode delivers a high reversible capacity of 854 mAh g−1 after 200 cycles at 200 mA g−1 and remarkable durability of 314 mAh g−1 after 10 000 cycles at 20 A g−1, establishing orbital hybridization-driven catalysis and in situ visualization as new paradigms for next-generation Na–S batteries.</w:t>
      </w:r>
    </w:p>
    <w:p>
      <w:pPr>
        <w:spacing w:before="120" w:after="120"/>
      </w:pPr>
      <w:r>
        <w:rPr>
          <w:sz w:val="18"/>
        </w:rPr>
        <w:t>——————————————————————————————————————————————————————————————————————</w:t>
      </w:r>
    </w:p>
    <w:p>
      <w:pPr>
        <w:spacing w:before="160" w:after="40" w:line="240" w:lineRule="auto"/>
      </w:pPr>
      <w:r>
        <w:rPr>
          <w:b/>
        </w:rPr>
        <w:t xml:space="preserve">[145] </w:t>
      </w:r>
      <w:hyperlink r:id="rId218">
        <w:r>
          <w:rPr>
            <w:color w:val="1155CC"/>
            <w:u w:val="single"/>
          </w:rPr>
          <w:t>天然产品生物合成生物产品中的激进酶酶皮粒酸循环化</w:t>
        </w:r>
      </w:hyperlink>
    </w:p>
    <w:p>
      <w:pPr>
        <w:spacing w:before="0" w:after="80"/>
      </w:pPr>
      <w:r>
        <w:rPr>
          <w:i/>
          <w:sz w:val="20"/>
        </w:rPr>
        <w:t>EN: Radical enzymatic peptide cyclization in natural product biosynthesis</w:t>
      </w:r>
    </w:p>
    <w:p>
      <w:pPr>
        <w:spacing w:before="0" w:after="120"/>
      </w:pPr>
      <w:r>
        <w:rPr>
          <w:b/>
        </w:rPr>
        <w:t xml:space="preserve">Source: </w:t>
      </w:r>
      <w:r>
        <w:t>RSC - Chem. Soc. Rev. latest articles</w:t>
      </w:r>
      <w:r>
        <w:t xml:space="preserve">    </w:t>
      </w:r>
      <w:r>
        <w:rPr>
          <w:b/>
        </w:rPr>
        <w:t xml:space="preserve">Pub date: </w:t>
      </w:r>
      <w:r>
        <w:t>2026-02-16 00:00:00+00:00</w:t>
      </w:r>
    </w:p>
    <w:p>
      <w:pPr>
        <w:spacing w:before="0" w:after="120"/>
      </w:pPr>
      <w:r>
        <w:rPr>
          <w:b/>
        </w:rPr>
        <w:t xml:space="preserve">Notes: </w:t>
      </w:r>
      <w:r>
        <w:t>abstract_source=rsc_html</w:t>
      </w:r>
    </w:p>
    <w:p>
      <w:pPr>
        <w:spacing w:before="0" w:after="80" w:lineRule="auto" w:line="276"/>
      </w:pPr>
      <w:r>
        <w:rPr>
          <w:b/>
        </w:rPr>
        <w:t xml:space="preserve">摘要（ZH）: </w:t>
      </w:r>
      <w:r>
        <w:t>cyclic peptides是天然产品生物合成和药物发现中最有优势的脚手,其价值在于其结构多样性、代谢稳定性和强大的生物活动。 激进中介的酶循环化已成为构建结构复杂和生物活性peptide自然产品的强大生物合成战略。 本审查调查了激进酶的不断增长的累合体,包括激进的S-Adenosylmethionine(rSAM)酶、细胞色素P450s、BURP-domain氧化酶和在pept 宏观循环化过程中催化选址C-C-C、C-S、C-N和C-O债券形成过程的其他酶家庭。 重点是自然产品生物合成中涉及的激进循环反应,涵盖RipPPs和NRPS路径。</w:t>
      </w:r>
    </w:p>
    <w:p>
      <w:pPr>
        <w:spacing w:before="0" w:after="200" w:lineRule="auto" w:line="276"/>
      </w:pPr>
      <w:r>
        <w:rPr>
          <w:b/>
        </w:rPr>
        <w:t xml:space="preserve">Abstract (EN): </w:t>
      </w:r>
      <w:r>
        <w:t>Cyclic peptides are privileged scaffolds in natural product biosynthesis and drug discovery, valued for their structural diversity, metabolic stability, and potent biological activities. Radical-mediated enzymatic cyclization has emerged as a powerful biosynthetic strategy for constructing structurally complex and bioactive peptide natural products. This review surveys the growing repertoire of radical enzymes, including radical S-adenosylmethionine (rSAM) enzymes, cytochrome P450s, BURP-domain oxidases, and additional enzyme families that catalyze site-selective C–C, C–S, C–N, and C–O bond formation during peptide macrocyclization. Emphasis is placed on radical-driven cyclization reactions involved in natural product biosynthesis, covering both RiPPs and NRPS pathways. Examples of cyclic peptide natural products include vancomycin, arylomicin, telocidin, streptide, and nosiheptide illustrate the mechanistic and structural diversity of radical peptide cyclases. Key emerging themes include a diverse array of side-chain crosslinking, 3–4 residue macrocycles, and unique forms of chirality. This review also discusses advances in genome mining and mechanistic enzymology that continue to reveal new radical transformations and unusual enzyme mechanisms. Collectively, these insights highlight the role of radical enzymology in expanding the structural space of peptide-based natural products and its potential for applications in synthetic biology, drug discovery, and peptide engineering.</w:t>
      </w:r>
    </w:p>
    <w:p>
      <w:pPr>
        <w:spacing w:before="120" w:after="120"/>
      </w:pPr>
      <w:r>
        <w:rPr>
          <w:sz w:val="18"/>
        </w:rPr>
        <w:t>——————————————————————————————————————————————————————————————————————</w:t>
      </w:r>
    </w:p>
    <w:p>
      <w:pPr>
        <w:spacing w:before="160" w:after="40" w:line="240" w:lineRule="auto"/>
      </w:pPr>
      <w:r>
        <w:rPr>
          <w:b/>
        </w:rPr>
        <w:t xml:space="preserve">[146] </w:t>
      </w:r>
      <w:hyperlink r:id="rId219">
        <w:r>
          <w:rPr>
            <w:color w:val="1155CC"/>
            <w:u w:val="single"/>
          </w:rPr>
          <w:t>低当前密度极长寿命超长的实用锌-钠电池超拉特冰战略</w:t>
        </w:r>
      </w:hyperlink>
    </w:p>
    <w:p>
      <w:pPr>
        <w:spacing w:before="0" w:after="80"/>
      </w:pPr>
      <w:r>
        <w:rPr>
          <w:i/>
          <w:sz w:val="20"/>
        </w:rPr>
        <w:t>EN: Suppresses Vanadium Dissolution via Superlattice Strategy for Practical Zinc‐Vanadium Batteries with Ultralong Lifespan at Low Current Density</w:t>
      </w:r>
    </w:p>
    <w:p>
      <w:pPr>
        <w:spacing w:before="0" w:after="120"/>
      </w:pPr>
      <w:r>
        <w:rPr>
          <w:b/>
        </w:rPr>
        <w:t xml:space="preserve">Source: </w:t>
      </w:r>
      <w:r>
        <w:t>Wiley: Advanced Energy Materials: Table of Contents</w:t>
      </w:r>
      <w:r>
        <w:t xml:space="preserve">    </w:t>
      </w:r>
      <w:r>
        <w:rPr>
          <w:b/>
        </w:rPr>
        <w:t xml:space="preserve">Pub date: </w:t>
      </w:r>
      <w:r>
        <w:t>2026-02-16 05:11:57+00:00</w:t>
      </w:r>
      <w:r>
        <w:t xml:space="preserve">    </w:t>
      </w:r>
      <w:r>
        <w:rPr>
          <w:b/>
        </w:rPr>
        <w:t xml:space="preserve">DOI: </w:t>
      </w:r>
      <w:hyperlink r:id="rId220">
        <w:r>
          <w:rPr>
            <w:color w:val="1155CC"/>
            <w:u w:val="single"/>
          </w:rPr>
          <w:t>10.1002/aenm.202506383</w:t>
        </w:r>
      </w:hyperlink>
    </w:p>
    <w:p>
      <w:pPr>
        <w:spacing w:before="0" w:after="120"/>
      </w:pPr>
      <w:r>
        <w:rPr>
          <w:b/>
        </w:rPr>
        <w:t xml:space="preserve">Notes: </w:t>
      </w:r>
      <w:r>
        <w:t>abstract_source=crossref</w:t>
      </w:r>
    </w:p>
    <w:p>
      <w:pPr>
        <w:spacing w:before="0" w:after="80" w:lineRule="auto" w:line="276"/>
      </w:pPr>
      <w:r>
        <w:rPr>
          <w:b/>
        </w:rPr>
        <w:t xml:space="preserve">摘要（ZH）: </w:t>
      </w:r>
      <w:r>
        <w:t>ABSTACT AUSTACT 水锌电池面临严重的容量衰减和快速衰竭,特别是在低电流密度( &amp;lt; 1 A 克-1)下,这主要是因为阴极的结构性稳定性差,以及高度活跃的免费水的腐蚀,严重妨碍了其实际应用。在这里,我们提议将超拉特氧化物(SuperlatticeV 2 O 5)作为一种阴极材料,以提高当前低密度的循环稳定性。</w:t>
      </w:r>
    </w:p>
    <w:p>
      <w:pPr>
        <w:spacing w:before="0" w:after="200" w:lineRule="auto" w:line="276"/>
      </w:pPr>
      <w:r>
        <w:rPr>
          <w:b/>
        </w:rPr>
        <w:t xml:space="preserve">Abstract (EN): </w:t>
      </w:r>
      <w:r>
        <w:t>Aqueous zinc‐vanadium batteries face severe capacity decay and rapid failure, particularly at low current densities (&amp;lt; 1 A g</w:t>
      </w:r>
      <w:r>
        <w:t xml:space="preserve"> </w:t>
      </w:r>
      <w:r>
        <w:t>−1</w:t>
      </w:r>
      <w:r>
        <w:t xml:space="preserve"> </w:t>
      </w:r>
      <w:r>
        <w:t>), primarily due to the poor structural stability of the vanadium cathode and corrosion by highly active free water, which severely hinders their practical application. Here, we propose the superlattice vanadium oxide (Superlattice‐V</w:t>
      </w:r>
      <w:r>
        <w:rPr>
          <w:vertAlign w:val="subscript"/>
        </w:rPr>
        <w:t>2</w:t>
      </w:r>
      <w:r>
        <w:t>O</w:t>
      </w:r>
      <w:r>
        <w:rPr>
          <w:vertAlign w:val="subscript"/>
        </w:rPr>
        <w:t>5</w:t>
      </w:r>
      <w:r>
        <w:t>) as a cathode material to improve the cycle stability at low current density. Its larger interlayer spacing of 21.5 Å reduces structural stress during hydrated Zn</w:t>
      </w:r>
      <w:r>
        <w:t xml:space="preserve"> </w:t>
      </w:r>
      <w:r>
        <w:t>2+</w:t>
      </w:r>
      <w:r>
        <w:t xml:space="preserve"> </w:t>
      </w:r>
      <w:r>
        <w:t>insertion/extraction, thus mitigating structural collapse, and effectively weakening the electrostatic interaction between Zn</w:t>
      </w:r>
      <w:r>
        <w:t xml:space="preserve"> </w:t>
      </w:r>
      <w:r>
        <w:t>2+</w:t>
      </w:r>
      <w:r>
        <w:t xml:space="preserve"> </w:t>
      </w:r>
      <w:r>
        <w:t>and the interlayer. Furthermore, the superlattice structure diminishes the release of highly active water molecules during the desolvation of hydrated Zn</w:t>
      </w:r>
      <w:r>
        <w:t xml:space="preserve"> </w:t>
      </w:r>
      <w:r>
        <w:t>2+</w:t>
      </w:r>
      <w:r>
        <w:t xml:space="preserve"> </w:t>
      </w:r>
      <w:r>
        <w:t>and increases the dissolution energy of the VO</w:t>
      </w:r>
      <w:r>
        <w:t xml:space="preserve"> </w:t>
      </w:r>
      <w:r>
        <w:t>2+</w:t>
      </w:r>
      <w:r>
        <w:t xml:space="preserve"> </w:t>
      </w:r>
      <w:r>
        <w:t>ion from 0.96 to 1.72 eV. These synergistic effects suppress vanadium dissolution and shuttling. Consequently, the Superlattice‐V</w:t>
      </w:r>
      <w:r>
        <w:rPr>
          <w:vertAlign w:val="subscript"/>
        </w:rPr>
        <w:t>2</w:t>
      </w:r>
      <w:r>
        <w:t>O</w:t>
      </w:r>
      <w:r>
        <w:rPr>
          <w:vertAlign w:val="subscript"/>
        </w:rPr>
        <w:t>5</w:t>
      </w:r>
      <w:r>
        <w:t>achieves a specific capacity of 445.1 mAh g</w:t>
      </w:r>
      <w:r>
        <w:t xml:space="preserve"> </w:t>
      </w:r>
      <w:r>
        <w:t>−1</w:t>
      </w:r>
      <w:r>
        <w:t xml:space="preserve"> </w:t>
      </w:r>
      <w:r>
        <w:t>at a low current density of 0.2 A g</w:t>
      </w:r>
      <w:r>
        <w:t xml:space="preserve"> </w:t>
      </w:r>
      <w:r>
        <w:t>−1</w:t>
      </w:r>
      <w:r>
        <w:t xml:space="preserve"> </w:t>
      </w:r>
      <w:r>
        <w:t>and enables vanadium shuttle‐free cycling for 750 cycles (lasting 106 days). Furthermore, the superlattice structure facilitates ion insertion into the deep regions of the high mass loading electrode, which effectively improves active material utilization, thereby achieving a stability of 2800 cycles at 0.5 A g</w:t>
      </w:r>
      <w:r>
        <w:t xml:space="preserve"> </w:t>
      </w:r>
      <w:r>
        <w:t>−1</w:t>
      </w:r>
      <w:r>
        <w:t xml:space="preserve"> </w:t>
      </w:r>
      <w:r>
        <w:t>with a mass loading of 19.3 mg cm</w:t>
      </w:r>
      <w:r>
        <w:t xml:space="preserve"> </w:t>
      </w:r>
      <w:r>
        <w:t>−2</w:t>
      </w:r>
      <w:r>
        <w:t xml:space="preserve"> </w:t>
      </w:r>
      <w:r>
        <w:t>.</w:t>
      </w:r>
    </w:p>
    <w:p>
      <w:pPr>
        <w:spacing w:before="120" w:after="120"/>
      </w:pPr>
      <w:r>
        <w:rPr>
          <w:sz w:val="18"/>
        </w:rPr>
        <w:t>——————————————————————————————————————————————————————————————————————</w:t>
      </w:r>
    </w:p>
    <w:p>
      <w:pPr>
        <w:spacing w:before="160" w:after="40" w:line="240" w:lineRule="auto"/>
      </w:pPr>
      <w:r>
        <w:rPr>
          <w:b/>
        </w:rPr>
        <w:t xml:space="preserve">[147] </w:t>
      </w:r>
      <w:hyperlink r:id="rId221">
        <w:r>
          <w:rPr>
            <w:color w:val="1155CC"/>
            <w:u w:val="single"/>
          </w:rPr>
          <w:t>在Situ Bismuth Expolu Expolu Exclupe 驱动可控Bi/Bi4Ti33O12 用于增强光催化CO2toHCOOH转化的强化光化催化器热界面催化器中</w:t>
        </w:r>
      </w:hyperlink>
    </w:p>
    <w:p>
      <w:pPr>
        <w:spacing w:before="0" w:after="80"/>
      </w:pPr>
      <w:r>
        <w:rPr>
          <w:i/>
          <w:sz w:val="20"/>
        </w:rPr>
        <w:t>EN: In Situ Bismuth Exsolution‐Driven Controllable Bi/Bi4Ti3O12 Heterointerface Catalysts for Enhanced Photocatalytic CO2‐to‐HCOOH Conversion</w:t>
      </w:r>
    </w:p>
    <w:p>
      <w:pPr>
        <w:spacing w:before="0" w:after="120"/>
      </w:pPr>
      <w:r>
        <w:rPr>
          <w:b/>
        </w:rPr>
        <w:t xml:space="preserve">Source: </w:t>
      </w:r>
      <w:r>
        <w:t>Wiley: Angewandte Chemie International Edition: Table of Contents</w:t>
      </w:r>
      <w:r>
        <w:t xml:space="preserve">    </w:t>
      </w:r>
      <w:r>
        <w:rPr>
          <w:b/>
        </w:rPr>
        <w:t xml:space="preserve">Pub date: </w:t>
      </w:r>
      <w:r>
        <w:t>2026-02-16 05:24:14+00:00</w:t>
      </w:r>
      <w:r>
        <w:t xml:space="preserve">    </w:t>
      </w:r>
      <w:r>
        <w:rPr>
          <w:b/>
        </w:rPr>
        <w:t xml:space="preserve">DOI: </w:t>
      </w:r>
      <w:hyperlink r:id="rId222">
        <w:r>
          <w:rPr>
            <w:color w:val="1155CC"/>
            <w:u w:val="single"/>
          </w:rPr>
          <w:t>10.1002/anie.4308936</w:t>
        </w:r>
      </w:hyperlink>
    </w:p>
    <w:p>
      <w:pPr>
        <w:spacing w:before="0" w:after="120"/>
      </w:pPr>
      <w:r>
        <w:rPr>
          <w:b/>
        </w:rPr>
        <w:t xml:space="preserve">Notes: </w:t>
      </w:r>
      <w:r>
        <w:t>abstract_source=crossref</w:t>
      </w:r>
    </w:p>
    <w:p>
      <w:pPr>
        <w:spacing w:before="0" w:after="80" w:lineRule="auto" w:line="276"/>
      </w:pPr>
      <w:r>
        <w:rPr>
          <w:b/>
        </w:rPr>
        <w:t xml:space="preserve">摘要（ZH）: </w:t>
      </w:r>
      <w:r>
        <w:t>以内建电场为基础的ABSTACT外热界面工程(BIEF)已成为管理间电荷转移和活跃场地电子结构以有效减少光催化CO2的一个很有希望的途径,然而,为尽量扩大BIEF效应而建造紧密结合的异式外热界面仍然具有挑战性。 因此,采用了一种离子平衡溶液热学战略,促使Bi 4 Ti 3 O 12纳米粒子在现场溶解Bi 4 Ti 3 O 12,产生紧密和同质的Bi/Bi 4 Ti 3。</w:t>
      </w:r>
    </w:p>
    <w:p>
      <w:pPr>
        <w:spacing w:before="0" w:after="200" w:lineRule="auto" w:line="276"/>
      </w:pPr>
      <w:r>
        <w:rPr>
          <w:b/>
        </w:rPr>
        <w:t xml:space="preserve">Abstract (EN): </w:t>
      </w:r>
      <w:r>
        <w:t>Heterointerface engineering based on built‐in electric field (BIEF) has emerged as a promising route for regulating interfacial charge transfer and the electronic structure of active sites to achieve efficient photocatalytic CO</w:t>
      </w:r>
      <w:r>
        <w:rPr>
          <w:vertAlign w:val="subscript"/>
        </w:rPr>
        <w:t>2</w:t>
      </w:r>
      <w:r>
        <w:t>reduction. However, constructing strongly coupled heterointerfaces to maximize BIEF effects remains challenging. Herein, an off‐equilibrium solvothermal strategy is employed to induce the in situ exsolution of bismuth (Bi) nanoparticles from Bi</w:t>
      </w:r>
      <w:r>
        <w:rPr>
          <w:vertAlign w:val="subscript"/>
        </w:rPr>
        <w:t>4</w:t>
      </w:r>
      <w:r>
        <w:t>Ti</w:t>
      </w:r>
      <w:r>
        <w:rPr>
          <w:vertAlign w:val="subscript"/>
        </w:rPr>
        <w:t>3</w:t>
      </w:r>
      <w:r>
        <w:t>O</w:t>
      </w:r>
      <w:r>
        <w:rPr>
          <w:vertAlign w:val="subscript"/>
        </w:rPr>
        <w:t>12</w:t>
      </w:r>
      <w:r>
        <w:t>, yielding tight and homologous Bi/Bi</w:t>
      </w:r>
      <w:r>
        <w:rPr>
          <w:vertAlign w:val="subscript"/>
        </w:rPr>
        <w:t>4</w:t>
      </w:r>
      <w:r>
        <w:t>Ti</w:t>
      </w:r>
      <w:r>
        <w:rPr>
          <w:vertAlign w:val="subscript"/>
        </w:rPr>
        <w:t>3</w:t>
      </w:r>
      <w:r>
        <w:t>O</w:t>
      </w:r>
      <w:r>
        <w:rPr>
          <w:vertAlign w:val="subscript"/>
        </w:rPr>
        <w:t>12</w:t>
      </w:r>
      <w:r>
        <w:t>(Bi/BTOVs) heterointerface catalysts. Both experimental and theoretical analyses reveal a volcano‐type relationship between the intensity of BIEF and the size of the exsolved Bi nanoparticles. Strengthened BIEF facilitates directional interfacial charge transfer and shifts the Bi p‐band center toward the Fermi level. The optimized p‐band center strengthens the adsorption and activation of CO</w:t>
      </w:r>
      <w:r>
        <w:rPr>
          <w:vertAlign w:val="subscript"/>
        </w:rPr>
        <w:t>2</w:t>
      </w:r>
      <w:r>
        <w:t>, thus lowering the formation barrier of the *OCHO intermediate. Moreover, the Bi nanoparticles also induce a localized photothermal effect, raising the reaction temperature to accelerate CO</w:t>
      </w:r>
      <w:r>
        <w:rPr>
          <w:vertAlign w:val="subscript"/>
        </w:rPr>
        <w:t>2</w:t>
      </w:r>
      <w:r>
        <w:t>reaction kinetics. As a result, the 8 Bi/BTOVs catalyst with the optimal BIEF achieves a high HCOOH yield of 4126.25 µmol·g</w:t>
      </w:r>
      <w:r>
        <w:t xml:space="preserve"> </w:t>
      </w:r>
      <w:r>
        <w:t>−1</w:t>
      </w:r>
      <w:r>
        <w:t xml:space="preserve"> </w:t>
      </w:r>
      <w:r>
        <w:t>·h</w:t>
      </w:r>
      <w:r>
        <w:t xml:space="preserve"> </w:t>
      </w:r>
      <w:r>
        <w:t>−1</w:t>
      </w:r>
      <w:r>
        <w:t xml:space="preserve"> </w:t>
      </w:r>
      <w:r>
        <w:t>with near‐unity selectivity. This study provides a generalizable strategy for the rational design of BIEF‐based strongly coupled heterointerfaces, offering a transferable design principle for photocatalytic CO</w:t>
      </w:r>
      <w:r>
        <w:rPr>
          <w:vertAlign w:val="subscript"/>
        </w:rPr>
        <w:t>2</w:t>
      </w:r>
      <w:r>
        <w:t>reduction.</w:t>
      </w:r>
    </w:p>
    <w:p>
      <w:pPr>
        <w:spacing w:before="120" w:after="120"/>
      </w:pPr>
      <w:r>
        <w:rPr>
          <w:sz w:val="18"/>
        </w:rPr>
        <w:t>——————————————————————————————————————————————————————————————————————</w:t>
      </w:r>
    </w:p>
    <w:p>
      <w:pPr>
        <w:spacing w:before="160" w:after="40" w:line="240" w:lineRule="auto"/>
      </w:pPr>
      <w:r>
        <w:rPr>
          <w:b/>
        </w:rPr>
        <w:t xml:space="preserve">[148] </w:t>
      </w:r>
      <w:hyperlink r:id="rId223">
        <w:r>
          <w:rPr>
            <w:color w:val="1155CC"/>
            <w:u w:val="single"/>
          </w:rPr>
          <w:t>通过机械化石利用液化石油气生产低温氢气</w:t>
        </w:r>
      </w:hyperlink>
    </w:p>
    <w:p>
      <w:pPr>
        <w:spacing w:before="0" w:after="80"/>
      </w:pPr>
      <w:r>
        <w:rPr>
          <w:i/>
          <w:sz w:val="20"/>
        </w:rPr>
        <w:t>EN: Low‐Temperature Hydrogen Production From Liquefied Petroleum Gas via Mechanochemistry</w:t>
      </w:r>
    </w:p>
    <w:p>
      <w:pPr>
        <w:spacing w:before="0" w:after="120"/>
      </w:pPr>
      <w:r>
        <w:rPr>
          <w:b/>
        </w:rPr>
        <w:t xml:space="preserve">Source: </w:t>
      </w:r>
      <w:r>
        <w:t>Wiley: Angewandte Chemie International Edition: Table of Contents</w:t>
      </w:r>
      <w:r>
        <w:t xml:space="preserve">    </w:t>
      </w:r>
      <w:r>
        <w:rPr>
          <w:b/>
        </w:rPr>
        <w:t xml:space="preserve">Pub date: </w:t>
      </w:r>
      <w:r>
        <w:t>2026-02-16 05:25:53+00:00</w:t>
      </w:r>
      <w:r>
        <w:t xml:space="preserve">    </w:t>
      </w:r>
      <w:r>
        <w:rPr>
          <w:b/>
        </w:rPr>
        <w:t xml:space="preserve">DOI: </w:t>
      </w:r>
      <w:hyperlink r:id="rId224">
        <w:r>
          <w:rPr>
            <w:color w:val="1155CC"/>
            <w:u w:val="single"/>
          </w:rPr>
          <w:t>10.1002/anie.202523838</w:t>
        </w:r>
      </w:hyperlink>
    </w:p>
    <w:p>
      <w:pPr>
        <w:spacing w:before="0" w:after="120"/>
      </w:pPr>
      <w:r>
        <w:rPr>
          <w:b/>
        </w:rPr>
        <w:t xml:space="preserve">Notes: </w:t>
      </w:r>
      <w:r>
        <w:t>abstract_source=crossref</w:t>
      </w:r>
    </w:p>
    <w:p>
      <w:pPr>
        <w:spacing w:before="0" w:after="80" w:lineRule="auto" w:line="276"/>
      </w:pPr>
      <w:r>
        <w:rPr>
          <w:b/>
        </w:rPr>
        <w:t xml:space="preserve">摘要（ZH）: </w:t>
      </w:r>
      <w:r>
        <w:t>碳氢化合物的ABSTACT蒸气改革目前是氢(H2)生产的主要方法,作为丁烷和丙烷富含的石油提炼副产品,液化石油气(LPG)提供了一种较容易获取和容易运输的碳氢化合物替代原料,相对于甲烷浓缩天然气而言,它提供了一种更容易获得和易于运输的替代原料,然而,传统的液化石油气蒸气改革需要高温才能断开稳定的碳-H债券,而作为副产品的碳氧化物的不可避免释放限制了H2选择性( &amp; lt; 76 vol%)。为了克服这些限制,我们报告了将液化石油气转化为高纯度H2的低湿气化战略(37°C)。</w:t>
      </w:r>
    </w:p>
    <w:p>
      <w:pPr>
        <w:spacing w:before="0" w:after="200" w:lineRule="auto" w:line="276"/>
      </w:pPr>
      <w:r>
        <w:rPr>
          <w:b/>
        </w:rPr>
        <w:t xml:space="preserve">Abstract (EN): </w:t>
      </w:r>
      <w:r>
        <w:t>Steam reforming of hydrocarbons is currently the dominant method for hydrogen (H</w:t>
      </w:r>
      <w:r>
        <w:rPr>
          <w:vertAlign w:val="subscript"/>
        </w:rPr>
        <w:t>2</w:t>
      </w:r>
      <w:r>
        <w:t>) production. As a petroleum refining byproduct rich in butane and propane, liquefied petroleum gas (LPG) offers a more accessible and easily transportable alternative feedstock of hydrocarbons relative to methane‐enriched natural gas. However, conventional steam reforming of LPG requires high temperatures to cleave stable C─H bonds, and the inevitable release of carbon oxides as byproducts limits H</w:t>
      </w:r>
      <w:r>
        <w:rPr>
          <w:vertAlign w:val="subscript"/>
        </w:rPr>
        <w:t>2</w:t>
      </w:r>
      <w:r>
        <w:t>selectivity ( &amp;lt; 76 vol%). To overcome these limitations, we report a low‐temperature (37°C) mechanochemical strategy for converting LPG into high‐purity H</w:t>
      </w:r>
      <w:r>
        <w:rPr>
          <w:vertAlign w:val="subscript"/>
        </w:rPr>
        <w:t>2</w:t>
      </w:r>
      <w:r>
        <w:t>with chromium (Cr) powder. The reaction proceeds without carbon emissions and achieves a high H</w:t>
      </w:r>
      <w:r>
        <w:rPr>
          <w:vertAlign w:val="subscript"/>
        </w:rPr>
        <w:t>2</w:t>
      </w:r>
      <w:r>
        <w:t>selectivity of 97.2 vol%, far surpasses that of the thermochemical route (21.3 vol% at 800°C). The H</w:t>
      </w:r>
      <w:r>
        <w:rPr>
          <w:vertAlign w:val="subscript"/>
        </w:rPr>
        <w:t>2</w:t>
      </w:r>
      <w:r>
        <w:t>yield rate exhibits at least 50 times enhancement compared to thermochemistry. The H</w:t>
      </w:r>
      <w:r>
        <w:rPr>
          <w:vertAlign w:val="subscript"/>
        </w:rPr>
        <w:t>2</w:t>
      </w:r>
      <w:r>
        <w:t>yield ratio reaches 94.6%, nearly 13 times greater than thermochemistry (7.3%). Mechanistically, strong metal‐carbon interactions promote dehydrogenation and C─C bond cleavage, and metal‐hydrogen interactions determine H</w:t>
      </w:r>
      <w:r>
        <w:rPr>
          <w:vertAlign w:val="subscript"/>
        </w:rPr>
        <w:t>2</w:t>
      </w:r>
      <w:r>
        <w:t>selectivity. These findings highlight mechanochemistry as a promising low‐temperature, carbon‐free approach for sustainable H</w:t>
      </w:r>
      <w:r>
        <w:rPr>
          <w:vertAlign w:val="subscript"/>
        </w:rPr>
        <w:t>2</w:t>
      </w:r>
      <w:r>
        <w:t>generation.</w:t>
      </w:r>
    </w:p>
    <w:p>
      <w:pPr>
        <w:spacing w:before="120" w:after="120"/>
      </w:pPr>
      <w:r>
        <w:rPr>
          <w:sz w:val="18"/>
        </w:rPr>
        <w:t>——————————————————————————————————————————————————————————————————————</w:t>
      </w:r>
    </w:p>
    <w:p>
      <w:pPr>
        <w:spacing w:before="160" w:after="40" w:line="240" w:lineRule="auto"/>
      </w:pPr>
      <w:r>
        <w:rPr>
          <w:b/>
        </w:rPr>
        <w:t xml:space="preserve">[149] </w:t>
      </w:r>
      <w:hyperlink r:id="rId225">
        <w:r>
          <w:rPr>
            <w:color w:val="1155CC"/>
            <w:u w:val="single"/>
          </w:rPr>
          <w:t>遥感N热循环碳化碳中Cu场址电子结构图 保护Cu7纳米碳气导导导CO2减少碳氢化合物电</w:t>
        </w:r>
      </w:hyperlink>
    </w:p>
    <w:p>
      <w:pPr>
        <w:spacing w:before="0" w:after="80"/>
      </w:pPr>
      <w:r>
        <w:rPr>
          <w:i/>
          <w:sz w:val="20"/>
        </w:rPr>
        <w:t>EN: Remotely Tuning the Electronic Structures of Cu Site Over N‐Heterocyclic Carbene‐Protected Cu7 Nanocluster for Steering CO2 Electroreduction to Hydrocarbons</w:t>
      </w:r>
    </w:p>
    <w:p>
      <w:pPr>
        <w:spacing w:before="0" w:after="120"/>
      </w:pPr>
      <w:r>
        <w:rPr>
          <w:b/>
        </w:rPr>
        <w:t xml:space="preserve">Source: </w:t>
      </w:r>
      <w:r>
        <w:t>Wiley: Angewandte Chemie International Edition: Table of Contents</w:t>
      </w:r>
      <w:r>
        <w:t xml:space="preserve">    </w:t>
      </w:r>
      <w:r>
        <w:rPr>
          <w:b/>
        </w:rPr>
        <w:t xml:space="preserve">Pub date: </w:t>
      </w:r>
      <w:r>
        <w:t>2026-02-16 05:26:28+00:00</w:t>
      </w:r>
      <w:r>
        <w:t xml:space="preserve">    </w:t>
      </w:r>
      <w:r>
        <w:rPr>
          <w:b/>
        </w:rPr>
        <w:t xml:space="preserve">DOI: </w:t>
      </w:r>
      <w:hyperlink r:id="rId226">
        <w:r>
          <w:rPr>
            <w:color w:val="1155CC"/>
            <w:u w:val="single"/>
          </w:rPr>
          <w:t>10.1002/anie.4862058</w:t>
        </w:r>
      </w:hyperlink>
    </w:p>
    <w:p>
      <w:pPr>
        <w:spacing w:before="0" w:after="120"/>
      </w:pPr>
      <w:r>
        <w:rPr>
          <w:b/>
        </w:rPr>
        <w:t xml:space="preserve">Notes: </w:t>
      </w:r>
      <w:r>
        <w:t>abstract_source=crossref</w:t>
      </w:r>
    </w:p>
    <w:p>
      <w:pPr>
        <w:spacing w:before="0" w:after="80" w:lineRule="auto" w:line="276"/>
      </w:pPr>
      <w:r>
        <w:rPr>
          <w:b/>
        </w:rPr>
        <w:t xml:space="preserve">摘要（ZH）: </w:t>
      </w:r>
      <w:r>
        <w:t>在本研究中,为调整原子精准库纳纳米集群(Cu NNCs)的电子结构制定了遥控控制战略,目的是加强CO2RR的选择性,使其转向高价值碳氢化合物。</w:t>
      </w:r>
    </w:p>
    <w:p>
      <w:pPr>
        <w:spacing w:before="0" w:after="200" w:lineRule="auto" w:line="276"/>
      </w:pPr>
      <w:r>
        <w:rPr>
          <w:b/>
        </w:rPr>
        <w:t xml:space="preserve">Abstract (EN): </w:t>
      </w:r>
      <w:r>
        <w:t>In this study, a remote‐control strategy for tuning the electronic structures of atomically precise Cu nanoclusters (Cu NCs) was developed, aiming to enhance the selectivity of the CO</w:t>
      </w:r>
      <w:r>
        <w:rPr>
          <w:vertAlign w:val="subscript"/>
        </w:rPr>
        <w:t>2</w:t>
      </w:r>
      <w:r>
        <w:t>RR toward high‐value hydrocarbons. Two Cu</w:t>
      </w:r>
      <w:r>
        <w:rPr>
          <w:vertAlign w:val="subscript"/>
        </w:rPr>
        <w:t>7</w:t>
      </w:r>
      <w:r>
        <w:t>NCs protected by tridentate N‐heterocyclic carbene (NHC) ligands with distinct functional groups on the remote benzimidazole ring,</w:t>
      </w:r>
      <w:r>
        <w:t xml:space="preserve"> </w:t>
      </w:r>
      <w:r>
        <w:t>NHC</w:t>
      </w:r>
      <w:r>
        <w:t xml:space="preserve"> </w:t>
      </w:r>
      <w:r>
        <w:t>H</w:t>
      </w:r>
      <w:r>
        <w:t xml:space="preserve"> </w:t>
      </w:r>
      <w:r>
        <w:t>‐Cu</w:t>
      </w:r>
      <w:r>
        <w:rPr>
          <w:vertAlign w:val="subscript"/>
        </w:rPr>
        <w:t>7</w:t>
      </w:r>
      <w:r>
        <w:t xml:space="preserve"> </w:t>
      </w:r>
      <w:r>
        <w:t>and</w:t>
      </w:r>
      <w:r>
        <w:t xml:space="preserve"> </w:t>
      </w:r>
      <w:r>
        <w:t>NHC</w:t>
      </w:r>
      <w:r>
        <w:t xml:space="preserve"> </w:t>
      </w:r>
      <w:r>
        <w:t>Me</w:t>
      </w:r>
      <w:r>
        <w:t xml:space="preserve"> </w:t>
      </w:r>
      <w:r>
        <w:t>‐Cu</w:t>
      </w:r>
      <w:r>
        <w:rPr>
          <w:vertAlign w:val="subscript"/>
        </w:rPr>
        <w:t>7</w:t>
      </w:r>
      <w:r>
        <w:t xml:space="preserve"> </w:t>
      </w:r>
      <w:r>
        <w:t>, were synthesized via a green and efficient ball‐milling approach. The main product obtained with</w:t>
      </w:r>
      <w:r>
        <w:t xml:space="preserve"> </w:t>
      </w:r>
      <w:r>
        <w:t>NHC</w:t>
      </w:r>
      <w:r>
        <w:t xml:space="preserve"> </w:t>
      </w:r>
      <w:r>
        <w:t>Me</w:t>
      </w:r>
      <w:r>
        <w:t xml:space="preserve"> </w:t>
      </w:r>
      <w:r>
        <w:t>‐Cu</w:t>
      </w:r>
      <w:r>
        <w:rPr>
          <w:vertAlign w:val="subscript"/>
        </w:rPr>
        <w:t>7</w:t>
      </w:r>
      <w:r>
        <w:t xml:space="preserve"> </w:t>
      </w:r>
      <w:r>
        <w:t>is CO, with a selectivity of 82.8%, whereas the Faradaic efficiency (FE) for hydrocarbon production using</w:t>
      </w:r>
      <w:r>
        <w:t xml:space="preserve"> </w:t>
      </w:r>
      <w:r>
        <w:t>NHC</w:t>
      </w:r>
      <w:r>
        <w:t xml:space="preserve"> </w:t>
      </w:r>
      <w:r>
        <w:t>H</w:t>
      </w:r>
      <w:r>
        <w:t xml:space="preserve"> </w:t>
      </w:r>
      <w:r>
        <w:t>‐Cu</w:t>
      </w:r>
      <w:r>
        <w:rPr>
          <w:vertAlign w:val="subscript"/>
        </w:rPr>
        <w:t>7</w:t>
      </w:r>
      <w:r>
        <w:t xml:space="preserve"> </w:t>
      </w:r>
      <w:r>
        <w:t>is 74.0%, affording 50.4% CH</w:t>
      </w:r>
      <w:r>
        <w:rPr>
          <w:vertAlign w:val="subscript"/>
        </w:rPr>
        <w:t>4</w:t>
      </w:r>
      <w:r>
        <w:t>and 23.6% C</w:t>
      </w:r>
      <w:r>
        <w:rPr>
          <w:vertAlign w:val="subscript"/>
        </w:rPr>
        <w:t>2</w:t>
      </w:r>
      <w:r>
        <w:t>H</w:t>
      </w:r>
      <w:r>
        <w:rPr>
          <w:vertAlign w:val="subscript"/>
        </w:rPr>
        <w:t>4</w:t>
      </w:r>
      <w:r>
        <w:t>at −1.5 V versus the reversible hydrogen electrode (RHE). Comprehensive theoretical calculations and operando spectroscopic analyses demonstrate that the effect of the remote substituent on the NHC ligand provides a greater population of active electrons in the highest occupied d‐orbital of</w:t>
      </w:r>
      <w:r>
        <w:t xml:space="preserve"> </w:t>
      </w:r>
      <w:r>
        <w:t>NHC</w:t>
      </w:r>
      <w:r>
        <w:t xml:space="preserve"> </w:t>
      </w:r>
      <w:r>
        <w:t>H</w:t>
      </w:r>
      <w:r>
        <w:t xml:space="preserve"> </w:t>
      </w:r>
      <w:r>
        <w:t>‐Cu</w:t>
      </w:r>
      <w:r>
        <w:rPr>
          <w:vertAlign w:val="subscript"/>
        </w:rPr>
        <w:t>7</w:t>
      </w:r>
      <w:r>
        <w:t xml:space="preserve"> </w:t>
      </w:r>
      <w:r>
        <w:t>compared to that in</w:t>
      </w:r>
      <w:r>
        <w:t xml:space="preserve"> </w:t>
      </w:r>
      <w:r>
        <w:t>NHC</w:t>
      </w:r>
      <w:r>
        <w:t xml:space="preserve"> </w:t>
      </w:r>
      <w:r>
        <w:t>Me</w:t>
      </w:r>
      <w:r>
        <w:t xml:space="preserve"> </w:t>
      </w:r>
      <w:r>
        <w:t>‐Cu</w:t>
      </w:r>
      <w:r>
        <w:rPr>
          <w:vertAlign w:val="subscript"/>
        </w:rPr>
        <w:t>7</w:t>
      </w:r>
      <w:r>
        <w:t xml:space="preserve"> </w:t>
      </w:r>
      <w:r>
        <w:t>, thus effectively regulating the binding strength of the *CO intermediate. This in turn promotes stabilization and further activation of the intermediate, ultimately steering the product selectivity from CO toward targeted hydrocarbons. This study establishes an atomic‐level paradigm for ligand engineering of Cu NCs, enabling remote tuning of the electronic structure of the active sites to realize highly selective hydrocarbon generation.</w:t>
      </w:r>
    </w:p>
    <w:p>
      <w:pPr>
        <w:spacing w:before="120" w:after="120"/>
      </w:pPr>
      <w:r>
        <w:rPr>
          <w:sz w:val="18"/>
        </w:rPr>
        <w:t>——————————————————————————————————————————————————————————————————————</w:t>
      </w:r>
    </w:p>
    <w:p>
      <w:pPr>
        <w:spacing w:before="160" w:after="40" w:line="240" w:lineRule="auto"/>
      </w:pPr>
      <w:r>
        <w:rPr>
          <w:b/>
        </w:rPr>
        <w:t xml:space="preserve">[150] </w:t>
      </w:r>
      <w:hyperlink r:id="rId227">
        <w:r>
          <w:rPr>
            <w:color w:val="1155CC"/>
            <w:u w:val="single"/>
          </w:rPr>
          <w:t>由治疗超声波触发的活鼠中远程分子激活</w:t>
        </w:r>
      </w:hyperlink>
    </w:p>
    <w:p>
      <w:pPr>
        <w:spacing w:before="0" w:after="80"/>
      </w:pPr>
      <w:r>
        <w:rPr>
          <w:i/>
          <w:sz w:val="20"/>
        </w:rPr>
        <w:t>EN: Remote Molecule Activation in Living Mice Triggered by Therapeutic Ultrasound</w:t>
      </w:r>
    </w:p>
    <w:p>
      <w:pPr>
        <w:spacing w:before="0" w:after="120"/>
      </w:pPr>
      <w:r>
        <w:rPr>
          <w:b/>
        </w:rPr>
        <w:t xml:space="preserve">Source: </w:t>
      </w:r>
      <w:r>
        <w:t>Wiley: Angewandte Chemie International Edition: Table of Contents</w:t>
      </w:r>
      <w:r>
        <w:t xml:space="preserve">    </w:t>
      </w:r>
      <w:r>
        <w:rPr>
          <w:b/>
        </w:rPr>
        <w:t xml:space="preserve">Pub date: </w:t>
      </w:r>
      <w:r>
        <w:t>2026-02-16 05:27:42+00:00</w:t>
      </w:r>
      <w:r>
        <w:t xml:space="preserve">    </w:t>
      </w:r>
      <w:r>
        <w:rPr>
          <w:b/>
        </w:rPr>
        <w:t xml:space="preserve">DOI: </w:t>
      </w:r>
      <w:hyperlink r:id="rId228">
        <w:r>
          <w:rPr>
            <w:color w:val="1155CC"/>
            <w:u w:val="single"/>
          </w:rPr>
          <w:t>10.1002/anie.202525894</w:t>
        </w:r>
      </w:hyperlink>
    </w:p>
    <w:p>
      <w:pPr>
        <w:spacing w:before="0" w:after="120"/>
      </w:pPr>
      <w:r>
        <w:rPr>
          <w:b/>
        </w:rPr>
        <w:t xml:space="preserve">Notes: </w:t>
      </w:r>
      <w:r>
        <w:t>abstract_source=crossref</w:t>
      </w:r>
    </w:p>
    <w:p>
      <w:pPr>
        <w:spacing w:before="0" w:after="80" w:lineRule="auto" w:line="276"/>
      </w:pPr>
      <w:r>
        <w:rPr>
          <w:b/>
        </w:rPr>
        <w:t xml:space="preserve">摘要（ZH）: </w:t>
      </w:r>
      <w:r>
        <w:t>ABSTACT 生物活性分子的非侵入化学的远程非侵入化学激活为生物医学研究和治疗应用都具有变革性潜力。在这里,我们报告了由治疗超声超声(termed dBus)引发的脱子体氢氧化反应,在这种反应中,在与临床相关、生物兼容的条件下,boronic酸脂有选择地转化为氢氧基组。我们证明dBus能够使多种功能分子,包括氟磷、生物活性小分子、共值标签探测器、peptides和蛋白质,在细胞系统和活性动物中,通过超声振动加速调节生成的氢氧基体,作为反应物种的动力。</w:t>
      </w:r>
    </w:p>
    <w:p>
      <w:pPr>
        <w:spacing w:before="0" w:after="200" w:lineRule="auto" w:line="276"/>
      </w:pPr>
      <w:r>
        <w:rPr>
          <w:b/>
        </w:rPr>
        <w:t xml:space="preserve">Abstract (EN): </w:t>
      </w:r>
      <w:r>
        <w:t>Remote, noninvasive chemical activation of bioactive molecules holds transformative potential for both biomedical research and therapeutic applications. Here, we report a deboronative hydroxylation reaction triggered by therapeutic ultrasound (termed dBus), in which boronic acid moieties are selectively converted into hydroxyl groups under clinically relevant, biocompatible conditions. We demonstrate that dBus enables spatiotemporally precise activation of diverse functional molecules, including fluorophores, bioactive small molecules, covalent labeling probes, peptides, and proteins, in both cellular systems and living animals. Mechanistic studies identify hydroxyl radicals, generated via ultrasound‐induced acoustic cavitation, as the reactive species driving this transformation. Notably, dBus facilitates ultrasound‐controlled prodrug activation in tumor‐bearing mice, resulting in significant tumor growth inhibition without systemic toxicity. With its simplicity, compatibility with existing ultrasound platforms, and broad molecular scope, dBus establishes a generalizable chemical foundation for noninvasive therapeutic intervention, precision diagnostics, and spatially resolved biological modulation.</w:t>
      </w:r>
    </w:p>
    <w:p>
      <w:pPr>
        <w:spacing w:before="120" w:after="120"/>
      </w:pPr>
      <w:r>
        <w:rPr>
          <w:sz w:val="18"/>
        </w:rPr>
        <w:t>——————————————————————————————————————————————————————————————————————</w:t>
      </w:r>
    </w:p>
    <w:p>
      <w:pPr>
        <w:spacing w:before="160" w:after="40" w:line="240" w:lineRule="auto"/>
      </w:pPr>
      <w:r>
        <w:rPr>
          <w:b/>
        </w:rPr>
        <w:t xml:space="preserve">[151] </w:t>
      </w:r>
      <w:hyperlink r:id="rId229">
        <w:r>
          <w:rPr>
            <w:color w:val="1155CC"/>
            <w:u w:val="single"/>
          </w:rPr>
          <w:t>由水中的硝酸盐产生的有选择性的氨电合成</w:t>
        </w:r>
      </w:hyperlink>
    </w:p>
    <w:p>
      <w:pPr>
        <w:spacing w:before="0" w:after="80"/>
      </w:pPr>
      <w:r>
        <w:rPr>
          <w:i/>
          <w:sz w:val="20"/>
        </w:rPr>
        <w:t>EN: Enzyme‐Inspired Molecular Design Unlocks Efficient and Selective Ammonia Electrosynthesis From Nitrate in Water</w:t>
      </w:r>
    </w:p>
    <w:p>
      <w:pPr>
        <w:spacing w:before="0" w:after="120"/>
      </w:pPr>
      <w:r>
        <w:rPr>
          <w:b/>
        </w:rPr>
        <w:t xml:space="preserve">Source: </w:t>
      </w:r>
      <w:r>
        <w:t>Wiley: Angewandte Chemie International Edition: Table of Contents</w:t>
      </w:r>
      <w:r>
        <w:t xml:space="preserve">    </w:t>
      </w:r>
      <w:r>
        <w:rPr>
          <w:b/>
        </w:rPr>
        <w:t xml:space="preserve">Pub date: </w:t>
      </w:r>
      <w:r>
        <w:t>2026-02-16 05:29:31+00:00</w:t>
      </w:r>
      <w:r>
        <w:t xml:space="preserve">    </w:t>
      </w:r>
      <w:r>
        <w:rPr>
          <w:b/>
        </w:rPr>
        <w:t xml:space="preserve">DOI: </w:t>
      </w:r>
      <w:hyperlink r:id="rId230">
        <w:r>
          <w:rPr>
            <w:color w:val="1155CC"/>
            <w:u w:val="single"/>
          </w:rPr>
          <w:t>10.1002/anie.202521140</w:t>
        </w:r>
      </w:hyperlink>
    </w:p>
    <w:p>
      <w:pPr>
        <w:spacing w:before="0" w:after="120"/>
      </w:pPr>
      <w:r>
        <w:rPr>
          <w:b/>
        </w:rPr>
        <w:t xml:space="preserve">Notes: </w:t>
      </w:r>
      <w:r>
        <w:t>abstract_source=crossref</w:t>
      </w:r>
    </w:p>
    <w:p>
      <w:pPr>
        <w:spacing w:before="0" w:after="80" w:lineRule="auto" w:line="276"/>
      </w:pPr>
      <w:r>
        <w:rPr>
          <w:b/>
        </w:rPr>
        <w:t xml:space="preserve">摘要（ZH）: </w:t>
      </w:r>
      <w:r>
        <w:t>ABSTALCT Ammoonia是一个关键的原料,也是新兴的无碳能源载体,然而,它通过Haber-Bosch工艺的工业合成仍然高度能量和碳密集度高。 电化学硝酸减少(eNO 3 RR)提供了可持续的替代物;然而,通过这条路径实现高选择性需要通过催化点的高效质子管理。 我们在这里报告了一系列含有多种外协调功能的共生复合体(C1-C14),这些功能可起到酶刺激质子继电器的作用。 这些电催化剂能够完成8e-/10H+conv。</w:t>
      </w:r>
    </w:p>
    <w:p>
      <w:pPr>
        <w:spacing w:before="0" w:after="200" w:lineRule="auto" w:line="276"/>
      </w:pPr>
      <w:r>
        <w:rPr>
          <w:b/>
        </w:rPr>
        <w:t xml:space="preserve">Abstract (EN): </w:t>
      </w:r>
      <w:r>
        <w:t>Ammonia is a vital feedstock and emerging carbon‐free energy carrier, yet its industrial synthesis via Haber–Bosch process remains highly energy‐ and carbon‐intensive. Electrochemical nitrate reduction (eNO</w:t>
      </w:r>
      <w:r>
        <w:rPr>
          <w:vertAlign w:val="subscript"/>
        </w:rPr>
        <w:t>3</w:t>
      </w:r>
      <w:r>
        <w:t>RR) offers a sustainable alternative; however, achieving high selectivity via this pathway necessitates efficient proton management at the catalytic site. Here, we report a family of cobaloxime complexes (</w:t>
      </w:r>
      <w:r>
        <w:t xml:space="preserve"> </w:t>
      </w:r>
      <w:r>
        <w:t>C1–C14</w:t>
      </w:r>
      <w:r>
        <w:t xml:space="preserve"> </w:t>
      </w:r>
      <w:r>
        <w:t>) incorporating diverse outer coordination sphere (OCS) functionalities that act as enzyme‐inspired proton relays. These electrocatalysts enable complete 8e</w:t>
      </w:r>
      <w:r>
        <w:t xml:space="preserve"> </w:t>
      </w:r>
      <w:r>
        <w:t>−</w:t>
      </w:r>
      <w:r>
        <w:t>/10H</w:t>
      </w:r>
      <w:r>
        <w:t xml:space="preserve"> </w:t>
      </w:r>
      <w:r>
        <w:t>+</w:t>
      </w:r>
      <w:r>
        <w:t xml:space="preserve"> </w:t>
      </w:r>
      <w:r>
        <w:t>conversion of nitrate () exclusively to ammonium () under near‐neutral aqueous conditions, with the adenosine‐functionalized derivative (</w:t>
      </w:r>
      <w:r>
        <w:t xml:space="preserve"> </w:t>
      </w:r>
      <w:r>
        <w:t>C13</w:t>
      </w:r>
      <w:r>
        <w:t xml:space="preserve"> </w:t>
      </w:r>
      <w:r>
        <w:t>) achieving a rate of 22.5 mmol.cm</w:t>
      </w:r>
      <w:r>
        <w:t xml:space="preserve"> </w:t>
      </w:r>
      <w:r>
        <w:t>−2</w:t>
      </w:r>
      <w:r>
        <w:t xml:space="preserve"> </w:t>
      </w:r>
      <w:r>
        <w:t>.hr</w:t>
      </w:r>
      <w:r>
        <w:t xml:space="preserve"> </w:t>
      </w:r>
      <w:r>
        <w:t>−1</w:t>
      </w:r>
      <w:r>
        <w:t xml:space="preserve"> </w:t>
      </w:r>
      <w:r>
        <w:t>. mmol</w:t>
      </w:r>
      <w:r>
        <w:t xml:space="preserve"> </w:t>
      </w:r>
      <w:r>
        <w:t>cat</w:t>
      </w:r>
      <w:r>
        <w:t xml:space="preserve"> </w:t>
      </w:r>
      <w:r>
        <w:t>−</w:t>
      </w:r>
      <w:r>
        <w:rPr>
          <w:vertAlign w:val="subscript"/>
        </w:rPr>
        <w:t>1</w:t>
      </w:r>
      <w:r>
        <w:t>with ∼83% Faradaic efficiency. Mechanistic studies combining in situ Raman spectroscopy, isotopic labelling, 2D NMR, and buffer‐dependent kinetics reveal a stepwise nitrate‐to‐ammonia conversion via metal‐bound intermediates, directed by cooperative intra‐ and intermolecular proton relays. The catalysts operate homogeneously, without electrode deposition or molecular structure decomposition, during eNO</w:t>
      </w:r>
      <w:r>
        <w:rPr>
          <w:vertAlign w:val="subscript"/>
        </w:rPr>
        <w:t>3</w:t>
      </w:r>
      <w:r>
        <w:t>RR. These results establish OCS engineering as a powerful strategy for functionally mimicking enzymatic architectures in selective ammonia electrosynthesis via a sustainable eNO</w:t>
      </w:r>
      <w:r>
        <w:rPr>
          <w:vertAlign w:val="subscript"/>
        </w:rPr>
        <w:t>3</w:t>
      </w:r>
      <w:r>
        <w:t>RR pathway.</w:t>
      </w:r>
    </w:p>
    <w:p>
      <w:pPr>
        <w:spacing w:before="120" w:after="120"/>
      </w:pPr>
      <w:r>
        <w:rPr>
          <w:sz w:val="18"/>
        </w:rPr>
        <w:t>——————————————————————————————————————————————————————————————————————</w:t>
      </w:r>
    </w:p>
    <w:p>
      <w:pPr>
        <w:spacing w:before="160" w:after="40" w:line="240" w:lineRule="auto"/>
      </w:pPr>
      <w:r>
        <w:rPr>
          <w:b/>
        </w:rPr>
        <w:t xml:space="preserve">[152] </w:t>
      </w:r>
      <w:hyperlink r:id="rId231">
        <w:r>
          <w:rPr>
            <w:color w:val="1155CC"/>
            <w:u w:val="single"/>
          </w:rPr>
          <w:t>通过诱导减速,加强磷光中心激进分子体内的奇质记忆</w:t>
        </w:r>
      </w:hyperlink>
    </w:p>
    <w:p>
      <w:pPr>
        <w:spacing w:before="0" w:after="80"/>
      </w:pPr>
      <w:r>
        <w:rPr>
          <w:i/>
          <w:sz w:val="20"/>
        </w:rPr>
        <w:t>EN: Enhancing Memory of Chirality in Phosphorus‐Centered Radicals by Inductive Deceleration of Pyramidal Inversion</w:t>
      </w:r>
    </w:p>
    <w:p>
      <w:pPr>
        <w:spacing w:before="0" w:after="120"/>
      </w:pPr>
      <w:r>
        <w:rPr>
          <w:b/>
        </w:rPr>
        <w:t xml:space="preserve">Source: </w:t>
      </w:r>
      <w:r>
        <w:t>Wiley: Angewandte Chemie International Edition: Table of Contents</w:t>
      </w:r>
      <w:r>
        <w:t xml:space="preserve">    </w:t>
      </w:r>
      <w:r>
        <w:rPr>
          <w:b/>
        </w:rPr>
        <w:t xml:space="preserve">Pub date: </w:t>
      </w:r>
      <w:r>
        <w:t>2026-02-16 05:30:01+00:00</w:t>
      </w:r>
      <w:r>
        <w:t xml:space="preserve">    </w:t>
      </w:r>
      <w:r>
        <w:rPr>
          <w:b/>
        </w:rPr>
        <w:t xml:space="preserve">DOI: </w:t>
      </w:r>
      <w:hyperlink r:id="rId232">
        <w:r>
          <w:rPr>
            <w:color w:val="1155CC"/>
            <w:u w:val="single"/>
          </w:rPr>
          <w:t>10.1002/anie.1061158</w:t>
        </w:r>
      </w:hyperlink>
    </w:p>
    <w:p>
      <w:pPr>
        <w:spacing w:before="0" w:after="120"/>
      </w:pPr>
      <w:r>
        <w:rPr>
          <w:b/>
        </w:rPr>
        <w:t xml:space="preserve">Notes: </w:t>
      </w:r>
      <w:r>
        <w:t>abstract_source=crossref</w:t>
      </w:r>
    </w:p>
    <w:p>
      <w:pPr>
        <w:spacing w:before="0" w:after="80" w:lineRule="auto" w:line="276"/>
      </w:pPr>
      <w:r>
        <w:rPr>
          <w:b/>
        </w:rPr>
        <w:t xml:space="preserve">摘要（ZH）: </w:t>
      </w:r>
      <w:r>
        <w:t>实现立体特定激进反应——特别是涉及异质原子的异质偏心激进反应——由于瞬时性基中间体的快速配置反转(累进化),仍然是一项艰巨的挑战,本研究报告提出了通过利用替代体的诱导效应提高激进体中天性记忆的一般战略。通过DFT的计算,我们证明,通过以高电离性原子替代,磷偏心激进体的金字塔反向屏障可以急剧增加。</w:t>
      </w:r>
    </w:p>
    <w:p>
      <w:pPr>
        <w:spacing w:before="0" w:after="200" w:lineRule="auto" w:line="276"/>
      </w:pPr>
      <w:r>
        <w:rPr>
          <w:b/>
        </w:rPr>
        <w:t xml:space="preserve">Abstract (EN): </w:t>
      </w:r>
      <w:r>
        <w:t>The realization of stereospecific radical reactions—particularly those involving heteroatom‐centered radicals—remains a formidable challenge due to the rapid configurational inversion (racemization) of transient radical intermediates. This study presents a general strategy to enhance the memory of chirality (MOC) in radicals by exploiting the inductive effect of substituents. Through DFT calculations, we demonstrate that the pyramidal inversion barrier of phosphorus‐centered radicals can be dramatically increased by substitution with highly electronegative atoms. This deceleration of inversion enables stereoretentive transformations of enantiopure H‐phosphinates under mild, radical conditions. A series of stereospecific phosphoryl radical reactions, including alkene hydrophosphonylation, intramolecular arylphosphonylation, phosphorylation–cyclization of isocyanates, and aryl migration reactions, were successfully developed, providing access to diverse P(V)‐stereogenic compounds with high efficiency (up to 99% yield) and excellent stereospecificity (up to &amp;gt;99%</w:t>
      </w:r>
      <w:r>
        <w:t xml:space="preserve"> </w:t>
      </w:r>
      <w:r>
        <w:t>es</w:t>
      </w:r>
      <w:r>
        <w:t xml:space="preserve"> </w:t>
      </w:r>
      <w:r>
        <w:t>). The utility of this approach is highlighted by the late‐stage functionalization of densely functionalized pharmaceuticals, bioactive molecules, and a liquid crystal. This work establishes a foundational principle for achieving stereochemical control in radical reactions via rational tuning of the radical intermediate's configurational stability.</w:t>
      </w:r>
    </w:p>
    <w:p>
      <w:pPr>
        <w:spacing w:before="120" w:after="120"/>
      </w:pPr>
      <w:r>
        <w:rPr>
          <w:sz w:val="18"/>
        </w:rPr>
        <w:t>——————————————————————————————————————————————————————————————————————</w:t>
      </w:r>
    </w:p>
    <w:p>
      <w:pPr>
        <w:spacing w:before="160" w:after="40" w:line="240" w:lineRule="auto"/>
      </w:pPr>
      <w:r>
        <w:rPr>
          <w:b/>
        </w:rPr>
        <w:t xml:space="preserve">[153] </w:t>
      </w:r>
      <w:hyperlink r:id="rId233">
        <w:r>
          <w:rPr>
            <w:color w:val="1155CC"/>
            <w:u w:val="single"/>
          </w:rPr>
          <w:t>通过Debye Liters精确调整 " Probe 有效电源 ",以提高Aptamer-FET生物传感器的性能</w:t>
        </w:r>
      </w:hyperlink>
    </w:p>
    <w:p>
      <w:pPr>
        <w:spacing w:before="0" w:after="80"/>
      </w:pPr>
      <w:r>
        <w:rPr>
          <w:i/>
          <w:sz w:val="20"/>
        </w:rPr>
        <w:t>EN: The Precise Modulation of Probe Effective Charges by Debye Length for Enhancing Performance of Aptamer–FET Biosensors</w:t>
      </w:r>
    </w:p>
    <w:p>
      <w:pPr>
        <w:spacing w:before="0" w:after="120"/>
      </w:pPr>
      <w:r>
        <w:rPr>
          <w:b/>
        </w:rPr>
        <w:t xml:space="preserve">Source: </w:t>
      </w:r>
      <w:r>
        <w:t>Wiley: Angewandte Chemie International Edition: Table of Contents</w:t>
      </w:r>
      <w:r>
        <w:t xml:space="preserve">    </w:t>
      </w:r>
      <w:r>
        <w:rPr>
          <w:b/>
        </w:rPr>
        <w:t xml:space="preserve">Pub date: </w:t>
      </w:r>
      <w:r>
        <w:t>2026-02-16 05:31:13+00:00</w:t>
      </w:r>
      <w:r>
        <w:t xml:space="preserve">    </w:t>
      </w:r>
      <w:r>
        <w:rPr>
          <w:b/>
        </w:rPr>
        <w:t xml:space="preserve">DOI: </w:t>
      </w:r>
      <w:hyperlink r:id="rId234">
        <w:r>
          <w:rPr>
            <w:color w:val="1155CC"/>
            <w:u w:val="single"/>
          </w:rPr>
          <w:t>10.1002/anie.202519635</w:t>
        </w:r>
      </w:hyperlink>
    </w:p>
    <w:p>
      <w:pPr>
        <w:spacing w:before="0" w:after="120"/>
      </w:pPr>
      <w:r>
        <w:rPr>
          <w:b/>
        </w:rPr>
        <w:t xml:space="preserve">Notes: </w:t>
      </w:r>
      <w:r>
        <w:t>abstract_source=crossref</w:t>
      </w:r>
    </w:p>
    <w:p>
      <w:pPr>
        <w:spacing w:before="0" w:after="80" w:lineRule="auto" w:line="276"/>
      </w:pPr>
      <w:r>
        <w:rPr>
          <w:b/>
        </w:rPr>
        <w:t xml:space="preserve">摘要（ZH）: </w:t>
      </w:r>
      <w:r>
        <w:t>ABSTACT Field — 效果晶体管(FET)生物传感器在疾病诊断中引起了重大兴趣。 频道材料和探测器/目标之间的静电互动对性能很重要。 然而,静电互动的调节很困难,因为它在实际环境中严重减弱,这是实际生物分析检测中常见的。由于体积小,适应者拥有可编程的基础构成,不受约束场地的限制。在这里,我们系统地调查Debye长度( D)的精确调制,以有效充电量的电动探测器调节电动互动。我们发现,该性能实现了“O”的功能。</w:t>
      </w:r>
    </w:p>
    <w:p>
      <w:pPr>
        <w:spacing w:before="0" w:after="200" w:lineRule="auto" w:line="276"/>
      </w:pPr>
      <w:r>
        <w:rPr>
          <w:b/>
        </w:rPr>
        <w:t xml:space="preserve">Abstract (EN): </w:t>
      </w:r>
      <w:r>
        <w:t>Field–effect transistor (FET) biosensors have garnered significant interests in disease diagnosis. The electrostatic interaction between channel materials and probes/targets is important to the performance. However, the modulation of electrostatic interaction is difficult because it was severely attenuated in real environment, which is common in practical bioanalytical detection. With small size, aptamer possesses programmable base composition, which is unlimited by the binding sites. Herein, we systematically investigate the precise modulation of Debye length (λ</w:t>
      </w:r>
      <w:r>
        <w:t xml:space="preserve"> </w:t>
      </w:r>
      <w:r>
        <w:t>D</w:t>
      </w:r>
      <w:r>
        <w:t xml:space="preserve"> </w:t>
      </w:r>
      <w:r>
        <w:t>) on the effective charge quantity of aptamer probe to regulate electrostatic interaction. We discovered that the performance achieves the optimum due to the largest quantity difference of aptamer probe effective charges when λ</w:t>
      </w:r>
      <w:r>
        <w:t xml:space="preserve"> </w:t>
      </w:r>
      <w:r>
        <w:t>D</w:t>
      </w:r>
      <w:r>
        <w:t xml:space="preserve"> </w:t>
      </w:r>
      <w:r>
        <w:t>approaches the minimum between aptamer probe lengths before and after binding with targets. This precise modulation is highly effective for both signal–on and signal–off detection of biomolecules such as serotonin and dopamine, exhibiting a wide linear detection range, spanning from 10 fM to 1.0 nM (10</w:t>
      </w:r>
      <w:r>
        <w:rPr>
          <w:vertAlign w:val="subscript"/>
        </w:rPr>
        <w:t>5</w:t>
      </w:r>
      <w:r>
        <w:t>), and an ultra–low limit of detection (&amp;lt;10 fM). Importantly, this precise modulation exhibits practical detection improvement of dopamine secretion from living PC12 cells. Our findings provide a pioneering guideline for enhancing performance of aptamer–FET biosensors and offer in–depth understanding of probe molecular structure.</w:t>
      </w:r>
    </w:p>
    <w:p>
      <w:pPr>
        <w:spacing w:before="120" w:after="120"/>
      </w:pPr>
      <w:r>
        <w:rPr>
          <w:sz w:val="18"/>
        </w:rPr>
        <w:t>——————————————————————————————————————————————————————————————————————</w:t>
      </w:r>
    </w:p>
    <w:p>
      <w:pPr>
        <w:spacing w:before="160" w:after="40" w:line="240" w:lineRule="auto"/>
      </w:pPr>
      <w:r>
        <w:rPr>
          <w:b/>
        </w:rPr>
        <w:t xml:space="preserve">[154] </w:t>
      </w:r>
      <w:hyperlink r:id="rId235">
        <w:r>
          <w:rPr>
            <w:color w:val="1155CC"/>
            <w:u w:val="single"/>
          </w:rPr>
          <w:t>具有原子相聚界面的新型热结构金属氧化铁(、、铀)/氢氢化氢核心浓度壳纳米液晶体新类别控制合成</w:t>
        </w:r>
      </w:hyperlink>
    </w:p>
    <w:p>
      <w:pPr>
        <w:spacing w:before="0" w:after="80"/>
      </w:pPr>
      <w:r>
        <w:rPr>
          <w:i/>
          <w:sz w:val="20"/>
        </w:rPr>
        <w:t>EN: Controlled Synthesis of a New Class of Heterostructured Metal Oxides (Cerium, Thorium, Uranium)/Calcium Fluoride Core‐Shell Nanocrystals With Atomically Coherent Interfaces</w:t>
      </w:r>
    </w:p>
    <w:p>
      <w:pPr>
        <w:spacing w:before="0" w:after="120"/>
      </w:pPr>
      <w:r>
        <w:rPr>
          <w:b/>
        </w:rPr>
        <w:t xml:space="preserve">Source: </w:t>
      </w:r>
      <w:r>
        <w:t>Wiley: Angewandte Chemie International Edition: Table of Contents</w:t>
      </w:r>
      <w:r>
        <w:t xml:space="preserve">    </w:t>
      </w:r>
      <w:r>
        <w:rPr>
          <w:b/>
        </w:rPr>
        <w:t xml:space="preserve">Pub date: </w:t>
      </w:r>
      <w:r>
        <w:t>2026-02-16 05:32:37+00:00</w:t>
      </w:r>
      <w:r>
        <w:t xml:space="preserve">    </w:t>
      </w:r>
      <w:r>
        <w:rPr>
          <w:b/>
        </w:rPr>
        <w:t xml:space="preserve">DOI: </w:t>
      </w:r>
      <w:hyperlink r:id="rId236">
        <w:r>
          <w:rPr>
            <w:color w:val="1155CC"/>
            <w:u w:val="single"/>
          </w:rPr>
          <w:t>10.1002/anie.202524282</w:t>
        </w:r>
      </w:hyperlink>
    </w:p>
    <w:p>
      <w:pPr>
        <w:spacing w:before="0" w:after="120"/>
      </w:pPr>
      <w:r>
        <w:rPr>
          <w:b/>
        </w:rPr>
        <w:t xml:space="preserve">Notes: </w:t>
      </w:r>
      <w:r>
        <w:t>abstract_source=crossref</w:t>
      </w:r>
    </w:p>
    <w:p>
      <w:pPr>
        <w:spacing w:before="0" w:after="80" w:lineRule="auto" w:line="276"/>
      </w:pPr>
      <w:r>
        <w:rPr>
          <w:b/>
        </w:rPr>
        <w:t xml:space="preserve">摘要（ZH）: </w:t>
      </w:r>
      <w:r>
        <w:t>将化学和/或结构上不同的材料结合在一起的ABSTACT热结构型纳米rystals(NCs),由于具有展示多种功能或非常规特性的潜力,具有重大意义,但这类材料的开发仍然有限,主要原因是晶体不兼容和合成挑战。我们在此报告以氧化铀为基础的新型金属(Ce、Th或U)的混合结构及其结构定性,其含钙氟化碳的热层结构结构,其核心结构对形态和外壳厚度都有精确控制。</w:t>
      </w:r>
    </w:p>
    <w:p>
      <w:pPr>
        <w:spacing w:before="0" w:after="200" w:lineRule="auto" w:line="276"/>
      </w:pPr>
      <w:r>
        <w:rPr>
          <w:b/>
        </w:rPr>
        <w:t xml:space="preserve">Abstract (EN): </w:t>
      </w:r>
      <w:r>
        <w:t>Heterostructured nanocrystals (NCs) integrating chemically and/or structurally distinct materials are of significant interest due to their potential to exhibit multiple functionalities or unconventional properties. However, the development of such materials remains limited, primarily due to crystallographic incompatibilities and synthesis challenges. Here, we report the synthesis and structural characterization of a new class of metal oxide‐based (Ce, Th, or U) heterostructures with calcium fluoride featuring core‐shell architectures with precise control over both morphology and shell thickness. Powder x‐ray diffraction (PXRD) and high‐resolution scanning/transmission electron microscopy techniques confirm the formation of high‐quality single‐crystalline particles coupling metal oxide (Ce, Th, or U) and calcium fluoride domains through a structurally coherent but chemically complex intermixed oxide‐fluoride interface—an unprecedented observation in cerium and actinide nanochemistry. These novel materials have been designed to anticipate their future doping with therapeutic alpha particle‐emitting radionuclides (α‐emitters) such as</w:t>
      </w:r>
      <w:r>
        <w:rPr>
          <w:vertAlign w:val="subscript"/>
        </w:rPr>
        <w:t>227</w:t>
      </w:r>
      <w:r>
        <w:t>Th or</w:t>
      </w:r>
      <w:r>
        <w:rPr>
          <w:vertAlign w:val="subscript"/>
        </w:rPr>
        <w:t>230</w:t>
      </w:r>
      <w:r>
        <w:t>U for locoregional targeted alpha therapy (TAT). It is anticipated that the reported heterostructured core‐shell NCs will offer a promising platform for preclinical investigations to determine the full potential and interest of inorganic core‐shell NCs, especially CeO</w:t>
      </w:r>
      <w:r>
        <w:rPr>
          <w:vertAlign w:val="subscript"/>
        </w:rPr>
        <w:t>2</w:t>
      </w:r>
      <w:r>
        <w:t>/</w:t>
      </w:r>
      <w:r>
        <w:t xml:space="preserve"> </w:t>
      </w:r>
      <w:r>
        <w:t>CaF</w:t>
      </w:r>
      <w:r>
        <w:rPr>
          <w:vertAlign w:val="subscript"/>
        </w:rPr>
        <w:t>2</w:t>
      </w:r>
      <w:r>
        <w:t>, for TAT application.</w:t>
      </w:r>
    </w:p>
    <w:p>
      <w:pPr>
        <w:spacing w:before="120" w:after="120"/>
      </w:pPr>
      <w:r>
        <w:rPr>
          <w:sz w:val="18"/>
        </w:rPr>
        <w:t>——————————————————————————————————————————————————————————————————————</w:t>
      </w:r>
    </w:p>
    <w:p>
      <w:pPr>
        <w:spacing w:before="160" w:after="40" w:line="240" w:lineRule="auto"/>
      </w:pPr>
      <w:r>
        <w:rPr>
          <w:b/>
        </w:rPr>
        <w:t xml:space="preserve">[155] </w:t>
      </w:r>
      <w:hyperlink r:id="rId237">
        <w:r>
          <w:rPr>
            <w:color w:val="1155CC"/>
            <w:u w:val="single"/>
          </w:rPr>
          <w:t>更正改为“Situ自毁和生物神学反应卡,以便能够对目标前癌症神经学进行光敏化剂和碳酸性无氢酶同系物的浓缩”。</w:t>
        </w:r>
      </w:hyperlink>
    </w:p>
    <w:p>
      <w:pPr>
        <w:spacing w:before="0" w:after="80"/>
      </w:pPr>
      <w:r>
        <w:rPr>
          <w:i/>
          <w:sz w:val="20"/>
        </w:rPr>
        <w:t>EN: Corrigendum to “Cascade in Situ Self‐Assembly and Bioorthogonal Reaction Enable the Enrichment of Photosensitizers and Carbonic Anhydrase Inhibitors for Pretargeted Cancer Theranostics”</w:t>
      </w:r>
    </w:p>
    <w:p>
      <w:pPr>
        <w:spacing w:before="0" w:after="120"/>
      </w:pPr>
      <w:r>
        <w:rPr>
          <w:b/>
        </w:rPr>
        <w:t xml:space="preserve">Source: </w:t>
      </w:r>
      <w:r>
        <w:t>Wiley: Angewandte Chemie International Edition: Table of Contents</w:t>
      </w:r>
      <w:r>
        <w:t xml:space="preserve">    </w:t>
      </w:r>
      <w:r>
        <w:rPr>
          <w:b/>
        </w:rPr>
        <w:t xml:space="preserve">Pub date: </w:t>
      </w:r>
      <w:r>
        <w:t>2026-02-16 05:33:30+00:00</w:t>
      </w:r>
      <w:r>
        <w:t xml:space="preserve">    </w:t>
      </w:r>
      <w:r>
        <w:rPr>
          <w:b/>
        </w:rPr>
        <w:t xml:space="preserve">DOI: </w:t>
      </w:r>
      <w:hyperlink r:id="rId238">
        <w:r>
          <w:rPr>
            <w:color w:val="1155CC"/>
            <w:u w:val="single"/>
          </w:rPr>
          <w:t>10.1002/anie.2306338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239">
        <w:r>
          <w:rPr>
            <w:color w:val="1155CC"/>
            <w:u w:val="single"/>
          </w:rPr>
          <w:t>A Dithio Vinylthio C2 Synthon 助水晶和月光硫磺</w:t>
        </w:r>
      </w:hyperlink>
    </w:p>
    <w:p>
      <w:pPr>
        <w:spacing w:before="0" w:after="80"/>
      </w:pPr>
      <w:r>
        <w:rPr>
          <w:i/>
          <w:sz w:val="20"/>
        </w:rPr>
        <w:t>EN: A Dithio Vinylthio C2 Synthon Enabling Crystalline and Luminescent Sulfur‐Decorated Polymers</w:t>
      </w:r>
    </w:p>
    <w:p>
      <w:pPr>
        <w:spacing w:before="0" w:after="120"/>
      </w:pPr>
      <w:r>
        <w:rPr>
          <w:b/>
        </w:rPr>
        <w:t xml:space="preserve">Source: </w:t>
      </w:r>
      <w:r>
        <w:t>Wiley: Angewandte Chemie International Edition: Table of Contents</w:t>
      </w:r>
      <w:r>
        <w:t xml:space="preserve">    </w:t>
      </w:r>
      <w:r>
        <w:rPr>
          <w:b/>
        </w:rPr>
        <w:t xml:space="preserve">Pub date: </w:t>
      </w:r>
      <w:r>
        <w:t>2026-02-16 05:34:05+00:00</w:t>
      </w:r>
      <w:r>
        <w:t xml:space="preserve">    </w:t>
      </w:r>
      <w:r>
        <w:rPr>
          <w:b/>
        </w:rPr>
        <w:t xml:space="preserve">DOI: </w:t>
      </w:r>
      <w:hyperlink r:id="rId240">
        <w:r>
          <w:rPr>
            <w:color w:val="1155CC"/>
            <w:u w:val="single"/>
          </w:rPr>
          <w:t>10.1002/anie.202525801</w:t>
        </w:r>
      </w:hyperlink>
    </w:p>
    <w:p>
      <w:pPr>
        <w:spacing w:before="0" w:after="120"/>
      </w:pPr>
      <w:r>
        <w:rPr>
          <w:b/>
        </w:rPr>
        <w:t xml:space="preserve">Notes: </w:t>
      </w:r>
      <w:r>
        <w:t>abstract_source=crossref</w:t>
      </w:r>
    </w:p>
    <w:p>
      <w:pPr>
        <w:spacing w:before="0" w:after="80" w:lineRule="auto" w:line="276"/>
      </w:pPr>
      <w:r>
        <w:rPr>
          <w:b/>
        </w:rPr>
        <w:t xml:space="preserve">摘要（ZH）: </w:t>
      </w:r>
      <w:r>
        <w:t>虽然硫醚联系通常与软的和不固定的聚合物脊柱相关联,但在此,我们表明,碳化钙衍生α、-双(乙烯硫磷)合成合成硫磷能够用非常规的发光作用来制造晶状、定序硫磺聚合物。单子硫醇-新添加反应使用原地由工业碳化钙(CaC 2)产生的乙炔,以产生模块C 2 乙烯硫化物(又称乙烯基硫化物)单体,进行定量的、轻量的、诱发的硫醇级增殖聚合。</w:t>
      </w:r>
    </w:p>
    <w:p>
      <w:pPr>
        <w:spacing w:before="0" w:after="200" w:lineRule="auto" w:line="276"/>
      </w:pPr>
      <w:r>
        <w:rPr>
          <w:b/>
        </w:rPr>
        <w:t xml:space="preserve">Abstract (EN): </w:t>
      </w:r>
      <w:r>
        <w:t>While thioether linkages are commonly associated with soft and amorphous polymer backbones, herein, we show that a calcium carbide‐derived α,ω‐bis(vinylthio) synthon enables crystalline, sequence‐defined sulfur polymers with nonconventional luminescence. A single‐step thiol–yne addition reaction uses acetylene generated in situ from industrial calcium carbide (CaC</w:t>
      </w:r>
      <w:r>
        <w:rPr>
          <w:vertAlign w:val="subscript"/>
        </w:rPr>
        <w:t>2</w:t>
      </w:r>
      <w:r>
        <w:t>) to produce a modular C</w:t>
      </w:r>
      <w:r>
        <w:rPr>
          <w:vertAlign w:val="subscript"/>
        </w:rPr>
        <w:t>2</w:t>
      </w:r>
      <w:r>
        <w:t>vinyl sulfide (also known as vinylthio) monomer that undergoes quantitative, light‐induced thiol‐ene step‐growth polymerization with aliphatic dithiols. Type I photoinitiation ensures complete anti‐Markovnikov addition to give C</w:t>
      </w:r>
      <w:r>
        <w:rPr>
          <w:vertAlign w:val="subscript"/>
        </w:rPr>
        <w:t>2</w:t>
      </w:r>
      <w:r>
        <w:t>‐segmented poly(thioether)s, while thermal and base‐mediated conditions generate hybrid poly(thioether)/polydisulfide structures. The resulting sulfur‐rich backbones display sharp melting transitions, spherulitic crystallization, one‐step thermal decomposition up to about 316°C, and pronounced cluster‐triggered emission arising from dense thioether clustering and through‐space conjugation. Green metric analysis reveals high Atom Economy and essentially waste‐free polymer formation, thereby linking efficient use of an established C</w:t>
      </w:r>
      <w:r>
        <w:rPr>
          <w:vertAlign w:val="subscript"/>
        </w:rPr>
        <w:t>2</w:t>
      </w:r>
      <w:r>
        <w:t>synthon to precision sulfur polymer design. This C</w:t>
      </w:r>
      <w:r>
        <w:rPr>
          <w:vertAlign w:val="subscript"/>
        </w:rPr>
        <w:t>2</w:t>
      </w:r>
      <w:r>
        <w:t>vinylthio platform provides a general strategy to convert classically soft thioether motifs into structurally ordered and luminescent materials, and establishes vinyl sulfides as powerful, yet underutilized, building blocks in sustainable polymer chemistry.</w:t>
      </w:r>
    </w:p>
    <w:p>
      <w:pPr>
        <w:spacing w:before="120" w:after="120"/>
      </w:pPr>
      <w:r>
        <w:rPr>
          <w:sz w:val="18"/>
        </w:rPr>
        <w:t>——————————————————————————————————————————————————————————————————————</w:t>
      </w:r>
    </w:p>
    <w:p>
      <w:pPr>
        <w:spacing w:before="160" w:after="40" w:line="240" w:lineRule="auto"/>
      </w:pPr>
      <w:r>
        <w:rPr>
          <w:b/>
        </w:rPr>
        <w:t xml:space="preserve">[157] </w:t>
      </w:r>
      <w:hyperlink r:id="rId241">
        <w:r>
          <w:rPr>
            <w:color w:val="1155CC"/>
            <w:u w:val="single"/>
          </w:rPr>
          <w:t>关于导致形成阿留亚胺环系的碎片:通过计算和实验研究而成的地表变形的一脚及其对生物合成、合成和药理学的影响</w:t>
        </w:r>
      </w:hyperlink>
    </w:p>
    <w:p>
      <w:pPr>
        <w:spacing w:before="0" w:after="80"/>
      </w:pPr>
      <w:r>
        <w:rPr>
          <w:i/>
          <w:sz w:val="20"/>
        </w:rPr>
        <w:t>EN: On the Discorhabdins Leading to the Aleutianamine Ring System: A One‐Step in Situ Transformation Characterized Through Computational and Experimental Studies and Its Implications on Biosynthesis, Synthesis, and Pharmacology</w:t>
      </w:r>
    </w:p>
    <w:p>
      <w:pPr>
        <w:spacing w:before="0" w:after="120"/>
      </w:pPr>
      <w:r>
        <w:rPr>
          <w:b/>
        </w:rPr>
        <w:t xml:space="preserve">Source: </w:t>
      </w:r>
      <w:r>
        <w:t>Wiley: Angewandte Chemie International Edition: Table of Contents</w:t>
      </w:r>
      <w:r>
        <w:t xml:space="preserve">    </w:t>
      </w:r>
      <w:r>
        <w:rPr>
          <w:b/>
        </w:rPr>
        <w:t xml:space="preserve">Pub date: </w:t>
      </w:r>
      <w:r>
        <w:t>2026-02-16 05:39:26+00:00</w:t>
      </w:r>
      <w:r>
        <w:t xml:space="preserve">    </w:t>
      </w:r>
      <w:r>
        <w:rPr>
          <w:b/>
        </w:rPr>
        <w:t xml:space="preserve">DOI: </w:t>
      </w:r>
      <w:hyperlink r:id="rId242">
        <w:r>
          <w:rPr>
            <w:color w:val="1155CC"/>
            <w:u w:val="single"/>
          </w:rPr>
          <w:t>10.1002/anie.7864883</w:t>
        </w:r>
      </w:hyperlink>
    </w:p>
    <w:p>
      <w:pPr>
        <w:spacing w:before="0" w:after="120"/>
      </w:pPr>
      <w:r>
        <w:rPr>
          <w:b/>
        </w:rPr>
        <w:t xml:space="preserve">Notes: </w:t>
      </w:r>
      <w:r>
        <w:t>abstract_source=crossref</w:t>
      </w:r>
    </w:p>
    <w:p>
      <w:pPr>
        <w:spacing w:before="0" w:after="80" w:lineRule="auto" w:line="276"/>
      </w:pPr>
      <w:r>
        <w:rPr>
          <w:b/>
        </w:rPr>
        <w:t xml:space="preserve">摘要（ZH）: </w:t>
      </w:r>
      <w:r>
        <w:t>我们披露了相对常见的丙烯氨基苯丙胺氨基甲烷基碱基体从阿拉斯加的拉特鲁库克尤利亚草片向利用一种酸催化过程来模仿3二氢二二基丁基氨基甲胺前体的拟议内生产物的氨酸催化过程的复杂的氨酸氨环系统的有效转化。亚卓基环系统是由拟议的硫氨基氨基配方的协同1,2,2-亚阿尔基尔转变形成的,这一机制得到了广泛密度功能理论分析的支持。其他的体外生物数据进一步支持了抗多种抗药性癌症线的抗新颖和强效抑制剂,其样本是细胞毒性对抗化学疗法的进一步反应。</w:t>
      </w:r>
    </w:p>
    <w:p>
      <w:pPr>
        <w:spacing w:before="0" w:after="200" w:lineRule="auto" w:line="276"/>
      </w:pPr>
      <w:r>
        <w:rPr>
          <w:b/>
        </w:rPr>
        <w:t xml:space="preserve">Abstract (EN): </w:t>
      </w:r>
      <w:r>
        <w:t>We disclose an efficient transformation of the relatively common pyrroloiminoquinone discorhabdin alkaloids from Alaskan</w:t>
      </w:r>
      <w:r>
        <w:t xml:space="preserve"> </w:t>
      </w:r>
      <w:r>
        <w:t>Latrunculia</w:t>
      </w:r>
      <w:r>
        <w:t xml:space="preserve"> </w:t>
      </w:r>
      <w:r>
        <w:t>spp. to the complex ring system of aleutianamine by an acid catalyzed process that mimics the proposed endogenous genesis from 3‐dihydrodienyl discorhabdin precursors. The azepine ring system is formed by a concerted 1,2‐alkyl shift of a proposed thiocarbenium‐iminium dication and this mechanism is supported by extensive density functional theory (DFT) analysis. Additional in vitro biological data further supports the aleutianamines as novel and highly potent inhibitors of multidrug resistant cancer lines exemplified further with cytotoxicity toward chemotherapy resistant chromophobe renal cell carcinoma (IC</w:t>
      </w:r>
      <w:r>
        <w:rPr>
          <w:vertAlign w:val="subscript"/>
        </w:rPr>
        <w:t>50</w:t>
      </w:r>
      <w:r>
        <w:t>= 130 nM). This report provides a key transformation that allows the incorporation of either synthetic or biosynthetic starting materials leading to the generation of the aleutianamine complex ring system in just a single step from the discorhabdin ring system.</w:t>
      </w:r>
    </w:p>
    <w:p>
      <w:pPr>
        <w:spacing w:before="120" w:after="120"/>
      </w:pPr>
      <w:r>
        <w:rPr>
          <w:sz w:val="18"/>
        </w:rPr>
        <w:t>——————————————————————————————————————————————————————————————————————</w:t>
      </w:r>
    </w:p>
    <w:p>
      <w:pPr>
        <w:spacing w:before="160" w:after="40" w:line="240" w:lineRule="auto"/>
      </w:pPr>
      <w:r>
        <w:rPr>
          <w:b/>
        </w:rPr>
        <w:t xml:space="preserve">[158] </w:t>
      </w:r>
      <w:hyperlink r:id="rId243">
        <w:r>
          <w:rPr>
            <w:color w:val="1155CC"/>
            <w:u w:val="single"/>
          </w:rPr>
          <w:t>PVDF 电解仪,为PVDF 电解器的阴性导导工程设计</w:t>
        </w:r>
      </w:hyperlink>
    </w:p>
    <w:p>
      <w:pPr>
        <w:spacing w:before="0" w:after="80"/>
      </w:pPr>
      <w:r>
        <w:rPr>
          <w:i/>
          <w:sz w:val="20"/>
        </w:rPr>
        <w:t>EN: Interfacial Microgel Self‐Assembly Engineered for Superionic Conduction in PVDF Electrolyte</w:t>
      </w:r>
    </w:p>
    <w:p>
      <w:pPr>
        <w:spacing w:before="0" w:after="120"/>
      </w:pPr>
      <w:r>
        <w:rPr>
          <w:b/>
        </w:rPr>
        <w:t xml:space="preserve">Source: </w:t>
      </w:r>
      <w:r>
        <w:t>Wiley: Angewandte Chemie International Edition: Table of Contents</w:t>
      </w:r>
      <w:r>
        <w:t xml:space="preserve">    </w:t>
      </w:r>
      <w:r>
        <w:rPr>
          <w:b/>
        </w:rPr>
        <w:t xml:space="preserve">Pub date: </w:t>
      </w:r>
      <w:r>
        <w:t>2026-02-16 05:41:26+00:00</w:t>
      </w:r>
      <w:r>
        <w:t xml:space="preserve">    </w:t>
      </w:r>
      <w:r>
        <w:rPr>
          <w:b/>
        </w:rPr>
        <w:t xml:space="preserve">DOI: </w:t>
      </w:r>
      <w:hyperlink r:id="rId244">
        <w:r>
          <w:rPr>
            <w:color w:val="1155CC"/>
            <w:u w:val="single"/>
          </w:rPr>
          <w:t>10.1002/anie.202523190</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在这项工作中,我们建议采用电离中枢干涉微凝微凝微型自我组装战略,以建立导电网络,优化离子协调,克服PVDF基电解液的内在局限性。如M(D)-PVDF-HFP电解解解液所准备的M(D)-PVDF-HFP 电解液显示显著的电离导性(4.54×10-4-S厘米-1,室温时为4.54×10-4-S厘米-1,高李+转移编号(0.63)和4.8个V+操作窗口。Galvanostatic电化学阻力光谱仪和有限元素方法模拟显示快速反应和高和统一的李+。</w:t>
      </w:r>
    </w:p>
    <w:p>
      <w:pPr>
        <w:spacing w:before="0" w:after="200" w:lineRule="auto" w:line="276"/>
      </w:pPr>
      <w:r>
        <w:rPr>
          <w:b/>
        </w:rPr>
        <w:t xml:space="preserve">Abstract (EN): </w:t>
      </w:r>
      <w:r>
        <w:t>In this work, we propose an ion‐mediated interfacial microgel self‐assembly strategy, enabling the construction of a conduction network with optimized ion coordination to overcome the intrinsic limitations of PVDF‐based electrolytes. As prepared M</w:t>
      </w:r>
      <w:r>
        <w:t xml:space="preserve"> </w:t>
      </w:r>
      <w:r>
        <w:t>(D)</w:t>
      </w:r>
      <w:r>
        <w:t xml:space="preserve"> </w:t>
      </w:r>
      <w:r>
        <w:t>—PVDF‐HFP electrolyte shows remarkable ionic conductivity (4.54 × 10</w:t>
      </w:r>
      <w:r>
        <w:t xml:space="preserve"> </w:t>
      </w:r>
      <w:r>
        <w:t>−4</w:t>
      </w:r>
      <w:r>
        <w:t xml:space="preserve"> </w:t>
      </w:r>
      <w:r>
        <w:t>S cm</w:t>
      </w:r>
      <w:r>
        <w:t xml:space="preserve"> </w:t>
      </w:r>
      <w:r>
        <w:t>−1</w:t>
      </w:r>
      <w:r>
        <w:t xml:space="preserve"> </w:t>
      </w:r>
      <w:r>
        <w:t>at room temperature), high Li</w:t>
      </w:r>
      <w:r>
        <w:t xml:space="preserve"> </w:t>
      </w:r>
      <w:r>
        <w:t>+</w:t>
      </w:r>
      <w:r>
        <w:t xml:space="preserve"> </w:t>
      </w:r>
      <w:r>
        <w:t>transference number (0.63), and a 4.8 V‐wide operating window. Galvanostatic electrochemical impedance spectroscopy and finite element method simulations demonstrate rapid response and a high and uniform Li</w:t>
      </w:r>
      <w:r>
        <w:t xml:space="preserve"> </w:t>
      </w:r>
      <w:r>
        <w:t>+</w:t>
      </w:r>
      <w:r>
        <w:t xml:space="preserve"> </w:t>
      </w:r>
      <w:r>
        <w:t>flux under operating conditions. Consequently, symmetric cells display stable Li plating/stripping for &amp;gt;5,000 h with an overpotential of only 136.4 mV at 0.1 mA cm</w:t>
      </w:r>
      <w:r>
        <w:t xml:space="preserve"> </w:t>
      </w:r>
      <w:r>
        <w:t>−2</w:t>
      </w:r>
      <w:r>
        <w:t xml:space="preserve"> </w:t>
      </w:r>
      <w:r>
        <w:t>(25 °C). Furthermore, all‐solid‐state cells employing a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 delivered an initial reversible specific capacity of 181.08 mAh g</w:t>
      </w:r>
      <w:r>
        <w:t xml:space="preserve"> </w:t>
      </w:r>
      <w:r>
        <w:t>−1</w:t>
      </w:r>
      <w:r>
        <w:t xml:space="preserve"> </w:t>
      </w:r>
      <w:r>
        <w:t>, even under a high areal capacity load of approximately 2.0 mAh cm</w:t>
      </w:r>
      <w:r>
        <w:t xml:space="preserve"> </w:t>
      </w:r>
      <w:r>
        <w:t>−2</w:t>
      </w:r>
      <w:r>
        <w:t xml:space="preserve"> </w:t>
      </w:r>
      <w:r>
        <w:t>. Our work is an innovative exploration to induce uniform Li</w:t>
      </w:r>
      <w:r>
        <w:t xml:space="preserve"> </w:t>
      </w:r>
      <w:r>
        <w:t>+</w:t>
      </w:r>
      <w:r>
        <w:t xml:space="preserve"> </w:t>
      </w:r>
      <w:r>
        <w:t>flux in heterogeneous polymer electrolyte and highlights the importance of internal interface behavior in solid‐state polymer electrolytes.</w:t>
      </w:r>
    </w:p>
    <w:p>
      <w:pPr>
        <w:spacing w:before="120" w:after="120"/>
      </w:pPr>
      <w:r>
        <w:rPr>
          <w:sz w:val="18"/>
        </w:rPr>
        <w:t>——————————————————————————————————————————————————————————————————————</w:t>
      </w:r>
    </w:p>
    <w:p>
      <w:pPr>
        <w:spacing w:before="160" w:after="40" w:line="240" w:lineRule="auto"/>
      </w:pPr>
      <w:r>
        <w:rPr>
          <w:b/>
        </w:rPr>
        <w:t xml:space="preserve">[159] </w:t>
      </w:r>
      <w:hyperlink r:id="rId245">
        <w:r>
          <w:rPr>
            <w:color w:val="1155CC"/>
            <w:u w:val="single"/>
          </w:rPr>
          <w:t>[ASAP] CsPbBR3 Nanodiscs/Pb4S3BR2 Nanocrystal 血压结构:调制Exciton - Phonon 调合的外观特征</w:t>
        </w:r>
      </w:hyperlink>
    </w:p>
    <w:p>
      <w:pPr>
        <w:spacing w:before="0" w:after="80"/>
      </w:pPr>
      <w:r>
        <w:rPr>
          <w:i/>
          <w:sz w:val="20"/>
        </w:rPr>
        <w:t>EN: [ASAP] CsPbBr3 Nanodiscs/Pb4S3Br2 Nanocrystal Heterostructures: Shape Anisotropy for Tailoring Exciton–Phonon Coupling</w:t>
      </w:r>
    </w:p>
    <w:p>
      <w:pPr>
        <w:spacing w:before="0" w:after="120"/>
      </w:pPr>
      <w:r>
        <w:rPr>
          <w:b/>
        </w:rPr>
        <w:t xml:space="preserve">Source: </w:t>
      </w:r>
      <w:r>
        <w:t>ACS Energy Letters: Latest Articles (ACS Publications)</w:t>
      </w:r>
      <w:r>
        <w:t xml:space="preserve">    </w:t>
      </w:r>
      <w:r>
        <w:rPr>
          <w:b/>
        </w:rPr>
        <w:t xml:space="preserve">Pub date: </w:t>
      </w:r>
      <w:r>
        <w:t>2026-02-16 09:18:58+00:00</w:t>
      </w:r>
      <w:r>
        <w:t xml:space="preserve">    </w:t>
      </w:r>
      <w:r>
        <w:rPr>
          <w:b/>
        </w:rPr>
        <w:t xml:space="preserve">DOI: </w:t>
      </w:r>
      <w:hyperlink r:id="rId246">
        <w:r>
          <w:rPr>
            <w:color w:val="1155CC"/>
            <w:u w:val="single"/>
          </w:rPr>
          <w:t>10.1021/acsenergylett.5c04202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247">
        <w:r>
          <w:rPr>
            <w:color w:val="1155CC"/>
            <w:u w:val="single"/>
          </w:rPr>
          <w:t>[ASAP] 用于CGAS-Sting-Sing-激活免疫疗法的电击活化米托昆德里亚聚氨酯基聚合激进</w:t>
        </w:r>
      </w:hyperlink>
    </w:p>
    <w:p>
      <w:pPr>
        <w:spacing w:before="0" w:after="80"/>
      </w:pPr>
      <w:r>
        <w:rPr>
          <w:i/>
          <w:sz w:val="20"/>
        </w:rPr>
        <w:t>EN: [ASAP] Electroacupuncture-Activated Mitochondria-Targeted Polymeric Radicals for cGAS-STING-Activated Immunotherapy</w:t>
      </w:r>
    </w:p>
    <w:p>
      <w:pPr>
        <w:spacing w:before="0" w:after="120"/>
      </w:pPr>
      <w:r>
        <w:rPr>
          <w:b/>
        </w:rPr>
        <w:t xml:space="preserve">Source: </w:t>
      </w:r>
      <w:r>
        <w:t>Journal of the American Chemical Society: Latest Articles (ACS Publications)</w:t>
      </w:r>
      <w:r>
        <w:t xml:space="preserve">    </w:t>
      </w:r>
      <w:r>
        <w:rPr>
          <w:b/>
        </w:rPr>
        <w:t xml:space="preserve">Pub date: </w:t>
      </w:r>
      <w:r>
        <w:t>2026-02-16 11:23:30+00:00</w:t>
      </w:r>
      <w:r>
        <w:t xml:space="preserve">    </w:t>
      </w:r>
      <w:r>
        <w:rPr>
          <w:b/>
        </w:rPr>
        <w:t xml:space="preserve">DOI: </w:t>
      </w:r>
      <w:hyperlink r:id="rId248">
        <w:r>
          <w:rPr>
            <w:color w:val="1155CC"/>
            <w:u w:val="single"/>
          </w:rPr>
          <w:t>10.1021/jacs.5c19551</w:t>
        </w:r>
      </w:hyperlink>
    </w:p>
    <w:p>
      <w:pPr>
        <w:spacing w:before="0" w:after="120"/>
      </w:pPr>
      <w:r>
        <w:rPr>
          <w:b/>
        </w:rPr>
        <w:t xml:space="preserve">Notes: </w:t>
      </w:r>
      <w:r>
        <w:t>abstract_source=pubmed</w:t>
      </w:r>
    </w:p>
    <w:p>
      <w:pPr>
        <w:spacing w:before="0" w:after="80" w:lineRule="auto" w:line="276"/>
      </w:pPr>
      <w:r>
        <w:rPr>
          <w:b/>
        </w:rPr>
        <w:t xml:space="preserve">摘要（ZH）: </w:t>
      </w:r>
      <w:r>
        <w:t>自由基,加上未受保护的等值电子,通过氧化性应激调节细胞损伤,在癌症治疗中具有巨大潜力。然而,常规依赖氧的基在肿瘤微环境中遇到重大障碍。在这里,我们提议采用电击驱动战略,将有机基导体电动疗法(EDT)与CGAS定点路径引导免疫疗法协同结合。Mitochondrically工程的血管衍生物可以在电碱化的影响下产生稳定、缺氧的有机基。这一机制导致NADH水平的耗竭,破坏线粒体电子传输链,并引发氧化性压力,导致直接根除肿瘤细胞。</w:t>
      </w:r>
    </w:p>
    <w:p>
      <w:pPr>
        <w:spacing w:before="0" w:after="200" w:lineRule="auto" w:line="276"/>
      </w:pPr>
      <w:r>
        <w:rPr>
          <w:b/>
        </w:rPr>
        <w:t xml:space="preserve">Abstract (EN): </w:t>
      </w:r>
      <w:r>
        <w:t>Free radicals, with unpaired valence electrons, hold significant potential in cancer treatment by inducing oxidative stress-mediated cellular damage. However, conventional oxygen-dependent radicals encounter significant barriers within the tumor microenvironment. Herein, we propose an electroacupuncture-driven strategy that synergistically integrates organic radical-mediated electrodynamic therapy (EDT) with cGAS-STING pathway-primed immunotherapy. Mitochondrially engineered viologen derivatives can generate stable, oxygen-independent organic radicals under the influence of electroacupuncture. This mechanism leads to a depletion of NADH levels, disrupts the mitochondrial electron transport chain, and induces oxidative stress, resulting in the direct eradication of tumor cells. Concurrently, the accumulation of reactive oxygen species induces the disruption of the mitochondrial cristae architecture, resulting in the release of mitochondrial DNA fragments into the cytoplasm. These fragments subsequently activate the cGAS-STING pathway, thereby promoting expression of type-I interferons, maturation of dendritic cells, proliferation of CD8+ T cells, and natural killer cells, as well as tumor infiltration, ultimately orchestrating a systemic antitumor immune response. This strategy demonstrates highly efficient tumor suppression with minimal toxicity by integrating spatiotemporally precise organic radical-mediated EDT- and STING-dependent immunity, offering a potential strategy to overcome microenvironmental barriers and enhance therapeutic efficacy.</w:t>
      </w:r>
    </w:p>
    <w:p>
      <w:pPr>
        <w:spacing w:before="120" w:after="120"/>
      </w:pPr>
      <w:r>
        <w:rPr>
          <w:sz w:val="18"/>
        </w:rPr>
        <w:t>——————————————————————————————————————————————————————————————————————</w:t>
      </w:r>
    </w:p>
    <w:p>
      <w:pPr>
        <w:spacing w:before="160" w:after="40" w:line="240" w:lineRule="auto"/>
      </w:pPr>
      <w:r>
        <w:rPr>
          <w:b/>
        </w:rPr>
        <w:t xml:space="preserve">[161] </w:t>
      </w:r>
      <w:hyperlink r:id="rId249">
        <w:r>
          <w:rPr>
            <w:color w:val="1155CC"/>
            <w:u w:val="single"/>
          </w:rPr>
          <w:t>[ASAP]通过高Yield Urea 电子合成的有秩序的多层面界面,扩大局部反应场</w:t>
        </w:r>
      </w:hyperlink>
    </w:p>
    <w:p>
      <w:pPr>
        <w:spacing w:before="0" w:after="80"/>
      </w:pPr>
      <w:r>
        <w:rPr>
          <w:i/>
          <w:sz w:val="20"/>
        </w:rPr>
        <w:t>EN: [ASAP] Enriching Local Reaction Fields via Ordered Multidimensional Interfaces for High-Yield Urea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2026-02-16 11:28:00+00:00</w:t>
      </w:r>
      <w:r>
        <w:t xml:space="preserve">    </w:t>
      </w:r>
      <w:r>
        <w:rPr>
          <w:b/>
        </w:rPr>
        <w:t xml:space="preserve">DOI: </w:t>
      </w:r>
      <w:hyperlink r:id="rId250">
        <w:r>
          <w:rPr>
            <w:color w:val="1155CC"/>
            <w:u w:val="single"/>
          </w:rPr>
          <w:t>10.1021/jacs.5c21516</w:t>
        </w:r>
      </w:hyperlink>
    </w:p>
    <w:p>
      <w:pPr>
        <w:spacing w:before="0" w:after="120"/>
      </w:pPr>
      <w:r>
        <w:rPr>
          <w:b/>
        </w:rPr>
        <w:t xml:space="preserve">Notes: </w:t>
      </w:r>
      <w:r>
        <w:t>abstract_source=pubmed</w:t>
      </w:r>
    </w:p>
    <w:p>
      <w:pPr>
        <w:spacing w:before="0" w:after="80" w:lineRule="auto" w:line="276"/>
      </w:pPr>
      <w:r>
        <w:rPr>
          <w:b/>
        </w:rPr>
        <w:t xml:space="preserve">摘要（ZH）: </w:t>
      </w:r>
      <w:r>
        <w:t>利用CO2和现有氮源进行电化学尿素合成(CO(NH2-2),CO(CO(NH2)2)利用CO2和现有氮源进行电化学尿素合成是一种替代方法,具有反应可持续性和总体能源效率,但现有电催化剂的缓慢催化反应动动能导致尿素产量低,严重妨碍其实际应用,因为活性场地周围的活性物种和电场密度低,因此发现电催化剂有一个新的订购的多维界面,以丰富活跃场地周围的当地反应场,从而便利与超高产量率的尿素合成反应动能。</w:t>
      </w:r>
    </w:p>
    <w:p>
      <w:pPr>
        <w:spacing w:before="0" w:after="200" w:lineRule="auto" w:line="276"/>
      </w:pPr>
      <w:r>
        <w:rPr>
          <w:b/>
        </w:rPr>
        <w:t xml:space="preserve">Abstract (EN): </w:t>
      </w:r>
      <w:r>
        <w:t>Electrochemical urea (CO(NH2)2) synthesis using CO2 and available nitrogen sources is an alternative method featuring reactant sustainability and an overall energy efficiency. However, sluggish catalytic reaction kinetics for available electrocatalysts led to poor yield rates of urea production, seriously hindering its practical applications, because of the low density of reactant species and electric fields surrounding active sites. Herein, a new class of ordered multidimensional interfaces for electrocatalysts is discovered to enrich the local reaction fields surrounding active sites, thereby facilitating reaction kinetics for urea synthesis with ultrahigh yield rates. Using Cu-based electrocatalysts as a proof of concept, one-dimensional (1D) Cu2O nanowires were uniformly aligned along the 3-fold symmetry of two-dimensional (2D) Cu2Se (111) facets through in situ electrochemical epitaxial growth. This unique structure allows for accumulation of gas flows, electric fields, and species concentrations due to the interface confinement effect from multidimensions. Our Cu2O/Cu2Se interfaces yield a high current density, with a Faraday efficiency (FE) of 61.5% and a production rate of 0.96 mg h-1 in half cells, representing the highest reported values. Moreover, the designed membrane electrode assembly (MEA) coelectrolysis device demonstrates effective urea synthesis and plastic upcycling for practical applications. Enriching local reaction fields via ordered multidimensional interfaces can enable new strategies for designing efficient electrocatalysts and promoting reaction kinetics for practical applications.</w:t>
      </w:r>
    </w:p>
    <w:p>
      <w:pPr>
        <w:spacing w:before="120" w:after="120"/>
      </w:pPr>
      <w:r>
        <w:rPr>
          <w:sz w:val="18"/>
        </w:rPr>
        <w:t>——————————————————————————————————————————————————————————————————————</w:t>
      </w:r>
    </w:p>
    <w:p>
      <w:pPr>
        <w:spacing w:before="160" w:after="40" w:line="240" w:lineRule="auto"/>
      </w:pPr>
      <w:r>
        <w:rPr>
          <w:b/>
        </w:rPr>
        <w:t xml:space="preserve">[162] </w:t>
      </w:r>
      <w:hyperlink r:id="rId251">
        <w:r>
          <w:rPr>
            <w:color w:val="1155CC"/>
            <w:u w:val="single"/>
          </w:rPr>
          <w:t>[ASAP] 精确的2D有机分子水晶通过自成定做的光导客客座建筑对2D有机分子水晶的电荷运输进行光学调节</w:t>
        </w:r>
      </w:hyperlink>
    </w:p>
    <w:p>
      <w:pPr>
        <w:spacing w:before="0" w:after="80"/>
      </w:pPr>
      <w:r>
        <w:rPr>
          <w:i/>
          <w:sz w:val="20"/>
        </w:rPr>
        <w:t>EN: [ASAP] Precise Optical Modulation of Charge Transport in 2D Organic Molecular Crystals through Tailor-Designed Photoswitchable Guest–Host Architectures</w:t>
      </w:r>
    </w:p>
    <w:p>
      <w:pPr>
        <w:spacing w:before="0" w:after="120"/>
      </w:pPr>
      <w:r>
        <w:rPr>
          <w:b/>
        </w:rPr>
        <w:t xml:space="preserve">Source: </w:t>
      </w:r>
      <w:r>
        <w:t>Journal of the American Chemical Society: Latest Articles (ACS Publications)</w:t>
      </w:r>
      <w:r>
        <w:t xml:space="preserve">    </w:t>
      </w:r>
      <w:r>
        <w:rPr>
          <w:b/>
        </w:rPr>
        <w:t xml:space="preserve">Pub date: </w:t>
      </w:r>
      <w:r>
        <w:t>2026-02-16 11:28:33+00:00</w:t>
      </w:r>
      <w:r>
        <w:t xml:space="preserve">    </w:t>
      </w:r>
      <w:r>
        <w:rPr>
          <w:b/>
        </w:rPr>
        <w:t xml:space="preserve">DOI: </w:t>
      </w:r>
      <w:hyperlink r:id="rId252">
        <w:r>
          <w:rPr>
            <w:color w:val="1155CC"/>
            <w:u w:val="single"/>
          </w:rPr>
          <w:t>10.1021/jacs.5c21844</w:t>
        </w:r>
      </w:hyperlink>
    </w:p>
    <w:p>
      <w:pPr>
        <w:spacing w:before="0" w:after="120"/>
      </w:pPr>
      <w:r>
        <w:rPr>
          <w:b/>
        </w:rPr>
        <w:t xml:space="preserve">Notes: </w:t>
      </w:r>
      <w:r>
        <w:t>abstract_source=pubmed</w:t>
      </w:r>
    </w:p>
    <w:p>
      <w:pPr>
        <w:spacing w:before="0" w:after="80" w:lineRule="auto" w:line="276"/>
      </w:pPr>
      <w:r>
        <w:rPr>
          <w:b/>
        </w:rPr>
        <w:t xml:space="preserve">摘要（ZH）: </w:t>
      </w:r>
      <w:r>
        <w:t>两维有机分子晶体(2DOMCs)已成为下一代超丁电子技术的有前途的候选体。然而,精确和不可逆转地调整其充电运输特性仍是一项重大挑战。在这里,我们报告了一项分子工程战略,以单层厚2DOMs为基础,在单层厚2DOMs的基础上创建可光方案实地效应晶体管(FETs),通过将光色日记(DAE)客人分散成一个2,6-双(4-丙基苯)炭疽(C6-DPA)的晶体宿体组合。通过系统化地使DAE边缘功能化,以不同电镀和牵引力的替代形式,我们精确调和客用分子HOMO的能量水平。我们把DAE-OCH3确定为最佳圆柱,使54%的模型成为了54%的模型。</w:t>
      </w:r>
    </w:p>
    <w:p>
      <w:pPr>
        <w:spacing w:before="0" w:after="200" w:lineRule="auto" w:line="276"/>
      </w:pPr>
      <w:r>
        <w:rPr>
          <w:b/>
        </w:rPr>
        <w:t xml:space="preserve">Abstract (EN): </w:t>
      </w:r>
      <w:r>
        <w:t>Two-dimensional organic molecular crystals (2DOMCs) have emerged as promising candidates for next-generation ultrathin electronics. However, precisely and reversibly modulating their charge-transport characteristics remains a significant challenge. Herein, we report a molecular engineering strategy to create light-programmable field-effect transistors (FETs) based on a monolayer thick 2DOMCs, which is achieved by dispersing photochromic diarylethene (DAE) guests into a crystal host matrix of 2,6-bis(4-hexylphenyl) anthracene (C6-DPA). By systematically functionalizing the DAE periphery with substituents of varying electron-donating and -withdrawing strengths, we precisely tune the HOMO energy levels of the guest molecules. We identify DAE-OCH3 as the optimal dopant, which enables a 54% modulation of the FET current within just 5 s of UV light "writing" process. Notably, the optimized C6-DPA/DAE-OCH3 (15%) guest-host system exhibits approximately 85 distinct and stable current levels, corresponding to a storage capacity exceeding 6 bits, with excellent retention over 16 days. This performance represents a significant advancement in ultrathin multilevel memories based on high-mobility organic semiconductors. Our approach establishes a general platform for developing stimuli-responsive 2D organic materials with programmable (opto)electronic properties, opening new avenues for high-density data storage and future generation intelligent (opto)electronics.</w:t>
      </w:r>
    </w:p>
    <w:p>
      <w:pPr>
        <w:spacing w:before="120" w:after="120"/>
      </w:pPr>
      <w:r>
        <w:rPr>
          <w:sz w:val="18"/>
        </w:rPr>
        <w:t>——————————————————————————————————————————————————————————————————————</w:t>
      </w:r>
    </w:p>
    <w:p>
      <w:pPr>
        <w:spacing w:before="160" w:after="40" w:line="240" w:lineRule="auto"/>
      </w:pPr>
      <w:r>
        <w:rPr>
          <w:b/>
        </w:rPr>
        <w:t xml:space="preserve">[163] </w:t>
      </w:r>
      <w:hyperlink r:id="rId253">
        <w:r>
          <w:rPr>
            <w:color w:val="1155CC"/>
            <w:u w:val="single"/>
          </w:rPr>
          <w:t>[ASAP] 溶液和钠与多电子红氧化物在有秩序的空缺和空缺状态下与多电子红氧化物的相交</w:t>
        </w:r>
      </w:hyperlink>
    </w:p>
    <w:p>
      <w:pPr>
        <w:spacing w:before="0" w:after="80"/>
      </w:pPr>
      <w:r>
        <w:rPr>
          <w:i/>
          <w:sz w:val="20"/>
        </w:rPr>
        <w:t>EN: [ASAP] Lithium and Sodium Intercalation with Multielectron Redox in Vacancy Ordered and Vacancy Disordered Cation-Deficient Anti-NASICON Niobium(V) Phosphates</w:t>
      </w:r>
    </w:p>
    <w:p>
      <w:pPr>
        <w:spacing w:before="0" w:after="120"/>
      </w:pPr>
      <w:r>
        <w:rPr>
          <w:b/>
        </w:rPr>
        <w:t xml:space="preserve">Source: </w:t>
      </w:r>
      <w:r>
        <w:t>Journal of the American Chemical Society: Latest Articles (ACS Publications)</w:t>
      </w:r>
      <w:r>
        <w:t xml:space="preserve">    </w:t>
      </w:r>
      <w:r>
        <w:rPr>
          <w:b/>
        </w:rPr>
        <w:t xml:space="preserve">Pub date: </w:t>
      </w:r>
      <w:r>
        <w:t>2026-02-16 11:48:35+00:00</w:t>
      </w:r>
      <w:r>
        <w:t xml:space="preserve">    </w:t>
      </w:r>
      <w:r>
        <w:rPr>
          <w:b/>
        </w:rPr>
        <w:t xml:space="preserve">DOI: </w:t>
      </w:r>
      <w:hyperlink r:id="rId254">
        <w:r>
          <w:rPr>
            <w:color w:val="1155CC"/>
            <w:u w:val="single"/>
          </w:rPr>
          <w:t>10.1021/jacs.5c18537</w:t>
        </w:r>
      </w:hyperlink>
    </w:p>
    <w:p>
      <w:pPr>
        <w:spacing w:before="0" w:after="120"/>
      </w:pPr>
      <w:r>
        <w:rPr>
          <w:b/>
        </w:rPr>
        <w:t xml:space="preserve">Notes: </w:t>
      </w:r>
      <w:r>
        <w:t>abstract_source=pubmed</w:t>
      </w:r>
    </w:p>
    <w:p>
      <w:pPr>
        <w:spacing w:before="0" w:after="80" w:lineRule="auto" w:line="276"/>
      </w:pPr>
      <w:r>
        <w:rPr>
          <w:b/>
        </w:rPr>
        <w:t xml:space="preserve">摘要（ZH）: </w:t>
      </w:r>
      <w:r>
        <w:t>了解结构-财产关系对于发现和工程工程实用材料至关重要。在这项工作中,首次研究两种磷酸铵(V)磷酸铵材料,作为电活性间热接收器,先是用高分辨率和宽线NMR晶体学综合高分辨率和宽线共线法探究晶体化学和缺陷结构,以解决尚未解决的结构问题。相对稀有的Niobyl组(NbO)在适当的试验条件下,甚至在出现混乱的情况下,在适当的试验条件下,提供了一种特别独特的93Nb NMR的签字。 Nb5P7O30和Nb2-xP3-yO12是比较分析的典型案例研究,因为它们几乎是异形和b。</w:t>
      </w:r>
    </w:p>
    <w:p>
      <w:pPr>
        <w:spacing w:before="0" w:after="200" w:lineRule="auto" w:line="276"/>
      </w:pPr>
      <w:r>
        <w:rPr>
          <w:b/>
        </w:rPr>
        <w:t xml:space="preserve">Abstract (EN): </w:t>
      </w:r>
      <w:r>
        <w:t>Understanding structure-property relationships is of fundamental importance for the discovery and engineering of functional materials. In this work, two niobium(V) phosphate materials are studied for the first time as electroactive intercalation hosts after probing their crystal chemistry and defect structures with a combined high-resolution and wide-line NMR crystallography approach to resolve outstanding structural questions. The relatively rare niobyl group (Nb═O) gives an exceptionally distinct 93Nb NMR signature under the right experimental conditions, even in the presence of disorder, which should lead to its discovery and analysis in other phases. Nb5P7O30 and Nb2-xP3-yO12 provide an interesting model case study for comparative analysis because they are nearly isocompositional and both crystallize in the anti-NASICON structure, but they adopt different vacancy (dis)order patterns that lead to distinct space-group symmetries. As intercalation hosts, they both exhibit multielectron Nb5+/Nb3+ redox with lithium, with peak-to-peak separations on the order of 10 mV, and full one-electron Nb5+/Nb4+ redox with sodium. This latter observation is notable because the various niobium(V) oxide polymorphs, widely studied as battery electrode materials, are essentially inactive to sodium. Operando synchrotron diffraction with fine temporal resolution shows that Li5zNb5P7O30 undergoes a series of six minimal-strain displacive phase transitions during lithium insertion, while the lithiation of Li1.92zNb2-xP3-yO12 is purely bulk solid solution. The final volume change of Li5zNb5P7O30 to z = 1 is 1.3% and to z = 1.45 is 2.4%, while the expansion for Li1.92zNb2-xP3-yO12 to z = 1 is 3.5% and to z = 1.41 is 4.3%. Interstitial intercalation sites and percolation pathways are identified with bond valence site energy searching. Comparisons of the nonstoichiometric niobium(V) phases in this work are made to stoichiometric phases in the anti-NASICON system, as well as the effects of order and disorder in the lithium metal phosphate olivines.</w:t>
      </w:r>
    </w:p>
    <w:p>
      <w:pPr>
        <w:spacing w:before="120" w:after="120"/>
      </w:pPr>
      <w:r>
        <w:rPr>
          <w:sz w:val="18"/>
        </w:rPr>
        <w:t>——————————————————————————————————————————————————————————————————————</w:t>
      </w:r>
    </w:p>
    <w:p>
      <w:pPr>
        <w:spacing w:before="160" w:after="40" w:line="240" w:lineRule="auto"/>
      </w:pPr>
      <w:r>
        <w:rPr>
          <w:b/>
        </w:rPr>
        <w:t xml:space="preserve">[164] </w:t>
      </w:r>
      <w:hyperlink r:id="rId255">
        <w:r>
          <w:rPr>
            <w:color w:val="1155CC"/>
            <w:u w:val="single"/>
          </w:rPr>
          <w:t>[ASAP] 高效铜化C-N合成丙烯和乙烯基氯化物相混合的高效铜化C-N 高效铜化C-C-N 由机制启发的激光设计[ASAP]</w:t>
        </w:r>
      </w:hyperlink>
    </w:p>
    <w:p>
      <w:pPr>
        <w:spacing w:before="0" w:after="80"/>
      </w:pPr>
      <w:r>
        <w:rPr>
          <w:i/>
          <w:sz w:val="20"/>
        </w:rPr>
        <w:t>EN: [ASAP] Mechanism-Inspired Ligand Design for Efficient Copper-Catalyzed C–N Coupling of Aryl and Heteroaryl Chlorides</w:t>
      </w:r>
    </w:p>
    <w:p>
      <w:pPr>
        <w:spacing w:before="0" w:after="120"/>
      </w:pPr>
      <w:r>
        <w:rPr>
          <w:b/>
        </w:rPr>
        <w:t xml:space="preserve">Source: </w:t>
      </w:r>
      <w:r>
        <w:t>Journal of the American Chemical Society: Latest Articles (ACS Publications)</w:t>
      </w:r>
      <w:r>
        <w:t xml:space="preserve">    </w:t>
      </w:r>
      <w:r>
        <w:rPr>
          <w:b/>
        </w:rPr>
        <w:t xml:space="preserve">Pub date: </w:t>
      </w:r>
      <w:r>
        <w:t>2026-02-16 12:45:09+00:00</w:t>
      </w:r>
      <w:r>
        <w:t xml:space="preserve">    </w:t>
      </w:r>
      <w:r>
        <w:rPr>
          <w:b/>
        </w:rPr>
        <w:t xml:space="preserve">DOI: </w:t>
      </w:r>
      <w:hyperlink r:id="rId256">
        <w:r>
          <w:rPr>
            <w:color w:val="1155CC"/>
            <w:u w:val="single"/>
          </w:rPr>
          <w:t>10.1021/jacs.5c20640</w:t>
        </w:r>
      </w:hyperlink>
    </w:p>
    <w:p>
      <w:pPr>
        <w:spacing w:before="0" w:after="120"/>
      </w:pPr>
      <w:r>
        <w:rPr>
          <w:b/>
        </w:rPr>
        <w:t xml:space="preserve">Notes: </w:t>
      </w:r>
      <w:r>
        <w:t>abstract_source=pubmed</w:t>
      </w:r>
    </w:p>
    <w:p>
      <w:pPr>
        <w:spacing w:before="0" w:after="80" w:lineRule="auto" w:line="276"/>
      </w:pPr>
      <w:r>
        <w:rPr>
          <w:b/>
        </w:rPr>
        <w:t xml:space="preserve">摘要（ZH）: </w:t>
      </w:r>
      <w:r>
        <w:t>在过去二十年中,报告了一系列的悬离层和类,以制造铜催化剂,将碘化硅和溴混合为二,但是,这些系统通常要求的催化剂装载量比高,而铜复合体催化的氯化铁的混合需要的装载量特别高,温度很高,或两者兼而有之。</w:t>
      </w:r>
    </w:p>
    <w:p>
      <w:pPr>
        <w:spacing w:before="0" w:after="200" w:lineRule="auto" w:line="276"/>
      </w:pPr>
      <w:r>
        <w:rPr>
          <w:b/>
        </w:rPr>
        <w:t xml:space="preserve">Abstract (EN): </w:t>
      </w:r>
      <w:r>
        <w:t>Cross-coupling reactions to form C-N bonds catalyzed by copper are becoming sustainable and cost-effective alternatives to those catalyzed by palladium. An array of ligand classes has been reported over the past two decades to create copper catalysts that couple aryl iodides and bromides. However, these systems typically require higher catalyst loadings than are required for palladium, and the couplings of aryl chlorides catalyzed by copper complexes require particularly high loadings, high temperatures, or both. We report a catalytic system designed to destabilize the bis-ligated copper(II) oxalamide complexes that are the major species in reactions of aryl bromides catalyzed by complexes of oxalamide ligands. A sterically hindered oxalamide ligand in combination with Cu(I) or Cu(II) leads to the coupling of aryl and heteroaryl chlorides with a set of primary amines, as well as aqueous ammonia, under mild conditions at low catalyst loadings (0.03-1 mol %) with turnover numbers up to 2300. Mechanistic studies reveal that increased steric bulk on the amide causes a monoligated copper species with a Cu(I) oxidation state to be the major copper complex in the reactions of aryl chlorides. Both Cu(I) and Cu(II) amine complexes containing this oxalamide have been isolated, structurally characterized, and observed in the catalytic systems by EPR and NMR spectroscopy. Initial kinetic studies indicate that oxidative addition to the amine complex is rate limiting, and the identity of the halide on the aryl halide (Cl vs Br) changes the oxidation state of the major copper species in solution.</w:t>
      </w:r>
    </w:p>
    <w:p>
      <w:pPr>
        <w:spacing w:before="120" w:after="120"/>
      </w:pPr>
      <w:r>
        <w:rPr>
          <w:sz w:val="18"/>
        </w:rPr>
        <w:t>——————————————————————————————————————————————————————————————————————</w:t>
      </w:r>
    </w:p>
    <w:p>
      <w:pPr>
        <w:spacing w:before="160" w:after="40" w:line="240" w:lineRule="auto"/>
      </w:pPr>
      <w:r>
        <w:rPr>
          <w:b/>
        </w:rPr>
        <w:t xml:space="preserve">[165] </w:t>
      </w:r>
      <w:hyperlink r:id="rId257">
        <w:r>
          <w:rPr>
            <w:color w:val="1155CC"/>
            <w:u w:val="single"/>
          </w:rPr>
          <w:t>[ASAP] 释放自启动的锂金属电池中不设防地剥离</w:t>
        </w:r>
      </w:hyperlink>
    </w:p>
    <w:p>
      <w:pPr>
        <w:spacing w:before="0" w:after="80"/>
      </w:pPr>
      <w:r>
        <w:rPr>
          <w:i/>
          <w:sz w:val="20"/>
        </w:rPr>
        <w:t>EN: [ASAP] Pit-Free Stripping in Discharge-Initiated Lithium Metal Batteries</w:t>
      </w:r>
    </w:p>
    <w:p>
      <w:pPr>
        <w:spacing w:before="0" w:after="120"/>
      </w:pPr>
      <w:r>
        <w:rPr>
          <w:b/>
        </w:rPr>
        <w:t xml:space="preserve">Source: </w:t>
      </w:r>
      <w:r>
        <w:t>ACS Energy Letters: Latest Articles (ACS Publications)</w:t>
      </w:r>
      <w:r>
        <w:t xml:space="preserve">    </w:t>
      </w:r>
      <w:r>
        <w:rPr>
          <w:b/>
        </w:rPr>
        <w:t xml:space="preserve">Pub date: </w:t>
      </w:r>
      <w:r>
        <w:t>2026-02-16 14:10:52+00:00</w:t>
      </w:r>
      <w:r>
        <w:t xml:space="preserve">    </w:t>
      </w:r>
      <w:r>
        <w:rPr>
          <w:b/>
        </w:rPr>
        <w:t xml:space="preserve">DOI: </w:t>
      </w:r>
      <w:hyperlink r:id="rId258">
        <w:r>
          <w:rPr>
            <w:color w:val="1155CC"/>
            <w:u w:val="single"/>
          </w:rPr>
          <w:t>10.1021/acsenergylett.5c03330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259">
        <w:r>
          <w:rPr>
            <w:color w:val="1155CC"/>
            <w:u w:val="single"/>
          </w:rPr>
          <w:t>[ASAP] Ni(0)/NHC-经测量的协调协调不相称</w:t>
        </w:r>
      </w:hyperlink>
    </w:p>
    <w:p>
      <w:pPr>
        <w:spacing w:before="0" w:after="80"/>
      </w:pPr>
      <w:r>
        <w:rPr>
          <w:i/>
          <w:sz w:val="20"/>
        </w:rPr>
        <w:t>EN: [ASAP] Ni(0)/NHC-Mediated Coordination Disproportionation Polymerization of Aromatic Dialdehydes to High-Performance Polyesters</w:t>
      </w:r>
    </w:p>
    <w:p>
      <w:pPr>
        <w:spacing w:before="0" w:after="120"/>
      </w:pPr>
      <w:r>
        <w:rPr>
          <w:b/>
        </w:rPr>
        <w:t xml:space="preserve">Source: </w:t>
      </w:r>
      <w:r>
        <w:t>Journal of the American Chemical Society: Latest Articles (ACS Publications)</w:t>
      </w:r>
      <w:r>
        <w:t xml:space="preserve">    </w:t>
      </w:r>
      <w:r>
        <w:rPr>
          <w:b/>
        </w:rPr>
        <w:t xml:space="preserve">Pub date: </w:t>
      </w:r>
      <w:r>
        <w:t>2026-02-16 15:05:09+00:00</w:t>
      </w:r>
      <w:r>
        <w:t xml:space="preserve">    </w:t>
      </w:r>
      <w:r>
        <w:rPr>
          <w:b/>
        </w:rPr>
        <w:t xml:space="preserve">DOI: </w:t>
      </w:r>
      <w:hyperlink r:id="rId260">
        <w:r>
          <w:rPr>
            <w:color w:val="1155CC"/>
            <w:u w:val="single"/>
          </w:rPr>
          <w:t>10.1021/jacs.5c21258</w:t>
        </w:r>
      </w:hyperlink>
    </w:p>
    <w:p>
      <w:pPr>
        <w:spacing w:before="0" w:after="120"/>
      </w:pPr>
      <w:r>
        <w:rPr>
          <w:b/>
        </w:rPr>
        <w:t xml:space="preserve">Notes: </w:t>
      </w:r>
      <w:r>
        <w:t>abstract_source=pubmed</w:t>
      </w:r>
    </w:p>
    <w:p>
      <w:pPr>
        <w:spacing w:before="0" w:after="80" w:lineRule="auto" w:line="276"/>
      </w:pPr>
      <w:r>
        <w:rPr>
          <w:b/>
        </w:rPr>
        <w:t xml:space="preserve">摘要（ZH）: </w:t>
      </w:r>
      <w:r>
        <w:t>在温和条件下合成高性能芳烃聚酯,使用常规多浓缩战略,仍然具有挑战性。我们在此报告Ni(0)/N-热循环碳氢化合物(NHC)-催化协调不相称聚合(CDP),使随时可得的芳烃多丁二烯酸酯能够直接和副产品地转化成高摩质聚酯。NHC的悬离层和电子特性调节了Ni(0)/NHC协调平衡,从而控制聚酯形成,同时抑制苯并聚。CDP过程涉及甲状腺类的分解氧化-减少结合,产生高热稳定性(Td,5%至370°C)和超过100°C的玻璃转换温度(Td,5%至370°C)和玻璃转换温度。</w:t>
      </w:r>
    </w:p>
    <w:p>
      <w:pPr>
        <w:spacing w:before="0" w:after="200" w:lineRule="auto" w:line="276"/>
      </w:pPr>
      <w:r>
        <w:rPr>
          <w:b/>
        </w:rPr>
        <w:t xml:space="preserve">Abstract (EN): </w:t>
      </w:r>
      <w:r>
        <w:t>The synthesis of high-performance aromatic polyesters under mild conditions remains challenging using conventional polycondensation strategies. Here, we report a Ni(0)/N-heterocyclic carbene (NHC)-catalyzed coordination disproportionation polymerization (CDP) that enables the direct and byproduct-free transformation of readily accessible aromatic dialdehydes into high-molar-mass polyesters. Tuning the steric and electronic properties of NHC ligands regulates Ni(0)/NHC coordination equilibrium, thereby controlling polyester formation while suppressing benzoin condensation. The CDP process involves stochastic oxidation-reduction coupling of aldehyde groups, yielding sequence-disordered polyesters with high thermal stability (Td,5% up to 370 °C) and glass transition temperatures above 100 °C, surpassing poly(ethylene terephthalate) in heat resistance. These polyesters exhibit exceptional hydrolytic stability across pH 0-14 at ambient temperature, yet remain fully degradable upon heating in an alkaline organic solvent, achieving an optimal balance between durability and end-of-life recyclability. This work establishes CDP as a versatile platform for constructing high-performance aromatic polyesters from diverse dialdehyde monomers.</w:t>
      </w:r>
    </w:p>
    <w:p>
      <w:pPr>
        <w:spacing w:before="120" w:after="120"/>
      </w:pPr>
      <w:r>
        <w:rPr>
          <w:sz w:val="18"/>
        </w:rPr>
        <w:t>——————————————————————————————————————————————————————————————————————</w:t>
      </w:r>
    </w:p>
    <w:p>
      <w:pPr>
        <w:spacing w:before="160" w:after="40" w:line="240" w:lineRule="auto"/>
      </w:pPr>
      <w:r>
        <w:rPr>
          <w:b/>
        </w:rPr>
        <w:t xml:space="preserve">[167] </w:t>
      </w:r>
      <w:hyperlink r:id="rId261">
        <w:r>
          <w:rPr>
            <w:color w:val="1155CC"/>
            <w:u w:val="single"/>
          </w:rPr>
          <w:t>[ASAP]更正为“通过双量成份一致性电子旋转共振方法检测在一种内在紊乱的蛋白质中诱发的突变-诱发的畸形变化”</w:t>
        </w:r>
      </w:hyperlink>
    </w:p>
    <w:p>
      <w:pPr>
        <w:spacing w:before="0" w:after="80"/>
      </w:pPr>
      <w:r>
        <w:rPr>
          <w:i/>
          <w:sz w:val="20"/>
        </w:rPr>
        <w:t>EN: [ASAP] Correction to “Detection of Mutation-Induced Conformational Changes in an Intrinsically Disordered Protein by Double Quantum Coherence Electron Spin Resonance Methodology”</w:t>
      </w:r>
    </w:p>
    <w:p>
      <w:pPr>
        <w:spacing w:before="0" w:after="120"/>
      </w:pPr>
      <w:r>
        <w:rPr>
          <w:b/>
        </w:rPr>
        <w:t xml:space="preserve">Source: </w:t>
      </w:r>
      <w:r>
        <w:t>Journal of the American Chemical Society: Latest Articles (ACS Publications)</w:t>
      </w:r>
      <w:r>
        <w:t xml:space="preserve">    </w:t>
      </w:r>
      <w:r>
        <w:rPr>
          <w:b/>
        </w:rPr>
        <w:t xml:space="preserve">Pub date: </w:t>
      </w:r>
      <w:r>
        <w:t>2026-02-16 15:37:54+00:00</w:t>
      </w:r>
      <w:r>
        <w:t xml:space="preserve">    </w:t>
      </w:r>
      <w:r>
        <w:rPr>
          <w:b/>
        </w:rPr>
        <w:t xml:space="preserve">DOI: </w:t>
      </w:r>
      <w:hyperlink r:id="rId262">
        <w:r>
          <w:rPr>
            <w:color w:val="1155CC"/>
            <w:u w:val="single"/>
          </w:rPr>
          <w:t>10.1021/jacs.6c02082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263">
        <w:r>
          <w:rPr>
            <w:color w:val="1155CC"/>
            <w:u w:val="single"/>
          </w:rPr>
          <w:t>[ASAP] 环丁二烯的自动化:多配置对称-空气-密度功能理论在不受限制的Kohn - sham 密度功能理论不发生的情况下提供高度精确性</w:t>
        </w:r>
      </w:hyperlink>
    </w:p>
    <w:p>
      <w:pPr>
        <w:spacing w:before="0" w:after="80"/>
      </w:pPr>
      <w:r>
        <w:rPr>
          <w:i/>
          <w:sz w:val="20"/>
        </w:rPr>
        <w:t>EN: [ASAP] Automerization of Cyclobutadiene: Multiconfiguration Pair-Density Functional Theory Gives High Accuracy Where Unrestricted Kohn–Sham Density Functional Theory Does Not</w:t>
      </w:r>
    </w:p>
    <w:p>
      <w:pPr>
        <w:spacing w:before="0" w:after="120"/>
      </w:pPr>
      <w:r>
        <w:rPr>
          <w:b/>
        </w:rPr>
        <w:t xml:space="preserve">Source: </w:t>
      </w:r>
      <w:r>
        <w:t>Journal of the American Chemical Society: Latest Articles (ACS Publications)</w:t>
      </w:r>
      <w:r>
        <w:t xml:space="preserve">    </w:t>
      </w:r>
      <w:r>
        <w:rPr>
          <w:b/>
        </w:rPr>
        <w:t xml:space="preserve">Pub date: </w:t>
      </w:r>
      <w:r>
        <w:t>2026-02-16 15:38:59+00:00</w:t>
      </w:r>
      <w:r>
        <w:t xml:space="preserve">    </w:t>
      </w:r>
      <w:r>
        <w:rPr>
          <w:b/>
        </w:rPr>
        <w:t xml:space="preserve">DOI: </w:t>
      </w:r>
      <w:hyperlink r:id="rId264">
        <w:r>
          <w:rPr>
            <w:color w:val="1155CC"/>
            <w:u w:val="single"/>
          </w:rPr>
          <w:t>10.1021/jacs.5c20811</w:t>
        </w:r>
      </w:hyperlink>
    </w:p>
    <w:p>
      <w:pPr>
        <w:spacing w:before="0" w:after="120"/>
      </w:pPr>
      <w:r>
        <w:rPr>
          <w:b/>
        </w:rPr>
        <w:t xml:space="preserve">Notes: </w:t>
      </w:r>
      <w:r>
        <w:t>abstract_source=pubmed</w:t>
      </w:r>
    </w:p>
    <w:p>
      <w:pPr>
        <w:spacing w:before="0" w:after="80" w:lineRule="auto" w:line="276"/>
      </w:pPr>
      <w:r>
        <w:rPr>
          <w:b/>
        </w:rPr>
        <w:t xml:space="preserve">摘要（ZH）: </w:t>
      </w:r>
      <w:r>
        <w:t>环丁二烯的自动化是一个典型的、得到很好研究的典型例子,表明一种反应经过一个内在的多配置过渡状态;转型状态的几何测量是一种平方双方形的反亚光环系统。在这里,我们研究和比较了两种不同的方法,用两种密度功能方法处理这种反应的屏障高度:无限制的Kohn-Sham(UKS)计算和多配置的双倍密度功能理论(MC-PDFT)。我们测试了前者的22功能,后者的6功能。通过使用多种软件包,这些测试使我们能够比较一些比较很少比较的相对近期功能,例如ZB97M-V、RvM11、R2SCAN、M06-SX、CF22D和DM21。我们发现英国S的最佳表现。</w:t>
      </w:r>
    </w:p>
    <w:p>
      <w:pPr>
        <w:spacing w:before="0" w:after="200" w:lineRule="auto" w:line="276"/>
      </w:pPr>
      <w:r>
        <w:rPr>
          <w:b/>
        </w:rPr>
        <w:t xml:space="preserve">Abstract (EN): </w:t>
      </w:r>
      <w:r>
        <w:t>The automerization of cyclobutadiene is a classical, well-studied example of a reaction passing through an inherently multiconfigurational transition state; the transition-state geometry is a square biradical that is the prototypical antiaromatic ring system. Here we study and compare two different approaches to treating the barrier height for this reaction by two kinds of density functional methods: unrestricted Kohn-Sham (UKS) calculations and multiconfiguration pair-density functional theory (MC-PDFT). We test 22 functionals for the former and six for the latter. By using multiple software packages, these tests allow us to compare several relatively recent functionals that are rarely compared, such as ωB97M-V, revM11, r2SCAN, M06-SX, CF22D, and DM21. We find the best performance for UKS with ωΒ97Μ-V, M06-2X, and DM21, having errors in the range 2.2-2.7 kcal/mol. Some functionals (MN15-L, revM06-L, PBE0, TPSSh, and r2SCAN) give unphysical transition states, and the mean unsigned error of the 22 UKS barrier heights is 6.4 kcal/mol. With an active space of 8 electrons in 8 orbitals, all six MC-PDFT functionals have unsigned errors in the range 0.2-1.9 kcal/mol, with the lowest error (0.2 kcal/mol) being obtained with MC23. The CASPT2 error is 1.2 kcal/mol with the (8,8) active space and 0.7 kcal/ml with the (6,6) active space. We conclude that MC-PDFT can provide a practical and accurate way to treat inherently multiconfigurational transition states.</w:t>
      </w:r>
    </w:p>
    <w:p>
      <w:pPr>
        <w:spacing w:before="120" w:after="120"/>
      </w:pPr>
      <w:r>
        <w:rPr>
          <w:sz w:val="18"/>
        </w:rPr>
        <w:t>——————————————————————————————————————————————————————————————————————</w:t>
      </w:r>
    </w:p>
    <w:p>
      <w:pPr>
        <w:spacing w:before="160" w:after="40" w:line="240" w:lineRule="auto"/>
      </w:pPr>
      <w:r>
        <w:rPr>
          <w:b/>
        </w:rPr>
        <w:t xml:space="preserve">[169] </w:t>
      </w:r>
      <w:hyperlink r:id="rId265">
        <w:r>
          <w:rPr>
            <w:color w:val="1155CC"/>
            <w:u w:val="single"/>
          </w:rPr>
          <w:t>[ASAP] 高效Z-系统分解水的循环电静电相互作用回溯式电解转移,无CROx核心-壳式联合催化剂</w:t>
        </w:r>
      </w:hyperlink>
    </w:p>
    <w:p>
      <w:pPr>
        <w:spacing w:before="0" w:after="80"/>
      </w:pPr>
      <w:r>
        <w:rPr>
          <w:i/>
          <w:sz w:val="20"/>
        </w:rPr>
        <w:t>EN: [ASAP] Interfacial Electrostatic Interaction Overcomes Backward Electron Transfer without CrOx-Based Core–Shell Cocatalyst for Efficient Z-Scheme Water Splitting</w:t>
      </w:r>
    </w:p>
    <w:p>
      <w:pPr>
        <w:spacing w:before="0" w:after="120"/>
      </w:pPr>
      <w:r>
        <w:rPr>
          <w:b/>
        </w:rPr>
        <w:t xml:space="preserve">Source: </w:t>
      </w:r>
      <w:r>
        <w:t>Journal of the American Chemical Society: Latest Articles (ACS Publications)</w:t>
      </w:r>
      <w:r>
        <w:t xml:space="preserve">    </w:t>
      </w:r>
      <w:r>
        <w:rPr>
          <w:b/>
        </w:rPr>
        <w:t xml:space="preserve">Pub date: </w:t>
      </w:r>
      <w:r>
        <w:t>2026-02-16 16:05:08+00:00</w:t>
      </w:r>
      <w:r>
        <w:t xml:space="preserve">    </w:t>
      </w:r>
      <w:r>
        <w:rPr>
          <w:b/>
        </w:rPr>
        <w:t xml:space="preserve">DOI: </w:t>
      </w:r>
      <w:hyperlink r:id="rId266">
        <w:r>
          <w:rPr>
            <w:color w:val="1155CC"/>
            <w:u w:val="single"/>
          </w:rPr>
          <w:t>10.1021/jacs.5c23111</w:t>
        </w:r>
      </w:hyperlink>
    </w:p>
    <w:p>
      <w:pPr>
        <w:spacing w:before="0" w:after="120"/>
      </w:pPr>
      <w:r>
        <w:rPr>
          <w:b/>
        </w:rPr>
        <w:t xml:space="preserve">Notes: </w:t>
      </w:r>
      <w:r>
        <w:t>abstract_source=pubmed</w:t>
      </w:r>
    </w:p>
    <w:p>
      <w:pPr>
        <w:spacing w:before="0" w:after="80" w:lineRule="auto" w:line="276"/>
      </w:pPr>
      <w:r>
        <w:rPr>
          <w:b/>
        </w:rPr>
        <w:t xml:space="preserve">摘要（ZH）: </w:t>
      </w:r>
      <w:r>
        <w:t>Z-Scheme 水与一个红氧化物调节器分离,将电子从H2传输到O2蒸发式光化催化器,已经对此进行了广泛研究,以便实现高效的整体水分分离。然而,与红氧化物调节器的后向电子转移是Z-Scheme水分分化的内在缺陷,因为它中断了预期的H2和O2进化过程。虽然在H2-演化式光化催化器上对金属古柯解析器涂层的CrOx 炮弹被广泛用于阻塞后向电子转移,但这一战略依赖于在光化催化操作下有可能得到溶解的潜在有毒铬物种。 赫林,我们展示了一种无铬方法,通过在光化分子-处理器界面操纵电阻断后电转移。</w:t>
      </w:r>
    </w:p>
    <w:p>
      <w:pPr>
        <w:spacing w:before="0" w:after="200" w:lineRule="auto" w:line="276"/>
      </w:pPr>
      <w:r>
        <w:rPr>
          <w:b/>
        </w:rPr>
        <w:t xml:space="preserve">Abstract (EN): </w:t>
      </w:r>
      <w:r>
        <w:t>Z-scheme water splitting with a redox mediator, which transports electrons from an H2- to an O2-evolving photocatalyst, has been widely studied to achieve efficient overall water splitting. However, backward electron transfer with the redox mediator is an intrinsic drawback of Z-scheme water splitting, because it interrupts the desired H2 and O2 evolution. Although a CrOx shell coating on metal cocatalysts on an H2-evolving photocatalyst is widely used to block backward electron transfer, this strategy relies on potentially toxic chromium species of which elution is possible under the photocatalytic operation. Herein, we demonstrate a chromium-free approach that suppresses backward electron transfer by manipulating electrostatic interactions at the photocatalyst-mediator interface. The designed charge-switchable cobalt complex serves as a superior mediator that selectively suppresses backward electron transfer from a positively charged H2-evolving photocatalyst without using a CrOx shell, leading to efficient Z-scheme water splitting with an apparent quantum yield of 7.2%.</w:t>
      </w:r>
    </w:p>
    <w:p>
      <w:pPr>
        <w:spacing w:before="120" w:after="120"/>
      </w:pPr>
      <w:r>
        <w:rPr>
          <w:sz w:val="18"/>
        </w:rPr>
        <w:t>——————————————————————————————————————————————————————————————————————</w:t>
      </w:r>
    </w:p>
    <w:p>
      <w:pPr>
        <w:spacing w:before="160" w:after="40" w:line="240" w:lineRule="auto"/>
      </w:pPr>
      <w:r>
        <w:rPr>
          <w:b/>
        </w:rPr>
        <w:t xml:space="preserve">[170] </w:t>
      </w:r>
      <w:hyperlink r:id="rId267">
        <w:r>
          <w:rPr>
            <w:color w:val="1155CC"/>
            <w:u w:val="single"/>
          </w:rPr>
          <w:t>[ASAP]用于活细胞内使用丙烯酰胺或乙烯磺酰胺弹头激活共价不相合物的坦迪姆生物动力矩形还原范围与消除氯(Tandem Bioorthomal Retro-Cope)</w:t>
        </w:r>
      </w:hyperlink>
    </w:p>
    <w:p>
      <w:pPr>
        <w:spacing w:before="0" w:after="80"/>
      </w:pPr>
      <w:r>
        <w:rPr>
          <w:i/>
          <w:sz w:val="20"/>
        </w:rPr>
        <w:t>EN: [ASAP] A Tandem Bioorthogonal Retro-Cope and Cope Elimination for the Activation of Covalent Inhibitors with an Acrylamide or Vinylsulfonamide Warhead in Live Cells</w:t>
      </w:r>
    </w:p>
    <w:p>
      <w:pPr>
        <w:spacing w:before="0" w:after="120"/>
      </w:pPr>
      <w:r>
        <w:rPr>
          <w:b/>
        </w:rPr>
        <w:t xml:space="preserve">Source: </w:t>
      </w:r>
      <w:r>
        <w:t>Journal of the American Chemical Society: Latest Articles (ACS Publications)</w:t>
      </w:r>
      <w:r>
        <w:t xml:space="preserve">    </w:t>
      </w:r>
      <w:r>
        <w:rPr>
          <w:b/>
        </w:rPr>
        <w:t xml:space="preserve">Pub date: </w:t>
      </w:r>
      <w:r>
        <w:t>2026-02-16 16:06:21+00:00</w:t>
      </w:r>
      <w:r>
        <w:t xml:space="preserve">    </w:t>
      </w:r>
      <w:r>
        <w:rPr>
          <w:b/>
        </w:rPr>
        <w:t xml:space="preserve">DOI: </w:t>
      </w:r>
      <w:hyperlink r:id="rId268">
        <w:r>
          <w:rPr>
            <w:color w:val="1155CC"/>
            <w:u w:val="single"/>
          </w:rPr>
          <w:t>10.1021/jacs.6c00226</w:t>
        </w:r>
      </w:hyperlink>
    </w:p>
    <w:p>
      <w:pPr>
        <w:spacing w:before="0" w:after="120"/>
      </w:pPr>
      <w:r>
        <w:rPr>
          <w:b/>
        </w:rPr>
        <w:t xml:space="preserve">Notes: </w:t>
      </w:r>
      <w:r>
        <w:t>abstract_source=pubmed</w:t>
      </w:r>
    </w:p>
    <w:p>
      <w:pPr>
        <w:spacing w:before="0" w:after="80" w:lineRule="auto" w:line="276"/>
      </w:pPr>
      <w:r>
        <w:rPr>
          <w:b/>
        </w:rPr>
        <w:t xml:space="preserve">摘要（ZH）: </w:t>
      </w:r>
      <w:r>
        <w:t>精确控制共价抑制剂的激活,办法是通过活性弹头的粘合和脱钩,这是至关重要的,然而,由于这一战略的艰巨技术挑战,很少采取这一战略。我们在报告中报告了一种新型的同步生物原体反转镜和消除科普,旨在高效和有选择地激活活性细胞内带有丙烯酸或乙烯磺酰胺弹头的共价抑制剂。值得注意的是,这一战略可以同时针对共价抑制剂和荧光报告器进行共活性,从而能够实时监测抗药活化。我们成功地通过点燃两种不同的EGFR共价抑制剂和活性细胞内一种BRD4目标分子胶来证明概念。这个应用程序可以成功地通过点燃两种不同的EGFR Covalent抑制剂和一种BRD4目标分子粘合剂来证明概念。</w:t>
      </w:r>
    </w:p>
    <w:p>
      <w:pPr>
        <w:spacing w:before="0" w:after="200" w:lineRule="auto" w:line="276"/>
      </w:pPr>
      <w:r>
        <w:rPr>
          <w:b/>
        </w:rPr>
        <w:t xml:space="preserve">Abstract (EN): </w:t>
      </w:r>
      <w:r>
        <w:t>Precisely controlling the activation of covalent inhibitors through the caging and decaging of their reactive warheads is pivotal, yet this strategy is rarely pursued due to its formidable technical challenges. In this contribution, we report a novel tandem bioorthogonal retro-Cope and Cope elimination designed for efficient and selective activation of the covalent inhibitors bearing an acrylamide or vinylsulfonamide warhead in live cells. Notably, this strategy can be simultaneously tailored to coactivate both the covalent inhibitor and a fluorescent reporter, enabling real-time monitoring of prodrug activation. We successfully demonstrate the proof of concept through on-demand activation of two distinct EGFR covalent inhibitors and a BRD4-targeting molecular glue in live cells. This approach allows precise control over antiproliferative activity or induced protein degradation exclusively upon triggering via the tandem bioorthogonal reaction. We anticipate that this methodology will open new avenues for the selective delivery and controlled activation of covalent inhibitors, with broad potential in chemical biology and targeted therapy.</w:t>
      </w:r>
    </w:p>
    <w:p>
      <w:pPr>
        <w:spacing w:before="120" w:after="120"/>
      </w:pPr>
      <w:r>
        <w:rPr>
          <w:sz w:val="18"/>
        </w:rPr>
        <w:t>——————————————————————————————————————————————————————————————————————</w:t>
      </w:r>
    </w:p>
    <w:p>
      <w:pPr>
        <w:spacing w:before="160" w:after="40" w:line="240" w:lineRule="auto"/>
      </w:pPr>
      <w:r>
        <w:rPr>
          <w:b/>
        </w:rPr>
        <w:t xml:space="preserve">[171] </w:t>
      </w:r>
      <w:hyperlink r:id="rId269">
        <w:r>
          <w:rPr>
            <w:color w:val="1155CC"/>
            <w:u w:val="single"/>
          </w:rPr>
          <w:t>[ASAP]在水 Zn-V2O5电池中激活Anion红氧化化学过程中,溶解的意外作用</w:t>
        </w:r>
      </w:hyperlink>
    </w:p>
    <w:p>
      <w:pPr>
        <w:spacing w:before="0" w:after="80"/>
      </w:pPr>
      <w:r>
        <w:rPr>
          <w:i/>
          <w:sz w:val="20"/>
        </w:rPr>
        <w:t>EN: [ASAP] Unexpected Role of Vanadium Dissolution in Activating Anion Redox Chemistry in Aqueous Zn–V2O5 Batteries</w:t>
      </w:r>
    </w:p>
    <w:p>
      <w:pPr>
        <w:spacing w:before="0" w:after="120"/>
      </w:pPr>
      <w:r>
        <w:rPr>
          <w:b/>
        </w:rPr>
        <w:t xml:space="preserve">Source: </w:t>
      </w:r>
      <w:r>
        <w:t>ACS Energy Letters: Latest Articles (ACS Publications)</w:t>
      </w:r>
      <w:r>
        <w:t xml:space="preserve">    </w:t>
      </w:r>
      <w:r>
        <w:rPr>
          <w:b/>
        </w:rPr>
        <w:t xml:space="preserve">Pub date: </w:t>
      </w:r>
      <w:r>
        <w:t>2026-02-16 16:06:35+00:00</w:t>
      </w:r>
      <w:r>
        <w:t xml:space="preserve">    </w:t>
      </w:r>
      <w:r>
        <w:rPr>
          <w:b/>
        </w:rPr>
        <w:t xml:space="preserve">DOI: </w:t>
      </w:r>
      <w:hyperlink r:id="rId270">
        <w:r>
          <w:rPr>
            <w:color w:val="1155CC"/>
            <w:u w:val="single"/>
          </w:rPr>
          <w:t>10.1021/acsenergylett.5c04134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271">
        <w:r>
          <w:rPr>
            <w:color w:val="1155CC"/>
            <w:u w:val="single"/>
          </w:rPr>
          <w:t>[ASAP] 用于固态锂金属电池的锂-碳复合阳极</w:t>
        </w:r>
      </w:hyperlink>
    </w:p>
    <w:p>
      <w:pPr>
        <w:spacing w:before="0" w:after="80"/>
      </w:pPr>
      <w:r>
        <w:rPr>
          <w:i/>
          <w:sz w:val="20"/>
        </w:rPr>
        <w:t>EN: [ASAP] Lithium–Carbon Composite Anodes for Solid-State Lithium Metal Batteries</w:t>
      </w:r>
    </w:p>
    <w:p>
      <w:pPr>
        <w:spacing w:before="0" w:after="120"/>
      </w:pPr>
      <w:r>
        <w:rPr>
          <w:b/>
        </w:rPr>
        <w:t xml:space="preserve">Source: </w:t>
      </w:r>
      <w:r>
        <w:t>ACS Energy Letters: Latest Articles (ACS Publications)</w:t>
      </w:r>
      <w:r>
        <w:t xml:space="preserve">    </w:t>
      </w:r>
      <w:r>
        <w:rPr>
          <w:b/>
        </w:rPr>
        <w:t xml:space="preserve">Pub date: </w:t>
      </w:r>
      <w:r>
        <w:t>2026-02-16 16:13:40+00:00</w:t>
      </w:r>
      <w:r>
        <w:t xml:space="preserve">    </w:t>
      </w:r>
      <w:r>
        <w:rPr>
          <w:b/>
        </w:rPr>
        <w:t xml:space="preserve">DOI: </w:t>
      </w:r>
      <w:hyperlink r:id="rId272">
        <w:r>
          <w:rPr>
            <w:color w:val="1155CC"/>
            <w:u w:val="single"/>
          </w:rPr>
          <w:t>10.1021/acsenergylett.5c04190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273">
        <w:r>
          <w:rPr>
            <w:color w:val="1155CC"/>
            <w:u w:val="single"/>
          </w:rPr>
          <w:t>[ASAP] 低温度锌电池中能促进电离导电导和间隔脱尘的高密度聚醚电解解解</w:t>
        </w:r>
      </w:hyperlink>
    </w:p>
    <w:p>
      <w:pPr>
        <w:spacing w:before="0" w:after="80"/>
      </w:pPr>
      <w:r>
        <w:rPr>
          <w:i/>
          <w:sz w:val="20"/>
        </w:rPr>
        <w:t>EN: [ASAP] High-Entropy Polymeric Electrolytes Facilitating Ion Conduction and Interfacial Desolvation in Low-Temperature Zinc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2026-02-16 16:34:57+00:00</w:t>
      </w:r>
      <w:r>
        <w:t xml:space="preserve">    </w:t>
      </w:r>
      <w:r>
        <w:rPr>
          <w:b/>
        </w:rPr>
        <w:t xml:space="preserve">DOI: </w:t>
      </w:r>
      <w:hyperlink r:id="rId274">
        <w:r>
          <w:rPr>
            <w:color w:val="1155CC"/>
            <w:u w:val="single"/>
          </w:rPr>
          <w:t>10.1021/jacs.5c21446</w:t>
        </w:r>
      </w:hyperlink>
    </w:p>
    <w:p>
      <w:pPr>
        <w:spacing w:before="0" w:after="120"/>
      </w:pPr>
      <w:r>
        <w:rPr>
          <w:b/>
        </w:rPr>
        <w:t xml:space="preserve">Notes: </w:t>
      </w:r>
      <w:r>
        <w:t>abstract_source=pubmed</w:t>
      </w:r>
    </w:p>
    <w:p>
      <w:pPr>
        <w:spacing w:before="0" w:after="80" w:lineRule="auto" w:line="276"/>
      </w:pPr>
      <w:r>
        <w:rPr>
          <w:b/>
        </w:rPr>
        <w:t xml:space="preserve">摘要（ZH）: </w:t>
      </w:r>
      <w:r>
        <w:t>水电池极有可能安全、可持续的能源储存,但低温电解冻阻碍散状离子运输,电解解溶缓慢,电解接口电极电解脱溶,限制了其在低温下的安全、可持续能源储存的操作。 由此,我们报告了一个高有机体水凝胶电解解液(HEEE),利用聚合复杂性在低温下增加离子导和内部溶解,使水电池操作下至-80°C。 各种聚合物-水相互作用增加的混合酶干扰了定购的水网络,抑制了冰的形成,在低温下保留了离子导道。 同时,增强的溶解酶生成了不同程度的离子协调环境,并带有松散的溶解贝壳,促进了脱落。</w:t>
      </w:r>
    </w:p>
    <w:p>
      <w:pPr>
        <w:spacing w:before="0" w:after="200" w:lineRule="auto" w:line="276"/>
      </w:pPr>
      <w:r>
        <w:rPr>
          <w:b/>
        </w:rPr>
        <w:t xml:space="preserve">Abstract (EN): </w:t>
      </w:r>
      <w:r>
        <w:t>Aqueous batteries hold great promise for safe, sustainable energy storage, but their operation at low temperatures is limited by electrolyte freezing that impedes bulk ion transport and by sluggish cation desolvation at the electrode interface. Herein, we report a high-entropy hydrogel electrolyte (HEE) that leverages polymeric complexity to enhance ion conduction and interfacial desolvation at low temperatures, enabling aqueous battery operation down to -80 °C. The increased mixing entropy from various polymer-water interactions disrupts the ordered water network, suppressing ice formation with preserved ion-conducting pathways at low temperatures. Concurrently, the enhanced solvation entropy generates varying ion coordination environments with loosely bound solvation shells, promoting desolvation and stabilizing the solid-electrolyte interphase. As a proof of concept, the HEE achieves highly reversible zinc (Zn) plating/stripping with an average Coulombic efficiency of 99.7%, exhibits stable cycling for over 4000 h, and supports aqueous Zn-based battery operation even at -80 °C. This entropy-engineering strategy offers an effective route for realizing energy storage under extreme conditions.</w:t>
      </w:r>
    </w:p>
    <w:p>
      <w:pPr>
        <w:spacing w:before="120" w:after="120"/>
      </w:pPr>
      <w:r>
        <w:rPr>
          <w:sz w:val="18"/>
        </w:rPr>
        <w:t>——————————————————————————————————————————————————————————————————————</w:t>
      </w:r>
    </w:p>
    <w:p>
      <w:pPr>
        <w:spacing w:before="160" w:after="40" w:line="240" w:lineRule="auto"/>
      </w:pPr>
      <w:r>
        <w:rPr>
          <w:b/>
        </w:rPr>
        <w:t xml:space="preserve">[174] </w:t>
      </w:r>
      <w:hyperlink r:id="rId275">
        <w:r>
          <w:rPr>
            <w:color w:val="1155CC"/>
            <w:u w:val="single"/>
          </w:rPr>
          <w:t>[ASAP] 用于蛋白盐润滑和细胞内气解的电离光照片敏化</w:t>
        </w:r>
      </w:hyperlink>
    </w:p>
    <w:p>
      <w:pPr>
        <w:spacing w:before="0" w:after="80"/>
      </w:pPr>
      <w:r>
        <w:rPr>
          <w:i/>
          <w:sz w:val="20"/>
        </w:rPr>
        <w:t>EN: [ASAP] Cation–Cation Photosensitization for Protein Ligation and Intracellular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2026-02-16 17:11:14+00:00</w:t>
      </w:r>
      <w:r>
        <w:t xml:space="preserve">    </w:t>
      </w:r>
      <w:r>
        <w:rPr>
          <w:b/>
        </w:rPr>
        <w:t xml:space="preserve">DOI: </w:t>
      </w:r>
      <w:hyperlink r:id="rId276">
        <w:r>
          <w:rPr>
            <w:color w:val="1155CC"/>
            <w:u w:val="single"/>
          </w:rPr>
          <w:t>10.1021/jacs.5c19565</w:t>
        </w:r>
      </w:hyperlink>
    </w:p>
    <w:p>
      <w:pPr>
        <w:spacing w:before="0" w:after="120"/>
      </w:pPr>
      <w:r>
        <w:rPr>
          <w:b/>
        </w:rPr>
        <w:t xml:space="preserve">Notes: </w:t>
      </w:r>
      <w:r>
        <w:t>abstract_source=pubmed</w:t>
      </w:r>
    </w:p>
    <w:p>
      <w:pPr>
        <w:spacing w:before="0" w:after="80" w:lineRule="auto" w:line="276"/>
      </w:pPr>
      <w:r>
        <w:rPr>
          <w:b/>
        </w:rPr>
        <w:t xml:space="preserve">摘要（ZH）: </w:t>
      </w:r>
      <w:r>
        <w:t>我们在此报告一个蛋白质标签光敏化战略,其中N替代盐使用2,4-丙烯-N-甲基五亚胺支架激活,进行了结构-活性关系,以优化敏化结构结构,最终生成了一个系统,在微摩尔试剂浓度的几分钟内给蛋白贴上蛋白标签。 机械学研究建议了光诱发电子传输的敏感机制。 该系统的温和性使我们能够对个体生物分子和复杂的蛋白质进行检测,并显示与淋巴和活体细胞系统非常相容。</w:t>
      </w:r>
    </w:p>
    <w:p>
      <w:pPr>
        <w:spacing w:before="0" w:after="200" w:lineRule="auto" w:line="276"/>
      </w:pPr>
      <w:r>
        <w:rPr>
          <w:b/>
        </w:rPr>
        <w:t xml:space="preserve">Abstract (EN): </w:t>
      </w:r>
      <w:r>
        <w:t>We report here a photosensitized strategy for protein labeling in which N-substituted pyridinium salts are activated using a 2,4-diaryl-N-methyl quinolinium scaffold. Structure-reactivity relationships were performed to optimize the sensitizer structure and ultimately generated a system that gives protein labeling in minutes at micromolar reagent concentrations. Mechanistic studies suggest a photoinduced electron transfer-based sensitization mechanism. The mildness of this system enabled us to assay sensitization both on individual biomolecules and in complex proteomes and demonstrated excellent compatibility with lysate- and live-cell-based systems. Imaging of photolabeled HeLa cells was performed and revealed that catalysis occurs in multiple cellular compartments. Chemical proteomics performed at the lysate level resulted in the enrichment of 319 proteins with 93% selectivity to Tryptophan residues. Live cell labeling resulted in 101 enriched proteins, primarily from the nucleus.</w:t>
      </w:r>
    </w:p>
    <w:p>
      <w:pPr>
        <w:spacing w:before="120" w:after="120"/>
      </w:pPr>
      <w:r>
        <w:rPr>
          <w:sz w:val="18"/>
        </w:rPr>
        <w:t>——————————————————————————————————————————————————————————————————————</w:t>
      </w:r>
    </w:p>
    <w:p>
      <w:pPr>
        <w:spacing w:before="160" w:after="40" w:line="240" w:lineRule="auto"/>
      </w:pPr>
      <w:r>
        <w:rPr>
          <w:b/>
        </w:rPr>
        <w:t xml:space="preserve">[175] </w:t>
      </w:r>
      <w:hyperlink r:id="rId277">
        <w:r>
          <w:rPr>
            <w:color w:val="1155CC"/>
            <w:u w:val="single"/>
          </w:rPr>
          <w:t>[ASAP] 协进质子-电子转移尽量减少对接合磷酸盐电解作用的替代影响</w:t>
        </w:r>
      </w:hyperlink>
    </w:p>
    <w:p>
      <w:pPr>
        <w:spacing w:before="0" w:after="80"/>
      </w:pPr>
      <w:r>
        <w:rPr>
          <w:i/>
          <w:sz w:val="20"/>
        </w:rPr>
        <w:t>EN: [ASAP] Concerted Proton–Electron Transfer Minimizes Substituent Effects on Adsorbed Phthalocyanine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2026-02-16 17:42:13+00:00</w:t>
      </w:r>
      <w:r>
        <w:t xml:space="preserve">    </w:t>
      </w:r>
      <w:r>
        <w:rPr>
          <w:b/>
        </w:rPr>
        <w:t xml:space="preserve">DOI: </w:t>
      </w:r>
      <w:hyperlink r:id="rId278">
        <w:r>
          <w:rPr>
            <w:color w:val="1155CC"/>
            <w:u w:val="single"/>
          </w:rPr>
          <w:t>10.1021/jacs.5c16528</w:t>
        </w:r>
      </w:hyperlink>
    </w:p>
    <w:p>
      <w:pPr>
        <w:spacing w:before="0" w:after="120"/>
      </w:pPr>
      <w:r>
        <w:rPr>
          <w:b/>
        </w:rPr>
        <w:t xml:space="preserve">Notes: </w:t>
      </w:r>
      <w:r>
        <w:t>abstract_source=pubmed</w:t>
      </w:r>
    </w:p>
    <w:p>
      <w:pPr>
        <w:spacing w:before="0" w:after="80" w:lineRule="auto" w:line="276"/>
      </w:pPr>
      <w:r>
        <w:rPr>
          <w:b/>
        </w:rPr>
        <w:t xml:space="preserve">摘要（ZH）: </w:t>
      </w:r>
      <w:r>
        <w:t>分子修改电电极(MME)是强大的电动催化器,但对其合理设计却没有多少原则。溶解分子的电催化在很大程度上取决于能调节催化剂再氧化潜力的替代元素(E1/2),但不清楚这个参数是否同样影响MME催化作用。在这里,我们使用氢进化反应(HER)作为测试案例,以比较碳-散状钴二氯氰胺酮(CoPc/C)和钴六氟二氯氰氰胺(CoFPc/C)。通过将HER活动和伏度数据与整个Co表面浓度联系起来,我们发现只有5%-25%的吸附式钴矿点对Co(II/I)再氧化剂波有作用,而这一亚群与催化活动关系不大。相反,在低载量的l中,我们发现只有5%-25%的吸附式钴矿点与Co(II/I)再氧化剂波有密切的联系。</w:t>
      </w:r>
    </w:p>
    <w:p>
      <w:pPr>
        <w:spacing w:before="0" w:after="200" w:lineRule="auto" w:line="276"/>
      </w:pPr>
      <w:r>
        <w:rPr>
          <w:b/>
        </w:rPr>
        <w:t xml:space="preserve">Abstract (EN): </w:t>
      </w:r>
      <w:r>
        <w:t>Molecularly modified electrodes (MMEs) are potent electrocatalysts, but few principles exist for their rational design. Electrocatalysis by soluble molecules depends strongly on substituents that tune the catalyst redox potential (E1/2), but it is unclear if this parameter similarly impacts MME catalysis. Herein, we employ the hydrogen evolution reaction (HER) as a test case for comparing carbon-adsorbed cobalt phthalocyanine (CoPc/C) and cobalt hexadecafluoro-phthalocyanine (CoFPc/C). By correlating HER activity and voltammetric data to total Co surface concentration across a wide range of catalyst loadings, we find that only 5-25% of adsorbed Co sites contribute to the Co(II/I) redox wave and that this subpopulation poorly correlates with catalytic activity. Instead, in the low-loading limit, catalytic activity correlates linearly with the majority Co(II/I)-silent Co population, revealing per-site turnover frequency (TOF) values for HER. Despite a 230 mV difference in Co(II/I) redox potentials, CoPc/C and CoFPc/C display TOF values differing by less than a factor of 3 when compared over a wide potential range. Mechanistic studies point to an inner-sphere concerted proton-electron transfer step as rate-determining, suggesting that the Co-H bond dissociation free energy (BDFE) rather than the Co(II/I) E1/2 is thermodynamically relevant. Computational studies indicate that the fluoro-substituents lead to compensatory changes in Co(II/I) E1/2 and Co(I) basicity, leaving the Co-H BDFE largely unchanged between CoPc and CoFPc and thereby manifesting in similar catalytic rates. These results highlight the limited effect of E1/2-tuning on MME catalytic activity and motivate the development of methods to directly alter active site-substrate BDFE.</w:t>
      </w:r>
    </w:p>
    <w:p>
      <w:pPr>
        <w:spacing w:before="120" w:after="120"/>
      </w:pPr>
      <w:r>
        <w:rPr>
          <w:sz w:val="18"/>
        </w:rPr>
        <w:t>——————————————————————————————————————————————————————————————————————</w:t>
      </w:r>
    </w:p>
    <w:p>
      <w:pPr>
        <w:spacing w:before="160" w:after="40" w:line="240" w:lineRule="auto"/>
      </w:pPr>
      <w:r>
        <w:rPr>
          <w:b/>
        </w:rPr>
        <w:t xml:space="preserve">[176] </w:t>
      </w:r>
      <w:hyperlink r:id="rId279">
        <w:r>
          <w:rPr>
            <w:color w:val="1155CC"/>
            <w:u w:val="single"/>
          </w:rPr>
          <w:t>[ASAP] 由原子转移合成合成的聚聚体的电化学介导脱聚合</w:t>
        </w:r>
      </w:hyperlink>
    </w:p>
    <w:p>
      <w:pPr>
        <w:spacing w:before="0" w:after="80"/>
      </w:pPr>
      <w:r>
        <w:rPr>
          <w:i/>
          <w:sz w:val="20"/>
        </w:rPr>
        <w:t>EN: [ASAP] Electrochemically Mediated Depolymerization of Polymers Synthesized by Atom Transfer Radical 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2026-02-16 17:51:00+00:00</w:t>
      </w:r>
      <w:r>
        <w:t xml:space="preserve">    </w:t>
      </w:r>
      <w:r>
        <w:rPr>
          <w:b/>
        </w:rPr>
        <w:t xml:space="preserve">DOI: </w:t>
      </w:r>
      <w:hyperlink r:id="rId280">
        <w:r>
          <w:rPr>
            <w:color w:val="1155CC"/>
            <w:u w:val="single"/>
          </w:rPr>
          <w:t>10.1021/jacs.5c20629</w:t>
        </w:r>
      </w:hyperlink>
    </w:p>
    <w:p>
      <w:pPr>
        <w:spacing w:before="0" w:after="120"/>
      </w:pPr>
      <w:r>
        <w:rPr>
          <w:b/>
        </w:rPr>
        <w:t xml:space="preserve">Notes: </w:t>
      </w:r>
      <w:r>
        <w:t>abstract_source=pubmed</w:t>
      </w:r>
    </w:p>
    <w:p>
      <w:pPr>
        <w:spacing w:before="0" w:after="80" w:lineRule="auto" w:line="276"/>
      </w:pPr>
      <w:r>
        <w:rPr>
          <w:b/>
        </w:rPr>
        <w:t xml:space="preserve">摘要（ZH）: </w:t>
      </w:r>
      <w:r>
        <w:t>引入了电化学介介介脱聚合的概念,作为通过有效转换活性物种和休眠物种来启动和监管脱聚合化的一种手段。在对ATRP合成聚合物进行化学循环利用的过程中,利用现成廉价的铁催化剂成功地重新生成了高比例的单体。在没有电化学手段的情况下,可忽略不计的脱聚合,从而能够进行时间控制。值得注意的是,在类似条件下,电化学脱聚合超过热、光和化学脱聚合法,产生更高的单体回收,并释放出新溶剂引发低温脱聚合途径的潜力。</w:t>
      </w:r>
    </w:p>
    <w:p>
      <w:pPr>
        <w:spacing w:before="0" w:after="200" w:lineRule="auto" w:line="276"/>
      </w:pPr>
      <w:r>
        <w:rPr>
          <w:b/>
        </w:rPr>
        <w:t xml:space="preserve">Abstract (EN): </w:t>
      </w:r>
      <w:r>
        <w:t>The concept of electrochemically mediated depolymerization is introduced as a means to initiate and regulate depolymerization by efficiently switching between active and dormant species. During the chemical recycling of ATRP-synthesized polymers, high percentages of monomers are successfully regenerated by utilizing a readily available and inexpensive iron catalyst. In the absence of electrochemical means, negligible depolymerization occurs, thus enabling temporal control. Notably, under comparable conditions, electrochemical depolymerization outperforms thermal, photo, and chemical depolymerization approaches yielding higher monomer recovery and unlocking the potential of new solvents to trigger a lower-temperature depolymerization pathway. The presented approach significantly expands the chemical recycling toolbox to include an electrochemical switch as an alternative external stimulus for depolymerization.</w:t>
      </w:r>
    </w:p>
    <w:p>
      <w:pPr>
        <w:spacing w:before="120" w:after="120"/>
      </w:pPr>
      <w:r>
        <w:rPr>
          <w:sz w:val="18"/>
        </w:rPr>
        <w:t>——————————————————————————————————————————————————————————————————————</w:t>
      </w:r>
    </w:p>
    <w:p>
      <w:pPr>
        <w:spacing w:before="160" w:after="40" w:line="240" w:lineRule="auto"/>
      </w:pPr>
      <w:r>
        <w:rPr>
          <w:b/>
        </w:rPr>
        <w:t xml:space="preserve">[177] </w:t>
      </w:r>
      <w:hyperlink r:id="rId281">
        <w:r>
          <w:rPr>
            <w:color w:val="1155CC"/>
            <w:u w:val="single"/>
          </w:rPr>
          <w:t>[ASAP] 由放射性亚光二光二光对利皮组装进行二级结构编码控制</w:t>
        </w:r>
      </w:hyperlink>
    </w:p>
    <w:p>
      <w:pPr>
        <w:spacing w:before="0" w:after="80"/>
      </w:pPr>
      <w:r>
        <w:rPr>
          <w:i/>
          <w:sz w:val="20"/>
        </w:rPr>
        <w:t>EN: [ASAP] Secondary Structure-Encoded Control of Lipid Assembly by Radially Amphiphilic Peptides</w:t>
      </w:r>
    </w:p>
    <w:p>
      <w:pPr>
        <w:spacing w:before="0" w:after="120"/>
      </w:pPr>
      <w:r>
        <w:rPr>
          <w:b/>
        </w:rPr>
        <w:t xml:space="preserve">Source: </w:t>
      </w:r>
      <w:r>
        <w:t>Journal of the American Chemical Society: Latest Articles (ACS Publications)</w:t>
      </w:r>
      <w:r>
        <w:t xml:space="preserve">    </w:t>
      </w:r>
      <w:r>
        <w:rPr>
          <w:b/>
        </w:rPr>
        <w:t xml:space="preserve">Pub date: </w:t>
      </w:r>
      <w:r>
        <w:t>2026-02-16 17:58:12+00:00</w:t>
      </w:r>
      <w:r>
        <w:t xml:space="preserve">    </w:t>
      </w:r>
      <w:r>
        <w:rPr>
          <w:b/>
        </w:rPr>
        <w:t xml:space="preserve">DOI: </w:t>
      </w:r>
      <w:hyperlink r:id="rId282">
        <w:r>
          <w:rPr>
            <w:color w:val="1155CC"/>
            <w:u w:val="single"/>
          </w:rPr>
          <w:t>10.1021/jacs.5c23300</w:t>
        </w:r>
      </w:hyperlink>
    </w:p>
    <w:p>
      <w:pPr>
        <w:spacing w:before="0" w:after="120"/>
      </w:pPr>
      <w:r>
        <w:rPr>
          <w:b/>
        </w:rPr>
        <w:t xml:space="preserve">Notes: </w:t>
      </w:r>
      <w:r>
        <w:t>abstract_source=pubmed</w:t>
      </w:r>
    </w:p>
    <w:p>
      <w:pPr>
        <w:spacing w:before="0" w:after="80" w:lineRule="auto" w:line="276"/>
      </w:pPr>
      <w:r>
        <w:rPr>
          <w:b/>
        </w:rPr>
        <w:t xml:space="preserve">摘要（ZH）: </w:t>
      </w:r>
      <w:r>
        <w:t>对和脂脂的上层结构的精密控制对于各种生物过程至关重要。虽然的二级结构在自组期间调节和脂脂之间的相互作用方面发挥着关键作用,但指导上层结构组装的动态和动能的根本物理原则仍然不甚为人理解。在这里,我们研究通过放射性非光学(RAPs)对脂质组装的二级结构编码控制,我们发现RAP的高度结构促进热动力稳定层逐层结构的形成。RAP/POPG组装的自由能源景观揭示了两种截然不同的途径,一种是单层路径,一种是逐层路径。</w:t>
      </w:r>
    </w:p>
    <w:p>
      <w:pPr>
        <w:spacing w:before="0" w:after="200" w:lineRule="auto" w:line="276"/>
      </w:pPr>
      <w:r>
        <w:rPr>
          <w:b/>
        </w:rPr>
        <w:t xml:space="preserve">Abstract (EN): </w:t>
      </w:r>
      <w:r>
        <w:t>Precise control over the hierarchical superstructures of peptides and lipids is critical for various biological processes. While the secondary structure of peptides plays a pivotal role in modulating interactions between peptides and lipids during self-assembly, the underlying physical principles that govern the dynamics and kinetics of the assembly of hierarchical superstructures remain poorly understood. Here, we study secondary structure-encoded control of lipid assembly by radially amphiphilic peptides (RAPs), and we find that the RAP helicity promotes the formation of thermodynamically stable layer-by-layer superstructures. The free-energy landscapes of RAPs/POPG assembly reveal two distinct pathways, a singular-layer pathway and a layer-by-layer pathway. The helicity gives rise to the strong kinetic preference of the layer-by-layer pathway, which directs toward the layer-by-layer state compared with the singular-layer pathway, as evidenced by the significantly lower enthalpic barrier for the α-helical RAPs system transitioning from the on-path intermediate state of porous-rich layer to the defect-free layer-by-layer state. Insights into the interplay between RAPs and POPG lipids show that the α-helical RAPs expose a greater hydrophilic surface, which enhances the fluidity of both the peptides and the lipids. This increased fluidity facilitates the disruption of stalk structures in the cross-cylinder and porous-rich layer states, thereby promoting escape from the long-lived metastable states. In summary, our results reveal a comprehensive understanding of the secondary structure-encoded control of lipid assembly by RAPs, and they offer valuable theoretical guidance for the design of hierarchical superstructures.</w:t>
      </w:r>
    </w:p>
    <w:p>
      <w:pPr>
        <w:spacing w:before="120" w:after="120"/>
      </w:pPr>
      <w:r>
        <w:rPr>
          <w:sz w:val="18"/>
        </w:rPr>
        <w:t>——————————————————————————————————————————————————————————————————————</w:t>
      </w:r>
    </w:p>
    <w:p>
      <w:pPr>
        <w:spacing w:before="160" w:after="40" w:line="240" w:lineRule="auto"/>
      </w:pPr>
      <w:r>
        <w:rPr>
          <w:b/>
        </w:rPr>
        <w:t xml:space="preserve">[178] </w:t>
      </w:r>
      <w:hyperlink r:id="rId283">
        <w:r>
          <w:rPr>
            <w:color w:val="1155CC"/>
            <w:u w:val="single"/>
          </w:rPr>
          <w:t>[ASAP]通过吸附聚体,定期对单层 Borenne进行超拉特冰周期性超拉特冰变换</w:t>
        </w:r>
      </w:hyperlink>
    </w:p>
    <w:p>
      <w:pPr>
        <w:spacing w:before="0" w:after="80"/>
      </w:pPr>
      <w:r>
        <w:rPr>
          <w:i/>
          <w:sz w:val="20"/>
        </w:rPr>
        <w:t>EN: [ASAP] Periodic Superlattice Modulation of Monolayer Borophene by Adsorption of Boron Clusters</w:t>
      </w:r>
    </w:p>
    <w:p>
      <w:pPr>
        <w:spacing w:before="0" w:after="120"/>
      </w:pPr>
      <w:r>
        <w:rPr>
          <w:b/>
        </w:rPr>
        <w:t xml:space="preserve">Source: </w:t>
      </w:r>
      <w:r>
        <w:t>Journal of the American Chemical Society: Latest Articles (ACS Publications)</w:t>
      </w:r>
      <w:r>
        <w:t xml:space="preserve">    </w:t>
      </w:r>
      <w:r>
        <w:rPr>
          <w:b/>
        </w:rPr>
        <w:t xml:space="preserve">Pub date: </w:t>
      </w:r>
      <w:r>
        <w:t>2026-02-16 18:30:37+00:00</w:t>
      </w:r>
      <w:r>
        <w:t xml:space="preserve">    </w:t>
      </w:r>
      <w:r>
        <w:rPr>
          <w:b/>
        </w:rPr>
        <w:t xml:space="preserve">DOI: </w:t>
      </w:r>
      <w:hyperlink r:id="rId284">
        <w:r>
          <w:rPr>
            <w:color w:val="1155CC"/>
            <w:u w:val="single"/>
          </w:rPr>
          <w:t>10.1021/jacs.5c18362</w:t>
        </w:r>
      </w:hyperlink>
    </w:p>
    <w:p>
      <w:pPr>
        <w:spacing w:before="0" w:after="120"/>
      </w:pPr>
      <w:r>
        <w:rPr>
          <w:b/>
        </w:rPr>
        <w:t xml:space="preserve">Notes: </w:t>
      </w:r>
      <w:r>
        <w:t>abstract_source=pubmed</w:t>
      </w:r>
    </w:p>
    <w:p>
      <w:pPr>
        <w:spacing w:before="0" w:after="80" w:lineRule="auto" w:line="276"/>
      </w:pPr>
      <w:r>
        <w:rPr>
          <w:b/>
        </w:rPr>
        <w:t xml:space="preserve">摘要（ZH）: </w:t>
      </w:r>
      <w:r>
        <w:t>元素由于其内在电子缺乏和高度分散的联结性质,在阶段形成过程中表现出显著的多元形态和很强的基底依赖性。这些独特的特性为通过基质工程对明确界定的基阶段进行有控制的合成提供了巨大机会。在本研究中,我们通过对库(100)的小型组的吸附,展示了单层(MLB)的结构调节与原子精度的原子精度。通过综合扫描隧道显微镜(STM)和第一原则计算,我们将这些小组确定为B7,并揭示了它们的非封闭式选择性吸附行为,这为形成不同的组链配置提供了模板。</w:t>
      </w:r>
    </w:p>
    <w:p>
      <w:pPr>
        <w:spacing w:before="0" w:after="200" w:lineRule="auto" w:line="276"/>
      </w:pPr>
      <w:r>
        <w:rPr>
          <w:b/>
        </w:rPr>
        <w:t xml:space="preserve">Abstract (EN): </w:t>
      </w:r>
      <w:r>
        <w:t>Elemental boron exhibits remarkable polymorphism and strong substrate dependence in phase formation due to its intrinsic electron deficiency and highly delocalized bonding nature. These unique characteristics pose significant chance for the controlled synthesis of well-defined boron-based phases through substrates engineering. In this study, we demonstrate the structure modulation of monolayer borophene (MLB) with atomic precision by the adsorption of small boron clusters on Cu(100). Through combined scanning tunneling microscopy (STM) and first-principles calculations, we identify these small clusters as B7 and reveal their non-close-packed selective adsorption behaviors, which templates the formation of distinct boron cluster chain configurations. The strong interfacial coupling between B7 clusters and the MLB induces spontaneous migration of boron atoms from dislocation sites, leading to dynamic and periodic modulation of the boron superlattice in MLB. Our work establishes a novel paradigm for the bottom-up construction of low-dimensional boron phases and realizes the periodic superlattice modulation of MLB through adsorption of boron clusters, providing new insight into fabricating polymorphs of borophene beyond the choice of substrates.</w:t>
      </w:r>
    </w:p>
    <w:p>
      <w:pPr>
        <w:spacing w:before="120" w:after="120"/>
      </w:pPr>
      <w:r>
        <w:rPr>
          <w:sz w:val="18"/>
        </w:rPr>
        <w:t>——————————————————————————————————————————————————————————————————————</w:t>
      </w:r>
    </w:p>
    <w:p>
      <w:pPr>
        <w:spacing w:before="160" w:after="40" w:line="240" w:lineRule="auto"/>
      </w:pPr>
      <w:r>
        <w:rPr>
          <w:b/>
        </w:rPr>
        <w:t xml:space="preserve">[179] </w:t>
      </w:r>
      <w:hyperlink r:id="rId285">
        <w:r>
          <w:rPr>
            <w:color w:val="1155CC"/>
            <w:u w:val="single"/>
          </w:rPr>
          <w:t>[ASAP]工程通过2D金属有机框架通过Ligand芳芳香核心扩展体通过空间照片引发的电荷运输机制的跨空间承载</w:t>
        </w:r>
      </w:hyperlink>
    </w:p>
    <w:p>
      <w:pPr>
        <w:spacing w:before="0" w:after="80"/>
      </w:pPr>
      <w:r>
        <w:rPr>
          <w:i/>
          <w:sz w:val="20"/>
        </w:rPr>
        <w:t>EN: [ASAP] Engineering Through-Bond to Through-Space Photoinduced Charge Transport Mechanism in 2D Metal Organic Frameworks via Ligand Aromatic Core Extension</w:t>
      </w:r>
    </w:p>
    <w:p>
      <w:pPr>
        <w:spacing w:before="0" w:after="120"/>
      </w:pPr>
      <w:r>
        <w:rPr>
          <w:b/>
        </w:rPr>
        <w:t xml:space="preserve">Source: </w:t>
      </w:r>
      <w:r>
        <w:t>Journal of the American Chemical Society: Latest Articles (ACS Publications)</w:t>
      </w:r>
      <w:r>
        <w:t xml:space="preserve">    </w:t>
      </w:r>
      <w:r>
        <w:rPr>
          <w:b/>
        </w:rPr>
        <w:t xml:space="preserve">Pub date: </w:t>
      </w:r>
      <w:r>
        <w:t>2026-02-16 18:40:16+00:00</w:t>
      </w:r>
      <w:r>
        <w:t xml:space="preserve">    </w:t>
      </w:r>
      <w:r>
        <w:rPr>
          <w:b/>
        </w:rPr>
        <w:t xml:space="preserve">DOI: </w:t>
      </w:r>
      <w:hyperlink r:id="rId286">
        <w:r>
          <w:rPr>
            <w:color w:val="1155CC"/>
            <w:u w:val="single"/>
          </w:rPr>
          <w:t>10.1021/jacs.5c18697</w:t>
        </w:r>
      </w:hyperlink>
    </w:p>
    <w:p>
      <w:pPr>
        <w:spacing w:before="0" w:after="120"/>
      </w:pPr>
      <w:r>
        <w:rPr>
          <w:b/>
        </w:rPr>
        <w:t xml:space="preserve">Notes: </w:t>
      </w:r>
      <w:r>
        <w:t>abstract_source=pubmed</w:t>
      </w:r>
    </w:p>
    <w:p>
      <w:pPr>
        <w:spacing w:before="0" w:after="80" w:lineRule="auto" w:line="276"/>
      </w:pPr>
      <w:r>
        <w:rPr>
          <w:b/>
        </w:rPr>
        <w:t xml:space="preserve">摘要（ZH）: </w:t>
      </w:r>
      <w:r>
        <w:t>2.D)光导金属有机框架(MOF)是一个新兴的多孔固体类别,由于在能源储存装置、化学感测和量量信息方面的潜在应用,最近引起人们的极大关注。然而,对控制其光导机制的各种因素的基本认识仍然未得到充分探讨,这大大妨碍了这些应用的进一步发展。在这项工作中,我们报告了一项新战略,通过系统调整2D离心和电荷运输(CT)的大小,控制其光导和电荷运输(CT)路径。通过混合合成、光谱研究和第一原则的计算,我们表明,将离心从单子核心扩大到13个基。</w:t>
      </w:r>
    </w:p>
    <w:p>
      <w:pPr>
        <w:spacing w:before="0" w:after="200" w:lineRule="auto" w:line="276"/>
      </w:pPr>
      <w:r>
        <w:rPr>
          <w:b/>
        </w:rPr>
        <w:t xml:space="preserve">Abstract (EN): </w:t>
      </w:r>
      <w:r>
        <w:t>2-Dimensional (2D) photoconductive metal organic frameworks (MOFs), an emerging class of porous solids, have recently attracted great attention due to their potential applications in energy storage devices, chemiresistive sensing, and quantum information. However, the fundamental understanding of the factors that control their photoconductive mechanism remains underexplored, which significantly inhibits further development for these applications. In this work, we report a new strategy to controllably engineer their photoconductivity and charge transport (CT) pathway by systematically tuning the ligand size in 2D MOFs. Through a combination of hybrid synthesis, spectroscopic studies, and first-principles calculations, we show that extending the ligand from a single-benzene core to a 13-benzene core can effectively control both intralayer π-d orbital overlap and interlayer π-π stacking interaction. This not only significantly affects their photoconductivity but also shifts the CT pathway from a through-bond-dominated mechanism in smaller ligands to a through-space-dominated mechanism in larger ligands, providing a versatile design strategy for directional CT and opening new opportunities in photoelectronic and photocatalytic applications.</w:t>
      </w:r>
    </w:p>
    <w:p>
      <w:pPr>
        <w:spacing w:before="120" w:after="120"/>
      </w:pPr>
      <w:r>
        <w:rPr>
          <w:sz w:val="18"/>
        </w:rPr>
        <w:t>——————————————————————————————————————————————————————————————————————</w:t>
      </w:r>
    </w:p>
    <w:p>
      <w:pPr>
        <w:spacing w:before="160" w:after="40" w:line="240" w:lineRule="auto"/>
      </w:pPr>
      <w:r>
        <w:rPr>
          <w:b/>
        </w:rPr>
        <w:t xml:space="preserve">[180] </w:t>
      </w:r>
      <w:hyperlink r:id="rId287">
        <w:r>
          <w:rPr>
            <w:color w:val="1155CC"/>
            <w:u w:val="single"/>
          </w:rPr>
          <w:t>[ASAP]电解石墨中Fermi水平的空间动态</w:t>
        </w:r>
      </w:hyperlink>
    </w:p>
    <w:p>
      <w:pPr>
        <w:spacing w:before="0" w:after="80"/>
      </w:pPr>
      <w:r>
        <w:rPr>
          <w:i/>
          <w:sz w:val="20"/>
        </w:rPr>
        <w:t>EN: [ASAP] Spatial Dynamics of the Fermi Level in Electrolyte-Gated Graphene</w:t>
      </w:r>
    </w:p>
    <w:p>
      <w:pPr>
        <w:spacing w:before="0" w:after="120"/>
      </w:pPr>
      <w:r>
        <w:rPr>
          <w:b/>
        </w:rPr>
        <w:t xml:space="preserve">Source: </w:t>
      </w:r>
      <w:r>
        <w:t>Journal of the American Chemical Society: Latest Articles (ACS Publications)</w:t>
      </w:r>
      <w:r>
        <w:t xml:space="preserve">    </w:t>
      </w:r>
      <w:r>
        <w:rPr>
          <w:b/>
        </w:rPr>
        <w:t xml:space="preserve">Pub date: </w:t>
      </w:r>
      <w:r>
        <w:t>2026-02-16 18:52:11+00:00</w:t>
      </w:r>
      <w:r>
        <w:t xml:space="preserve">    </w:t>
      </w:r>
      <w:r>
        <w:rPr>
          <w:b/>
        </w:rPr>
        <w:t xml:space="preserve">DOI: </w:t>
      </w:r>
      <w:hyperlink r:id="rId288">
        <w:r>
          <w:rPr>
            <w:color w:val="1155CC"/>
            <w:u w:val="single"/>
          </w:rPr>
          <w:t>10.1021/jacs.5c17855</w:t>
        </w:r>
      </w:hyperlink>
    </w:p>
    <w:p>
      <w:pPr>
        <w:spacing w:before="0" w:after="120"/>
      </w:pPr>
      <w:r>
        <w:rPr>
          <w:b/>
        </w:rPr>
        <w:t xml:space="preserve">Notes: </w:t>
      </w:r>
      <w:r>
        <w:t>abstract_source=pubmed</w:t>
      </w:r>
    </w:p>
    <w:p>
      <w:pPr>
        <w:spacing w:before="0" w:after="80" w:lineRule="auto" w:line="276"/>
      </w:pPr>
      <w:r>
        <w:rPr>
          <w:b/>
        </w:rPr>
        <w:t xml:space="preserve">摘要（ZH）: </w:t>
      </w:r>
      <w:r>
        <w:t>了解纳米材料中的电场如何传播对于优化其在电子、能源和感测装置中的性能至关重要,这些装置需要精确控制电载荷密度。 我们使用拉曼光谱和当地电压应用,通过电解微滴来调查单层石墨中的Fermi级动态。 我们观察到,在穿越偏差微滴界面到相邻的无偏向式石墨时,Fermi级最初向充电中点急剧移动,随后是逐步平衡,延伸达几十微米。值得注意的是,Fermi级没有完全恢复到这一范围内的撤消状态。我们将这些远距离、遥控效应归结于国家内在低密度。</w:t>
      </w:r>
    </w:p>
    <w:p>
      <w:pPr>
        <w:spacing w:before="0" w:after="200" w:lineRule="auto" w:line="276"/>
      </w:pPr>
      <w:r>
        <w:rPr>
          <w:b/>
        </w:rPr>
        <w:t xml:space="preserve">Abstract (EN): </w:t>
      </w:r>
      <w:r>
        <w:t>Understanding how electric fields propagate in nanomaterials is essential for optimizing their performance in electronic, energy, and sensing devices that require precise control of charge carrier density. We use in situ Raman spectroscopy combined with local voltage application via an electrolyte microdroplet to investigate the Fermi level dynamics in monolayer graphene. We observe a sharp initial shift of the Fermi level toward the charge-neutral Dirac point when crossing the biased microdroplet interface to the adjacent unbiased graphene, followed by a gradual equilibration extending tens of micrometers. Notably, the Fermi level does not fully recover to its undoped state within this range. We attribute these long-range, remote gating effects to the intrinsically low density of states of graphene, which limits its ability to screen the electric field, allowing the potential to equilibrate gradually beyond the biased region. This work introduces a robust and broadly applicable experimental platform with practical implications for semiconducting and semimetallic electronic devices.</w:t>
      </w:r>
    </w:p>
    <w:p>
      <w:pPr>
        <w:spacing w:before="120" w:after="120"/>
      </w:pPr>
      <w:r>
        <w:rPr>
          <w:sz w:val="18"/>
        </w:rPr>
        <w:t>——————————————————————————————————————————————————————————————————————</w:t>
      </w:r>
    </w:p>
    <w:p>
      <w:pPr>
        <w:spacing w:before="160" w:after="40" w:line="240" w:lineRule="auto"/>
      </w:pPr>
      <w:r>
        <w:rPr>
          <w:b/>
        </w:rPr>
        <w:t xml:space="preserve">[181] </w:t>
      </w:r>
      <w:hyperlink r:id="rId289">
        <w:r>
          <w:rPr>
            <w:color w:val="1155CC"/>
            <w:u w:val="single"/>
          </w:rPr>
          <w:t>[ASAP] Ligand设计使Arenes的丙C-H晶体晶体引入非芳烃色化剂</w:t>
        </w:r>
      </w:hyperlink>
    </w:p>
    <w:p>
      <w:pPr>
        <w:spacing w:before="0" w:after="80"/>
      </w:pPr>
      <w:r>
        <w:rPr>
          <w:i/>
          <w:sz w:val="20"/>
        </w:rPr>
        <w:t>EN: [ASAP] Ligand Design Enables Introduction of Nonaromatic Arylating Agents in Palladium-Catalyzed C–H Arylation of Arenes</w:t>
      </w:r>
    </w:p>
    <w:p>
      <w:pPr>
        <w:spacing w:before="0" w:after="120"/>
      </w:pPr>
      <w:r>
        <w:rPr>
          <w:b/>
        </w:rPr>
        <w:t xml:space="preserve">Source: </w:t>
      </w:r>
      <w:r>
        <w:t>Journal of the American Chemical Society: Latest Articles (ACS Publications)</w:t>
      </w:r>
      <w:r>
        <w:t xml:space="preserve">    </w:t>
      </w:r>
      <w:r>
        <w:rPr>
          <w:b/>
        </w:rPr>
        <w:t xml:space="preserve">Pub date: </w:t>
      </w:r>
      <w:r>
        <w:t>2026-02-16 19:50:46+00:00</w:t>
      </w:r>
      <w:r>
        <w:t xml:space="preserve">    </w:t>
      </w:r>
      <w:r>
        <w:rPr>
          <w:b/>
        </w:rPr>
        <w:t xml:space="preserve">DOI: </w:t>
      </w:r>
      <w:hyperlink r:id="rId290">
        <w:r>
          <w:rPr>
            <w:color w:val="1155CC"/>
            <w:u w:val="single"/>
          </w:rPr>
          <w:t>10.1021/jacs.5c13471</w:t>
        </w:r>
      </w:hyperlink>
    </w:p>
    <w:p>
      <w:pPr>
        <w:spacing w:before="0" w:after="120"/>
      </w:pPr>
      <w:r>
        <w:rPr>
          <w:b/>
        </w:rPr>
        <w:t xml:space="preserve">Notes: </w:t>
      </w:r>
      <w:r>
        <w:t>abstract_source=pubmed</w:t>
      </w:r>
    </w:p>
    <w:p>
      <w:pPr>
        <w:spacing w:before="0" w:after="80" w:lineRule="auto" w:line="276"/>
      </w:pPr>
      <w:r>
        <w:rPr>
          <w:b/>
        </w:rPr>
        <w:t xml:space="preserve">摘要（ZH）: </w:t>
      </w:r>
      <w:r>
        <w:t>制造双子苯和三联苯的常规催催催化方法往往依赖昂贵的交合剂,这些方法也面临挑战,包括不稳定和需要使沙子预先功能化。我们在此报告一项替代战略,利用环环烷烷醇和1,4-环环氧氯化萘作为沙子C-H rylation 的交替剂。这一方法采用lig和设计,既提高二联苯和三联苯催化效率和再生选择性,又提高二联苯的C-H激活,从而为后阶段C-H rylation提供可持续的原子经济途径。一个关键的设计方面包括将不育性障碍战略性地纳入单列绳状框架,在不降低效率的情况下加快递减性消除。</w:t>
      </w:r>
    </w:p>
    <w:p>
      <w:pPr>
        <w:spacing w:before="0" w:after="200" w:lineRule="auto" w:line="276"/>
      </w:pPr>
      <w:r>
        <w:rPr>
          <w:b/>
        </w:rPr>
        <w:t xml:space="preserve">Abstract (EN): </w:t>
      </w:r>
      <w:r>
        <w:t>Conventional palladium-catalyzed methods for constructing biaryls and terphenyls often rely on costly arylating agents, which also face challenges including instability and the need for prefunctionalizations of arenes. Herein, we report an alternative strategy by harnessing the cyclic allyl alcohol and 1,4-epoxy naphthalene as arylating agents for the C-H arylation of arenes. This approach employs ligand design to enhance both the catalytic efficiency and regioselectivity in the C-H activation of arenes, thereby providing a sustainable, atom-economical pathway for late-stage C-H arylation. One of the key design aspects includes the strategic incorporation of steric encumbrance within a monodentate ligand framework, which accelerates reductive elimination without diminishing the efficiency of other catalytic steps. Furthermore, the density functional theory (DFT) study suggests that the extended π-electron cloud of the adjacent aryl ring of the ligand may engage in noncovalent interactions with incoming substrates to induce specific selectivity in the products. Experimental studies, along with DFT calculations, established the reaction mechanism, determined the origin of selectivity, identified the nature of the rate-determining step, and highlighted the role of dual ligands in the regioselectivity.</w:t>
      </w:r>
    </w:p>
    <w:p>
      <w:pPr>
        <w:spacing w:before="120" w:after="120"/>
      </w:pPr>
      <w:r>
        <w:rPr>
          <w:sz w:val="18"/>
        </w:rPr>
        <w:t>——————————————————————————————————————————————————————————————————————</w:t>
      </w:r>
    </w:p>
    <w:p>
      <w:pPr>
        <w:spacing w:before="160" w:after="40" w:line="240" w:lineRule="auto"/>
      </w:pPr>
      <w:r>
        <w:rPr>
          <w:b/>
        </w:rPr>
        <w:t xml:space="preserve">[182] </w:t>
      </w:r>
      <w:hyperlink r:id="rId291">
        <w:r>
          <w:rPr>
            <w:color w:val="1155CC"/>
            <w:u w:val="single"/>
          </w:rPr>
          <w:t>[ASAP]通过非化学铁和2-氧化二氟甲酸酯-依赖性氧化信箱结合,14个成员共聚氯乙烯化物碱性物的生物合成</w:t>
        </w:r>
      </w:hyperlink>
    </w:p>
    <w:p>
      <w:pPr>
        <w:spacing w:before="0" w:after="80"/>
      </w:pPr>
      <w:r>
        <w:rPr>
          <w:i/>
          <w:sz w:val="20"/>
        </w:rPr>
        <w:t>EN: [ASAP] Biosynthesis of 14-Membered Cyclopeptide Alkaloids via Nonheme Iron- and 2-Oxoglutarate-Dependent Oxidative Decarboxylation</w:t>
      </w:r>
    </w:p>
    <w:p>
      <w:pPr>
        <w:spacing w:before="0" w:after="120"/>
      </w:pPr>
      <w:r>
        <w:rPr>
          <w:b/>
        </w:rPr>
        <w:t xml:space="preserve">Source: </w:t>
      </w:r>
      <w:r>
        <w:t>Journal of the American Chemical Society: Latest Articles (ACS Publications)</w:t>
      </w:r>
      <w:r>
        <w:t xml:space="preserve">    </w:t>
      </w:r>
      <w:r>
        <w:rPr>
          <w:b/>
        </w:rPr>
        <w:t xml:space="preserve">Pub date: </w:t>
      </w:r>
      <w:r>
        <w:t>2026-02-16 19:51:44+00:00</w:t>
      </w:r>
      <w:r>
        <w:t xml:space="preserve">    </w:t>
      </w:r>
      <w:r>
        <w:rPr>
          <w:b/>
        </w:rPr>
        <w:t xml:space="preserve">DOI: </w:t>
      </w:r>
      <w:hyperlink r:id="rId292">
        <w:r>
          <w:rPr>
            <w:color w:val="1155CC"/>
            <w:u w:val="single"/>
          </w:rPr>
          <w:t>10.1021/jacs.5c23400</w:t>
        </w:r>
      </w:hyperlink>
    </w:p>
    <w:p>
      <w:pPr>
        <w:spacing w:before="0" w:after="120"/>
      </w:pPr>
      <w:r>
        <w:rPr>
          <w:b/>
        </w:rPr>
        <w:t xml:space="preserve">Notes: </w:t>
      </w:r>
      <w:r>
        <w:t>abstract_source=pubmed</w:t>
      </w:r>
    </w:p>
    <w:p>
      <w:pPr>
        <w:spacing w:before="0" w:after="80" w:lineRule="auto" w:line="276"/>
      </w:pPr>
      <w:r>
        <w:rPr>
          <w:b/>
        </w:rPr>
        <w:t xml:space="preserve">摘要（ZH）: </w:t>
      </w:r>
      <w:r>
        <w:t>丙烯丙烯酸藻类是一种由大型环环醚交叉链接通过乙酰苯酚界定的植物颗粒性天然产品,其种类日益扩大,该类产品通过一种来自乙酰苯基苯酚酚,其特征为:甲状腺素有13至15个成分的精密环芳烃和终端改造,如N-甲基化和C-终止性苯丙胺藻类。虽然已建立了合成途径,可接触许多古典的环球酰胺藻类,但没有报告生物合成途径。这里,我们从中国的树(Zizipus jujuba)开始,对14个成员环球藻A的生物合成途径作了说明,该途径通过一种分裂的化环状物环化,非化学和2个依赖氧化物的氧化物分解盒化法,为三氟化物提供了碳氢化合物。</w:t>
      </w:r>
    </w:p>
    <w:p>
      <w:pPr>
        <w:spacing w:before="0" w:after="200" w:lineRule="auto" w:line="276"/>
      </w:pPr>
      <w:r>
        <w:rPr>
          <w:b/>
        </w:rPr>
        <w:t xml:space="preserve">Abstract (EN): </w:t>
      </w:r>
      <w:r>
        <w:t>Cyclopeptide alkaloids are an expanding class of plant peptide natural products defined by a macrocyclic ether cross-link via a tyrosine-derived phenol. Classical cyclopeptide alkaloids are characterized by strained 13- to 15-membered cyclophanes and terminal modifications such as N-methylation and C-terminal styrylamine moieties. While synthetic access to many classical cyclopeptide alkaloids has been established, no biosynthetic route has been reported. Here, we elucidate the biosynthetic pathway of a 14-membered cyclopeptide alkaloid, lotusine A, from the Chinese date tree (Ziziphus jujuba), which features peptide cyclization on a ribosomal precursor peptide by a split burpitide cyclase, nonheme-iron and 2-oxoglutarate-dependent oxidative decarboxylation affording the C-terminal hydroxystyrylamine, and SAM-dependent N-terminal α-N,N-dimethylation. We apply the discovered Z. jujuba enzymes in combination with a clubmoss cyclopeptide alkaloid cyclase for the biosynthesis and diversification of the analgesic adouetine X and the anxiolytic sanjoinine A by combining in planta and in vitro reactions. Our work expands the biocatalytic repertoire of nonheme iron- and 2-oxoglutarate-dependent enzymology to oxidative peptide decarboxylation and primes scaled metabolic engineering and chemoenzymatic synthesis of 14-membered cyclopeptide alkaloids with terminal posttranslational modifications.</w:t>
      </w:r>
    </w:p>
    <w:p>
      <w:pPr>
        <w:spacing w:before="120" w:after="120"/>
      </w:pPr>
      <w:r>
        <w:rPr>
          <w:sz w:val="18"/>
        </w:rPr>
        <w:t>——————————————————————————————————————————————————————————————————————</w:t>
      </w:r>
    </w:p>
    <w:p>
      <w:pPr>
        <w:spacing w:before="160" w:after="40" w:line="240" w:lineRule="auto"/>
      </w:pPr>
      <w:r>
        <w:rPr>
          <w:b/>
        </w:rPr>
        <w:t xml:space="preserve">[183] </w:t>
      </w:r>
      <w:hyperlink r:id="rId293">
        <w:r>
          <w:rPr>
            <w:color w:val="1155CC"/>
            <w:u w:val="single"/>
          </w:rPr>
          <w:t>[ASAP] Ir(III)-Catalyzed Enantic 选择性 C-H 启动战略,由双功能中中性导管启动</w:t>
        </w:r>
      </w:hyperlink>
    </w:p>
    <w:p>
      <w:pPr>
        <w:spacing w:before="0" w:after="80"/>
      </w:pPr>
      <w:r>
        <w:rPr>
          <w:i/>
          <w:sz w:val="20"/>
        </w:rPr>
        <w:t>EN: [ASAP] A Chiral Cation Strategy for Ir(III)-Catalyzed Enantioselective C–H Activation Enabled by a Bifunctional Neutral Ligand</w:t>
      </w:r>
    </w:p>
    <w:p>
      <w:pPr>
        <w:spacing w:before="0" w:after="120"/>
      </w:pPr>
      <w:r>
        <w:rPr>
          <w:b/>
        </w:rPr>
        <w:t xml:space="preserve">Source: </w:t>
      </w:r>
      <w:r>
        <w:t>Journal of the American Chemical Society: Latest Articles (ACS Publications)</w:t>
      </w:r>
      <w:r>
        <w:t xml:space="preserve">    </w:t>
      </w:r>
      <w:r>
        <w:rPr>
          <w:b/>
        </w:rPr>
        <w:t xml:space="preserve">Pub date: </w:t>
      </w:r>
      <w:r>
        <w:t>2026-02-16 20:04:54+00:00</w:t>
      </w:r>
      <w:r>
        <w:t xml:space="preserve">    </w:t>
      </w:r>
      <w:r>
        <w:rPr>
          <w:b/>
        </w:rPr>
        <w:t xml:space="preserve">DOI: </w:t>
      </w:r>
      <w:hyperlink r:id="rId294">
        <w:r>
          <w:rPr>
            <w:color w:val="1155CC"/>
            <w:u w:val="single"/>
          </w:rPr>
          <w:t>10.1021/jacs.5c23187</w:t>
        </w:r>
      </w:hyperlink>
    </w:p>
    <w:p>
      <w:pPr>
        <w:spacing w:before="0" w:after="120"/>
      </w:pPr>
      <w:r>
        <w:rPr>
          <w:b/>
        </w:rPr>
        <w:t xml:space="preserve">Notes: </w:t>
      </w:r>
      <w:r>
        <w:t>abstract_source=pubmed</w:t>
      </w:r>
    </w:p>
    <w:p>
      <w:pPr>
        <w:spacing w:before="0" w:after="80" w:lineRule="auto" w:line="276"/>
      </w:pPr>
      <w:r>
        <w:rPr>
          <w:b/>
        </w:rPr>
        <w:t xml:space="preserve">摘要（ZH）: </w:t>
      </w:r>
      <w:r>
        <w:t>9 Cp*M(III)-催化C-H组功能化的不对称变体的发展受到催化剂协调饱和的根本性挑战,虽然既定战略采用手性CpX螺旋或手性肛门,但使用外部L型手性螺旋藻的一般办法仍然难以实现。在此,我们引入了手性螺旋战略,使手性螺旋Cp*tBuir(III)催化剂能够实现高抗性选择性,由设计出来的双功能中性硝基-光性氧化物螺旋搭配。这个系统直接有效地提供含有丙烯酸盐的diazaza[6helicennes-a] 类Ndopered血色素,其抗消化障碍较低,难以获得。合成的螺旋具有很有希望的脊椎特性,包罗。</w:t>
      </w:r>
    </w:p>
    <w:p>
      <w:pPr>
        <w:spacing w:before="0" w:after="200" w:lineRule="auto" w:line="276"/>
      </w:pPr>
      <w:r>
        <w:rPr>
          <w:b/>
        </w:rPr>
        <w:t xml:space="preserve">Abstract (EN): </w:t>
      </w:r>
      <w:r>
        <w:t>The development of asymmetric variants of Group 9 Cp*M(III)-catalyzed C-H functionalization is fundamentally challenged by the coordinative saturation of the catalyst. While established strategies employ chiral CpX ligands or chiral anions, a general approach using external L-type chiral ligands has remained elusive. Herein, we introduce a chiral cation strategy that enables an achiral Cp*tBuIr(III) catalyst to achieve high enantioselectivity, orchestrated by a designed bifunctional neutral nitrile-phosphine oxide ligand. This system provides direct and efficient access to pyrazole-containing diaza[6]helicenes─a class of N-doped heteroaromatics with low enantiomerization barriers that have been difficult to access. The synthesized helicenes exhibit promising chiroptical properties, including circularly polarized luminescence. Combined mechanistic and computational studies unveil that enantiocontrol is determined during the C-H activation step, facilitated by the formation of a chiral cationic Cp*tBuIr(III) complex where the bifunctional neutral nitrile-phosphine oxide ligand is integral to the stereodefining transition state. This work establishes a distinct ligand platform for asymmetric C-H functionalization using simple, achiral Cp*M(III) complexes.</w:t>
      </w:r>
    </w:p>
    <w:p>
      <w:pPr>
        <w:spacing w:before="120" w:after="120"/>
      </w:pPr>
      <w:r>
        <w:rPr>
          <w:sz w:val="18"/>
        </w:rPr>
        <w:t>——————————————————————————————————————————————————————————————————————</w:t>
      </w:r>
    </w:p>
    <w:p>
      <w:pPr>
        <w:spacing w:before="160" w:after="40" w:line="240" w:lineRule="auto"/>
      </w:pPr>
      <w:r>
        <w:rPr>
          <w:b/>
        </w:rPr>
        <w:t xml:space="preserve">[184] </w:t>
      </w:r>
      <w:hyperlink r:id="rId295">
        <w:r>
          <w:rPr>
            <w:color w:val="1155CC"/>
            <w:u w:val="single"/>
          </w:rPr>
          <w:t>[ASAP] 室内新兴光伏层探索不足的方方面面</w:t>
        </w:r>
      </w:hyperlink>
    </w:p>
    <w:p>
      <w:pPr>
        <w:spacing w:before="0" w:after="80"/>
      </w:pPr>
      <w:r>
        <w:rPr>
          <w:i/>
          <w:sz w:val="20"/>
        </w:rPr>
        <w:t>EN: [ASAP] Underexplored Dimensions of Emerging Indoor Photovoltaics</w:t>
      </w:r>
    </w:p>
    <w:p>
      <w:pPr>
        <w:spacing w:before="0" w:after="120"/>
      </w:pPr>
      <w:r>
        <w:rPr>
          <w:b/>
        </w:rPr>
        <w:t xml:space="preserve">Source: </w:t>
      </w:r>
      <w:r>
        <w:t>ACS Energy Letters: Latest Articles (ACS Publications)</w:t>
      </w:r>
      <w:r>
        <w:t xml:space="preserve">    </w:t>
      </w:r>
      <w:r>
        <w:rPr>
          <w:b/>
        </w:rPr>
        <w:t xml:space="preserve">Pub date: </w:t>
      </w:r>
      <w:r>
        <w:t>2026-02-16 20:05:18+00:00</w:t>
      </w:r>
      <w:r>
        <w:t xml:space="preserve">    </w:t>
      </w:r>
      <w:r>
        <w:rPr>
          <w:b/>
        </w:rPr>
        <w:t xml:space="preserve">DOI: </w:t>
      </w:r>
      <w:hyperlink r:id="rId296">
        <w:r>
          <w:rPr>
            <w:color w:val="1155CC"/>
            <w:u w:val="single"/>
          </w:rPr>
          <w:t>10.1021/acsenergylett.5c03760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[185] </w:t>
      </w:r>
      <w:hyperlink r:id="rId297">
        <w:r>
          <w:rPr>
            <w:color w:val="1155CC"/>
            <w:u w:val="single"/>
          </w:rPr>
          <w:t>[ASAP]通过引导β-阿里尔苯乙烯试剂的结合,对反型桑威奇1,4-二硝基丁二丁二烯二硝尼立亚电地球金属复合体进行合成的战略</w:t>
        </w:r>
      </w:hyperlink>
    </w:p>
    <w:p>
      <w:pPr>
        <w:spacing w:before="0" w:after="80"/>
      </w:pPr>
      <w:r>
        <w:rPr>
          <w:i/>
          <w:sz w:val="20"/>
        </w:rPr>
        <w:t>EN: [ASAP] Strategy for the Synthesis of Inverse Sandwich 1,4-Diarylbutadiene Dianionic Rare-Earth Metal Complexes via Directing Coupling of β-Aryl Vinyl Boron Reagents</w:t>
      </w:r>
    </w:p>
    <w:p>
      <w:pPr>
        <w:spacing w:before="0" w:after="120"/>
      </w:pPr>
      <w:r>
        <w:rPr>
          <w:b/>
        </w:rPr>
        <w:t xml:space="preserve">Source: </w:t>
      </w:r>
      <w:r>
        <w:t>Journal of the American Chemical Society: Latest Articles (ACS Publications)</w:t>
      </w:r>
      <w:r>
        <w:t xml:space="preserve">    </w:t>
      </w:r>
      <w:r>
        <w:rPr>
          <w:b/>
        </w:rPr>
        <w:t xml:space="preserve">Pub date: </w:t>
      </w:r>
      <w:r>
        <w:t>2026-02-16 20:05:54+00:00</w:t>
      </w:r>
      <w:r>
        <w:t xml:space="preserve">    </w:t>
      </w:r>
      <w:r>
        <w:rPr>
          <w:b/>
        </w:rPr>
        <w:t xml:space="preserve">DOI: </w:t>
      </w:r>
      <w:hyperlink r:id="rId298">
        <w:r>
          <w:rPr>
            <w:color w:val="1155CC"/>
            <w:u w:val="single"/>
          </w:rPr>
          <w:t>10.1021/jacs.5c19265</w:t>
        </w:r>
      </w:hyperlink>
    </w:p>
    <w:p>
      <w:pPr>
        <w:spacing w:before="0" w:after="120"/>
      </w:pPr>
      <w:r>
        <w:rPr>
          <w:b/>
        </w:rPr>
        <w:t xml:space="preserve">Notes: </w:t>
      </w:r>
      <w:r>
        <w:t>abstract_source=pubmed</w:t>
      </w:r>
    </w:p>
    <w:p>
      <w:pPr>
        <w:spacing w:before="0" w:after="80" w:lineRule="auto" w:line="276"/>
      </w:pPr>
      <w:r>
        <w:rPr>
          <w:b/>
        </w:rPr>
        <w:t xml:space="preserve">摘要（ZH）: </w:t>
      </w:r>
      <w:r>
        <w:t>在现代有机合成中,广泛使用丙烯和乙烯基原试剂,但是,在没有添加剂的情况下,直接结合核嗜血性乙烯基原试剂,以制造同质的1,4-二甲二丁二烯二氮基甲酸酯(DABDA)摩蒂夫(DABDA)摩蒂夫(DABDA)摩蒂夫(DABDA)摩蒂夫(DABDA)摩蒂夫(DABDA)摩蒂夫(DABDA)摩蒂夫(DABDA),这仍然是一个重大挑战。在这里,我们首次报告,由稀有的单体金属单体单体基金属复合体试剂直接结合,以合成若干稀有的、以DABDA Motifs为主的稀土金属复合金属复合体。关键中间体(或中间等同体)的隔离和理论结果提供了涉及脱氧转基因的机械学见解,随后是金属的四氯代布尔特的维基体组的1,1,2-金属转移。 DFTalc。</w:t>
      </w:r>
    </w:p>
    <w:p>
      <w:pPr>
        <w:spacing w:before="0" w:after="200" w:lineRule="auto" w:line="276"/>
      </w:pPr>
      <w:r>
        <w:rPr>
          <w:b/>
        </w:rPr>
        <w:t xml:space="preserve">Abstract (EN): </w:t>
      </w:r>
      <w:r>
        <w:t>Aryl and vinyl boron reagents are widely employed in modern organic synthesis. However, the direct coupling of nucleophilic vinyl boron reagents to construct conjugated 1,4-diarylbutadiene dianionic (DABDA) motifs in the absence of additives remains a significant challenge. Here, we report for the first time the direct coupling of various β-aryl vinyl boron reagents, initiated by the rare-earth metal monoalkyl complexes for the synthesis of a number of rare-earth metal complexes featuring inverse sandwich DABDA motifs. Isolation of key intermediates (or intermediate equivalents) and theoretical results provide mechanistic insights involving deboronative transmetalation, followed by 1,2-metalate shift of the vinyl group of the metal-bonded tetracoordinate borates, and deboronation. DFT calculations indicate that the singlet state, with two electrons in the butadiene π* orbital, is more stable than the triplet state, where the electrons are localized in the π* orbitals of the aryl and butadiene parts. The variable-temperature magnetic susceptibility further confirmed this result. The DABDA complexes exhibit unprecedented redox reactivity in their reactions with unsaturated compounds including bipyridine, azobenzene, trimethylsilyl azide, imines, ketones, and nitriles. Notably, a butadiene chain extension editing process was also unveiled upon treatment of the DABDA complexes with aromatic nitriles.</w:t>
      </w:r>
    </w:p>
    <w:p>
      <w:pPr>
        <w:spacing w:before="120" w:after="120"/>
      </w:pPr>
      <w:r>
        <w:rPr>
          <w:sz w:val="18"/>
        </w:rPr>
        <w:t>——————————————————————————————————————————————————————————————————————</w:t>
      </w:r>
    </w:p>
    <w:p>
      <w:pPr>
        <w:spacing w:before="160" w:after="40" w:line="240" w:lineRule="auto"/>
      </w:pPr>
      <w:r>
        <w:rPr>
          <w:b/>
        </w:rPr>
        <w:t xml:space="preserve">[186] </w:t>
      </w:r>
      <w:hyperlink r:id="rId299">
        <w:r>
          <w:rPr>
            <w:color w:val="1155CC"/>
            <w:u w:val="single"/>
          </w:rPr>
          <w:t>通过在纯水-水-固态电解器中结合H2氧化,减少二氧化碳,并配以H2氧化,实现乙烯电子合成乙烯的cation-功能化层</w:t>
        </w:r>
      </w:hyperlink>
    </w:p>
    <w:p>
      <w:pPr>
        <w:spacing w:before="0" w:after="80"/>
      </w:pPr>
      <w:r>
        <w:rPr>
          <w:i/>
          <w:sz w:val="20"/>
        </w:rPr>
        <w:t>EN: A cation-functionalized layer for ethylene electrosynthesis via CO reduction paired with H2 oxidation in a pure-water-fed solid-state electrolyser</w:t>
      </w:r>
    </w:p>
    <w:p>
      <w:pPr>
        <w:spacing w:before="0" w:after="120"/>
      </w:pPr>
      <w:r>
        <w:rPr>
          <w:b/>
        </w:rPr>
        <w:t xml:space="preserve">Source: </w:t>
      </w:r>
      <w:r>
        <w:t>Nature Energy</w:t>
      </w:r>
      <w:r>
        <w:t xml:space="preserve">    </w:t>
      </w:r>
      <w:r>
        <w:rPr>
          <w:b/>
        </w:rPr>
        <w:t xml:space="preserve">Pub date: </w:t>
      </w:r>
      <w:r>
        <w:t>2026-02-17 00:00:00+00:00</w:t>
      </w:r>
    </w:p>
    <w:p>
      <w:pPr>
        <w:spacing w:before="0" w:after="120"/>
      </w:pPr>
      <w:r>
        <w:rPr>
          <w:b/>
        </w:rPr>
        <w:t xml:space="preserve">Notes: </w:t>
      </w:r>
      <w:r>
        <w:t>abstract_source=nature_html</w:t>
      </w:r>
    </w:p>
    <w:p>
      <w:pPr>
        <w:spacing w:before="0" w:after="80" w:lineRule="auto" w:line="276"/>
      </w:pPr>
      <w:r>
        <w:rPr>
          <w:b/>
        </w:rPr>
        <w:t xml:space="preserve">摘要（ZH）: </w:t>
      </w:r>
      <w:r>
        <w:t>随着对电力的工业需求不断增长,化学生产电气化的能源成本高昂更令人感到关切:最高效的氧-进化混合乙烯电子合成系统要求每吨C2H4的电量大于130千兆焦耳,在使用断断续续供电的固态系统中,其生产量限于2H4,每吨1.2伏和100兆米(每吨C2H4的电量49千兆赫),可稳定地运行80小时以上,在30开关/关闭周期后使用断断断续续供电。</w:t>
      </w:r>
    </w:p>
    <w:p>
      <w:pPr>
        <w:spacing w:before="0" w:after="200" w:lineRule="auto" w:line="276"/>
      </w:pPr>
      <w:r>
        <w:rPr>
          <w:b/>
        </w:rPr>
        <w:t xml:space="preserve">Abstract (EN): </w:t>
      </w:r>
      <w:r>
        <w:t>As industrial demand for electricity grows, the high energy cost of electrifying chemical production is of further-increased concern: the most efficient oxygen-evolution-coupled ethylene electrosynthesis system requires &gt;130 GJelectricity per ton of C2H4 and is limited to 2H4 production at 1.2 V and 100 mA cm−2 (49 GJelectricity per ton of C2H4) in the solid-state system that operates stably for over 80 hours and after 30 on/off cycles when powered using intermittent electricity.</w:t>
      </w:r>
    </w:p>
    <w:p>
      <w:pPr>
        <w:spacing w:before="120" w:after="120"/>
      </w:pPr>
      <w:r>
        <w:rPr>
          <w:sz w:val="18"/>
        </w:rPr>
        <w:t>——————————————————————————————————————————————————————————————————————</w:t>
      </w:r>
    </w:p>
    <w:p>
      <w:pPr>
        <w:spacing w:before="160" w:after="40" w:line="240" w:lineRule="auto"/>
      </w:pPr>
      <w:r>
        <w:rPr>
          <w:b/>
        </w:rPr>
        <w:t xml:space="preserve">[187] </w:t>
      </w:r>
      <w:hyperlink r:id="rId300">
        <w:r>
          <w:rPr>
            <w:color w:val="1155CC"/>
            <w:u w:val="single"/>
          </w:rPr>
          <w:t>台风对近海风力农场60年来台风引发的影响:对抗御能力的全面高分辨率评价</w:t>
        </w:r>
      </w:hyperlink>
    </w:p>
    <w:p>
      <w:pPr>
        <w:spacing w:before="0" w:after="80"/>
      </w:pPr>
      <w:r>
        <w:rPr>
          <w:i/>
          <w:sz w:val="20"/>
        </w:rPr>
        <w:t>EN: 60 years of typhoon-induced impacts on offshore wind farms: A holistic high-resolution evaluation of resilience</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[188] </w:t>
      </w:r>
      <w:hyperlink r:id="rId301">
        <w:r>
          <w:rPr>
            <w:color w:val="1155CC"/>
            <w:u w:val="single"/>
          </w:rPr>
          <w:t>纳米科学是包括大规模推广努力的最新学科</w:t>
        </w:r>
      </w:hyperlink>
    </w:p>
    <w:p>
      <w:pPr>
        <w:spacing w:before="0" w:after="80"/>
      </w:pPr>
      <w:r>
        <w:rPr>
          <w:i/>
          <w:sz w:val="20"/>
        </w:rPr>
        <w:t>EN: Nanoscience is latest discipline to embrace large-scale replication efforts</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[189] </w:t>
      </w:r>
      <w:hyperlink r:id="rId302">
        <w:r>
          <w:rPr>
            <w:color w:val="1155CC"/>
            <w:u w:val="single"/>
          </w:rPr>
          <w:t>实时电价预测实时电价预测学习网格物理知情和适应时间的堆叠式学习:短期至中期办法</w:t>
        </w:r>
      </w:hyperlink>
    </w:p>
    <w:p>
      <w:pPr>
        <w:spacing w:before="0" w:after="80"/>
      </w:pPr>
      <w:r>
        <w:rPr>
          <w:i/>
          <w:sz w:val="20"/>
        </w:rPr>
        <w:t>EN: Grid physics-informed and time-adaptive stacked learning for real-time electricity price forecasting: a short-term to mid-term approach</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[190] </w:t>
      </w:r>
      <w:hyperlink r:id="rId303">
        <w:r>
          <w:rPr>
            <w:color w:val="1155CC"/>
            <w:u w:val="single"/>
          </w:rPr>
          <w:t>从青春期开始,男女之间的大脑差异更加明显。</w:t>
        </w:r>
      </w:hyperlink>
    </w:p>
    <w:p>
      <w:pPr>
        <w:spacing w:before="0" w:after="80"/>
      </w:pPr>
      <w:r>
        <w:rPr>
          <w:i/>
          <w:sz w:val="20"/>
        </w:rPr>
        <w:t>EN: Brain differences between sexes get more pronounced from puberty</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[191] </w:t>
      </w:r>
      <w:hyperlink r:id="rId304">
        <w:r>
          <w:rPr>
            <w:color w:val="1155CC"/>
            <w:u w:val="single"/>
          </w:rPr>
          <w:t>学生的两难处境:物理科学还是体育教育?</w:t>
        </w:r>
      </w:hyperlink>
    </w:p>
    <w:p>
      <w:pPr>
        <w:spacing w:before="0" w:after="80"/>
      </w:pPr>
      <w:r>
        <w:rPr>
          <w:i/>
          <w:sz w:val="20"/>
        </w:rPr>
        <w:t>EN: Student dilemma: physical science or physical education?</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[192] </w:t>
      </w:r>
      <w:hyperlink r:id="rId305">
        <w:r>
          <w:rPr>
            <w:color w:val="1155CC"/>
            <w:u w:val="single"/>
          </w:rPr>
          <w:t>为何坚持循环和污名化的处置会破坏可持续性</w:t>
        </w:r>
      </w:hyperlink>
    </w:p>
    <w:p>
      <w:pPr>
        <w:spacing w:before="0" w:after="80"/>
      </w:pPr>
      <w:r>
        <w:rPr>
          <w:i/>
          <w:sz w:val="20"/>
        </w:rPr>
        <w:t>EN: Why insisting on circularity and stigmatizing disposal undermines sustainability</w:t>
      </w:r>
    </w:p>
    <w:p>
      <w:pPr>
        <w:spacing w:before="0" w:after="120"/>
      </w:pPr>
      <w:r>
        <w:rPr>
          <w:b/>
        </w:rPr>
        <w:t xml:space="preserve">Source: </w:t>
      </w:r>
      <w:r>
        <w:t>Nature Reviews Materials</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[193] </w:t>
      </w:r>
      <w:hyperlink r:id="rId306">
        <w:r>
          <w:rPr>
            <w:color w:val="1155CC"/>
            <w:u w:val="single"/>
          </w:rPr>
          <w:t>IoT电池管理系统中SOC估计SOC的变压器:实现节能和可解释的模型化</w:t>
        </w:r>
      </w:hyperlink>
    </w:p>
    <w:p>
      <w:pPr>
        <w:spacing w:before="0" w:after="80"/>
      </w:pPr>
      <w:r>
        <w:rPr>
          <w:i/>
          <w:sz w:val="20"/>
        </w:rPr>
        <w:t>EN: Pattern-aware transformer for SOC estimation in IoT-based battery management systems: Toward energy-efficient and interpretable modeling</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[194] </w:t>
      </w:r>
      <w:hyperlink r:id="rId307">
        <w:r>
          <w:rPr>
            <w:color w:val="1155CC"/>
            <w:u w:val="single"/>
          </w:rPr>
          <w:t>多维功能转换生物模拟软机器人的智能编程培训</w:t>
        </w:r>
      </w:hyperlink>
    </w:p>
    <w:p>
      <w:pPr>
        <w:spacing w:before="0" w:after="80"/>
      </w:pPr>
      <w:r>
        <w:rPr>
          <w:i/>
          <w:sz w:val="20"/>
        </w:rPr>
        <w:t>EN: Intelligent programming training of multi-dimensional functional transformation biomimetic soft robots</w:t>
      </w:r>
    </w:p>
    <w:p>
      <w:pPr>
        <w:spacing w:before="0" w:after="120"/>
      </w:pPr>
      <w:r>
        <w:rPr>
          <w:b/>
        </w:rPr>
        <w:t xml:space="preserve">Source: </w:t>
      </w:r>
      <w:r>
        <w:t>Matter</w:t>
      </w:r>
      <w:r>
        <w:t xml:space="preserve">    </w:t>
      </w:r>
      <w:r>
        <w:rPr>
          <w:b/>
        </w:rPr>
        <w:t xml:space="preserve">Pub date: </w:t>
      </w:r>
      <w:r>
        <w:t>2026-02-17 00:00:00+00:00</w:t>
      </w:r>
    </w:p>
    <w:p>
      <w:pPr>
        <w:spacing w:before="0" w:after="120"/>
      </w:pPr>
      <w:r>
        <w:rPr>
          <w:b/>
        </w:rPr>
        <w:t xml:space="preserve">Notes: </w:t>
      </w:r>
      <w:r>
        <w:t>abstract_source=rss_cell</w:t>
      </w:r>
    </w:p>
    <w:p>
      <w:pPr>
        <w:spacing w:before="0" w:after="80" w:lineRule="auto" w:line="276"/>
      </w:pPr>
      <w:r>
        <w:rPr>
          <w:b/>
        </w:rPr>
        <w:t xml:space="preserve">摘要（ZH）: </w:t>
      </w:r>
      <w:r>
        <w:t>这项调查的重点是在软机器人中应用智能材料,处理被忽视的形状内存合金智能培训和各种情景的有限适应性。机器学习用于为NiTi合金培训参数构建智能预测模型。通过编程对NiTi合金电线的培训并将其与生物模拟原型相结合,创建了完全由NiTi合金驱动的软机器人,能够从1D向3D进行形态转换,为软机器人设计提供了新的洞察力和方法。</w:t>
      </w:r>
    </w:p>
    <w:p>
      <w:pPr>
        <w:spacing w:before="0" w:after="200" w:lineRule="auto" w:line="276"/>
      </w:pPr>
      <w:r>
        <w:rPr>
          <w:b/>
        </w:rPr>
        <w:t xml:space="preserve">Abstract (EN): </w:t>
      </w:r>
      <w:r>
        <w:t>This investigation focuses on applying smart materials in soft robotics, addressing neglected shape memory alloy intelligent training and limited adaptability across scenarios. Machine learning is employed to construct an intelligent prediction model for NiTi alloy training parameters. Through programming the training of NiTi alloy wires and integrating them with biomimetic prototypes, soft robots solely driven by NiTi alloys, capable of morphological transitions from 1D to 3D, are created, which offers new insights and methods for soft robotics design.</w:t>
      </w:r>
    </w:p>
    <w:p>
      <w:pPr>
        <w:spacing w:before="120" w:after="120"/>
      </w:pPr>
      <w:r>
        <w:rPr>
          <w:sz w:val="18"/>
        </w:rPr>
        <w:t>——————————————————————————————————————————————————————————————————————</w:t>
      </w:r>
    </w:p>
    <w:p>
      <w:pPr>
        <w:spacing w:before="160" w:after="40" w:line="240" w:lineRule="auto"/>
      </w:pPr>
      <w:r>
        <w:rPr>
          <w:b/>
        </w:rPr>
        <w:t xml:space="preserve">[195] </w:t>
      </w:r>
      <w:hyperlink r:id="rId308">
        <w:r>
          <w:rPr>
            <w:color w:val="1155CC"/>
            <w:u w:val="single"/>
          </w:rPr>
          <w:t>由多孔-固体电气化反应堆进行内置海水淡化的电解</w:t>
        </w:r>
      </w:hyperlink>
    </w:p>
    <w:p>
      <w:pPr>
        <w:spacing w:before="0" w:after="80"/>
      </w:pPr>
      <w:r>
        <w:rPr>
          <w:i/>
          <w:sz w:val="20"/>
        </w:rPr>
        <w:t>EN: Electrolysis with built-in seawater desalination by porous-solid-electrolyte reactor</w:t>
      </w:r>
    </w:p>
    <w:p>
      <w:pPr>
        <w:spacing w:before="0" w:after="120"/>
      </w:pPr>
      <w:r>
        <w:rPr>
          <w:b/>
        </w:rPr>
        <w:t xml:space="preserve">Source: </w:t>
      </w:r>
      <w:r>
        <w:t>Nature Sustainability</w:t>
      </w:r>
      <w:r>
        <w:t xml:space="preserve">    </w:t>
      </w:r>
      <w:r>
        <w:rPr>
          <w:b/>
        </w:rPr>
        <w:t xml:space="preserve">Pub date: </w:t>
      </w:r>
      <w:r>
        <w:t>2026-02-17 00:00:00+00:00</w:t>
      </w:r>
    </w:p>
    <w:p>
      <w:pPr>
        <w:spacing w:before="0" w:after="120"/>
      </w:pPr>
      <w:r>
        <w:rPr>
          <w:b/>
        </w:rPr>
        <w:t xml:space="preserve">Notes: </w:t>
      </w:r>
      <w:r>
        <w:t>abstract_source=nature_html</w:t>
      </w:r>
    </w:p>
    <w:p>
      <w:pPr>
        <w:spacing w:before="0" w:after="80" w:lineRule="auto" w:line="276"/>
      </w:pPr>
      <w:r>
        <w:rPr>
          <w:b/>
        </w:rPr>
        <w:t xml:space="preserve">摘要（ZH）: </w:t>
      </w:r>
      <w:r>
        <w:t>在全球向可持续能源系统过渡的过程中,绿色氢的部署严重依赖具有成本效益的可再生能源。可再生能源丰富的地区通常位于海岸沿岸,尽管海水的直接电解仍具有技术上的挑战性。此外,淡水的稀缺也为氢生产带来了巨大的成本。这里我们描述一个电解过程,在一个多孔的固体电解反应器中用内置海水淡化海水进行电解过程。一个三合的细胞,两极双膜双膜合力,对酸氢进化反应、碱氧进化反应和电解脱盐过程产生协同效应。在细胞中使用一个多孔的固体电解液,有利于可靠的电化学平衡,从而形成一种近乎的混合系数。</w:t>
      </w:r>
    </w:p>
    <w:p>
      <w:pPr>
        <w:spacing w:before="0" w:after="200" w:lineRule="auto" w:line="276"/>
      </w:pPr>
      <w:r>
        <w:rPr>
          <w:b/>
        </w:rPr>
        <w:t xml:space="preserve">Abstract (EN): </w:t>
      </w:r>
      <w:r>
        <w:t>The deployment of green hydrogen in the global transition towards sustainable energy systems relies heavily on cost-effective renewables. Regions rich in renewable energy are usually along a seashore, although the direct electrolysis of seawater is still technically challenging. Moreover, the scarcity of freshwater poses significant costs for hydrogen production. Here we describe an electrolysis process with built-in seawater desalination in a porous-solid-electrolyte reactor. A three-chamber cell with bipolar membranes synergizes the acidic hydrogen evolution reaction, the alkaline oxygen evolution reaction and electrodialysis desalination processes. The use of a porous solid electrolyte in the cell facilitates reliable electrochemical equilibrium, resulting in a coupling factor of approximately 100% for electrolysis and desalination, which maintains the high kinetic current of the coupled electrochemical processes for a lower energy penalty. For seawater electrolysis, the optimized catalyst is robust against anodic Cl− corrosion and serves to enhance device reliability. Long-term cell operation with real seawater experienced negligible device degradation over 360 h. The current system can produce approximately 2.1 t of freshwater meeting potable standards for every kilogram of hydrogen generated, thus offering a feasible pathway to harnessing seawater for both clean water and green hydrogen.</w:t>
      </w:r>
    </w:p>
    <w:p>
      <w:pPr>
        <w:spacing w:before="120" w:after="120"/>
      </w:pPr>
      <w:r>
        <w:rPr>
          <w:sz w:val="18"/>
        </w:rPr>
        <w:t>——————————————————————————————————————————————————————————————————————</w:t>
      </w:r>
    </w:p>
    <w:p>
      <w:pPr>
        <w:spacing w:before="160" w:after="40" w:line="240" w:lineRule="auto"/>
      </w:pPr>
      <w:r>
        <w:rPr>
          <w:b/>
        </w:rPr>
        <w:t xml:space="preserve">[196] </w:t>
      </w:r>
      <w:hyperlink r:id="rId309">
        <w:r>
          <w:rPr>
            <w:color w:val="1155CC"/>
            <w:u w:val="single"/>
          </w:rPr>
          <w:t>“公路运输电气化情景对气候目标的影响”</w:t>
        </w:r>
      </w:hyperlink>
    </w:p>
    <w:p>
      <w:pPr>
        <w:spacing w:before="0" w:after="80"/>
      </w:pPr>
      <w:r>
        <w:rPr>
          <w:i/>
          <w:sz w:val="20"/>
        </w:rPr>
        <w:t>EN: “The influence of electrification scenarios in road transport on the climate targets”</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[197] </w:t>
      </w:r>
      <w:hyperlink r:id="rId310">
        <w:r>
          <w:rPr>
            <w:color w:val="1155CC"/>
            <w:u w:val="single"/>
          </w:rPr>
          <w:t>捐助方-接受方接受者多孔有机聚合物,凝固高密度的单个钴矿址,实现全频光热热CO2氢化</w:t>
        </w:r>
      </w:hyperlink>
    </w:p>
    <w:p>
      <w:pPr>
        <w:spacing w:before="0" w:after="80"/>
      </w:pPr>
      <w:r>
        <w:rPr>
          <w:i/>
          <w:sz w:val="20"/>
        </w:rPr>
        <w:t>EN: A donor-acceptor porous organic polymer anchoring a high density of cobalt single sites realizes full-spectrum photothermal CO2 hydrogenation</w:t>
      </w:r>
    </w:p>
    <w:p>
      <w:pPr>
        <w:spacing w:before="0" w:after="120"/>
      </w:pPr>
      <w:r>
        <w:rPr>
          <w:b/>
        </w:rPr>
        <w:t xml:space="preserve">Source: </w:t>
      </w:r>
      <w:r>
        <w:t>Chem</w:t>
      </w:r>
      <w:r>
        <w:t xml:space="preserve">    </w:t>
      </w:r>
      <w:r>
        <w:rPr>
          <w:b/>
        </w:rPr>
        <w:t xml:space="preserve">Pub date: </w:t>
      </w:r>
      <w:r>
        <w:t>2026-02-17 00:00:00+00:00</w:t>
      </w:r>
    </w:p>
    <w:p>
      <w:pPr>
        <w:spacing w:before="0" w:after="120"/>
      </w:pPr>
      <w:r>
        <w:rPr>
          <w:b/>
        </w:rPr>
        <w:t xml:space="preserve">Notes: </w:t>
      </w:r>
      <w:r>
        <w:t>abstract_source=rss_cell</w:t>
      </w:r>
    </w:p>
    <w:p>
      <w:pPr>
        <w:spacing w:before="0" w:after="80" w:lineRule="auto" w:line="276"/>
      </w:pPr>
      <w:r>
        <w:rPr>
          <w:b/>
        </w:rPr>
        <w:t xml:space="preserve">摘要（ZH）: </w:t>
      </w:r>
      <w:r>
        <w:t>高效利用光热CO2氢化中的全部太阳光谱仍然是催化剂设计方面的一大挑战,在此,为高效全光光谱CO2氢化开发了具有高密度、原子分散的两维捐赠者接受器多孔有机聚合物,开发了一个具有高密度、原子分散的Co站点,加强了电源分离和红外吸收,实现了极好的光热转换效率和CO2生产性能。</w:t>
      </w:r>
    </w:p>
    <w:p>
      <w:pPr>
        <w:spacing w:before="0" w:after="200" w:lineRule="auto" w:line="276"/>
      </w:pPr>
      <w:r>
        <w:rPr>
          <w:b/>
        </w:rPr>
        <w:t xml:space="preserve">Abstract (EN): </w:t>
      </w:r>
      <w:r>
        <w:t>The efficient utilization of the full solar spectrum in photothermal CO2 hydrogenation remains a major challenge in catalyst design. Here, a two-dimensional donor-acceptor porous organic polymer with high-density, atomically dispersed Co sites is developed for efficient full-spectrum CO2 hydrogenation. The Co single sites enhance charge separation and infrared absorption, achieving excellent photothermal conversion efficiency and CO production performance.</w:t>
      </w:r>
    </w:p>
    <w:p>
      <w:pPr>
        <w:spacing w:before="120" w:after="120"/>
      </w:pPr>
      <w:r>
        <w:rPr>
          <w:sz w:val="18"/>
        </w:rPr>
        <w:t>——————————————————————————————————————————————————————————————————————</w:t>
      </w:r>
    </w:p>
    <w:p>
      <w:pPr>
        <w:spacing w:before="160" w:after="40" w:line="240" w:lineRule="auto"/>
      </w:pPr>
      <w:r>
        <w:rPr>
          <w:b/>
        </w:rPr>
        <w:t xml:space="preserve">[198] </w:t>
      </w:r>
      <w:hyperlink r:id="rId311">
        <w:r>
          <w:rPr>
            <w:color w:val="1155CC"/>
            <w:u w:val="single"/>
          </w:rPr>
          <w:t>通过动态隔离地表重建,在以Ir为基础的电动催化器中自然可逆性</w:t>
        </w:r>
      </w:hyperlink>
    </w:p>
    <w:p>
      <w:pPr>
        <w:spacing w:before="0" w:after="80"/>
      </w:pPr>
      <w:r>
        <w:rPr>
          <w:i/>
          <w:sz w:val="20"/>
        </w:rPr>
        <w:t>EN: Intrinsic reversibility in Ir-based electrocatalysts via dynamic segregated-surface reconstruction</w:t>
      </w:r>
    </w:p>
    <w:p>
      <w:pPr>
        <w:spacing w:before="0" w:after="120"/>
      </w:pPr>
      <w:r>
        <w:rPr>
          <w:b/>
        </w:rPr>
        <w:t xml:space="preserve">Source: </w:t>
      </w:r>
      <w:r>
        <w:t>RSC - Energy Environ. Sci. latest articles</w:t>
      </w:r>
      <w:r>
        <w:t xml:space="preserve">    </w:t>
      </w:r>
      <w:r>
        <w:rPr>
          <w:b/>
        </w:rPr>
        <w:t xml:space="preserve">Pub date: </w:t>
      </w:r>
      <w:r>
        <w:t>2026-02-17 00:00:00+00:00</w:t>
      </w:r>
    </w:p>
    <w:p>
      <w:pPr>
        <w:spacing w:before="0" w:after="120"/>
      </w:pPr>
      <w:r>
        <w:rPr>
          <w:b/>
        </w:rPr>
        <w:t xml:space="preserve">Notes: </w:t>
      </w:r>
      <w:r>
        <w:t>abstract_source=rsc_html</w:t>
      </w:r>
    </w:p>
    <w:p>
      <w:pPr>
        <w:spacing w:before="0" w:after="80" w:lineRule="auto" w:line="276"/>
      </w:pPr>
      <w:r>
        <w:rPr>
          <w:b/>
        </w:rPr>
        <w:t xml:space="preserve">摘要（ZH）: </w:t>
      </w:r>
      <w:r>
        <w:t>电催化剂经常受到不理想的氧化,导致不可逆转的钝化,严重损害其催化活动和稳定性。尽管出现了出色的内在活动,但许多电催化剂的实际应用却有限,因为它们容易氧化,一旦氧化,活动就会不可逆转地丧失。为克服这些挑战,本研究报告展示了一种新颖的方法,通过IrFe/C电催化剂实现可逆性,该电催化剂在氧化后动态再生其金属性状态,从而保持很高的催化性能。这种可逆性是通过将催化剂表面与散装体脱钩来实现的,而坚固的金属合金核心仍然完好,而地表又独立地对重新进行了重建。</w:t>
      </w:r>
    </w:p>
    <w:p>
      <w:pPr>
        <w:spacing w:before="0" w:after="200" w:lineRule="auto" w:line="276"/>
      </w:pPr>
      <w:r>
        <w:rPr>
          <w:b/>
        </w:rPr>
        <w:t xml:space="preserve">Abstract (EN): </w:t>
      </w:r>
      <w:r>
        <w:t>Electrocatalysts are frequently exposed to undesired oxidation, leading to irreversible passivation that severely impairs their catalytic activity and stability. Despite exhibiting excellent intrinsic activity, many electrocatalysts have been limited in practical application due to their susceptibility to oxidation and the irreversible loss of activity once oxidized. To overcome these challenges, this study demonstrates a novel approach to achieving reversibility via the IrFe/C electrocatalyst, which dynamically regenerates its metallic state after oxidation, thereby sustaining high catalytic performance. This reversibility is achieved through decoupling the catalyst's surface from its bulk—while the robust metallic alloy core remains intact, the surface independently reconstructs in response to varying electrochemical demands. Furthermore, when applied in practical water electrolyzers and fuel cells, the IrFe/C catalyst effectively suppresses irreversible degradation, maintaining high current densities (1.56 A cm−2) and peak power densities (0.72 W cm−2) under harsh transient conditions, whereas conventional systems suffer catastrophic failure (dropping to 0.74 A cm−2 and 0.12–0.25 W cm−2, respectively). Collectively, our study introduces a new paradigm for overcoming surface passivation, offering a sustainable strategy that promotes facile recovery and fundamentally addresses the critical bottleneck of electrocatalyst durability.</w:t>
      </w:r>
    </w:p>
    <w:p>
      <w:pPr>
        <w:spacing w:before="120" w:after="120"/>
      </w:pPr>
      <w:r>
        <w:rPr>
          <w:sz w:val="18"/>
        </w:rPr>
        <w:t>——————————————————————————————————————————————————————————————————————</w:t>
      </w:r>
    </w:p>
    <w:p>
      <w:pPr>
        <w:spacing w:before="160" w:after="40" w:line="240" w:lineRule="auto"/>
      </w:pPr>
      <w:r>
        <w:rPr>
          <w:b/>
        </w:rPr>
        <w:t xml:space="preserve">[199] </w:t>
      </w:r>
      <w:hyperlink r:id="rId312">
        <w:r>
          <w:rPr>
            <w:color w:val="1155CC"/>
            <w:u w:val="single"/>
          </w:rPr>
          <w:t>通过溶液罐体体积和溶溶剂极度双重管制,对溶液罐体积和溶剂极度进行精密电解解解液</w:t>
        </w:r>
      </w:hyperlink>
    </w:p>
    <w:p>
      <w:pPr>
        <w:spacing w:before="0" w:after="80"/>
      </w:pPr>
      <w:r>
        <w:rPr>
          <w:i/>
          <w:sz w:val="20"/>
        </w:rPr>
        <w:t>EN: Tailoring zinc-ion deep eutectic electrolytes through dual regulation of solvation shell volume and solvent polarity</w:t>
      </w:r>
    </w:p>
    <w:p>
      <w:pPr>
        <w:spacing w:before="0" w:after="120"/>
      </w:pPr>
      <w:r>
        <w:rPr>
          <w:b/>
        </w:rPr>
        <w:t xml:space="preserve">Source: </w:t>
      </w:r>
      <w:r>
        <w:t>RSC - Energy Environ. Sci. latest articles</w:t>
      </w:r>
      <w:r>
        <w:t xml:space="preserve">    </w:t>
      </w:r>
      <w:r>
        <w:rPr>
          <w:b/>
        </w:rPr>
        <w:t xml:space="preserve">Pub date: </w:t>
      </w:r>
      <w:r>
        <w:t>2026-02-17 00:00:00+00:00</w:t>
      </w:r>
    </w:p>
    <w:p>
      <w:pPr>
        <w:spacing w:before="0" w:after="120"/>
      </w:pPr>
      <w:r>
        <w:rPr>
          <w:b/>
        </w:rPr>
        <w:t xml:space="preserve">Notes: </w:t>
      </w:r>
      <w:r>
        <w:t>abstract_source=rsc_html</w:t>
      </w:r>
    </w:p>
    <w:p>
      <w:pPr>
        <w:spacing w:before="0" w:after="80" w:lineRule="auto" w:line="276"/>
      </w:pPr>
      <w:r>
        <w:rPr>
          <w:b/>
        </w:rPr>
        <w:t xml:space="preserve">摘要（ZH）: </w:t>
      </w:r>
      <w:r>
        <w:t>深海电解层(DEEs)中刘易斯酸基和氢燃烧(HB)相互作用的金枪鱼在深精电解层(DEEs)中的可捕性被视为应对锌离电池重大挑战的有效平台。 然而,在水性DEEs中,不良的中间分子力量严重阻碍了离子跳动,这体现在高溶液粘性和运输行为中,这只对短期有效。 基于Koholrausch法律的Stokes-Einstein公式和Debye-Hückel理论描述了非二极流体中碳化物的运输机制,其中小型溶液壳使得电场下能够更快的离子迁移。Et(30)参数记录了特定HB相互作用和溶剂极性之间的权衡关系,是调整索尔瓦蒂奥解解动力学的关键描述器。</w:t>
      </w:r>
    </w:p>
    <w:p>
      <w:pPr>
        <w:spacing w:before="0" w:after="200" w:lineRule="auto" w:line="276"/>
      </w:pPr>
      <w:r>
        <w:rPr>
          <w:b/>
        </w:rPr>
        <w:t xml:space="preserve">Abstract (EN): </w:t>
      </w:r>
      <w:r>
        <w:t>The tunability of Lewis acid-base and hydrogen-bonding (HB) interactions in deep eutectic electrolytes (DEEs) is considered as effective platform for addressing vital challenges in zinc-ion batteries. However, in aqueous DEEs, undesirable intermolecular forces severely obstruct ion hopping, as reflected in high solute viscosity and transport behavior, which is only effective over short ranges. The Stokes-Einstein formula and Debye–Hückel theory based on Kohlrausch’s law describe the transport mechanism of cations in non-ideal fluids, where small solvation shell enables faster ion migration under electric field. The Et(30) parameter, which captures the trade-off between specific HB interactions and solvent polarity, serves as key descriptor for tailoring the desolvation kinetics of solvation sheath. Based on systematic screening of solvation shell volumes and solvent polarity, acetonitrile (AN) with small solvation shell volume and moderate polarity is the optimal choice. Furthermore, the system’s maximal decoupling from the environment validates the concept of long-range efficient ion transport. Ultimately, the DEE system achieves fourfold enhancement in ionic conductivity (8.3 mS cm−1) and exceptional cycling durability in Zn–I2 pouch cell, retaining reversible capacity of 95.4 mAh g−1 after 1,500 cycles at 1 A g−1. This work significantly narrows the theoretical gap between aqueous and non-aqueous battery systems.</w:t>
      </w:r>
    </w:p>
    <w:p>
      <w:pPr>
        <w:spacing w:before="120" w:after="120"/>
      </w:pPr>
      <w:r>
        <w:rPr>
          <w:sz w:val="18"/>
        </w:rPr>
        <w:t>——————————————————————————————————————————————————————————————————————</w:t>
      </w:r>
    </w:p>
    <w:p>
      <w:pPr>
        <w:spacing w:before="160" w:after="40" w:line="240" w:lineRule="auto"/>
      </w:pPr>
      <w:r>
        <w:rPr>
          <w:b/>
        </w:rPr>
        <w:t xml:space="preserve">[200] </w:t>
      </w:r>
      <w:hyperlink r:id="rId313">
        <w:r>
          <w:rPr>
            <w:color w:val="1155CC"/>
            <w:u w:val="single"/>
          </w:rPr>
          <w:t>锂电池和钠离电池化学组之间的知识相互依存关系</w:t>
        </w:r>
      </w:hyperlink>
    </w:p>
    <w:p>
      <w:pPr>
        <w:spacing w:before="0" w:after="80"/>
      </w:pPr>
      <w:r>
        <w:rPr>
          <w:i/>
          <w:sz w:val="20"/>
        </w:rPr>
        <w:t>EN: Knowledge interdependencies between lithium- and sodium-ion battery chemistries</w:t>
      </w:r>
    </w:p>
    <w:p>
      <w:pPr>
        <w:spacing w:before="0" w:after="120"/>
      </w:pPr>
      <w:r>
        <w:rPr>
          <w:b/>
        </w:rPr>
        <w:t xml:space="preserve">Source: </w:t>
      </w:r>
      <w:r>
        <w:t>Nature Energy</w:t>
      </w:r>
      <w:r>
        <w:t xml:space="preserve">    </w:t>
      </w:r>
      <w:r>
        <w:rPr>
          <w:b/>
        </w:rPr>
        <w:t xml:space="preserve">Pub date: </w:t>
      </w:r>
      <w:r>
        <w:t>2026-02-17 00:00:00+00:00</w:t>
      </w:r>
    </w:p>
    <w:p>
      <w:pPr>
        <w:spacing w:before="0" w:after="120"/>
      </w:pPr>
      <w:r>
        <w:rPr>
          <w:b/>
        </w:rPr>
        <w:t xml:space="preserve">Notes: </w:t>
      </w:r>
      <w:r>
        <w:t>abstract_source=nature_html</w:t>
      </w:r>
    </w:p>
    <w:p>
      <w:pPr>
        <w:spacing w:before="0" w:after="80" w:lineRule="auto" w:line="276"/>
      </w:pPr>
      <w:r>
        <w:rPr>
          <w:b/>
        </w:rPr>
        <w:t xml:space="preserve">摘要（ZH）: </w:t>
      </w:r>
      <w:r>
        <w:t>电池技术提供了一个重大的经济机会,它涉及各种金属离子电池化学,具有不同的材料、性能和供应链特点,如何分享这些化学之间的知识,对于技术经济预测而研究不足的工业战略至关重要。这里我们报告使用先进的大型专利模型进行自动化专利分类,以根据专利引用网络绘制锂离子和钠离子电池化学内部和之间的知识流动图,这种网络包括化学结构一级分类的15 000多个专利家族。我们发现产品和工艺创新化学内部和之间的大量、持久的知识流动,以及来自成熟锂的连续定向知识流动。我们发现,在产品和工艺创新的化学化学化学中,使用先进的大语言模型来绘制锂离子和钠离子电池化学内部和之间的知识流动图。</w:t>
      </w:r>
    </w:p>
    <w:p>
      <w:pPr>
        <w:spacing w:before="0" w:after="200" w:lineRule="auto" w:line="276"/>
      </w:pPr>
      <w:r>
        <w:rPr>
          <w:b/>
        </w:rPr>
        <w:t xml:space="preserve">Abstract (EN): </w:t>
      </w:r>
      <w:r>
        <w:t>Battery technology presents a major economic opportunity, spanning diverse metal-ion battery chemistries with distinct material, performance and supply chain characteristics. How knowledge is shared across these chemistries is essential for industrial strategies informed by techno-economic forecasting but understudied. Here we report the use of advanced large language models for automated patent classification to map knowledge flows within and across lithium-ion and sodium-ion battery chemistries, based on patent citation networks encompassing over 15,000 patent families classified at the chemical structure level. We find substantial, persistent knowledge flows within and across chemistries for product and process innovation, with continuous directional knowledge flows from mature lithium-ion to emerging sodium-ion chemistries. For some lithium-ion chemistries, cross-chemistry knowledge flows even exceed within-chemistry flows. These results indicate that industrial strategies aiming to leap-frog to new chemistries without design and manufacturing experience in existing chemistries are unlikely to succeed, and battery chemistries should therefore not be treated as fully independent technologies in forecasting models.</w:t>
      </w:r>
    </w:p>
    <w:p>
      <w:pPr>
        <w:spacing w:before="120" w:after="120"/>
      </w:pPr>
      <w:r>
        <w:rPr>
          <w:sz w:val="18"/>
        </w:rPr>
        <w:t>——————————————————————————————————————————————————————————————————————</w:t>
      </w:r>
    </w:p>
    <w:p>
      <w:pPr>
        <w:spacing w:before="160" w:after="40" w:line="240" w:lineRule="auto"/>
      </w:pPr>
      <w:r>
        <w:rPr>
          <w:b/>
        </w:rPr>
        <w:t xml:space="preserve">[201] </w:t>
      </w:r>
      <w:hyperlink r:id="rId314">
        <w:r>
          <w:rPr>
            <w:color w:val="1155CC"/>
            <w:u w:val="single"/>
          </w:rPr>
          <w:t>灵活24/7/24/7的混合购买电力协议 能源交付 -- -- 全面审查目前的做法和研究途径</w:t>
        </w:r>
      </w:hyperlink>
    </w:p>
    <w:p>
      <w:pPr>
        <w:spacing w:before="0" w:after="80"/>
      </w:pPr>
      <w:r>
        <w:rPr>
          <w:i/>
          <w:sz w:val="20"/>
        </w:rPr>
        <w:t>EN: Hybrid power purchase agreements for flexible 24/7 Energy delivery – A comprehensive review of current practices and research pathways</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[202] </w:t>
      </w:r>
      <w:hyperlink r:id="rId315">
        <w:r>
          <w:rPr>
            <w:color w:val="1155CC"/>
            <w:u w:val="single"/>
          </w:rPr>
          <w:t>释放密集包装的双面曲线曲线光伏发电的潜力:优化能源产量和经济可行性的全方位建模方法</w:t>
        </w:r>
      </w:hyperlink>
    </w:p>
    <w:p>
      <w:pPr>
        <w:spacing w:before="0" w:after="80"/>
      </w:pPr>
      <w:r>
        <w:rPr>
          <w:i/>
          <w:sz w:val="20"/>
        </w:rPr>
        <w:t>EN: Unlocking the potential of densely-packed bifacial curved photovoltaics: Holistic Modeling approach for optimizing energy yield and economic viability</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[203] </w:t>
      </w:r>
      <w:hyperlink r:id="rId316">
        <w:r>
          <w:rPr>
            <w:color w:val="1155CC"/>
            <w:u w:val="single"/>
          </w:rPr>
          <w:t>通过电池模块式管理和能力租赁,协调社区能源储存系统和FCAS的收费单</w:t>
        </w:r>
      </w:hyperlink>
    </w:p>
    <w:p>
      <w:pPr>
        <w:spacing w:before="0" w:after="80"/>
      </w:pPr>
      <w:r>
        <w:rPr>
          <w:i/>
          <w:sz w:val="20"/>
        </w:rPr>
        <w:t>EN: Coordination of community energy storage system and prosumers for FCAS via battery modular management and capacity rental</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[204] </w:t>
      </w:r>
      <w:hyperlink r:id="rId317">
        <w:r>
          <w:rPr>
            <w:color w:val="1155CC"/>
            <w:u w:val="single"/>
          </w:rPr>
          <w:t>通过反二氮化化学,对通过反转二氮化化学结合的聚合有机聚合物进行具有战略重要意义的协同多孔有机聚合物合成</w:t>
        </w:r>
      </w:hyperlink>
    </w:p>
    <w:p>
      <w:pPr>
        <w:spacing w:before="0" w:after="80"/>
      </w:pPr>
      <w:r>
        <w:rPr>
          <w:i/>
          <w:sz w:val="20"/>
        </w:rPr>
        <w:t>EN: Strategically significant synthesis of conjugated porous organic polymers via retro diazotization chemistry</w:t>
      </w:r>
    </w:p>
    <w:p>
      <w:pPr>
        <w:spacing w:before="0" w:after="120"/>
      </w:pPr>
      <w:r>
        <w:rPr>
          <w:b/>
        </w:rPr>
        <w:t xml:space="preserve">Source: </w:t>
      </w:r>
      <w:r>
        <w:t>Nature Communications</w:t>
      </w:r>
      <w:r>
        <w:t xml:space="preserve">    </w:t>
      </w:r>
      <w:r>
        <w:rPr>
          <w:b/>
        </w:rPr>
        <w:t xml:space="preserve">Pub date: </w:t>
      </w:r>
      <w:r>
        <w:t>2026-02-17 00:00:00+00:00</w:t>
      </w:r>
    </w:p>
    <w:p>
      <w:pPr>
        <w:spacing w:before="0" w:after="120"/>
      </w:pPr>
      <w:r>
        <w:rPr>
          <w:b/>
        </w:rPr>
        <w:t xml:space="preserve">Notes: </w:t>
      </w:r>
      <w:r>
        <w:t>abstract_source=nature_html</w:t>
      </w:r>
    </w:p>
    <w:p>
      <w:pPr>
        <w:spacing w:before="0" w:after="80" w:lineRule="auto" w:line="276"/>
      </w:pPr>
      <w:r>
        <w:rPr>
          <w:b/>
        </w:rPr>
        <w:t xml:space="preserve">摘要（ZH）: </w:t>
      </w:r>
      <w:r>
        <w:t>为了克服常规混合的多孔有机聚合物(CPOP)合成的局限性,这些合成物需要苛刻的条件或金属催化剂,并且未能以控制的方式引入卤素替代物,例如-Br和-I,我们在此展示了一种具有战略意义的合成方法,其基础是通过原位分解催化的双甲苯催化光红化C-H光红化。 这种方法提供了强化的聚合物链增长,其MW相对较高(高达322 kDa ) 、 理想的多变性、 金枪鱼易变光学特性(NIR区域可见 ), 以及能够接触对卤素高度耐受力的多种单体。 为了更深入了解通过双甲苯催化光化光化的C-H光化C-H光化、控制和清除实验形成C-C-C链的机制。</w:t>
      </w:r>
    </w:p>
    <w:p>
      <w:pPr>
        <w:spacing w:before="0" w:after="200" w:lineRule="auto" w:line="276"/>
      </w:pPr>
      <w:r>
        <w:rPr>
          <w:b/>
        </w:rPr>
        <w:t xml:space="preserve">Abstract (EN): </w:t>
      </w:r>
      <w:r>
        <w:t>To overcome the limitations of conventional conjugated porous organic polymer (CPOP) syntheses that require harsh conditions or metal catalysts and fail to introduce halogen substituents such as –Br and –I in a controlled manner, we present herein a strategically significant synthesis method based on bismuthene-catalyzed photoredox C–H arylation via in situ diazotization. This approach provides enhanced polymer chain growth with relatively high Mw (up to 322 kDa), ideal poly-dispersity, tunable optical properties (visible to NIR region), and enabling to access to a broad range of monomers with high tolerance for halogens. To gain deeper insight into the mechanism of C–C bond formation via bismuthene-catalyzed photoredox C–H arylation, control and scavenger experiments were performed. The results confirm that CPOP growth proceeds through a single-electron transfer pathway, forming linear or cross-linked networks. The resulting polymers exhibited efficient photocatalytic activity for the selective oxidation of styrene to benzaldehyde via singlet oxygen as the dominant reactive species, achieving &gt; 99% conversion and selectivity under blue LED irradiation. Remarkably, halogen-containing CPOPs (–Br, –I) afforded higher yields and superior photocatalytic efficiency, attributed to the heavy-atom effect and defect generation, which collectively enhance visible-light absorption and charge separation.</w:t>
      </w:r>
    </w:p>
    <w:p>
      <w:pPr>
        <w:spacing w:before="120" w:after="120"/>
      </w:pPr>
      <w:r>
        <w:rPr>
          <w:sz w:val="18"/>
        </w:rPr>
        <w:t>——————————————————————————————————————————————————————————————————————</w:t>
      </w:r>
    </w:p>
    <w:p>
      <w:pPr>
        <w:spacing w:before="160" w:after="40" w:line="240" w:lineRule="auto"/>
      </w:pPr>
      <w:r>
        <w:rPr>
          <w:b/>
        </w:rPr>
        <w:t xml:space="preserve">[205] </w:t>
      </w:r>
      <w:hyperlink r:id="rId318">
        <w:r>
          <w:rPr>
            <w:color w:val="1155CC"/>
            <w:u w:val="single"/>
          </w:rPr>
          <w:t>在零以下温度捕捉电化学异质的锂离电池在零下温度下捕捉电化学多粒化</w:t>
        </w:r>
      </w:hyperlink>
    </w:p>
    <w:p>
      <w:pPr>
        <w:spacing w:before="0" w:after="80"/>
      </w:pPr>
      <w:r>
        <w:rPr>
          <w:i/>
          <w:sz w:val="20"/>
        </w:rPr>
        <w:t>EN: Reduced-order multi-particle model of lithium-ion batteries capturing electrochemical heterogeneity at subzero temperatures</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[206] </w:t>
      </w:r>
      <w:hyperlink r:id="rId319">
        <w:r>
          <w:rPr>
            <w:color w:val="1155CC"/>
            <w:u w:val="single"/>
          </w:rPr>
          <w:t>出版商校正:像俱乐部一样的受体对光触光反应,但不会呼呼</w:t>
        </w:r>
      </w:hyperlink>
    </w:p>
    <w:p>
      <w:pPr>
        <w:spacing w:before="0" w:after="80"/>
      </w:pPr>
      <w:r>
        <w:rPr>
          <w:i/>
          <w:sz w:val="20"/>
        </w:rPr>
        <w:t>EN: Publisher Correction: Club-like receptors respond to light touch but not to whisking</w:t>
      </w:r>
    </w:p>
    <w:p>
      <w:pPr>
        <w:spacing w:before="0" w:after="120"/>
      </w:pPr>
      <w:r>
        <w:rPr>
          <w:b/>
        </w:rPr>
        <w:t xml:space="preserve">Source: </w:t>
      </w:r>
      <w:r>
        <w:t>Nature Communications</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[207] </w:t>
      </w:r>
      <w:hyperlink r:id="rId320">
        <w:r>
          <w:rPr>
            <w:color w:val="1155CC"/>
            <w:u w:val="single"/>
          </w:rPr>
          <w:t>地面表面季节性能源储存:氢及其衍生物的比较分析</w:t>
        </w:r>
      </w:hyperlink>
    </w:p>
    <w:p>
      <w:pPr>
        <w:spacing w:before="0" w:after="80"/>
      </w:pPr>
      <w:r>
        <w:rPr>
          <w:i/>
          <w:sz w:val="20"/>
        </w:rPr>
        <w:t>EN: Aboveground seasonal energy storage: comparative analysis of hydrogen and its derivatives</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321">
        <w:r>
          <w:rPr>
            <w:color w:val="1155CC"/>
            <w:u w:val="single"/>
          </w:rPr>
          <w:t>最近关于基于有机体的刺激材料的研究进展</w:t>
        </w:r>
      </w:hyperlink>
    </w:p>
    <w:p>
      <w:pPr>
        <w:spacing w:before="0" w:after="80"/>
      </w:pPr>
      <w:r>
        <w:rPr>
          <w:i/>
          <w:sz w:val="20"/>
        </w:rPr>
        <w:t>EN: Recent research progress on organoboron-based stimuli responsive materials</w:t>
      </w:r>
    </w:p>
    <w:p>
      <w:pPr>
        <w:spacing w:before="0" w:after="120"/>
      </w:pPr>
      <w:r>
        <w:rPr>
          <w:b/>
        </w:rPr>
        <w:t xml:space="preserve">Source: </w:t>
      </w:r>
      <w:r>
        <w:t>RSC - Chem. Soc. Rev. latest articles</w:t>
      </w:r>
      <w:r>
        <w:t xml:space="preserve">    </w:t>
      </w:r>
      <w:r>
        <w:rPr>
          <w:b/>
        </w:rPr>
        <w:t xml:space="preserve">Pub date: </w:t>
      </w:r>
      <w:r>
        <w:t>2026-02-17 00:00:00+00:00</w:t>
      </w:r>
    </w:p>
    <w:p>
      <w:pPr>
        <w:spacing w:before="0" w:after="120"/>
      </w:pPr>
      <w:r>
        <w:rPr>
          <w:b/>
        </w:rPr>
        <w:t xml:space="preserve">Notes: </w:t>
      </w:r>
      <w:r>
        <w:t>abstract_source=rsc_html</w:t>
      </w:r>
    </w:p>
    <w:p>
      <w:pPr>
        <w:spacing w:before="0" w:after="80" w:lineRule="auto" w:line="276"/>
      </w:pPr>
      <w:r>
        <w:rPr>
          <w:b/>
        </w:rPr>
        <w:t xml:space="preserve">摘要（ZH）: </w:t>
      </w:r>
      <w:r>
        <w:t>过去十年来,基于有机体的刺激性材料由于在光电子、化学感应和智能装置方面的广泛用途,引起了大量研究兴趣。 中心结合了刘易斯酸性、显性电子接受性以及合成的金枪鱼可轨道混合性,使圆形编织的脚手架能够在光学、热学、机械学或电刺激下进行快速和可逆的结构或电子转换。这些扰动调节了分子内部和期中相互作用,在光物理签字、电荷运输行为或机械反应方面产生了显著的变化,可以用于实时光学读出或可转换装置功能。本审查描述了博伦-c最近的进展。</w:t>
      </w:r>
    </w:p>
    <w:p>
      <w:pPr>
        <w:spacing w:before="0" w:after="200" w:lineRule="auto" w:line="276"/>
      </w:pPr>
      <w:r>
        <w:rPr>
          <w:b/>
        </w:rPr>
        <w:t xml:space="preserve">Abstract (EN): </w:t>
      </w:r>
      <w:r>
        <w:t>Organoboron-based stimuli-responsive materials have attracted intense research interest over the past decade owing to their broad utility in optoelectronics, chemical sensing, and smart devices. The boron center combines Lewis acidity, pronounced electron-accepting character, and synthetically tunable orbital hybridization, enabling boron-embedded scaffolds to undergo rapid and reversible structural or electronic transformations under optical, thermal, mechanical, or electrical stimuli. These perturbations modulate intra- and intermolecular interactions, producing pronounced changes in photophysical signature, charge-transport behavior, or mechanical response that can be exploited for real-time optical read-out or switchable device function. This review describes recent progress in boron-containing responsive systems ranging from small molecules and polymers to supramolecular assemblies, with emphasis on luminescent materials and representative advances of the last five years. Current challenges and future directions toward next-generation boron-based smart materials are also discussed.</w:t>
      </w:r>
    </w:p>
    <w:p>
      <w:pPr>
        <w:spacing w:before="120" w:after="120"/>
      </w:pPr>
      <w:r>
        <w:rPr>
          <w:sz w:val="18"/>
        </w:rPr>
        <w:t>——————————————————————————————————————————————————————————————————————</w:t>
      </w:r>
    </w:p>
    <w:p>
      <w:pPr>
        <w:spacing w:before="160" w:after="40" w:line="240" w:lineRule="auto"/>
      </w:pPr>
      <w:r>
        <w:rPr>
          <w:b/>
        </w:rPr>
        <w:t xml:space="preserve">[209] </w:t>
      </w:r>
      <w:hyperlink r:id="rId322">
        <w:r>
          <w:rPr>
            <w:color w:val="1155CC"/>
            <w:u w:val="single"/>
          </w:rPr>
          <w:t>地球系统模拟表明,蛋白氧zoisic海洋比较绿色,但产量较低。</w:t>
        </w:r>
      </w:hyperlink>
    </w:p>
    <w:p>
      <w:pPr>
        <w:spacing w:before="0" w:after="80"/>
      </w:pPr>
      <w:r>
        <w:rPr>
          <w:i/>
          <w:sz w:val="20"/>
        </w:rPr>
        <w:t>EN: Earth system simulations suggest that the Proterozoic ocean was greener but less productive</w:t>
      </w:r>
    </w:p>
    <w:p>
      <w:pPr>
        <w:spacing w:before="0" w:after="120"/>
      </w:pPr>
      <w:r>
        <w:rPr>
          <w:b/>
        </w:rPr>
        <w:t xml:space="preserve">Source: </w:t>
      </w:r>
      <w:r>
        <w:t>Nature Communications</w:t>
      </w:r>
      <w:r>
        <w:t xml:space="preserve">    </w:t>
      </w:r>
      <w:r>
        <w:rPr>
          <w:b/>
        </w:rPr>
        <w:t xml:space="preserve">Pub date: </w:t>
      </w:r>
      <w:r>
        <w:t>2026-02-17 00:00:00+00:00</w:t>
      </w:r>
    </w:p>
    <w:p>
      <w:pPr>
        <w:spacing w:before="0" w:after="120"/>
      </w:pPr>
      <w:r>
        <w:rPr>
          <w:b/>
        </w:rPr>
        <w:t xml:space="preserve">Notes: </w:t>
      </w:r>
      <w:r>
        <w:t>abstract_source=nature_html</w:t>
      </w:r>
    </w:p>
    <w:p>
      <w:pPr>
        <w:spacing w:before="0" w:after="80" w:lineRule="auto" w:line="276"/>
      </w:pPr>
      <w:r>
        <w:rPr>
          <w:b/>
        </w:rPr>
        <w:t xml:space="preserve">摘要（ZH）: </w:t>
      </w:r>
      <w:r>
        <w:t>地质记录表明,海洋浮游植物在浮游动物仍不存在时,在蛋白质zoic中可能出现海洋浮游植物,而浮游动物的产量并不过低,然而,对浮游植物生物量和净初级生产力的定量估计仍然难以确定,在此,我们使用社区地球系统模型1.2.2版本,修改生物模块和边界条件,以模拟Proterozoic中的海洋生物地球化学循环。模拟表明,在预期的营养水平范围内,海面浮游植物比目前密度高2倍以上,由于缺乏捕食者,维持了更绿的海洋。</w:t>
      </w:r>
    </w:p>
    <w:p>
      <w:pPr>
        <w:spacing w:before="0" w:after="200" w:lineRule="auto" w:line="276"/>
      </w:pPr>
      <w:r>
        <w:rPr>
          <w:b/>
        </w:rPr>
        <w:t xml:space="preserve">Abstract (EN): </w:t>
      </w:r>
      <w:r>
        <w:t>Geological records suggest that marine phytoplankton might have arisen in the Proterozoic while zooplankton remained absent, and marine productivity was not excessively low. However, quantitative estimates of phytoplankton biomass and net primary productivity remain elusive. Here, we use the Community Earth System Model version 1.2.2, modifying biological module and boundary conditions, to simulate marine biogeochemical cycles in the Proterozoic. The simulations demonstrate that, within the expected range of nutrient levels, phytoplankton at sea surface was more than 2 times denser than present, sustaining a greener ocean due to the absence of predators. Heavier surface chlorophyll in the Proterozoic would block sunlight from reaching subsurface layers. This so-called self-shielding effect would decrease subsurface net primary productivity significantly. Simulations show that, through the combined influence of low nitrate level under a low-oxygen environment, the absence of diatoms, and self-shielding, the Proterozoic net primary productivity was only approximately 60% and 30% of the present level in warm (almost ice-free) and cold (sea-ice reaches around 30°N/S) periods, respectively. These findings are subject to uncertainties in model framework and Proterozoic nutrients levels; a slightly less green ocean or more productive ocean was possible if the phosphorus level was much lower or higher than the present level.</w:t>
      </w:r>
    </w:p>
    <w:p>
      <w:pPr>
        <w:spacing w:before="120" w:after="120"/>
      </w:pPr>
      <w:r>
        <w:rPr>
          <w:sz w:val="18"/>
        </w:rPr>
        <w:t>——————————————————————————————————————————————————————————————————————</w:t>
      </w:r>
    </w:p>
    <w:p>
      <w:pPr>
        <w:spacing w:before="160" w:after="40" w:line="240" w:lineRule="auto"/>
      </w:pPr>
      <w:r>
        <w:rPr>
          <w:b/>
        </w:rPr>
        <w:t xml:space="preserve">[210] </w:t>
      </w:r>
      <w:hyperlink r:id="rId323">
        <w:r>
          <w:rPr>
            <w:color w:val="1155CC"/>
            <w:u w:val="single"/>
          </w:rPr>
          <w:t>有条件归属在了解复杂的极端天气方面的关键作用</w:t>
        </w:r>
      </w:hyperlink>
    </w:p>
    <w:p>
      <w:pPr>
        <w:spacing w:before="0" w:after="80"/>
      </w:pPr>
      <w:r>
        <w:rPr>
          <w:i/>
          <w:sz w:val="20"/>
        </w:rPr>
        <w:t>EN: The essential role of conditional attribution in understanding complex extreme weather</w:t>
      </w:r>
    </w:p>
    <w:p>
      <w:pPr>
        <w:spacing w:before="0" w:after="120"/>
      </w:pPr>
      <w:r>
        <w:rPr>
          <w:b/>
        </w:rPr>
        <w:t xml:space="preserve">Source: </w:t>
      </w:r>
      <w:r>
        <w:t>Nature Communications</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[211] </w:t>
      </w:r>
      <w:hyperlink r:id="rId324">
        <w:r>
          <w:rPr>
            <w:color w:val="1155CC"/>
            <w:u w:val="single"/>
          </w:rPr>
          <w:t>整数大厅状态中的半整数热导热</w:t>
        </w:r>
      </w:hyperlink>
    </w:p>
    <w:p>
      <w:pPr>
        <w:spacing w:before="0" w:after="80"/>
      </w:pPr>
      <w:r>
        <w:rPr>
          <w:i/>
          <w:sz w:val="20"/>
        </w:rPr>
        <w:t>EN: Half-integer thermal conductance in integer quantum Hall states</w:t>
      </w:r>
    </w:p>
    <w:p>
      <w:pPr>
        <w:spacing w:before="0" w:after="120"/>
      </w:pPr>
      <w:r>
        <w:rPr>
          <w:b/>
        </w:rPr>
        <w:t xml:space="preserve">Source: </w:t>
      </w:r>
      <w:r>
        <w:t>Nature Communications</w:t>
      </w:r>
      <w:r>
        <w:t xml:space="preserve">    </w:t>
      </w:r>
      <w:r>
        <w:rPr>
          <w:b/>
        </w:rPr>
        <w:t xml:space="preserve">Pub date: </w:t>
      </w:r>
      <w:r>
        <w:t>2026-02-17 00:00:00+00:00</w:t>
      </w:r>
    </w:p>
    <w:p>
      <w:pPr>
        <w:spacing w:before="0" w:after="120"/>
      </w:pPr>
      <w:r>
        <w:rPr>
          <w:b/>
        </w:rPr>
        <w:t xml:space="preserve">Notes: </w:t>
      </w:r>
      <w:r>
        <w:t>abstract_source=nature_html</w:t>
      </w:r>
    </w:p>
    <w:p>
      <w:pPr>
        <w:spacing w:before="0" w:after="80" w:lineRule="auto" w:line="276"/>
      </w:pPr>
      <w:r>
        <w:rPr>
          <w:b/>
        </w:rPr>
        <w:t xml:space="preserve">摘要（ZH）: </w:t>
      </w:r>
      <w:r>
        <w:t>考虑到一系列物质候选量子阶段,半整数热导体据信是非亚伯利亚国家的明确证据。人们早已知道,这种半整数值之所以产生,是因为存在Majana 边缘模式,这是向地貌量计算迈出的重要一步。在这里,我们提出一个全面的理论和实验研究来挑战这一普遍概念,即使用整数孔状态实现半整数两端热导体两端热导体高。我们提议的设置具有两极石刻度的有限几何特征,将不同的粒子相互连接起来,以及洞状整形量子大厅边缘。装置的每个部分都显示完全充电和热平衡。我们的方法是一般的。</w:t>
      </w:r>
    </w:p>
    <w:p>
      <w:pPr>
        <w:spacing w:before="0" w:after="200" w:lineRule="auto" w:line="276"/>
      </w:pPr>
      <w:r>
        <w:rPr>
          <w:b/>
        </w:rPr>
        <w:t xml:space="preserve">Abstract (EN): </w:t>
      </w:r>
      <w:r>
        <w:t>Considering a range of candidate quantum phases of matter, half-integer thermal conductance is believed to be an unambiguous evidence of non-Abelian states. It has been long known that such half-integer values arise due to the presence of Majorana edge modes, representing a significant step towards topological quantum computing. Here, we challenge this prevailing notion by presenting a comprehensive theoretical and experimental study where half-integer two-terminal thermal conductance plateau is realized employing integer quantum Hall states. Our proposed setup features a confined geometry of bilayer graphene, interfacing distinct particle and hole-like integer quantum Hall edges. Each segment of the device exhibits full charge and thermal equilibration. Our approach is amenable to generalization to other quantum Hall platforms, and may give rise to other values of fractional quantized transport. Our study demonstrates that the observation of robust non-integer values of thermal conductance can arise as a manifestation of mundane equilibration dynamics as opposed to underlying non-trivial topology.</w:t>
      </w:r>
    </w:p>
    <w:p>
      <w:pPr>
        <w:spacing w:before="120" w:after="120"/>
      </w:pPr>
      <w:r>
        <w:rPr>
          <w:sz w:val="18"/>
        </w:rPr>
        <w:t>——————————————————————————————————————————————————————————————————————</w:t>
      </w:r>
    </w:p>
    <w:p>
      <w:pPr>
        <w:spacing w:before="160" w:after="40" w:line="240" w:lineRule="auto"/>
      </w:pPr>
      <w:r>
        <w:rPr>
          <w:b/>
        </w:rPr>
        <w:t xml:space="preserve">[212] </w:t>
      </w:r>
      <w:hyperlink r:id="rId325">
        <w:r>
          <w:rPr>
            <w:color w:val="1155CC"/>
            <w:u w:val="single"/>
          </w:rPr>
          <w:t>每日简报:科学影响者在网上处理错误信息</w:t>
        </w:r>
      </w:hyperlink>
    </w:p>
    <w:p>
      <w:pPr>
        <w:spacing w:before="0" w:after="80"/>
      </w:pPr>
      <w:r>
        <w:rPr>
          <w:i/>
          <w:sz w:val="20"/>
        </w:rPr>
        <w:t>EN: Daily briefing: The science influencers tackling misinformation online</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[213] </w:t>
      </w:r>
      <w:hyperlink r:id="rId326">
        <w:r>
          <w:rPr>
            <w:color w:val="1155CC"/>
            <w:u w:val="single"/>
          </w:rPr>
          <w:t>出版商校正: 迷幻剂通过5-HT2A受体受体中介的 Gi 信号作用</w:t>
        </w:r>
      </w:hyperlink>
    </w:p>
    <w:p>
      <w:pPr>
        <w:spacing w:before="0" w:after="80"/>
      </w:pPr>
      <w:r>
        <w:rPr>
          <w:i/>
          <w:sz w:val="20"/>
        </w:rPr>
        <w:t>EN: Publisher Correction: Psychedelics elicit their effects by 5-HT2A receptor-mediated Gi signalling</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327">
        <w:r>
          <w:rPr>
            <w:color w:val="1155CC"/>
            <w:u w:val="single"/>
          </w:rPr>
          <w:t>固态排放物中许多人的纠缠</w:t>
        </w:r>
      </w:hyperlink>
    </w:p>
    <w:p>
      <w:pPr>
        <w:spacing w:before="0" w:after="80"/>
      </w:pPr>
      <w:r>
        <w:rPr>
          <w:i/>
          <w:sz w:val="20"/>
        </w:rPr>
        <w:t>EN: Many-body entanglement in solid-state emitters</w:t>
      </w:r>
    </w:p>
    <w:p>
      <w:pPr>
        <w:spacing w:before="0" w:after="120"/>
      </w:pPr>
      <w:r>
        <w:rPr>
          <w:b/>
        </w:rPr>
        <w:t xml:space="preserve">Source: </w:t>
      </w:r>
      <w:r>
        <w:t>Nature Reviews Materials</w:t>
      </w:r>
      <w:r>
        <w:t xml:space="preserve">    </w:t>
      </w:r>
      <w:r>
        <w:rPr>
          <w:b/>
        </w:rPr>
        <w:t xml:space="preserve">Pub date: </w:t>
      </w:r>
      <w:r>
        <w:t>2026-02-17 00:00:00+00:00</w:t>
      </w:r>
    </w:p>
    <w:p>
      <w:pPr>
        <w:spacing w:before="0" w:after="120"/>
      </w:pPr>
      <w:r>
        <w:rPr>
          <w:b/>
        </w:rPr>
        <w:t xml:space="preserve">Notes: </w:t>
      </w:r>
      <w:r>
        <w:t>abstract_source=nature_html</w:t>
      </w:r>
    </w:p>
    <w:p>
      <w:pPr>
        <w:spacing w:before="0" w:after="80" w:lineRule="auto" w:line="276"/>
      </w:pPr>
      <w:r>
        <w:rPr>
          <w:b/>
        </w:rPr>
        <w:t xml:space="preserve">摘要（ZH）: </w:t>
      </w:r>
      <w:r>
        <w:t>量子状态的制衡和控制是量子信息科学的核心所在。 固态量子排放物(QEs)和纳米光谱学的最新进步改变了量子光度技术的景观,使得光量度和物质量子状态的可伸缩生成。 固态量子光子中的新前沿是设计QE和光子之间的多体互动,以实现强力一致性和控制可控的多体纠结。 这些纠缠在一起的状态,包括光子图和集体状态、超辐射排放和突发量子阶段,都有望实现量子计算、感测和模拟。 然而,在固态平台中,内在的不相容性和不相容性对于实现这种复杂状态提出了巨大的挑战。</w:t>
      </w:r>
    </w:p>
    <w:p>
      <w:pPr>
        <w:spacing w:before="0" w:after="200" w:lineRule="auto" w:line="276"/>
      </w:pPr>
      <w:r>
        <w:rPr>
          <w:b/>
        </w:rPr>
        <w:t xml:space="preserve">Abstract (EN): </w:t>
      </w:r>
      <w:r>
        <w:t>The preparation and control of quantum states lie at the heart of quantum information science. Recent advances in solid-state quantum emitters (QEs) and nanophotonics have transformed the landscape of quantum photonic technologies, enabling scalable generation of quantum states of light and matter. A new frontier in solid-state quantum photonics is the engineering of many-body interactions between QEs and photons to achieve robust coherence and controllable many-body entanglement. These entangled states, including photonic graph and cluster states, superradiant emission and emergent quantum phases, are promising for quantum computation, sensing and simulation. However, intrinsic inhomogeneities and decoherence in solid-state platforms pose considerable challenges in realizing such complex entangled states. This Review provides an overview of fundamental many-body interactions and dynamics at the light–matter interfaces of solid-state QEs and discusses recent advances in mitigating decoherence and harnessing robust many-body coherence.</w:t>
      </w:r>
    </w:p>
    <w:p>
      <w:pPr>
        <w:spacing w:before="120" w:after="120"/>
      </w:pPr>
      <w:r>
        <w:rPr>
          <w:sz w:val="18"/>
        </w:rPr>
        <w:t>——————————————————————————————————————————————————————————————————————</w:t>
      </w:r>
    </w:p>
    <w:p>
      <w:pPr>
        <w:spacing w:before="160" w:after="40" w:line="240" w:lineRule="auto"/>
      </w:pPr>
      <w:r>
        <w:rPr>
          <w:b/>
        </w:rPr>
        <w:t xml:space="preserve">[215] </w:t>
      </w:r>
      <w:hyperlink r:id="rId328">
        <w:r>
          <w:rPr>
            <w:color w:val="1155CC"/>
            <w:u w:val="single"/>
          </w:rPr>
          <w:t>以P2P交易方式协调规划多能源微电微电网的协调稳健规划:基于差异的不平等分配办法</w:t>
        </w:r>
      </w:hyperlink>
    </w:p>
    <w:p>
      <w:pPr>
        <w:spacing w:before="0" w:after="80"/>
      </w:pPr>
      <w:r>
        <w:rPr>
          <w:i/>
          <w:sz w:val="20"/>
        </w:rPr>
        <w:t>EN: Coordinated robust planning of multi-energy microgrids with P2P trading: A variational inequality based distributed approach</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[216] </w:t>
      </w:r>
      <w:hyperlink r:id="rId329">
        <w:r>
          <w:rPr>
            <w:color w:val="1155CC"/>
            <w:u w:val="single"/>
          </w:rPr>
          <w:t>筹资系统需要固定, 但它不是“浪费时间和金钱”</w:t>
        </w:r>
      </w:hyperlink>
    </w:p>
    <w:p>
      <w:pPr>
        <w:spacing w:before="0" w:after="80"/>
      </w:pPr>
      <w:r>
        <w:rPr>
          <w:i/>
          <w:sz w:val="20"/>
        </w:rPr>
        <w:t>EN: The funding system needs fixing — but it’s not a ‘waste of time and money’</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[217] </w:t>
      </w:r>
      <w:hyperlink r:id="rId330">
        <w:r>
          <w:rPr>
            <w:color w:val="1155CC"/>
            <w:u w:val="single"/>
          </w:rPr>
          <w:t>智能手机是教室中的双带工具</w:t>
        </w:r>
      </w:hyperlink>
    </w:p>
    <w:p>
      <w:pPr>
        <w:spacing w:before="0" w:after="80"/>
      </w:pPr>
      <w:r>
        <w:rPr>
          <w:i/>
          <w:sz w:val="20"/>
        </w:rPr>
        <w:t>EN: Smartphones are a double-edged tool in classrooms</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[218] </w:t>
      </w:r>
      <w:hyperlink r:id="rId331">
        <w:r>
          <w:rPr>
            <w:color w:val="1155CC"/>
            <w:u w:val="single"/>
          </w:rPr>
          <w:t>" 青少年杀人 " 背后的是什么?科学家应该研究这种青少年行为</w:t>
        </w:r>
      </w:hyperlink>
    </w:p>
    <w:p>
      <w:pPr>
        <w:spacing w:before="0" w:after="80"/>
      </w:pPr>
      <w:r>
        <w:rPr>
          <w:i/>
          <w:sz w:val="20"/>
        </w:rPr>
        <w:t>EN: What’s behind ‘teensplaining’? Scientists should study this adolescent behaviour</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[219] </w:t>
      </w:r>
      <w:hyperlink r:id="rId332">
        <w:r>
          <w:rPr>
            <w:color w:val="1155CC"/>
            <w:u w:val="single"/>
          </w:rPr>
          <w:t>统计近似并非一般情报</w:t>
        </w:r>
      </w:hyperlink>
    </w:p>
    <w:p>
      <w:pPr>
        <w:spacing w:before="0" w:after="80"/>
      </w:pPr>
      <w:r>
        <w:rPr>
          <w:i/>
          <w:sz w:val="20"/>
        </w:rPr>
        <w:t>EN: Statistical approximation is not general intelligence</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[220] </w:t>
      </w:r>
      <w:hyperlink r:id="rId333">
        <w:r>
          <w:rPr>
            <w:color w:val="1155CC"/>
            <w:u w:val="single"/>
          </w:rPr>
          <w:t>为什么人工智能研究人员的高薪对科学的未来不利</w:t>
        </w:r>
      </w:hyperlink>
    </w:p>
    <w:p>
      <w:pPr>
        <w:spacing w:before="0" w:after="80"/>
      </w:pPr>
      <w:r>
        <w:rPr>
          <w:i/>
          <w:sz w:val="20"/>
        </w:rPr>
        <w:t>EN: Why sky-high pay for AI researchers is bad for the future of science</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[221] </w:t>
      </w:r>
      <w:hyperlink r:id="rId334">
        <w:r>
          <w:rPr>
            <w:color w:val="1155CC"/>
            <w:u w:val="single"/>
          </w:rPr>
          <w:t>光开可透光成像对比物剂作为精确生物成像的新兴前沿</w:t>
        </w:r>
      </w:hyperlink>
    </w:p>
    <w:p>
      <w:pPr>
        <w:spacing w:before="0" w:after="80"/>
      </w:pPr>
      <w:r>
        <w:rPr>
          <w:i/>
          <w:sz w:val="20"/>
        </w:rPr>
        <w:t>EN: Photoswitchable imaging contrast agents as an emerging frontier in precision bioimaging</w:t>
      </w:r>
    </w:p>
    <w:p>
      <w:pPr>
        <w:spacing w:before="0" w:after="120"/>
      </w:pPr>
      <w:r>
        <w:rPr>
          <w:b/>
        </w:rPr>
        <w:t xml:space="preserve">Source: </w:t>
      </w:r>
      <w:r>
        <w:t>RSC - Chem. Soc. Rev. latest articles</w:t>
      </w:r>
      <w:r>
        <w:t xml:space="preserve">    </w:t>
      </w:r>
      <w:r>
        <w:rPr>
          <w:b/>
        </w:rPr>
        <w:t xml:space="preserve">Pub date: </w:t>
      </w:r>
      <w:r>
        <w:t>2026-02-17 00:00:00+00:00</w:t>
      </w:r>
    </w:p>
    <w:p>
      <w:pPr>
        <w:spacing w:before="0" w:after="120"/>
      </w:pPr>
      <w:r>
        <w:rPr>
          <w:b/>
        </w:rPr>
        <w:t xml:space="preserve">Notes: </w:t>
      </w:r>
      <w:r>
        <w:t>abstract_source=rsc_html</w:t>
      </w:r>
    </w:p>
    <w:p>
      <w:pPr>
        <w:spacing w:before="0" w:after="80" w:lineRule="auto" w:line="276"/>
      </w:pPr>
      <w:r>
        <w:rPr>
          <w:b/>
        </w:rPr>
        <w:t xml:space="preserve">摘要（ZH）: </w:t>
      </w:r>
      <w:r>
        <w:t>可光开分子在交替光辐照下的不同异构体状态之间呈现可逆的光异化,具有独特的光物理特性。从这些分子中衍生出,可光开的成像对比物剂(PICAs)比传统物剂具有显著优势:(1) 通过州开关算法压制背景;(2) 高抗疲劳力促成的连续成像能力;(3) 快速信号调控最大限度地减少获取时间。必须全面分析PICA在生物成像应用方面的进步和持续挑战。这一审查系统地评估了作为州开关者的若干具有代表性的光开关分子,并提出了应对限制的创新分子设计和组装战略。a</w:t>
      </w:r>
    </w:p>
    <w:p>
      <w:pPr>
        <w:spacing w:before="0" w:after="200" w:lineRule="auto" w:line="276"/>
      </w:pPr>
      <w:r>
        <w:rPr>
          <w:b/>
        </w:rPr>
        <w:t xml:space="preserve">Abstract (EN): </w:t>
      </w:r>
      <w:r>
        <w:t>Photoswitchable molecules exhibit reversible photoisomerization between distinct isomeric states under alternating light irradiation, possessing unique photophysical properties. Derived from these molecules, photoswitchable imaging contrast agents (PICAs) offer significant advantages over conventional agents: (1) background suppression through state-switching algorithms; (2) continuous imaging capability enabled by high fatigue resistance; (3) rapid signal modulation minimizing acquisition time. A comprehensive analysis of PICA advancements and persistent challenges across bioimaging applications is imperative. This review systematically evaluates several representative photoswitchable molecules as PICAs and proposes innovative molecular design and assembly strategies to address the limitations hindering the widespread implementation of PICAs in bioimaging, such as hydrophobicity, short-wavelength excitation, and suboptimal emission performance. Additionally, recent advances in PICAs for fluorescence, phosphorescence, photoacoustic, magnetic resonance and Raman imaging are summarized, highlighting their significant contributions to improving bioimaging quality and precision. Finally, an outlook is provided on the intersection of PICA design and property optimization for propelling both preclinical physiological research and clinical diagnostic and monitoring technologies.</w:t>
      </w:r>
    </w:p>
    <w:p>
      <w:pPr>
        <w:spacing w:before="120" w:after="120"/>
      </w:pPr>
      <w:r>
        <w:rPr>
          <w:sz w:val="18"/>
        </w:rPr>
        <w:t>——————————————————————————————————————————————————————————————————————</w:t>
      </w:r>
    </w:p>
    <w:p>
      <w:pPr>
        <w:spacing w:before="160" w:after="40" w:line="240" w:lineRule="auto"/>
      </w:pPr>
      <w:r>
        <w:rPr>
          <w:b/>
        </w:rPr>
        <w:t xml:space="preserve">[222] </w:t>
      </w:r>
      <w:hyperlink r:id="rId335">
        <w:r>
          <w:rPr>
            <w:color w:val="1155CC"/>
            <w:u w:val="single"/>
          </w:rPr>
          <w:t>作者更正: 复杂新结构变体被低估了稀有疾病的原因。</w:t>
        </w:r>
      </w:hyperlink>
    </w:p>
    <w:p>
      <w:pPr>
        <w:spacing w:before="0" w:after="80"/>
      </w:pPr>
      <w:r>
        <w:rPr>
          <w:i/>
          <w:sz w:val="20"/>
        </w:rPr>
        <w:t>EN: Author Correction: Complex de novo structural variants are an underestimated cause of rare disorders</w:t>
      </w:r>
    </w:p>
    <w:p>
      <w:pPr>
        <w:spacing w:before="0" w:after="120"/>
      </w:pPr>
      <w:r>
        <w:rPr>
          <w:b/>
        </w:rPr>
        <w:t xml:space="preserve">Source: </w:t>
      </w:r>
      <w:r>
        <w:t>Nature Communications</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[223] </w:t>
      </w:r>
      <w:hyperlink r:id="rId336">
        <w:r>
          <w:rPr>
            <w:color w:val="1155CC"/>
            <w:u w:val="single"/>
          </w:rPr>
          <w:t>科学影响者在TikTok上传播病毒 以对抗错误信息</w:t>
        </w:r>
      </w:hyperlink>
    </w:p>
    <w:p>
      <w:pPr>
        <w:spacing w:before="0" w:after="80"/>
      </w:pPr>
      <w:r>
        <w:rPr>
          <w:i/>
          <w:sz w:val="20"/>
        </w:rPr>
        <w:t>EN: The science influencers going viral on TikTok to fight misinformation</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[224] </w:t>
      </w:r>
      <w:hyperlink r:id="rId337">
        <w:r>
          <w:rPr>
            <w:color w:val="1155CC"/>
            <w:u w:val="single"/>
          </w:rPr>
          <w:t>心理健康状况的`圣经'更新将会错过标记,</w:t>
        </w:r>
      </w:hyperlink>
    </w:p>
    <w:p>
      <w:pPr>
        <w:spacing w:before="0" w:after="80"/>
      </w:pPr>
      <w:r>
        <w:rPr>
          <w:i/>
          <w:sz w:val="20"/>
        </w:rPr>
        <w:t>EN: Updates to the ‘bible’ for mental-health conditions will miss the mark — is it time to ditch the DSM?</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338">
        <w:r>
          <w:rPr>
            <w:color w:val="1155CC"/>
            <w:u w:val="single"/>
          </w:rPr>
          <w:t>不要将好奇动机的研究降为优先事项</w:t>
        </w:r>
      </w:hyperlink>
    </w:p>
    <w:p>
      <w:pPr>
        <w:spacing w:before="0" w:after="80"/>
      </w:pPr>
      <w:r>
        <w:rPr>
          <w:i/>
          <w:sz w:val="20"/>
        </w:rPr>
        <w:t>EN: Don’t deprioritize curiosity-driven research</w:t>
      </w:r>
    </w:p>
    <w:p>
      <w:pPr>
        <w:spacing w:before="0" w:after="120"/>
      </w:pPr>
      <w:r>
        <w:rPr>
          <w:b/>
        </w:rPr>
        <w:t xml:space="preserve">Source: </w:t>
      </w:r>
      <w:r>
        <w:t>Nature</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[226] </w:t>
      </w:r>
      <w:hyperlink r:id="rId339">
        <w:r>
          <w:rPr>
            <w:color w:val="1155CC"/>
            <w:u w:val="single"/>
          </w:rPr>
          <w:t>光伏发电退化的气候驱动因素:区域变异性和物质途径</w:t>
        </w:r>
      </w:hyperlink>
    </w:p>
    <w:p>
      <w:pPr>
        <w:spacing w:before="0" w:after="80"/>
      </w:pPr>
      <w:r>
        <w:rPr>
          <w:i/>
          <w:sz w:val="20"/>
        </w:rPr>
        <w:t>EN: Climate drivers of photovoltaic degradation: Regional variability and material pathways</w:t>
      </w:r>
    </w:p>
    <w:p>
      <w:pPr>
        <w:spacing w:before="0" w:after="120"/>
      </w:pPr>
      <w:r>
        <w:rPr>
          <w:b/>
        </w:rPr>
        <w:t xml:space="preserve">Source: </w:t>
      </w:r>
      <w:r>
        <w:t>ScienceDirect Publication: Applied Energy</w:t>
      </w:r>
      <w:r>
        <w:t xml:space="preserve">    </w:t>
      </w:r>
      <w:r>
        <w:rPr>
          <w:b/>
        </w:rPr>
        <w:t xml:space="preserve">Pub date: </w:t>
      </w:r>
      <w:r>
        <w:t>2026-02-17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[227] </w:t>
      </w:r>
      <w:hyperlink r:id="rId340">
        <w:r>
          <w:rPr>
            <w:color w:val="1155CC"/>
            <w:u w:val="single"/>
          </w:rPr>
          <w:t>通过机器学习优化的元材料壳进行隐形水体动力学遥感</w:t>
        </w:r>
      </w:hyperlink>
    </w:p>
    <w:p>
      <w:pPr>
        <w:spacing w:before="0" w:after="80"/>
      </w:pPr>
      <w:r>
        <w:rPr>
          <w:i/>
          <w:sz w:val="20"/>
        </w:rPr>
        <w:t>EN: Invisible Hydrodynamic Sensing via Metamaterial Shells Optimized by Machine Learning</w:t>
      </w:r>
    </w:p>
    <w:p>
      <w:pPr>
        <w:spacing w:before="0" w:after="120"/>
      </w:pPr>
      <w:r>
        <w:rPr>
          <w:b/>
        </w:rPr>
        <w:t xml:space="preserve">Source: </w:t>
      </w:r>
      <w:r>
        <w:t>Wiley: Advanced Materials: Table of Contents</w:t>
      </w:r>
      <w:r>
        <w:t xml:space="preserve">    </w:t>
      </w:r>
      <w:r>
        <w:rPr>
          <w:b/>
        </w:rPr>
        <w:t xml:space="preserve">Pub date: </w:t>
      </w:r>
      <w:r>
        <w:t>2026-02-17 06:48:07+00:00</w:t>
      </w:r>
      <w:r>
        <w:t xml:space="preserve">    </w:t>
      </w:r>
      <w:r>
        <w:rPr>
          <w:b/>
        </w:rPr>
        <w:t xml:space="preserve">DOI: </w:t>
      </w:r>
      <w:hyperlink r:id="rId341">
        <w:r>
          <w:rPr>
            <w:color w:val="1155CC"/>
            <w:u w:val="single"/>
          </w:rPr>
          <w:t>10.1002/adma.202519721</w:t>
        </w:r>
      </w:hyperlink>
    </w:p>
    <w:p>
      <w:pPr>
        <w:spacing w:before="0" w:after="120"/>
      </w:pPr>
      <w:r>
        <w:rPr>
          <w:b/>
        </w:rPr>
        <w:t xml:space="preserve">Notes: </w:t>
      </w:r>
      <w:r>
        <w:t>abstract_source=crossref</w:t>
      </w:r>
    </w:p>
    <w:p>
      <w:pPr>
        <w:spacing w:before="0" w:after="80" w:lineRule="auto" w:line="276"/>
      </w:pPr>
      <w:r>
        <w:rPr>
          <w:b/>
        </w:rPr>
        <w:t xml:space="preserve">摘要（ZH）: </w:t>
      </w:r>
      <w:r>
        <w:t>准确流流场遥感对于微氟化物、生物医学和环境监测至关重要。 然而,常规遥感装置由于渗透性不匹配而必然扭曲水流,从而导致错误的数据。 为了克服这一基本限制,我们提议并验证基于合理设计的流体动力学遥感机制,这一机制以合理设计的元材料壳为基础,既能产生受保护的感测核心,同时又能几乎不受干扰地离开外部流流。 具体地说,壳壳将核心区域的压力场恢复到在没有任何障碍的情况下会存在的背景压力场,以便在那里安装的实际传感器能够读出真实的未扰动压力,同时抑制联合岩心外流的扰动。</w:t>
      </w:r>
    </w:p>
    <w:p>
      <w:pPr>
        <w:spacing w:before="0" w:after="200" w:lineRule="auto" w:line="276"/>
      </w:pPr>
      <w:r>
        <w:rPr>
          <w:b/>
        </w:rPr>
        <w:t xml:space="preserve">Abstract (EN): </w:t>
      </w:r>
      <w:r>
        <w:t>Accurate flow‐field sensing is crucial for microfluidics, biomedicine, and environmental monitoring. However, conventional sensing devices inherently distort the flow due to permeability mismatch, leading to erroneous data. To overcome this fundamental limitation, we propose and validate a hydrodynamic sensing mechanism based on a rationally designed metamaterial shell that creates a protected sensing core while leaving the external flow almost undisturbed. Specifically, the shell restores the pressure field in the core region to the background pressure field that would exist in the absence of any obstacle, so that an actual sensor placed there would read the true undisturbed pressure, and at the same time suppresses the disturbance of the combined core–shell structure to the surrounding flow. This shell, with anisotropic permeability derived from scattering‐cancellation theory, thus renders the sensing core invisible to the background flow. Navigating the vast design space is achieved via a deep neural network, which inversely designs microstructures with exceptional accuracy (prediction error %). Our metashell‐enabled sensing scheme reduces pressure measurement errors by four to five orders of magnitude, achieving near‐perfect fidelity even under severe permeability contrasts. This theoretical–machine learning framework establishes a blueprint for distortion‐free hydrodynamic sensing, readily extendable to thermotics, acoustics, and electromagnetics.</w:t>
      </w:r>
    </w:p>
    <w:p>
      <w:pPr>
        <w:spacing w:before="120" w:after="120"/>
      </w:pPr>
      <w:r>
        <w:rPr>
          <w:sz w:val="18"/>
        </w:rPr>
        <w:t>——————————————————————————————————————————————————————————————————————</w:t>
      </w:r>
    </w:p>
    <w:p>
      <w:pPr>
        <w:spacing w:before="160" w:after="40" w:line="240" w:lineRule="auto"/>
      </w:pPr>
      <w:r>
        <w:rPr>
          <w:b/>
        </w:rPr>
        <w:t xml:space="preserve">[228] </w:t>
      </w:r>
      <w:hyperlink r:id="rId342">
        <w:r>
          <w:rPr>
            <w:color w:val="1155CC"/>
            <w:u w:val="single"/>
          </w:rPr>
          <w:t>低温热电环流下Fatigue-Resifent Perovskite光电学的Lattice Strain 分子缓冲管制</w:t>
        </w:r>
      </w:hyperlink>
    </w:p>
    <w:p>
      <w:pPr>
        <w:spacing w:before="0" w:after="80"/>
      </w:pPr>
      <w:r>
        <w:rPr>
          <w:i/>
          <w:sz w:val="20"/>
        </w:rPr>
        <w:t>EN: Molecular Buffering Regulates Lattice Strain for Fatigue‐Resistant Perovskite Photovoltaics Under Cryogenic Thermal Cycling</w:t>
      </w:r>
    </w:p>
    <w:p>
      <w:pPr>
        <w:spacing w:before="0" w:after="120"/>
      </w:pPr>
      <w:r>
        <w:rPr>
          <w:b/>
        </w:rPr>
        <w:t xml:space="preserve">Source: </w:t>
      </w:r>
      <w:r>
        <w:t>Wiley: Advanced Materials: Table of Contents</w:t>
      </w:r>
      <w:r>
        <w:t xml:space="preserve">    </w:t>
      </w:r>
      <w:r>
        <w:rPr>
          <w:b/>
        </w:rPr>
        <w:t xml:space="preserve">Pub date: </w:t>
      </w:r>
      <w:r>
        <w:t>2026-02-17 06:49:21+00:00</w:t>
      </w:r>
      <w:r>
        <w:t xml:space="preserve">    </w:t>
      </w:r>
      <w:r>
        <w:rPr>
          <w:b/>
        </w:rPr>
        <w:t xml:space="preserve">DOI: </w:t>
      </w:r>
      <w:hyperlink r:id="rId343">
        <w:r>
          <w:rPr>
            <w:color w:val="1155CC"/>
            <w:u w:val="single"/>
          </w:rPr>
          <w:t>10.1002/adma.202519339</w:t>
        </w:r>
      </w:hyperlink>
    </w:p>
    <w:p>
      <w:pPr>
        <w:spacing w:before="0" w:after="120"/>
      </w:pPr>
      <w:r>
        <w:rPr>
          <w:b/>
        </w:rPr>
        <w:t xml:space="preserve">Notes: </w:t>
      </w:r>
      <w:r>
        <w:t>abstract_source=crossref</w:t>
      </w:r>
    </w:p>
    <w:p>
      <w:pPr>
        <w:spacing w:before="0" w:after="80" w:lineRule="auto" w:line="276"/>
      </w:pPr>
      <w:r>
        <w:rPr>
          <w:b/>
        </w:rPr>
        <w:t xml:space="preserve">摘要（ZH）: </w:t>
      </w:r>
      <w:r>
        <w:t>温度波动下的普罗夫斯基太阳能电池(PSCs)在温度波动下的运作稳定性对在极地和航空航天区等极端环境中实际应用这些电池构成了重大挑战,尽管这些电池的低温性能值得称道,但低温热循环下的运行降解机制仍然未知。这里,我们发现了一个机械化疲劳过程,在173至298K之间循环循环,通过累积的拉蒂菌株而不是化学分解,造成不可逆转的结构伤害和深层陷阱。为了解决这个问题,我们设计了一个合成分子缓冲(甲基硫磺基)苯并用,通过化学联结消除低温热循环下的累积拉蒂菌株。</w:t>
      </w:r>
    </w:p>
    <w:p>
      <w:pPr>
        <w:spacing w:before="0" w:after="200" w:lineRule="auto" w:line="276"/>
      </w:pPr>
      <w:r>
        <w:rPr>
          <w:b/>
        </w:rPr>
        <w:t xml:space="preserve">Abstract (EN): </w:t>
      </w:r>
      <w:r>
        <w:t>Operational stability of perovskite solar cells (PSCs) under temperature fluctuations poses a critical challenge for their practical application in extreme environments such as polar and aerospace regions. Although they exhibit commendable low‐temperature performance, the operational degradation mechanism under cryogenic thermal cycling remains unknown. Here, we uncover a mechanochemical fatigue process wherein cycling between 173 and 298 K generates irreversible structural injury and deep‐level traps through cumulative lattice strain, rather than chemical decomposition. To address this, we design a π‐conjugated molecular buffer, (methylsulfonyl)benzamidine (MSMC), which dissipates cumulative lattice strain under cryogenic thermal cycling via a chemical bonding network while simultaneously healing crystallographic defects through bidentate lead coordination. This synergistic strategy endows p‐i‐n devices that achieve a record efficiency of 28.01% at 228 K (certified 25.94% at 298 K) and, critically, demonstrate unprecedented resilience to cryogenic thermal shocks, retaining 90% of their initial performance after 260 cycles, nearly threefold improvement over controls. The strategy also provides robust compatibility with standard ISOS protocols (light, heat, humidity), underscoring their broad operational resilience. This work establishes mechanochemical fatigue as a fundamental degradation mode and provides a molecular‐scale methodology for creating robust photovoltaics suitable for widespread applications.</w:t>
      </w:r>
    </w:p>
    <w:p>
      <w:pPr>
        <w:spacing w:before="120" w:after="120"/>
      </w:pPr>
      <w:r>
        <w:rPr>
          <w:sz w:val="18"/>
        </w:rPr>
        <w:t>——————————————————————————————————————————————————————————————————————</w:t>
      </w:r>
    </w:p>
    <w:p>
      <w:pPr>
        <w:spacing w:before="160" w:after="40" w:line="240" w:lineRule="auto"/>
      </w:pPr>
      <w:r>
        <w:rPr>
          <w:b/>
        </w:rPr>
        <w:t xml:space="preserve">[229] </w:t>
      </w:r>
      <w:hyperlink r:id="rId344">
        <w:r>
          <w:rPr>
            <w:color w:val="1155CC"/>
            <w:u w:val="single"/>
          </w:rPr>
          <w:t>促进高效入侵保护和宽带声频透明度的Nanowire网络</w:t>
        </w:r>
      </w:hyperlink>
    </w:p>
    <w:p>
      <w:pPr>
        <w:spacing w:before="0" w:after="80"/>
      </w:pPr>
      <w:r>
        <w:rPr>
          <w:i/>
          <w:sz w:val="20"/>
        </w:rPr>
        <w:t>EN: Eco‐Friendly Centroidal Voronoi‐Tessellated Nanowire Networks for Efficient Ingress Protection and Broadband Acoustic Transparency</w:t>
      </w:r>
    </w:p>
    <w:p>
      <w:pPr>
        <w:spacing w:before="0" w:after="120"/>
      </w:pPr>
      <w:r>
        <w:rPr>
          <w:b/>
        </w:rPr>
        <w:t xml:space="preserve">Source: </w:t>
      </w:r>
      <w:r>
        <w:t>Wiley: Advanced Materials: Table of Contents</w:t>
      </w:r>
      <w:r>
        <w:t xml:space="preserve">    </w:t>
      </w:r>
      <w:r>
        <w:rPr>
          <w:b/>
        </w:rPr>
        <w:t xml:space="preserve">Pub date: </w:t>
      </w:r>
      <w:r>
        <w:t>2026-02-17 06:56:09+00:00</w:t>
      </w:r>
      <w:r>
        <w:t xml:space="preserve">    </w:t>
      </w:r>
      <w:r>
        <w:rPr>
          <w:b/>
        </w:rPr>
        <w:t xml:space="preserve">DOI: </w:t>
      </w:r>
      <w:hyperlink r:id="rId345">
        <w:r>
          <w:rPr>
            <w:color w:val="1155CC"/>
            <w:u w:val="single"/>
          </w:rPr>
          <w:t>10.1002/adma.202520277</w:t>
        </w:r>
      </w:hyperlink>
    </w:p>
    <w:p>
      <w:pPr>
        <w:spacing w:before="0" w:after="120"/>
      </w:pPr>
      <w:r>
        <w:rPr>
          <w:b/>
        </w:rPr>
        <w:t xml:space="preserve">Notes: </w:t>
      </w:r>
      <w:r>
        <w:t>abstract_source=crossref</w:t>
      </w:r>
    </w:p>
    <w:p>
      <w:pPr>
        <w:spacing w:before="0" w:after="80" w:lineRule="auto" w:line="276"/>
      </w:pPr>
      <w:r>
        <w:rPr>
          <w:b/>
        </w:rPr>
        <w:t xml:space="preserve">摘要（ZH）: </w:t>
      </w:r>
      <w:r>
        <w:t>ABSTACT 环境水和尘土侵蚀对人体机械互动(HMI)电子产品构成严重威胁,需要可靠的保护,使其免受纤维性声传通风口的干扰,然而,在声传通风口中,大部分现有的膜面临水防水与声传传输之间不可避免的平衡,同时严重依赖有毒溶剂和含氟聚合物。这里,在环球硫化(CVT)的启发下,我们使用一种独特的绿色电离电技术来开发生态友好型CVT纳米电网(EcoCVTnet)的声波膜。绿色代元溶液系统的操纵以及泰勒锥体喷洒液中的非溶性种子引发的快速分期分离,使得2D CVTNanstruct能够组装2D CVTnanstruct。</w:t>
      </w:r>
    </w:p>
    <w:p>
      <w:pPr>
        <w:spacing w:before="0" w:after="200" w:lineRule="auto" w:line="276"/>
      </w:pPr>
      <w:r>
        <w:rPr>
          <w:b/>
        </w:rPr>
        <w:t xml:space="preserve">Abstract (EN): </w:t>
      </w:r>
      <w:r>
        <w:t>Environmental water and dust ingress pose serious threats to human‐machine interaction (HMI) electronics, necessitating reliable protection from fibrous acoustic vents. However, most existing membranes in acoustic vents face inevitable trade‐offs between waterproofness and acoustic transmittance, while relying heavily on toxic solvents and fluoropolymers. Here, inspired by centroidal Voronoi tessellation (CVT), we use a unique green electro‐nanopatterning technique to develop eco‐friendly CVT nanowire network (EcoCVT‐net) acoustic membranes. Manipulation of a green ternary metastable solution system, and the rapid phase separation induced by non‐solvent seeds in the sprayed droplets of the Taylor cone, enable the assembly of 2D CVT‐nanostructured networks with deep‐subwavelength nanowires (diameter of 15 nm). Such membranes generate a nanoscale pore size of ∼190 nm, superhydrophobicity, and a low airflow resistivity of 7.6 × 10</w:t>
      </w:r>
      <w:r>
        <w:rPr>
          <w:vertAlign w:val="subscript"/>
        </w:rPr>
        <w:t>6</w:t>
      </w:r>
      <w:r>
        <w:t>Pa s m</w:t>
      </w:r>
      <w:r>
        <w:t xml:space="preserve"> </w:t>
      </w:r>
      <w:r>
        <w:t>−2</w:t>
      </w:r>
      <w:r>
        <w:t xml:space="preserve"> </w:t>
      </w:r>
      <w:r>
        <w:t>, exhibiting both efficient water resistance (110 kPa) and broadband acoustic transparency with negligible sound transmission loss (&amp;lt;0.35 dB) across 63–20 000 Hz. Demonstrated in voice‐based artificial intelligence electronics, our acoustic vents deliver high‐fidelity voice transmission and long‐term IP68‐level protection for over 1000 h. This work provides a sustainable design pathway for fibrous acoustic metamaterials and should prove instrumental for the development of voice‐based HMI technologies.</w:t>
      </w:r>
    </w:p>
    <w:p>
      <w:pPr>
        <w:spacing w:before="120" w:after="120"/>
      </w:pPr>
      <w:r>
        <w:rPr>
          <w:sz w:val="18"/>
        </w:rPr>
        <w:t>——————————————————————————————————————————————————————————————————————</w:t>
      </w:r>
    </w:p>
    <w:p>
      <w:pPr>
        <w:spacing w:before="160" w:after="40" w:line="240" w:lineRule="auto"/>
      </w:pPr>
      <w:r>
        <w:rPr>
          <w:b/>
        </w:rPr>
        <w:t xml:space="preserve">[230] </w:t>
      </w:r>
      <w:hyperlink r:id="rId346">
        <w:r>
          <w:rPr>
            <w:color w:val="1155CC"/>
            <w:u w:val="single"/>
          </w:rPr>
          <w:t>内分子氢氢质电池增强基质基高功效水质质电池阴极</w:t>
        </w:r>
      </w:hyperlink>
    </w:p>
    <w:p>
      <w:pPr>
        <w:spacing w:before="0" w:after="80"/>
      </w:pPr>
      <w:r>
        <w:rPr>
          <w:i/>
          <w:sz w:val="20"/>
        </w:rPr>
        <w:t>EN: Intramolecular Hydrogen Bonds Enhanced Quinone‐Based Anode for High‐Performance Aqueous Proton Batteries</w:t>
      </w:r>
    </w:p>
    <w:p>
      <w:pPr>
        <w:spacing w:before="0" w:after="120"/>
      </w:pPr>
      <w:r>
        <w:rPr>
          <w:b/>
        </w:rPr>
        <w:t xml:space="preserve">Source: </w:t>
      </w:r>
      <w:r>
        <w:t>Wiley: Advanced Materials: Table of Contents</w:t>
      </w:r>
      <w:r>
        <w:t xml:space="preserve">    </w:t>
      </w:r>
      <w:r>
        <w:rPr>
          <w:b/>
        </w:rPr>
        <w:t xml:space="preserve">Pub date: </w:t>
      </w:r>
      <w:r>
        <w:t>2026-02-17 06:56:22+00:00</w:t>
      </w:r>
      <w:r>
        <w:t xml:space="preserve">    </w:t>
      </w:r>
      <w:r>
        <w:rPr>
          <w:b/>
        </w:rPr>
        <w:t xml:space="preserve">DOI: </w:t>
      </w:r>
      <w:hyperlink r:id="rId347">
        <w:r>
          <w:rPr>
            <w:color w:val="1155CC"/>
            <w:u w:val="single"/>
          </w:rPr>
          <w:t>10.1002/adma.202522232</w:t>
        </w:r>
      </w:hyperlink>
    </w:p>
    <w:p>
      <w:pPr>
        <w:spacing w:before="0" w:after="120"/>
      </w:pPr>
      <w:r>
        <w:rPr>
          <w:b/>
        </w:rPr>
        <w:t xml:space="preserve">Notes: </w:t>
      </w:r>
      <w:r>
        <w:t>abstract_source=crossref</w:t>
      </w:r>
    </w:p>
    <w:p>
      <w:pPr>
        <w:spacing w:before="0" w:after="80" w:lineRule="auto" w:line="276"/>
      </w:pPr>
      <w:r>
        <w:rPr>
          <w:b/>
        </w:rPr>
        <w:t xml:space="preserve">摘要（ZH）: </w:t>
      </w:r>
      <w:r>
        <w:t>利用红氧化活性有机材料作为最低限度水合物质充电载荷载体,ABSTACT A水质质电池(APBs)利用红氧化活性有机材料作为最低氢化质充电载荷载体,已成为下一代能源储存的有希望的候选产品,然而,传统的五氯乙烯基电极内涵已受到严重的限制,包括电极溶解和强酸电解液中缓慢反应动力学。为克服这一挑战,设计了一种含有分子氢联结(HBs)的五氯硝基聚合物材料,作为丙基氢联苯的导管。</w:t>
      </w:r>
    </w:p>
    <w:p>
      <w:pPr>
        <w:spacing w:before="0" w:after="200" w:lineRule="auto" w:line="276"/>
      </w:pPr>
      <w:r>
        <w:rPr>
          <w:b/>
        </w:rPr>
        <w:t xml:space="preserve">Abstract (EN): </w:t>
      </w:r>
      <w:r>
        <w:t>Aqueous proton batteries (APBs), utilizing redox‐active organic materials as the minimal hydrate proton charge carriers, have emerged as promising candidates for next‐generation energy‐storage. However, conventional quinone‐based electrode inclines to suffer from critical limitations, including electrode dissolution and sluggish reaction kinetics in strong acid electrolytes. To overcome this challenge, a quinone‐based polymer (HMND) material with intermolecular hydrogen bonds (HBs) was designed as an anode for APBs. This material forms HBs (C═O⋯N─H) between O in ─C═O and H in ─NH</w:t>
      </w:r>
      <w:r>
        <w:rPr>
          <w:vertAlign w:val="subscript"/>
        </w:rPr>
        <w:t>2</w:t>
      </w:r>
      <w:r>
        <w:t>that can not only significantly enhance the cycling stability of the organic electrode but also endow it with outstanding rate capability by accelerating proton transfer through the Grotthuss mechanism. The proton insertion/extraction mechanism has been verified through DFT, in situ/ex situ Raman spectra, and FT‐IR. Furthermore, the full APBs coupled with MnO</w:t>
      </w:r>
      <w:r>
        <w:rPr>
          <w:vertAlign w:val="subscript"/>
        </w:rPr>
        <w:t>2</w:t>
      </w:r>
      <w:r>
        <w:t>@GF cathode delivers a long lifespan of 42 000 cycles with a capacity decay rate of only 0.0018% per cycle at 8 A g</w:t>
      </w:r>
      <w:r>
        <w:t xml:space="preserve"> </w:t>
      </w:r>
      <w:r>
        <w:t>−1</w:t>
      </w:r>
      <w:r>
        <w:t xml:space="preserve"> </w:t>
      </w:r>
      <w:r>
        <w:t>, along with an excellent rate performance (212.5 mAh g</w:t>
      </w:r>
      <w:r>
        <w:t xml:space="preserve"> </w:t>
      </w:r>
      <w:r>
        <w:t>−1</w:t>
      </w:r>
      <w:r>
        <w:t xml:space="preserve"> </w:t>
      </w:r>
      <w:r>
        <w:t>at 1 A g</w:t>
      </w:r>
      <w:r>
        <w:t xml:space="preserve"> </w:t>
      </w:r>
      <w:r>
        <w:t>−1</w:t>
      </w:r>
      <w:r>
        <w:t xml:space="preserve"> </w:t>
      </w:r>
      <w:r>
        <w:t>, 91.4 mAh g</w:t>
      </w:r>
      <w:r>
        <w:t xml:space="preserve"> </w:t>
      </w:r>
      <w:r>
        <w:t>−1</w:t>
      </w:r>
      <w:r>
        <w:t xml:space="preserve"> </w:t>
      </w:r>
      <w:r>
        <w:t>at 70 Ag</w:t>
      </w:r>
      <w:r>
        <w:t xml:space="preserve"> </w:t>
      </w:r>
      <w:r>
        <w:t>−1</w:t>
      </w:r>
      <w:r>
        <w:t xml:space="preserve"> </w:t>
      </w:r>
      <w:r>
        <w:t>). It consistently showcases outstanding electrochemical performances even under extreme conditions in a frozen electrolyte at −60 °C, implying great potential for energy storage applications under extreme temperature scenarios.</w:t>
      </w:r>
    </w:p>
    <w:p>
      <w:pPr>
        <w:spacing w:before="120" w:after="120"/>
      </w:pPr>
      <w:r>
        <w:rPr>
          <w:sz w:val="18"/>
        </w:rPr>
        <w:t>——————————————————————————————————————————————————————————————————————</w:t>
      </w:r>
    </w:p>
    <w:p>
      <w:pPr>
        <w:spacing w:before="160" w:after="40" w:line="240" w:lineRule="auto"/>
      </w:pPr>
      <w:r>
        <w:rPr>
          <w:b/>
        </w:rPr>
        <w:t xml:space="preserve">[231] </w:t>
      </w:r>
      <w:hyperlink r:id="rId348">
        <w:r>
          <w:rPr>
            <w:color w:val="1155CC"/>
            <w:u w:val="single"/>
          </w:rPr>
          <w:t>通过超稳定锌金属电池反扩散性生物分子,自定垂直Z沉积和调控用于超稳定锌金属电池的自定垂直Z沉积和受管制的干涉动动脉</w:t>
        </w:r>
      </w:hyperlink>
    </w:p>
    <w:p>
      <w:pPr>
        <w:spacing w:before="0" w:after="80"/>
      </w:pPr>
      <w:r>
        <w:rPr>
          <w:i/>
          <w:sz w:val="20"/>
        </w:rPr>
        <w:t>EN: Customized Vertical Zn Deposition and Regulated Interfacial Kinetics via Anti‐Inflammatory Biomolecules for Ultra‐Stable Zn Metal Batteries</w:t>
      </w:r>
    </w:p>
    <w:p>
      <w:pPr>
        <w:spacing w:before="0" w:after="120"/>
      </w:pPr>
      <w:r>
        <w:rPr>
          <w:b/>
        </w:rPr>
        <w:t xml:space="preserve">Source: </w:t>
      </w:r>
      <w:r>
        <w:t>Wiley: Advanced Materials: Table of Contents</w:t>
      </w:r>
      <w:r>
        <w:t xml:space="preserve">    </w:t>
      </w:r>
      <w:r>
        <w:rPr>
          <w:b/>
        </w:rPr>
        <w:t xml:space="preserve">Pub date: </w:t>
      </w:r>
      <w:r>
        <w:t>2026-02-17 07:05:25+00:00</w:t>
      </w:r>
      <w:r>
        <w:t xml:space="preserve">    </w:t>
      </w:r>
      <w:r>
        <w:rPr>
          <w:b/>
        </w:rPr>
        <w:t xml:space="preserve">DOI: </w:t>
      </w:r>
      <w:hyperlink r:id="rId349">
        <w:r>
          <w:rPr>
            <w:color w:val="1155CC"/>
            <w:u w:val="single"/>
          </w:rPr>
          <w:t>10.1002/adma.202521699</w:t>
        </w:r>
      </w:hyperlink>
    </w:p>
    <w:p>
      <w:pPr>
        <w:spacing w:before="0" w:after="120"/>
      </w:pPr>
      <w:r>
        <w:rPr>
          <w:b/>
        </w:rPr>
        <w:t xml:space="preserve">Notes: </w:t>
      </w:r>
      <w:r>
        <w:t>abstract_source=crossref</w:t>
      </w:r>
    </w:p>
    <w:p>
      <w:pPr>
        <w:spacing w:before="0" w:after="80" w:lineRule="auto" w:line="276"/>
      </w:pPr>
      <w:r>
        <w:rPr>
          <w:b/>
        </w:rPr>
        <w:t xml:space="preserve">摘要（ZH）: </w:t>
      </w:r>
      <w:r>
        <w:t>ABSTACT 控制 Zn ( 100 方向沉积) ABSTRACT 控制 Zn ( 100 方向沉积) 为高度可逆的 Zn 阳极提供了一条很有希望的路线,然而,这一面的寄生虫反应和不平衡的间动动动动反应的内在易感性构成了严峻的挑战。在这里,在煽动性应激压力生物调节的启发下,建议将硫化聚沙焦素作为可持续的电解添加剂。具体来说,dextran硫酸钠(DSS)使耐用Zn (100) 电镀/剥除和平衡的间动能得以实现。DSS的高密度持续结结结的 -SO 3 - 债券可以重建Zn 2+ 溶解结构,并构建一个坚固的互通层以缓解突变力。</w:t>
      </w:r>
    </w:p>
    <w:p>
      <w:pPr>
        <w:spacing w:before="0" w:after="200" w:lineRule="auto" w:line="276"/>
      </w:pPr>
      <w:r>
        <w:rPr>
          <w:b/>
        </w:rPr>
        <w:t xml:space="preserve">Abstract (EN): </w:t>
      </w:r>
      <w:r>
        <w:t>Controlling Zn (100) oriented deposition offers a promising route for highly reversible Zn anodes, yet the intrinsic susceptibility to parasitic reactions and unbalanced interfacial kinetics of this facet pose critical challenges. Herein, inspired by the biological regulation of inflammatory stress, sulfated polysaccharides are proposed as sustainable electrolyte additives. Specifically, dextran sulfate sodium (DSS) enables durable Zn (100) plating/stripping and balanced interfacial kinetics. The high‐density continuously grafted ─SO</w:t>
      </w:r>
      <w:r>
        <w:rPr>
          <w:vertAlign w:val="subscript"/>
        </w:rPr>
        <w:t>3</w:t>
      </w:r>
      <w:r>
        <w:t>−</w:t>
      </w:r>
      <w:r>
        <w:t>bonds in DSS can rebuild Zn</w:t>
      </w:r>
      <w:r>
        <w:t xml:space="preserve"> </w:t>
      </w:r>
      <w:r>
        <w:t>2+</w:t>
      </w:r>
      <w:r>
        <w:t xml:space="preserve"> </w:t>
      </w:r>
      <w:r>
        <w:t>solvation structure and construct a robust interfacial layer to mitigate parasitic reaction and dendrite formation. Preferred absorption of DSS on (100) facet through ─SO</w:t>
      </w:r>
      <w:r>
        <w:rPr>
          <w:vertAlign w:val="subscript"/>
        </w:rPr>
        <w:t>3</w:t>
      </w:r>
      <w:r>
        <w:t>−</w:t>
      </w:r>
      <w:r>
        <w:t>bonds restrict Zn growth along this facet and facilitate Zn</w:t>
      </w:r>
      <w:r>
        <w:t xml:space="preserve"> </w:t>
      </w:r>
      <w:r>
        <w:t>2+</w:t>
      </w:r>
      <w:r>
        <w:t xml:space="preserve"> </w:t>
      </w:r>
      <w:r>
        <w:t>diffusion from adjacent (002)/(101) facets, ultimately exposing Zn (100) texture. Multiple ─SO</w:t>
      </w:r>
      <w:r>
        <w:rPr>
          <w:vertAlign w:val="subscript"/>
        </w:rPr>
        <w:t>3</w:t>
      </w:r>
      <w:r>
        <w:t>−</w:t>
      </w:r>
      <w:r>
        <w:t>bonds enable fast desolvation and ionic transport kinetics, and steric hindrance of DSS ensures moderated Zn</w:t>
      </w:r>
      <w:r>
        <w:t xml:space="preserve"> </w:t>
      </w:r>
      <w:r>
        <w:t>2+</w:t>
      </w:r>
      <w:r>
        <w:t xml:space="preserve"> </w:t>
      </w:r>
      <w:r>
        <w:t>reduction kinetics, synergistically establishing a kinetics‐balanced interface for durable Zn (100) deposition. Consequently, the DSS‐modified electrolyte achieves exceptional cycling stability (10400 h at 1 mA cm</w:t>
      </w:r>
      <w:r>
        <w:t xml:space="preserve"> </w:t>
      </w:r>
      <w:r>
        <w:t>−2</w:t>
      </w:r>
      <w:r>
        <w:t xml:space="preserve"> </w:t>
      </w:r>
      <w:r>
        <w:t>) and high‐rate capability (1500 h at 20 mA cm</w:t>
      </w:r>
      <w:r>
        <w:t xml:space="preserve"> </w:t>
      </w:r>
      <w:r>
        <w:t>−2</w:t>
      </w:r>
      <w:r>
        <w:t xml:space="preserve"> </w:t>
      </w:r>
      <w:r>
        <w:t>) for (100)‐oriented Zn anodes. The broad compatibility with various cathodes underscores the practical promise of this strategy. This work highlights rational molecular design in regulating crystallographic orientation and interfacial kinetics for advanced Zn metal batteries.</w:t>
      </w:r>
    </w:p>
    <w:p>
      <w:pPr>
        <w:spacing w:before="120" w:after="120"/>
      </w:pPr>
      <w:r>
        <w:rPr>
          <w:sz w:val="18"/>
        </w:rPr>
        <w:t>——————————————————————————————————————————————————————————————————————</w:t>
      </w:r>
    </w:p>
    <w:p>
      <w:pPr>
        <w:spacing w:before="160" w:after="40" w:line="240" w:lineRule="auto"/>
      </w:pPr>
      <w:r>
        <w:rPr>
          <w:b/>
        </w:rPr>
        <w:t xml:space="preserve">[232] </w:t>
      </w:r>
      <w:hyperlink r:id="rId350">
        <w:r>
          <w:rPr>
            <w:color w:val="1155CC"/>
            <w:u w:val="single"/>
          </w:rPr>
          <w:t>利用对(003)水晶平板进行修理,从分级的多晶晶体再生单一晶体,以修复(003)水晶平板</w:t>
        </w:r>
      </w:hyperlink>
    </w:p>
    <w:p>
      <w:pPr>
        <w:spacing w:before="0" w:after="80"/>
      </w:pPr>
      <w:r>
        <w:rPr>
          <w:i/>
          <w:sz w:val="20"/>
        </w:rPr>
        <w:t>EN: Regeneration of Single‐Crystal with Repaired of the (003) Crystal Plane from Degraded Polycrystalline Ternary Cathode</w:t>
      </w:r>
    </w:p>
    <w:p>
      <w:pPr>
        <w:spacing w:before="0" w:after="120"/>
      </w:pPr>
      <w:r>
        <w:rPr>
          <w:b/>
        </w:rPr>
        <w:t xml:space="preserve">Source: </w:t>
      </w:r>
      <w:r>
        <w:t>Wiley: Advanced Materials: Table of Contents</w:t>
      </w:r>
      <w:r>
        <w:t xml:space="preserve">    </w:t>
      </w:r>
      <w:r>
        <w:rPr>
          <w:b/>
        </w:rPr>
        <w:t xml:space="preserve">Pub date: </w:t>
      </w:r>
      <w:r>
        <w:t>2026-02-17 07:25:10+00:00</w:t>
      </w:r>
      <w:r>
        <w:t xml:space="preserve">    </w:t>
      </w:r>
      <w:r>
        <w:rPr>
          <w:b/>
        </w:rPr>
        <w:t xml:space="preserve">DOI: </w:t>
      </w:r>
      <w:hyperlink r:id="rId351">
        <w:r>
          <w:rPr>
            <w:color w:val="1155CC"/>
            <w:u w:val="single"/>
          </w:rPr>
          <w:t>10.1002/adma.202523547</w:t>
        </w:r>
      </w:hyperlink>
    </w:p>
    <w:p>
      <w:pPr>
        <w:spacing w:before="0" w:after="120"/>
      </w:pPr>
      <w:r>
        <w:rPr>
          <w:b/>
        </w:rPr>
        <w:t xml:space="preserve">Notes: </w:t>
      </w:r>
      <w:r>
        <w:t>abstract_source=crossref</w:t>
      </w:r>
    </w:p>
    <w:p>
      <w:pPr>
        <w:spacing w:before="0" w:after="80" w:lineRule="auto" w:line="276"/>
      </w:pPr>
      <w:r>
        <w:rPr>
          <w:b/>
        </w:rPr>
        <w:t xml:space="preserve">摘要（ZH）: </w:t>
      </w:r>
      <w:r>
        <w:t>使用过的聚晶体阴极材料直接再生为高度稳定的单晶体对等物直接再生,预示用过的锂电池(SLIBs)的再循环将发生转变,然而,目前的直接再循环办法,依靠熔化盐介介介的单晶体变异,仍然受到操作复杂性和对(003)晶体平面缺陷修补的零碎机械化理解的限制。</w:t>
      </w:r>
    </w:p>
    <w:p>
      <w:pPr>
        <w:spacing w:before="0" w:after="200" w:lineRule="auto" w:line="276"/>
      </w:pPr>
      <w:r>
        <w:rPr>
          <w:b/>
        </w:rPr>
        <w:t xml:space="preserve">Abstract (EN): </w:t>
      </w:r>
      <w:r>
        <w:t>The direct regeneration of spent polycrystalline cathode materials into highly stable single‐crystal counterparts heralds a transformative shift in the recycling of spent lithium‐ion batteries (S‐LIBs). However, current direct recycling approaches, reliant on molten salt‐mediated single‐crystal transformation, remain constrained by operational complexity and a fragmented mechanistic understanding of defect repair on the (003) crystal plane. Herein, we unveil a streamlined one‐step regeneration strategy leveraging the LiNO</w:t>
      </w:r>
      <w:r>
        <w:rPr>
          <w:vertAlign w:val="subscript"/>
        </w:rPr>
        <w:t>3</w:t>
      </w:r>
      <w:r>
        <w:t>‐LiOH·H</w:t>
      </w:r>
      <w:r>
        <w:rPr>
          <w:vertAlign w:val="subscript"/>
        </w:rPr>
        <w:t>2</w:t>
      </w:r>
      <w:r>
        <w:t>O‐Li</w:t>
      </w:r>
      <w:r>
        <w:rPr>
          <w:vertAlign w:val="subscript"/>
        </w:rPr>
        <w:t>2</w:t>
      </w:r>
      <w:r>
        <w:t>CO</w:t>
      </w:r>
      <w:r>
        <w:rPr>
          <w:vertAlign w:val="subscript"/>
        </w:rPr>
        <w:t>3</w:t>
      </w:r>
      <w:r>
        <w:t>system, enabling the conversion of polycrystalline S‐NCM523 to single‐crystal R‐NCM523 while simultaneously reconstructing (003) crystal plane. DFT and in situ analyses demonstrate that CO</w:t>
      </w:r>
      <w:r>
        <w:rPr>
          <w:vertAlign w:val="subscript"/>
        </w:rPr>
        <w:t>3</w:t>
      </w:r>
      <w:r>
        <w:rPr>
          <w:vertAlign w:val="subscript"/>
        </w:rPr>
        <w:t>2</w:t>
      </w:r>
      <w:r>
        <w:t>−</w:t>
      </w:r>
      <w:r>
        <w:t>, NO</w:t>
      </w:r>
      <w:r>
        <w:rPr>
          <w:vertAlign w:val="subscript"/>
        </w:rPr>
        <w:t>3</w:t>
      </w:r>
      <w:r>
        <w:t>−</w:t>
      </w:r>
      <w:r>
        <w:t>, and OH</w:t>
      </w:r>
      <w:r>
        <w:t xml:space="preserve"> </w:t>
      </w:r>
      <w:r>
        <w:t>−</w:t>
      </w:r>
      <w:r>
        <w:t>preferentially adsorb at the 3a sites within the lithium (Li) layer of the (003) plane. Their oxygen atoms hybridize with Li's 2s orbitals and TM's 3d orbitals, effectively suppressing rock‐salt phase formation via Li vacancy filling and Oxygen vacancy repair. A Two‐step sintering protocol drives particle single‐crystallization and active lithium replenishment. The resultant R‐NCM523 cathode significantly suppresses H2‐H3 phase transitions, delivering an initial half‐cell capacity of 165.80 mAh/g and retaining 81.0% of its discharge capacity after 1000 full‐cell cycles. This precursor‐free strategy achieves a molten salt recovery rate exceeding 90%, providing an industrially viable pathway for efficient, low‐energy S‐LIB regeneration.</w:t>
      </w:r>
    </w:p>
    <w:p>
      <w:pPr>
        <w:spacing w:before="120" w:after="120"/>
      </w:pPr>
      <w:r>
        <w:rPr>
          <w:sz w:val="18"/>
        </w:rPr>
        <w:t>——————————————————————————————————————————————————————————————————————</w:t>
      </w:r>
    </w:p>
    <w:p>
      <w:pPr>
        <w:spacing w:before="160" w:after="40" w:line="240" w:lineRule="auto"/>
      </w:pPr>
      <w:r>
        <w:rPr>
          <w:b/>
        </w:rPr>
        <w:t xml:space="preserve">[233] </w:t>
      </w:r>
      <w:hyperlink r:id="rId352">
        <w:r>
          <w:rPr>
            <w:color w:val="1155CC"/>
            <w:u w:val="single"/>
          </w:rPr>
          <w:t>微地球表面 引导方向二维二维分分扩散 使冷冻无Zinc 阳极</w:t>
        </w:r>
      </w:hyperlink>
    </w:p>
    <w:p>
      <w:pPr>
        <w:spacing w:before="0" w:after="80"/>
      </w:pPr>
      <w:r>
        <w:rPr>
          <w:i/>
          <w:sz w:val="20"/>
        </w:rPr>
        <w:t>EN: Micro‐Terraced Surface Induced Directional Two‐Dimensional Diffusion Enables Dendrite‐Free Zinc Anodes</w:t>
      </w:r>
    </w:p>
    <w:p>
      <w:pPr>
        <w:spacing w:before="0" w:after="120"/>
      </w:pPr>
      <w:r>
        <w:rPr>
          <w:b/>
        </w:rPr>
        <w:t xml:space="preserve">Source: </w:t>
      </w:r>
      <w:r>
        <w:t>Wiley: Advanced Materials: Table of Contents</w:t>
      </w:r>
      <w:r>
        <w:t xml:space="preserve">    </w:t>
      </w:r>
      <w:r>
        <w:rPr>
          <w:b/>
        </w:rPr>
        <w:t xml:space="preserve">Pub date: </w:t>
      </w:r>
      <w:r>
        <w:t>2026-02-17 07:25:53+00:00</w:t>
      </w:r>
      <w:r>
        <w:t xml:space="preserve">    </w:t>
      </w:r>
      <w:r>
        <w:rPr>
          <w:b/>
        </w:rPr>
        <w:t xml:space="preserve">DOI: </w:t>
      </w:r>
      <w:hyperlink r:id="rId353">
        <w:r>
          <w:rPr>
            <w:color w:val="1155CC"/>
            <w:u w:val="single"/>
          </w:rPr>
          <w:t>10.1002/adma.72560</w:t>
        </w:r>
      </w:hyperlink>
    </w:p>
    <w:p>
      <w:pPr>
        <w:spacing w:before="0" w:after="120"/>
      </w:pPr>
      <w:r>
        <w:rPr>
          <w:b/>
        </w:rPr>
        <w:t xml:space="preserve">Notes: </w:t>
      </w:r>
      <w:r>
        <w:t>abstract_source=crossref</w:t>
      </w:r>
    </w:p>
    <w:p>
      <w:pPr>
        <w:spacing w:before="0" w:after="80" w:lineRule="auto" w:line="276"/>
      </w:pPr>
      <w:r>
        <w:rPr>
          <w:b/>
        </w:rPr>
        <w:t xml:space="preserve">摘要（ZH）: </w:t>
      </w:r>
      <w:r>
        <w:t>由于成本低、内在安全性高、环境友好性强,水锌电池因其成本低、成本高、内在安全性高、环境友好性强而得到高度重视。然而,其实际应用仍然受到循环稳定性差的阻碍,主要原因是Zn dendrite的无节制增长。常规抑制德丁酸的战略通常旨在将不理想的2D扩散(这有利于 destrite的形成)转化为3D扩散,以促进划一的Zn沉积。与此相反,本研究报告报告了一种通过微粒地表推进方向2D扩散而实现的无限制Zn的传播行为,这是通过Ti 4+ 递取战略实现的。与常规的2D扩散(Zn原子集成和集成)不同。</w:t>
      </w:r>
    </w:p>
    <w:p>
      <w:pPr>
        <w:spacing w:before="0" w:after="200" w:lineRule="auto" w:line="276"/>
      </w:pPr>
      <w:r>
        <w:rPr>
          <w:b/>
        </w:rPr>
        <w:t xml:space="preserve">Abstract (EN): </w:t>
      </w:r>
      <w:r>
        <w:t>Aqueous zinc batteries have garnered significant attention owing to their low cost, high intrinsic safety, and environmental friendliness. However, their practical application is still hindered by poor cycling stability, primarily caused by uncontrolled Zn dendrite growth. Conventional strategies to suppress dendrites generally aim to convert undesired 2D diffusion, which favors dendrite formation, into 3D diffusion to promote uniform Zn deposition. In contrast, this study reports a dendrite‐free Zn plating behavior achieved through directional 2D diffusion enabled by a micro‐terraced surface, which is achieved by a Ti</w:t>
      </w:r>
      <w:r>
        <w:t xml:space="preserve"> </w:t>
      </w:r>
      <w:r>
        <w:t>4+</w:t>
      </w:r>
      <w:r>
        <w:t xml:space="preserve"> </w:t>
      </w:r>
      <w:r>
        <w:t>‐etching strategy. Unlike conventional 2D diffusion, where Zn atoms aggregate and form dendrites, on the micro‐terraced surface Zn atoms rapidly and orderly migrate along the terraces toward their intersection boundaries, resulting in uniform, dendrite‐free plating. The micro‐terraced Zn anodes deliver exceptional cycling stability over 6250 cycles at 5 mA cm</w:t>
      </w:r>
      <w:r>
        <w:t xml:space="preserve"> </w:t>
      </w:r>
      <w:r>
        <w:t>−2</w:t>
      </w:r>
      <w:r>
        <w:t xml:space="preserve"> </w:t>
      </w:r>
      <w:r>
        <w:t>/1 mAh cm</w:t>
      </w:r>
      <w:r>
        <w:t xml:space="preserve"> </w:t>
      </w:r>
      <w:r>
        <w:t>−2</w:t>
      </w:r>
      <w:r>
        <w:t xml:space="preserve"> </w:t>
      </w:r>
      <w:r>
        <w:t>. When paired with I</w:t>
      </w:r>
      <w:r>
        <w:rPr>
          <w:vertAlign w:val="subscript"/>
        </w:rPr>
        <w:t>2</w:t>
      </w:r>
      <w:r>
        <w:t>cathode, the full cells achieve above 83.4% capacity retention and average Coulombic efficiencies of 99.89% over 5000 cycles at 1.5 A g</w:t>
      </w:r>
      <w:r>
        <w:t xml:space="preserve"> </w:t>
      </w:r>
      <w:r>
        <w:t>−1</w:t>
      </w:r>
      <w:r>
        <w:t xml:space="preserve"> </w:t>
      </w:r>
      <w:r>
        <w:t>. This work provides mechanistic insights into Zn deposition and offers a new design paradigm for developing high‐stability energy storage systems.</w:t>
      </w:r>
    </w:p>
    <w:p>
      <w:pPr>
        <w:spacing w:before="120" w:after="120"/>
      </w:pPr>
      <w:r>
        <w:rPr>
          <w:sz w:val="18"/>
        </w:rPr>
        <w:t>——————————————————————————————————————————————————————————————————————</w:t>
      </w:r>
    </w:p>
    <w:p>
      <w:pPr>
        <w:spacing w:before="160" w:after="40" w:line="240" w:lineRule="auto"/>
      </w:pPr>
      <w:r>
        <w:rPr>
          <w:b/>
        </w:rPr>
        <w:t xml:space="preserve">[234] </w:t>
      </w:r>
      <w:hyperlink r:id="rId354">
        <w:r>
          <w:rPr>
            <w:color w:val="1155CC"/>
            <w:u w:val="single"/>
          </w:rPr>
          <w:t>将有效氧氧降低到燃料水平</w:t>
        </w:r>
      </w:hyperlink>
    </w:p>
    <w:p>
      <w:pPr>
        <w:spacing w:before="0" w:after="80"/>
      </w:pPr>
      <w:r>
        <w:rPr>
          <w:i/>
          <w:sz w:val="20"/>
        </w:rPr>
        <w:t>EN: O2‐Accessible Fe–N4 Active Site Density Boosts Efficient Oxygen Reduction to Fuel‐Cell Level</w:t>
      </w:r>
    </w:p>
    <w:p>
      <w:pPr>
        <w:spacing w:before="0" w:after="120"/>
      </w:pPr>
      <w:r>
        <w:rPr>
          <w:b/>
        </w:rPr>
        <w:t xml:space="preserve">Source: </w:t>
      </w:r>
      <w:r>
        <w:t>Wiley: Advanced Materials: Table of Contents</w:t>
      </w:r>
      <w:r>
        <w:t xml:space="preserve">    </w:t>
      </w:r>
      <w:r>
        <w:rPr>
          <w:b/>
        </w:rPr>
        <w:t xml:space="preserve">Pub date: </w:t>
      </w:r>
      <w:r>
        <w:t>2026-02-17 07:27:52+00:00</w:t>
      </w:r>
      <w:r>
        <w:t xml:space="preserve">    </w:t>
      </w:r>
      <w:r>
        <w:rPr>
          <w:b/>
        </w:rPr>
        <w:t xml:space="preserve">DOI: </w:t>
      </w:r>
      <w:hyperlink r:id="rId355">
        <w:r>
          <w:rPr>
            <w:color w:val="1155CC"/>
            <w:u w:val="single"/>
          </w:rPr>
          <w:t>10.1002/adma.202521600</w:t>
        </w:r>
      </w:hyperlink>
    </w:p>
    <w:p>
      <w:pPr>
        <w:spacing w:before="0" w:after="120"/>
      </w:pPr>
      <w:r>
        <w:rPr>
          <w:b/>
        </w:rPr>
        <w:t xml:space="preserve">Notes: </w:t>
      </w:r>
      <w:r>
        <w:t>abstract_source=crossref</w:t>
      </w:r>
    </w:p>
    <w:p>
      <w:pPr>
        <w:spacing w:before="0" w:after="80" w:lineRule="auto" w:line="276"/>
      </w:pPr>
      <w:r>
        <w:rPr>
          <w:b/>
        </w:rPr>
        <w:t xml:space="preserve">摘要（ZH）: </w:t>
      </w:r>
      <w:r>
        <w:t>并非所有具有内在活动的场所都显示出实际催化效果,因为无法进入或扩散限制,因此需要合理设计连接良好的纳米结构以保证无障碍性。 本案通过原子散射Fe-NC催化剂进行彻底调查,以达到主要的O 2气耗减少值(ORR ) 。 制定了一个依赖纳米结构的操作策略,以形成固体、叶卡壳和空心Fe-NC结构,其总密度与准蛋白-N 4 站类似,为调查O 2气耗减少量(ORR)期间的O 2大规模运输提供了一个比较平台。</w:t>
      </w:r>
    </w:p>
    <w:p>
      <w:pPr>
        <w:spacing w:before="0" w:after="200" w:lineRule="auto" w:line="276"/>
      </w:pPr>
      <w:r>
        <w:rPr>
          <w:b/>
        </w:rPr>
        <w:t xml:space="preserve">Abstract (EN): </w:t>
      </w:r>
      <w:r>
        <w:t>Not all sites with intrinsic activity show efficacy in practical catalysis due to inaccessibility or diffusion limitation, necessitating rational design of well‐connected hierarchical nanostructures to guarantee accessibility. Herein, the case is thoroughly investigated by way of atomically dispersed Fe–NC catalysts for the dominant O</w:t>
      </w:r>
      <w:r>
        <w:rPr>
          <w:vertAlign w:val="subscript"/>
        </w:rPr>
        <w:t>2</w:t>
      </w:r>
      <w:r>
        <w:t>gas‐consuming reduction (ORR). A pH‐dependent nanostructure manipulation strategy was developed to form solid, yolk‐shell, and hollow Fe–NC structures with similar overall density of quasi‐homogeneous Fe–N</w:t>
      </w:r>
      <w:r>
        <w:rPr>
          <w:vertAlign w:val="subscript"/>
        </w:rPr>
        <w:t>4</w:t>
      </w:r>
      <w:r>
        <w:t>sites, providing a comparative platform to investigate O</w:t>
      </w:r>
      <w:r>
        <w:rPr>
          <w:vertAlign w:val="subscript"/>
        </w:rPr>
        <w:t>2</w:t>
      </w:r>
      <w:r>
        <w:t>mass transport during ORR. Despite similar Fe loading, y‐Fe/NC structures achieve optimized O</w:t>
      </w:r>
      <w:r>
        <w:rPr>
          <w:vertAlign w:val="subscript"/>
        </w:rPr>
        <w:t>2</w:t>
      </w:r>
      <w:r>
        <w:t>‐accessible active site density (ASD) due to fine‐tuned porosity and connectivity for sufficient O</w:t>
      </w:r>
      <w:r>
        <w:rPr>
          <w:vertAlign w:val="subscript"/>
        </w:rPr>
        <w:t>2</w:t>
      </w:r>
      <w:r>
        <w:t>accessibility. This observation is re‐affirmed by the observation of a relatively high</w:t>
      </w:r>
      <w:r>
        <w:t xml:space="preserve"> </w:t>
      </w:r>
      <w:r>
        <w:t>j</w:t>
      </w:r>
      <w:r>
        <w:t xml:space="preserve"> </w:t>
      </w:r>
      <w:r>
        <w:t>d</w:t>
      </w:r>
      <w:r>
        <w:t xml:space="preserve"> </w:t>
      </w:r>
      <w:r>
        <w:t>for the y‐Fe/NC, which exceeds the theoretical value of a laminar flow pattern. This can be attributed to the increased O</w:t>
      </w:r>
      <w:r>
        <w:rPr>
          <w:vertAlign w:val="subscript"/>
        </w:rPr>
        <w:t>2</w:t>
      </w:r>
      <w:r>
        <w:t>‐accessible ASD, originated from the local recirculation effect induced by the unique structure. Consequently, the y‐Fe/NC exhibits half‐wave potential of 0.82 V and</w:t>
      </w:r>
      <w:r>
        <w:t xml:space="preserve"> </w:t>
      </w:r>
      <w:r>
        <w:t>j</w:t>
      </w:r>
      <w:r>
        <w:t xml:space="preserve"> </w:t>
      </w:r>
      <w:r>
        <w:t>d</w:t>
      </w:r>
      <w:r>
        <w:t xml:space="preserve"> </w:t>
      </w:r>
      <w:r>
        <w:t>of 7.66 mA cm</w:t>
      </w:r>
      <w:r>
        <w:t xml:space="preserve"> </w:t>
      </w:r>
      <w:r>
        <w:t>−2</w:t>
      </w:r>
      <w:r>
        <w:t xml:space="preserve"> </w:t>
      </w:r>
      <w:r>
        <w:t>, outperforming counterparts and state‐of‐the‐art catalysts. Moreover, the optimized y‐Fe/NC remains effective in fuel cell with power density of 1.03 W cm</w:t>
      </w:r>
      <w:r>
        <w:t xml:space="preserve"> </w:t>
      </w:r>
      <w:r>
        <w:t>−2</w:t>
      </w:r>
      <w:r>
        <w:t xml:space="preserve"> </w:t>
      </w:r>
      <w:r>
        <w:t>, demonstrating the essential roles of rationally designed nanostructures.</w:t>
      </w:r>
    </w:p>
    <w:p>
      <w:pPr>
        <w:spacing w:before="120" w:after="120"/>
      </w:pPr>
      <w:r>
        <w:rPr>
          <w:sz w:val="18"/>
        </w:rPr>
        <w:t>——————————————————————————————————————————————————————————————————————</w:t>
      </w:r>
    </w:p>
    <w:p>
      <w:pPr>
        <w:spacing w:before="160" w:after="40" w:line="240" w:lineRule="auto"/>
      </w:pPr>
      <w:r>
        <w:rPr>
          <w:b/>
        </w:rPr>
        <w:t xml:space="preserve">[235] </w:t>
      </w:r>
      <w:hyperlink r:id="rId356">
        <w:r>
          <w:rPr>
            <w:color w:val="1155CC"/>
            <w:u w:val="single"/>
          </w:rPr>
          <w:t>YDoped PtFeNi 中子硝基苯乙烯合金,有工程设计(111) 用于增强氧气减少反应的面板</w:t>
        </w:r>
      </w:hyperlink>
    </w:p>
    <w:p>
      <w:pPr>
        <w:spacing w:before="0" w:after="80"/>
      </w:pPr>
      <w:r>
        <w:rPr>
          <w:i/>
          <w:sz w:val="20"/>
        </w:rPr>
        <w:t>EN: Y‐Doped PtFeNi Medium‐Entropy Nano‐Alloy with Engineered (111) Facets for Enhanced Oxygen Reduction Reaction</w:t>
      </w:r>
    </w:p>
    <w:p>
      <w:pPr>
        <w:spacing w:before="0" w:after="120"/>
      </w:pPr>
      <w:r>
        <w:rPr>
          <w:b/>
        </w:rPr>
        <w:t xml:space="preserve">Source: </w:t>
      </w:r>
      <w:r>
        <w:t>Wiley: Advanced Materials: Table of Contents</w:t>
      </w:r>
      <w:r>
        <w:t xml:space="preserve">    </w:t>
      </w:r>
      <w:r>
        <w:rPr>
          <w:b/>
        </w:rPr>
        <w:t xml:space="preserve">Pub date: </w:t>
      </w:r>
      <w:r>
        <w:t>2026-02-17 07:29:59+00:00</w:t>
      </w:r>
      <w:r>
        <w:t xml:space="preserve">    </w:t>
      </w:r>
      <w:r>
        <w:rPr>
          <w:b/>
        </w:rPr>
        <w:t xml:space="preserve">DOI: </w:t>
      </w:r>
      <w:hyperlink r:id="rId357">
        <w:r>
          <w:rPr>
            <w:color w:val="1155CC"/>
            <w:u w:val="single"/>
          </w:rPr>
          <w:t>10.1002/adma.202522896</w:t>
        </w:r>
      </w:hyperlink>
    </w:p>
    <w:p>
      <w:pPr>
        <w:spacing w:before="0" w:after="120"/>
      </w:pPr>
      <w:r>
        <w:rPr>
          <w:b/>
        </w:rPr>
        <w:t xml:space="preserve">Notes: </w:t>
      </w:r>
      <w:r>
        <w:t>abstract_source=crossref</w:t>
      </w:r>
    </w:p>
    <w:p>
      <w:pPr>
        <w:spacing w:before="0" w:after="80" w:lineRule="auto" w:line="276"/>
      </w:pPr>
      <w:r>
        <w:rPr>
          <w:b/>
        </w:rPr>
        <w:t xml:space="preserve">摘要（ZH）: </w:t>
      </w:r>
      <w:r>
        <w:t>开发高效和耐久的Pt基氧减少反应(ORR)催化剂对于广泛采用质子交换膜燃料电池(PEMFCs)至关重要。在这里,我们展示了一部新奇的Ydoped PtFeNi PtFeNi 中-enteropropy合金催化剂,PtFeNiY 8(PFNY 8,8% Y doping),该催化剂通过一个简单的单子方法合成,使高度活跃的(111)水晶面得到优先暴露。系统实验和密度功能理论计算表明,Y doping降低地表能量,以促进形成(111)晶面,最佳剂量水平为8%,达到最稳定的电子结构和最强的</w:t>
      </w:r>
    </w:p>
    <w:p>
      <w:pPr>
        <w:spacing w:before="0" w:after="200" w:lineRule="auto" w:line="276"/>
      </w:pPr>
      <w:r>
        <w:rPr>
          <w:b/>
        </w:rPr>
        <w:t xml:space="preserve">Abstract (EN): </w:t>
      </w:r>
      <w:r>
        <w:t>The development of highly efficient and durable Pt‐based oxygen reduction reaction (ORR) catalysts is paramount for the widespread adoption of proton exchange membrane fuel cells (PEMFCs). Herein, we present a novel Y‐doped PtFeNi medium‐entropy alloy catalyst, PtFeNiY</w:t>
      </w:r>
      <w:r>
        <w:rPr>
          <w:vertAlign w:val="subscript"/>
        </w:rPr>
        <w:t>8</w:t>
      </w:r>
      <w:r>
        <w:t>(PFNY</w:t>
      </w:r>
      <w:r>
        <w:rPr>
          <w:vertAlign w:val="subscript"/>
        </w:rPr>
        <w:t>8</w:t>
      </w:r>
      <w:r>
        <w:t>, 8% Y doping), synthesized via a simple one‐pot method, achieving preferential exposure of the highly active (111) crystal facet. Systematic experiments and density functional theory calculations demonstrate that Y doping lowers surface energy to promote the formation of the (111) crystal facet, with an optimal doping level of 8% achieving the most stable electronic structure and the most favorable</w:t>
      </w:r>
      <w:r>
        <w:t xml:space="preserve"> </w:t>
      </w:r>
      <w:r>
        <w:t>d</w:t>
      </w:r>
      <w:r>
        <w:t xml:space="preserve"> </w:t>
      </w:r>
      <w:r>
        <w:t>‐band center. The PFNY</w:t>
      </w:r>
      <w:r>
        <w:rPr>
          <w:vertAlign w:val="subscript"/>
        </w:rPr>
        <w:t>8</w:t>
      </w:r>
      <w:r>
        <w:t>/C catalyst demonstrates outstanding ORR performance, with a half‐wave potential (</w:t>
      </w:r>
      <w:r>
        <w:t xml:space="preserve"> </w:t>
      </w:r>
      <w:r>
        <w:t>E</w:t>
      </w:r>
      <w:r>
        <w:t xml:space="preserve"> </w:t>
      </w:r>
      <w:r>
        <w:t>1/2</w:t>
      </w:r>
      <w:r>
        <w:t xml:space="preserve"> </w:t>
      </w:r>
      <w:r>
        <w:t>) of 0.93 V, mass activity (MA) of 3.00 A mg</w:t>
      </w:r>
      <w:r>
        <w:t xml:space="preserve"> </w:t>
      </w:r>
      <w:r>
        <w:t>−1</w:t>
      </w:r>
      <w:r>
        <w:t xml:space="preserve"> </w:t>
      </w:r>
      <w:r>
        <w:t>Pt</w:t>
      </w:r>
      <w:r>
        <w:t xml:space="preserve"> </w:t>
      </w:r>
      <w:r>
        <w:t>, and excellent durability (after 80,000 ADT cycles, the</w:t>
      </w:r>
      <w:r>
        <w:t xml:space="preserve"> </w:t>
      </w:r>
      <w:r>
        <w:t>E</w:t>
      </w:r>
      <w:r>
        <w:t xml:space="preserve"> </w:t>
      </w:r>
      <w:r>
        <w:t>1/2</w:t>
      </w:r>
      <w:r>
        <w:t xml:space="preserve"> </w:t>
      </w:r>
      <w:r>
        <w:t>decreases by only 11 mV, and the MA retention is 73.4%). Furthermore, in PEMFCs, PFNY</w:t>
      </w:r>
      <w:r>
        <w:rPr>
          <w:vertAlign w:val="subscript"/>
        </w:rPr>
        <w:t>8</w:t>
      </w:r>
      <w:r>
        <w:t>/C demonstrates a peak power density of 1.75 W cm</w:t>
      </w:r>
      <w:r>
        <w:t xml:space="preserve"> </w:t>
      </w:r>
      <w:r>
        <w:t>−2</w:t>
      </w:r>
      <w:r>
        <w:t xml:space="preserve"> </w:t>
      </w:r>
      <w:r>
        <w:t>under H</w:t>
      </w:r>
      <w:r>
        <w:rPr>
          <w:vertAlign w:val="subscript"/>
        </w:rPr>
        <w:t>2</w:t>
      </w:r>
      <w:r>
        <w:t>/O</w:t>
      </w:r>
      <w:r>
        <w:rPr>
          <w:vertAlign w:val="subscript"/>
        </w:rPr>
        <w:t>2</w:t>
      </w:r>
      <w:r>
        <w:t>conditions, outperforming commercial Pt/C. This study offers valuable insights into the role of Y doping in tailoring nanoparticle morphology and facet exposure, presenting a new strategy for designing high‐performance Pt‐based catalysts for next‐generation PEMFCs.</w:t>
      </w:r>
    </w:p>
    <w:p>
      <w:pPr>
        <w:spacing w:before="120" w:after="120"/>
      </w:pPr>
      <w:r>
        <w:rPr>
          <w:sz w:val="18"/>
        </w:rPr>
        <w:t>——————————————————————————————————————————————————————————————————————</w:t>
      </w:r>
    </w:p>
    <w:p>
      <w:pPr>
        <w:spacing w:before="160" w:after="40" w:line="240" w:lineRule="auto"/>
      </w:pPr>
      <w:r>
        <w:rPr>
          <w:b/>
        </w:rPr>
        <w:t xml:space="preserve">[236] </w:t>
      </w:r>
      <w:hyperlink r:id="rId358">
        <w:r>
          <w:rPr>
            <w:color w:val="1155CC"/>
            <w:u w:val="single"/>
          </w:rPr>
          <w:t>可缩缩水表面合金 -- -- 用散装金属排出超小型电极,用于Ampere水平藻碱水溶解</w:t>
        </w:r>
      </w:hyperlink>
    </w:p>
    <w:p>
      <w:pPr>
        <w:spacing w:before="0" w:after="80"/>
      </w:pPr>
      <w:r>
        <w:rPr>
          <w:i/>
          <w:sz w:val="20"/>
        </w:rPr>
        <w:t>EN: Scalable Surface Alloying–Dealloying Manufactures Nanoporous Electrodes From Bulk Metals for Ampere‐Level Alkaline Water Electrolysis</w:t>
      </w:r>
    </w:p>
    <w:p>
      <w:pPr>
        <w:spacing w:before="0" w:after="120"/>
      </w:pPr>
      <w:r>
        <w:rPr>
          <w:b/>
        </w:rPr>
        <w:t xml:space="preserve">Source: </w:t>
      </w:r>
      <w:r>
        <w:t>Wiley: Advanced Materials: Table of Contents</w:t>
      </w:r>
      <w:r>
        <w:t xml:space="preserve">    </w:t>
      </w:r>
      <w:r>
        <w:rPr>
          <w:b/>
        </w:rPr>
        <w:t xml:space="preserve">Pub date: </w:t>
      </w:r>
      <w:r>
        <w:t>2026-02-17 07:33:11+00:00</w:t>
      </w:r>
      <w:r>
        <w:t xml:space="preserve">    </w:t>
      </w:r>
      <w:r>
        <w:rPr>
          <w:b/>
        </w:rPr>
        <w:t xml:space="preserve">DOI: </w:t>
      </w:r>
      <w:hyperlink r:id="rId359">
        <w:r>
          <w:rPr>
            <w:color w:val="1155CC"/>
            <w:u w:val="single"/>
          </w:rPr>
          <w:t>10.1002/adma.202521570</w:t>
        </w:r>
      </w:hyperlink>
    </w:p>
    <w:p>
      <w:pPr>
        <w:spacing w:before="0" w:after="120"/>
      </w:pPr>
      <w:r>
        <w:rPr>
          <w:b/>
        </w:rPr>
        <w:t xml:space="preserve">Notes: </w:t>
      </w:r>
      <w:r>
        <w:t>abstract_source=crossref</w:t>
      </w:r>
    </w:p>
    <w:p>
      <w:pPr>
        <w:spacing w:before="0" w:after="80" w:lineRule="auto" w:line="276"/>
      </w:pPr>
      <w:r>
        <w:rPr>
          <w:b/>
        </w:rPr>
        <w:t xml:space="preserve">摘要（ZH）: </w:t>
      </w:r>
      <w:r>
        <w:t>在商业上部署碱性水电解需要电极,电极能够维持超高水平电流密度,同时能够大规模地继续制造;然而,实验室中显示的大多数先进电催化剂缺乏机械性强且与工业生产不相容。 我们在此报告一种蒸发相相表面合合合-脱用(VPACD)战略,通过在原地形成催化剂层冶金粘结到稠密的基质,将商品金属板直接转化为散装支持的纳米聚变电极。 在Nimo和NiFe合金中,这一方法产生一种单氧化纳米氮,并具有高氢进化活动和纳米氮(Fe)/Ni 3F。</w:t>
      </w:r>
    </w:p>
    <w:p>
      <w:pPr>
        <w:spacing w:before="0" w:after="200" w:lineRule="auto" w:line="276"/>
      </w:pPr>
      <w:r>
        <w:rPr>
          <w:b/>
        </w:rPr>
        <w:t xml:space="preserve">Abstract (EN): </w:t>
      </w:r>
      <w:r>
        <w:t>Commercial deployment of alkaline water electrolysis requires electrodes that can sustain ampere‐level current densities while remaining manufacturable at scale; however, most advanced electrocatalysts demonstrated in laboratories lack mechanical robustness and are incompatible with industrial production. Here we report a vapor‐phase surface alloying–dealloying (VPA‐CD) strategy that converts commodity metal sheets directly into bulk‐supported nanoporous electrodes via in situ formation of catalyst layers metallurgically bonded to dense substrates. Applied to Ni‐Mo and Ni‐Fe alloys, this approach yields Mo single‐atom‐doped nanoporous Ni with high hydrogen evolution activity and nanoporous Ni(Fe)/Ni</w:t>
      </w:r>
      <w:r>
        <w:rPr>
          <w:vertAlign w:val="subscript"/>
        </w:rPr>
        <w:t>3</w:t>
      </w:r>
      <w:r>
        <w:t>Fe heterostructures with excellent oxygen evolution activity, enabling ampere‐level alkaline electrolysis at low cell voltages. Beyond planar substrates, the method scales to large‐area and patterned architectures that directly integrate flow fields and catalyst layers; the resulting integrated electrolyzer achieves 1.0 A cm</w:t>
      </w:r>
      <w:r>
        <w:t xml:space="preserve"> </w:t>
      </w:r>
      <w:r>
        <w:t>−2</w:t>
      </w:r>
      <w:r>
        <w:t xml:space="preserve"> </w:t>
      </w:r>
      <w:r>
        <w:t>at only 1.84 V and remains stable for over 185 h, outperforming commercial benchmarks. These findings establish VPA‐CD as a robust and manufacturable route for engineering nanoporous electrodes, bridging the gap between catalyst discovery and device‐level hydrogen production.</w:t>
      </w:r>
    </w:p>
    <w:p>
      <w:pPr>
        <w:spacing w:before="120" w:after="120"/>
      </w:pPr>
      <w:r>
        <w:rPr>
          <w:sz w:val="18"/>
        </w:rPr>
        <w:t>——————————————————————————————————————————————————————————————————————</w:t>
      </w:r>
    </w:p>
    <w:p>
      <w:pPr>
        <w:spacing w:before="160" w:after="40" w:line="240" w:lineRule="auto"/>
      </w:pPr>
      <w:r>
        <w:rPr>
          <w:b/>
        </w:rPr>
        <w:t xml:space="preserve">[237] </w:t>
      </w:r>
      <w:hyperlink r:id="rId360">
        <w:r>
          <w:rPr>
            <w:color w:val="1155CC"/>
            <w:u w:val="single"/>
          </w:rPr>
          <w:t>行星和恒星之间形成的 普世褐矮星沙漠</w:t>
        </w:r>
      </w:hyperlink>
    </w:p>
    <w:p>
      <w:pPr>
        <w:spacing w:before="0" w:after="80"/>
      </w:pPr>
      <w:r>
        <w:rPr>
          <w:i/>
          <w:sz w:val="20"/>
        </w:rPr>
        <w:t>EN: A universal brown dwarf desert formed between planets and stars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61">
        <w:r>
          <w:rPr>
            <w:color w:val="1155CC"/>
            <w:u w:val="single"/>
          </w:rPr>
          <w:t>10.1073/pnas.2524764123</w:t>
        </w:r>
      </w:hyperlink>
    </w:p>
    <w:p>
      <w:pPr>
        <w:spacing w:before="0" w:after="120"/>
      </w:pPr>
      <w:r>
        <w:rPr>
          <w:b/>
        </w:rPr>
        <w:t xml:space="preserve">Notes: </w:t>
      </w:r>
      <w:r>
        <w:t>abstract_source=crossref</w:t>
      </w:r>
    </w:p>
    <w:p>
      <w:pPr>
        <w:spacing w:before="0" w:after="80" w:lineRule="auto" w:line="276"/>
      </w:pPr>
      <w:r>
        <w:rPr>
          <w:b/>
        </w:rPr>
        <w:t xml:space="preserve">摘要（ZH）: </w:t>
      </w:r>
      <w:r>
        <w:t>恒星和棕色矮星在恒星和行星形成方面发挥着关键作用,因为它们位于行星和恒星之间,形成机制不确定。以前对形成界的观测搜索由于缺乏大轨道巨行星和亚星伴星的大型统一样本而受阻。对辐射速度和天体测量的综合分析减轻了这一问题,并大大扩大了取样范围。在这里,我们对55个巨行星、棕色矮星和低质量星系伴星的样本进行了严格的统计分析,这些样本围绕FGK恒星运行。我们量化分析褐色矮星的发生率,并查明大约30米左右不同的棕色矮星沙漠。</w:t>
      </w:r>
    </w:p>
    <w:p>
      <w:pPr>
        <w:spacing w:before="0" w:after="200" w:lineRule="auto" w:line="276"/>
      </w:pPr>
      <w:r>
        <w:rPr>
          <w:b/>
        </w:rPr>
        <w:t xml:space="preserve">Abstract (EN): </w:t>
      </w:r>
      <w:r>
        <w:t>Giant planets and brown dwarfs play a crucial role in star and planet formation as they are situated at the boundary between planets and stars with uncertain formation mechanisms. Previous observational searches for the formation boundary were hampered by the lack of large unified samples of wide-orbit giant planets and substellar companions. A combined analysis of radial velocity and astrometry mitigates this problem and has significantly enlarged the sample. Here, we present a rigorous statistical analysis of the sample of 55 giant planets, brown dwarfs, and low-mass stellar companions orbiting FGK stars. We quantitatively analyze the occurrence rates of brown dwarfs and identify a distinct brown dwarf desert at approximately 30</w:t>
      </w:r>
      <w:r>
        <w:t xml:space="preserve"> </w:t>
      </w:r>
      <w:r>
        <w:t>M</w:t>
      </w:r>
      <w:r>
        <w:t xml:space="preserve"> </w:t>
      </w:r>
      <w:r>
        <w:t>J</w:t>
      </w:r>
      <w:r>
        <w:t xml:space="preserve"> </w:t>
      </w:r>
      <w:r>
        <w:t>, with no evidence of disappearance up to 20 au. Unlike previous studies that predicted a declining planet occurrence rate beyond the water-ice line, we identify a population of giant planets and low-mass brown dwarfs in this region. The metallicity and eccentricity trends in our sample suggest that these are the consequences of two different formation scenarios. Our combined population synthesis model successfully accounts for the observed brown dwarf desert, supporting the dual formation hypothesis.</w:t>
      </w:r>
    </w:p>
    <w:p>
      <w:pPr>
        <w:spacing w:before="120" w:after="120"/>
      </w:pPr>
      <w:r>
        <w:rPr>
          <w:sz w:val="18"/>
        </w:rPr>
        <w:t>——————————————————————————————————————————————————————————————————————</w:t>
      </w:r>
    </w:p>
    <w:p>
      <w:pPr>
        <w:spacing w:before="160" w:after="40" w:line="240" w:lineRule="auto"/>
      </w:pPr>
      <w:r>
        <w:rPr>
          <w:b/>
        </w:rPr>
        <w:t xml:space="preserve">[238] </w:t>
      </w:r>
      <w:hyperlink r:id="rId362">
        <w:r>
          <w:rPr>
            <w:color w:val="1155CC"/>
            <w:u w:val="single"/>
          </w:rPr>
          <w:t>自由量计算</w:t>
        </w:r>
      </w:hyperlink>
    </w:p>
    <w:p>
      <w:pPr>
        <w:spacing w:before="0" w:after="80"/>
      </w:pPr>
      <w:r>
        <w:rPr>
          <w:i/>
          <w:sz w:val="20"/>
        </w:rPr>
        <w:t>EN: Free quantum computing</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63">
        <w:r>
          <w:rPr>
            <w:color w:val="1155CC"/>
            <w:u w:val="single"/>
          </w:rPr>
          <w:t>10.1073/pnas.2510881123</w:t>
        </w:r>
      </w:hyperlink>
    </w:p>
    <w:p>
      <w:pPr>
        <w:spacing w:before="0" w:after="120"/>
      </w:pPr>
      <w:r>
        <w:rPr>
          <w:b/>
        </w:rPr>
        <w:t xml:space="preserve">Notes: </w:t>
      </w:r>
      <w:r>
        <w:t>abstract_source=crossref</w:t>
      </w:r>
    </w:p>
    <w:p>
      <w:pPr>
        <w:spacing w:before="0" w:after="80" w:lineRule="auto" w:line="276"/>
      </w:pPr>
      <w:r>
        <w:rPr>
          <w:b/>
        </w:rPr>
        <w:t xml:space="preserve">摘要（ZH）: </w:t>
      </w:r>
      <w:r>
        <w:t>量子计算在已知的典型算法上大大改进了各种重要问题的典型算法,但量子计算和经典计算之间的关系性质还没有得到完全理解。 自由模型可以澄清这种关系,这种模型可以增加传统计算中仅仅足够物理原理的经典计算,以量子计算代表数量计算,而不再有。在这里,我们开发了量子计算的非对称化,以少量离散方程取代标准的连续连续假设,以及用类别理论模型取代标准线性代谢性模型的免费模型。 等同和模型以可逆的经典计算为基础,在掌握某些良好平方根的能力中分离量的优势,并与各种量子 c 链接。</w:t>
      </w:r>
    </w:p>
    <w:p>
      <w:pPr>
        <w:spacing w:before="0" w:after="200" w:lineRule="auto" w:line="276"/>
      </w:pPr>
      <w:r>
        <w:rPr>
          <w:b/>
        </w:rPr>
        <w:t xml:space="preserve">Abstract (EN): </w:t>
      </w:r>
      <w:r>
        <w:t>Quantum computing improves substantially on known classical algorithms for various important problems, but the nature of the relationship between quantum and classical computing is not yet fully understood. This relationship can be clarified by free models, that add to classical computing just enough physical principles to represent quantum computing and no more. Here, we develop an axiomatization of quantum computing that replaces the standard continuous postulates with a small number of discrete equations, as well as a free model that replaces the standard linear-algebraic model with a category-theoretical one. The axioms and model are based on reversible classical computing, isolate quantum advantage in the ability to take certain well-behaved square roots, and link to various quantum computing hardware platforms. This approach allows combinatorial optimization, including brute force computer search, to optimize quantum computations. The free model may be interpreted as a programming language for quantum computers, that has the same expressivity and computational universality as the standard model, but additionally allows automated verification and reasoning.</w:t>
      </w:r>
    </w:p>
    <w:p>
      <w:pPr>
        <w:spacing w:before="120" w:after="120"/>
      </w:pPr>
      <w:r>
        <w:rPr>
          <w:sz w:val="18"/>
        </w:rPr>
        <w:t>——————————————————————————————————————————————————————————————————————</w:t>
      </w:r>
    </w:p>
    <w:p>
      <w:pPr>
        <w:spacing w:before="160" w:after="40" w:line="240" w:lineRule="auto"/>
      </w:pPr>
      <w:r>
        <w:rPr>
          <w:b/>
        </w:rPr>
        <w:t xml:space="preserve">[239] </w:t>
      </w:r>
      <w:hyperlink r:id="rId364">
        <w:r>
          <w:rPr>
            <w:color w:val="1155CC"/>
            <w:u w:val="single"/>
          </w:rPr>
          <w:t>实验变暖脱相工厂 -- -- fungal yymbiont互动,导致更保守的生态系统</w:t>
        </w:r>
      </w:hyperlink>
    </w:p>
    <w:p>
      <w:pPr>
        <w:spacing w:before="0" w:after="80"/>
      </w:pPr>
      <w:r>
        <w:rPr>
          <w:i/>
          <w:sz w:val="20"/>
        </w:rPr>
        <w:t>EN: Experimental warming decouples plant–fungal symbiont interactions and leads to a more conservative ecosystem</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65">
        <w:r>
          <w:rPr>
            <w:color w:val="1155CC"/>
            <w:u w:val="single"/>
          </w:rPr>
          <w:t>10.1073/pnas.2510936123</w:t>
        </w:r>
      </w:hyperlink>
    </w:p>
    <w:p>
      <w:pPr>
        <w:spacing w:before="0" w:after="120"/>
      </w:pPr>
      <w:r>
        <w:rPr>
          <w:b/>
        </w:rPr>
        <w:t xml:space="preserve">Notes: </w:t>
      </w:r>
      <w:r>
        <w:t>abstract_source=crossref</w:t>
      </w:r>
    </w:p>
    <w:p>
      <w:pPr>
        <w:spacing w:before="0" w:after="80" w:lineRule="auto" w:line="276"/>
      </w:pPr>
      <w:r>
        <w:rPr>
          <w:b/>
        </w:rPr>
        <w:t xml:space="preserve">摘要（ZH）: </w:t>
      </w:r>
      <w:r>
        <w:t>预测气候变暖对科学和社会构成挑战。 植物 — — 微生物相互作用的变化可能导致生态系统功能的重大变化。 在世界上最长的气候变化实验之一中,我们研究了29岁和29岁变暖对北美落基山脉本地次阿尔卑尔山草原的影响。 变暖导致从草原向木质占主导植被的转变,温暖的地块灌木增加了150 %, 叉子和草丛也同时减少了~28 % 。 这一转变伴随着功能特征的改变 — — 20 %, 相对植物的保守价值。 因此,植物-symbiont协会的衰落导致植物-symbiont协会的转变。</w:t>
      </w:r>
    </w:p>
    <w:p>
      <w:pPr>
        <w:spacing w:before="0" w:after="200" w:lineRule="auto" w:line="276"/>
      </w:pPr>
      <w:r>
        <w:rPr>
          <w:b/>
        </w:rPr>
        <w:t xml:space="preserve">Abstract (EN): </w:t>
      </w:r>
      <w:r>
        <w:t>Climate forecasts project rising temperatures for every land surface on Earth. Predicting the consequences of climate warming poses a challenge for science and society. Shifts in plant–microbial interactions can lead to significant changes in ecosystem-level functioning. In one of the world’s longest climate change experiments, we studied the effects of 29 y of warming on a native subalpine grassland in the Rocky Mountains of North America. Warming caused a transition from herbaceous to woody-dominated vegetation, with shrubs increasing by 150% in warmed plots and a concurrent ~28% decrease in both forbs and grasses. This shift was accompanied by functional traits changing by 20% toward more conservative values relative to acquisitive ones. Consequently, plant–symbiont associations decreased with root-associated fungi—arbuscular mycorrhizal fungal and septate root colonization—both declining by 17 to 20% under warming. In turn, soil saprotrophic fungi increased by 10% with warming. Strikingly, warming decoupled above- and belowground communities and their functions. This decoupling was evident as plant–available phosphorus increased and both individual plants and plant communities reduced their reliance on mycorrhizal fungi, while plant connectedness to decomposer fungi tightened. Our results suggest that, as the planet warms, subalpine grasslands will become more conservative and desert shrubland-like in both above- and belowground properties.</w:t>
      </w:r>
    </w:p>
    <w:p>
      <w:pPr>
        <w:spacing w:before="120" w:after="120"/>
      </w:pPr>
      <w:r>
        <w:rPr>
          <w:sz w:val="18"/>
        </w:rPr>
        <w:t>——————————————————————————————————————————————————————————————————————</w:t>
      </w:r>
    </w:p>
    <w:p>
      <w:pPr>
        <w:spacing w:before="160" w:after="40" w:line="240" w:lineRule="auto"/>
      </w:pPr>
      <w:r>
        <w:rPr>
          <w:b/>
        </w:rPr>
        <w:t xml:space="preserve">[240] </w:t>
      </w:r>
      <w:hyperlink r:id="rId366">
        <w:r>
          <w:rPr>
            <w:color w:val="1155CC"/>
            <w:u w:val="single"/>
          </w:rPr>
          <w:t>CorA 镁信道的构形集合揭示了通道凝结的结构基础</w:t>
        </w:r>
      </w:hyperlink>
    </w:p>
    <w:p>
      <w:pPr>
        <w:spacing w:before="0" w:after="80"/>
      </w:pPr>
      <w:r>
        <w:rPr>
          <w:i/>
          <w:sz w:val="20"/>
        </w:rPr>
        <w:t>EN: Conformational ensembles of the magnesium channel CorA reveal structural basis for channel gating</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67">
        <w:r>
          <w:rPr>
            <w:color w:val="1155CC"/>
            <w:u w:val="single"/>
          </w:rPr>
          <w:t>10.1073/pnas.2512532123</w:t>
        </w:r>
      </w:hyperlink>
    </w:p>
    <w:p>
      <w:pPr>
        <w:spacing w:before="0" w:after="120"/>
      </w:pPr>
      <w:r>
        <w:rPr>
          <w:b/>
        </w:rPr>
        <w:t xml:space="preserve">Notes: </w:t>
      </w:r>
      <w:r>
        <w:t>abstract_source=crossref</w:t>
      </w:r>
    </w:p>
    <w:p>
      <w:pPr>
        <w:spacing w:before="0" w:after="80" w:lineRule="auto" w:line="276"/>
      </w:pPr>
      <w:r>
        <w:rPr>
          <w:b/>
        </w:rPr>
        <w:t xml:space="preserve">摘要（ZH）: </w:t>
      </w:r>
      <w:r>
        <w:t>在prokaryotes, CorA是镁的主要流入途径,这是细胞生理和生物化学中一种关键二价的细胞生理和生物化学中的一种临界二倍化。 机械学研究表明,CorA通过一个依赖细胞[Mg 2+] 的负反馈环来调节同质同源体的CorA,这涉及到个别子单元的不对称参与。 为了了解不对称和激活之间的联系,我们用单粒冷冻EM来解决16个纳米分解再合成CorA结构。 我们利用符合特定合成抗体来稳定冷冻-EM结构中微妙但显著的相异性。 我们的结果表明,CorA是一组相配合的聚合物,其人口规模与内部成反正相关。</w:t>
      </w:r>
    </w:p>
    <w:p>
      <w:pPr>
        <w:spacing w:before="0" w:after="200" w:lineRule="auto" w:line="276"/>
      </w:pPr>
      <w:r>
        <w:rPr>
          <w:b/>
        </w:rPr>
        <w:t xml:space="preserve">Abstract (EN): </w:t>
      </w:r>
      <w:r>
        <w:t>In prokaryotes, CorA is the primary influx pathway for magnesium, a critical divalent cation in cellular physiology and biochemistry. Mechanistic studies show that homopentameric CorA is regulated through an intracellular [Mg</w:t>
      </w:r>
      <w:r>
        <w:t xml:space="preserve"> </w:t>
      </w:r>
      <w:r>
        <w:t>2+</w:t>
      </w:r>
      <w:r>
        <w:t xml:space="preserve"> </w:t>
      </w:r>
      <w:r>
        <w:t>]-dependent negative feedback loop, involving the asymmetric participation of individual subunits. To understand the connection between asymmetry and activation, we used single-particle cryo-EM to solve sixteen structures of nanodisc-reconstituted CorA. We utilized conformation-specific synthetic antibodies to stabilize subtle but significant conformational differences in the cryo-EM structures. Our results demonstrate that CorA exists as a set of conformational ensembles, where population size inversely correlates with intracellular Mg</w:t>
      </w:r>
      <w:r>
        <w:t xml:space="preserve"> </w:t>
      </w:r>
      <w:r>
        <w:t>2+</w:t>
      </w:r>
      <w:r>
        <w:t xml:space="preserve"> </w:t>
      </w:r>
      <w:r>
        <w:t>concentration. These ensembles include channels with a variety of pore conformations, both constricted and dilated, suggesting a spectrum of active CorA functional states. The ensembles connect asymmetric structural transitions in the cytoplasmic domain with conformational changes in the permeation pathway via an electrostatic network, ultimately controlling channel-gating events. We believe that these results establish a framework for understanding magnesium homeostasis in prokaryotic systems.</w:t>
      </w:r>
    </w:p>
    <w:p>
      <w:pPr>
        <w:spacing w:before="120" w:after="120"/>
      </w:pPr>
      <w:r>
        <w:rPr>
          <w:sz w:val="18"/>
        </w:rPr>
        <w:t>——————————————————————————————————————————————————————————————————————</w:t>
      </w:r>
    </w:p>
    <w:p>
      <w:pPr>
        <w:spacing w:before="160" w:after="40" w:line="240" w:lineRule="auto"/>
      </w:pPr>
      <w:r>
        <w:rPr>
          <w:b/>
        </w:rPr>
        <w:t xml:space="preserve">[241] </w:t>
      </w:r>
      <w:hyperlink r:id="rId368">
        <w:r>
          <w:rPr>
            <w:color w:val="1155CC"/>
            <w:u w:val="single"/>
          </w:rPr>
          <w:t>关联选择和遗传结构决定常年草丛叶子经济学频谱的演变</w:t>
        </w:r>
      </w:hyperlink>
    </w:p>
    <w:p>
      <w:pPr>
        <w:spacing w:before="0" w:after="80"/>
      </w:pPr>
      <w:r>
        <w:rPr>
          <w:i/>
          <w:sz w:val="20"/>
        </w:rPr>
        <w:t>EN: Correlational selection and genetic architecture shape the evolution of the leaf economics spectrum in a perennial grass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69">
        <w:r>
          <w:rPr>
            <w:color w:val="1155CC"/>
            <w:u w:val="single"/>
          </w:rPr>
          <w:t>10.1073/pnas.2515134123</w:t>
        </w:r>
      </w:hyperlink>
    </w:p>
    <w:p>
      <w:pPr>
        <w:spacing w:before="0" w:after="120"/>
      </w:pPr>
      <w:r>
        <w:rPr>
          <w:b/>
        </w:rPr>
        <w:t xml:space="preserve">Notes: </w:t>
      </w:r>
      <w:r>
        <w:t>abstract_source=crossref</w:t>
      </w:r>
    </w:p>
    <w:p>
      <w:pPr>
        <w:spacing w:before="0" w:after="80" w:lineRule="auto" w:line="276"/>
      </w:pPr>
      <w:r>
        <w:rPr>
          <w:b/>
        </w:rPr>
        <w:t xml:space="preserve">摘要（ZH）: </w:t>
      </w:r>
      <w:r>
        <w:t>世界叶子经济谱(LES)的普遍性使得它成为以特质为基础的生态研究的支柱。然而,很少有研究审查了在物种内部决定LES演变的过程,部分原因是大多数物种只占据LES的一小部分。为了解决这一差距,我们利用了以不同生态类型呈现的不同叶子经济学战略,这些不同生态类型是人性多样性的常年长草Panicum virgatum( sitchgras),以产生基因测绘人口,我们将其安放在美国中部纬度12度的三个地点的共同花园。我们利用这一基因测绘人口,评估了LES演化的两个潜在互动原因:1)基因结构,在那里,我们把基因测绘人口植入了三个共同花园,分布在美国中部的纬度为12度。</w:t>
      </w:r>
    </w:p>
    <w:p>
      <w:pPr>
        <w:spacing w:before="0" w:after="200" w:lineRule="auto" w:line="276"/>
      </w:pPr>
      <w:r>
        <w:rPr>
          <w:b/>
        </w:rPr>
        <w:t xml:space="preserve">Abstract (EN): </w:t>
      </w:r>
      <w:r>
        <w:t>The generality of the worldwide leaf economics spectrum (LES) has made it a pillar of trait-based ecological research. Yet, few studies have examined the processes shaping the evolution of the LES within species, in part, because most species occupy only a small portion of the LES. To address this gap, we took advantage of the distinct leaf economics strategies present in different ecotypes of the phenotypically diverse perennial grass</w:t>
      </w:r>
      <w:r>
        <w:t xml:space="preserve"> </w:t>
      </w:r>
      <w:r>
        <w:t>Panicum virgatum</w:t>
      </w:r>
      <w:r>
        <w:t xml:space="preserve"> </w:t>
      </w:r>
      <w:r>
        <w:t>(switchgrass) to generate a genetic mapping population, which we planted in common gardens at three sites spanning 12 degrees of latitude in the central United States. With this genetic mapping population, we evaluated two potentially interacting causes of LES evolution: 1) genetic architecture, where multiple traits are influenced by either the same gene (pleiotropy) or by genes in close physical proximity (genetic linkage), and 2) correlational selection, where selection acts on traits in combination rather than in isolation. We found that shared genetic architecture influenced covariation between photosynthetic rate (</w:t>
      </w:r>
      <w:r>
        <w:t xml:space="preserve"> </w:t>
      </w:r>
      <w:r>
        <w:t>A</w:t>
      </w:r>
      <w:r>
        <w:t xml:space="preserve"> </w:t>
      </w:r>
      <w:r>
        <w:t>MASS</w:t>
      </w:r>
      <w:r>
        <w:t xml:space="preserve"> </w:t>
      </w:r>
      <w:r>
        <w:t>) and leaf nitrogen (</w:t>
      </w:r>
      <w:r>
        <w:t xml:space="preserve"> </w:t>
      </w:r>
      <w:r>
        <w:t>N</w:t>
      </w:r>
      <w:r>
        <w:t xml:space="preserve"> </w:t>
      </w:r>
      <w:r>
        <w:t>MASS</w:t>
      </w:r>
      <w:r>
        <w:t xml:space="preserve"> </w:t>
      </w:r>
      <w:r>
        <w:t>) and between</w:t>
      </w:r>
      <w:r>
        <w:t xml:space="preserve"> </w:t>
      </w:r>
      <w:r>
        <w:t>A</w:t>
      </w:r>
      <w:r>
        <w:t xml:space="preserve"> </w:t>
      </w:r>
      <w:r>
        <w:t>MASS</w:t>
      </w:r>
      <w:r>
        <w:t xml:space="preserve"> </w:t>
      </w:r>
      <w:r>
        <w:t>and leaf mass per area (LMA). We also found that correlational selection favored the trait combinations predicted by the LES (e.g., high LMA with low</w:t>
      </w:r>
      <w:r>
        <w:t xml:space="preserve"> </w:t>
      </w:r>
      <w:r>
        <w:t>N</w:t>
      </w:r>
      <w:r>
        <w:t xml:space="preserve"> </w:t>
      </w:r>
      <w:r>
        <w:t>MASS</w:t>
      </w:r>
      <w:r>
        <w:t xml:space="preserve"> </w:t>
      </w:r>
      <w:r>
        <w:t>or low LMA with high</w:t>
      </w:r>
      <w:r>
        <w:t xml:space="preserve"> </w:t>
      </w:r>
      <w:r>
        <w:t>N</w:t>
      </w:r>
      <w:r>
        <w:t xml:space="preserve"> </w:t>
      </w:r>
      <w:r>
        <w:t>MASS</w:t>
      </w:r>
      <w:r>
        <w:t xml:space="preserve"> </w:t>
      </w:r>
      <w:r>
        <w:t>) and disfavored other, mismatched trait combinations at two of the three sites. Together, these results demonstrate how the evolution of an integrated LES within species can arise from multiple evolutionary causes.</w:t>
      </w:r>
    </w:p>
    <w:p>
      <w:pPr>
        <w:spacing w:before="120" w:after="120"/>
      </w:pPr>
      <w:r>
        <w:rPr>
          <w:sz w:val="18"/>
        </w:rPr>
        <w:t>——————————————————————————————————————————————————————————————————————</w:t>
      </w:r>
    </w:p>
    <w:p>
      <w:pPr>
        <w:spacing w:before="160" w:after="40" w:line="240" w:lineRule="auto"/>
      </w:pPr>
      <w:r>
        <w:rPr>
          <w:b/>
        </w:rPr>
        <w:t xml:space="preserve">[242] </w:t>
      </w:r>
      <w:hyperlink r:id="rId370">
        <w:r>
          <w:rPr>
            <w:color w:val="1155CC"/>
            <w:u w:val="single"/>
          </w:rPr>
          <w:t>气候变化和水管理对湿地温室气体通量的复合影响</w:t>
        </w:r>
      </w:hyperlink>
    </w:p>
    <w:p>
      <w:pPr>
        <w:spacing w:before="0" w:after="80"/>
      </w:pPr>
      <w:r>
        <w:rPr>
          <w:i/>
          <w:sz w:val="20"/>
        </w:rPr>
        <w:t>EN: Compounded effects on wetland greenhouse gas fluxes from climate change and water management along a saline to freshwater gradient</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71">
        <w:r>
          <w:rPr>
            <w:color w:val="1155CC"/>
            <w:u w:val="single"/>
          </w:rPr>
          <w:t>10.1073/pnas.2513685123</w:t>
        </w:r>
      </w:hyperlink>
    </w:p>
    <w:p>
      <w:pPr>
        <w:spacing w:before="0" w:after="120"/>
      </w:pPr>
      <w:r>
        <w:rPr>
          <w:b/>
        </w:rPr>
        <w:t xml:space="preserve">Notes: </w:t>
      </w:r>
      <w:r>
        <w:t>abstract_source=crossref</w:t>
      </w:r>
    </w:p>
    <w:p>
      <w:pPr>
        <w:spacing w:before="0" w:after="80" w:lineRule="auto" w:line="276"/>
      </w:pPr>
      <w:r>
        <w:rPr>
          <w:b/>
        </w:rPr>
        <w:t xml:space="preserve">摘要（ZH）: </w:t>
      </w:r>
      <w:r>
        <w:t>盐水和淡水湿地储存了大量碳,这激发了人们对其作为自然气候解决办法的作用的兴趣,因为随着环境条件和人类影响的变化,这些生态系统既可以是碳的汇,也可以是大气的碳源,因此,湿地在区域和全球范围的净气候减缓潜力仍然不确定,我们使用数据驱动方法,利用卫星地面反射度500米,跨越美国佛罗里达州南部淡水湿地的盐度梯度,测量地面和空中的二氧化碳(CO 2)和甲烷(CH 4)通量,以测量地面和空中的二氧化碳(CO 2)和甲烷(CH 4)的升温通量。</w:t>
      </w:r>
    </w:p>
    <w:p>
      <w:pPr>
        <w:spacing w:before="0" w:after="200" w:lineRule="auto" w:line="276"/>
      </w:pPr>
      <w:r>
        <w:rPr>
          <w:b/>
        </w:rPr>
        <w:t xml:space="preserve">Abstract (EN): </w:t>
      </w:r>
      <w:r>
        <w:t>Saline and freshwater wetlands store large amounts of carbon, which has driven interest in their role as nature-based climate solutions. Because these ecosystems can be both sinks and sources of carbon to the atmosphere as environmental conditions and human influence change, the net climate mitigation potential of wetlands at regional to global scales remains uncertain. We used a data-driven approach to measure ground-based and airborne fluxes to upscale carbon dioxide (CO</w:t>
      </w:r>
      <w:r>
        <w:rPr>
          <w:vertAlign w:val="subscript"/>
        </w:rPr>
        <w:t>2</w:t>
      </w:r>
      <w:r>
        <w:t>) and methane (CH</w:t>
      </w:r>
      <w:r>
        <w:rPr>
          <w:vertAlign w:val="subscript"/>
        </w:rPr>
        <w:t>4</w:t>
      </w:r>
      <w:r>
        <w:t>) fluxes using satellite-based surface reflectances at 500-m resolution across a gradient of saline to freshwater wetlands in Southern Florida, USA. Daily time series of CO</w:t>
      </w:r>
      <w:r>
        <w:rPr>
          <w:vertAlign w:val="subscript"/>
        </w:rPr>
        <w:t>2</w:t>
      </w:r>
      <w:r>
        <w:t>and CH</w:t>
      </w:r>
      <w:r>
        <w:rPr>
          <w:vertAlign w:val="subscript"/>
        </w:rPr>
        <w:t>4</w:t>
      </w:r>
      <w:r>
        <w:t>fluxes from 2000 to 2024 integrated surface properties related to vegetation productivity, flooding, and disturbance, and captured 80% and 91% of the variability in annual fluxes of CO</w:t>
      </w:r>
      <w:r>
        <w:rPr>
          <w:vertAlign w:val="subscript"/>
        </w:rPr>
        <w:t>2</w:t>
      </w:r>
      <w:r>
        <w:t>and CH</w:t>
      </w:r>
      <w:r>
        <w:rPr>
          <w:vertAlign w:val="subscript"/>
        </w:rPr>
        <w:t>4</w:t>
      </w:r>
      <w:r>
        <w:t>, respectively. Long-term (23-y) patterns in the fluxes of CH</w:t>
      </w:r>
      <w:r>
        <w:rPr>
          <w:vertAlign w:val="subscript"/>
        </w:rPr>
        <w:t>4</w:t>
      </w:r>
      <w:r>
        <w:t>, CO</w:t>
      </w:r>
      <w:r>
        <w:rPr>
          <w:vertAlign w:val="subscript"/>
        </w:rPr>
        <w:t>2</w:t>
      </w:r>
      <w:r>
        <w:t>, and their CO</w:t>
      </w:r>
      <w:r>
        <w:rPr>
          <w:vertAlign w:val="subscript"/>
        </w:rPr>
        <w:t>2</w:t>
      </w:r>
      <w:r>
        <w:t>-equivalent (CO</w:t>
      </w:r>
      <w:r>
        <w:rPr>
          <w:vertAlign w:val="subscript"/>
        </w:rPr>
        <w:t>2</w:t>
      </w:r>
      <w:r>
        <w:t>eq) are represented as Global Warming Potential 100 (GWP100) and were shown to vary spatially with wetland management, revealing higher carbon uptake in mangroves susceptible to hurricane damage and coastal hydrology, and greater carbon emissions in freshwater sawgrass marshes where freshwater hydrology is managed for restoration. Regional net annual CO</w:t>
      </w:r>
      <w:r>
        <w:rPr>
          <w:vertAlign w:val="subscript"/>
        </w:rPr>
        <w:t>2</w:t>
      </w:r>
      <w:r>
        <w:t>eq uptake in coastal and freshwater wetlands increased by 18% from −7.0 ± 3.3 MMT CO</w:t>
      </w:r>
      <w:r>
        <w:rPr>
          <w:vertAlign w:val="subscript"/>
        </w:rPr>
        <w:t>2</w:t>
      </w:r>
      <w:r>
        <w:t>eq y</w:t>
      </w:r>
      <w:r>
        <w:t xml:space="preserve"> </w:t>
      </w:r>
      <w:r>
        <w:t>−1</w:t>
      </w:r>
      <w:r>
        <w:t xml:space="preserve"> </w:t>
      </w:r>
      <w:r>
        <w:t>in ~2003 to −8.4 ± 3.8 MMT CO</w:t>
      </w:r>
      <w:r>
        <w:rPr>
          <w:vertAlign w:val="subscript"/>
        </w:rPr>
        <w:t>2</w:t>
      </w:r>
      <w:r>
        <w:t>eq y</w:t>
      </w:r>
      <w:r>
        <w:t xml:space="preserve"> </w:t>
      </w:r>
      <w:r>
        <w:t>−1</w:t>
      </w:r>
      <w:r>
        <w:t xml:space="preserve"> </w:t>
      </w:r>
      <w:r>
        <w:t>in ~2020 at an uptake rate of −0.06 ± 0.01 MMT CO</w:t>
      </w:r>
      <w:r>
        <w:rPr>
          <w:vertAlign w:val="subscript"/>
        </w:rPr>
        <w:t>2</w:t>
      </w:r>
      <w:r>
        <w:t>eq y</w:t>
      </w:r>
      <w:r>
        <w:t xml:space="preserve"> </w:t>
      </w:r>
      <w:r>
        <w:t>−2</w:t>
      </w:r>
      <w:r>
        <w:t xml:space="preserve"> </w:t>
      </w:r>
      <w:r>
        <w:t>. Annually, roughly 43% of CO</w:t>
      </w:r>
      <w:r>
        <w:rPr>
          <w:vertAlign w:val="subscript"/>
        </w:rPr>
        <w:t>2</w:t>
      </w:r>
      <w:r>
        <w:t>uptake was offset by CH</w:t>
      </w:r>
      <w:r>
        <w:rPr>
          <w:vertAlign w:val="subscript"/>
        </w:rPr>
        <w:t>4</w:t>
      </w:r>
      <w:r>
        <w:t>emissions from all wetlands in the region (from 16% in mangroves to 82% in freshwater marshes).</w:t>
      </w:r>
    </w:p>
    <w:p>
      <w:pPr>
        <w:spacing w:before="120" w:after="120"/>
      </w:pPr>
      <w:r>
        <w:rPr>
          <w:sz w:val="18"/>
        </w:rPr>
        <w:t>——————————————————————————————————————————————————————————————————————</w:t>
      </w:r>
    </w:p>
    <w:p>
      <w:pPr>
        <w:spacing w:before="160" w:after="40" w:line="240" w:lineRule="auto"/>
      </w:pPr>
      <w:r>
        <w:rPr>
          <w:b/>
        </w:rPr>
        <w:t xml:space="preserve">[243] </w:t>
      </w:r>
      <w:hyperlink r:id="rId372">
        <w:r>
          <w:rPr>
            <w:color w:val="1155CC"/>
            <w:u w:val="single"/>
          </w:rPr>
          <w:t>全球海洋有机碳和磷回收利用的分离时间尺度</w:t>
        </w:r>
      </w:hyperlink>
    </w:p>
    <w:p>
      <w:pPr>
        <w:spacing w:before="0" w:after="80"/>
      </w:pPr>
      <w:r>
        <w:rPr>
          <w:i/>
          <w:sz w:val="20"/>
        </w:rPr>
        <w:t>EN: Decoupled timescales of organic carbon and phosphorus recycling in the global ocean</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73">
        <w:r>
          <w:rPr>
            <w:color w:val="1155CC"/>
            <w:u w:val="single"/>
          </w:rPr>
          <w:t>10.1073/pnas.2514991123</w:t>
        </w:r>
      </w:hyperlink>
    </w:p>
    <w:p>
      <w:pPr>
        <w:spacing w:before="0" w:after="120"/>
      </w:pPr>
      <w:r>
        <w:rPr>
          <w:b/>
        </w:rPr>
        <w:t xml:space="preserve">Notes: </w:t>
      </w:r>
      <w:r>
        <w:t>abstract_source=crossref</w:t>
      </w:r>
    </w:p>
    <w:p>
      <w:pPr>
        <w:spacing w:before="0" w:after="80" w:lineRule="auto" w:line="276"/>
      </w:pPr>
      <w:r>
        <w:rPr>
          <w:b/>
        </w:rPr>
        <w:t xml:space="preserve">摘要（ZH）: </w:t>
      </w:r>
      <w:r>
        <w:t>海洋生物碳泵向深海输出大气CO2 CO2,在深海中,大气中CO2可以持续几十年到几个世纪的封存,而且试图通过对开阔海洋部分的肥化人为地增加这一自然碳吸收汇,这有助于减轻人为二氧化碳排放量过多的影响。 然而,碳和其他养分的循环率差异可能会影响对海洋肥化的长期反应。 在这项研究中,我们使用了稳定状态的全球生物地球化学反向模型,优化以与水文观测相匹配,以研究有机碳和磷的不同生产、再采矿和循环驱动的再接触时间尺度如何影响长期影响。</w:t>
      </w:r>
    </w:p>
    <w:p>
      <w:pPr>
        <w:spacing w:before="0" w:after="200" w:lineRule="auto" w:line="276"/>
      </w:pPr>
      <w:r>
        <w:rPr>
          <w:b/>
        </w:rPr>
        <w:t xml:space="preserve">Abstract (EN): </w:t>
      </w:r>
      <w:r>
        <w:t>The ocean’s biological carbon pump exports atmospheric CO</w:t>
      </w:r>
      <w:r>
        <w:rPr>
          <w:vertAlign w:val="subscript"/>
        </w:rPr>
        <w:t>2</w:t>
      </w:r>
      <w:r>
        <w:t>to the deep ocean, where it can remain sequestered for decades to centuries, and attempts to artificially enhance this natural carbon sink by fertilizing portions of the open ocean could help mitigate the impacts of excessive anthropogenic CO</w:t>
      </w:r>
      <w:r>
        <w:rPr>
          <w:vertAlign w:val="subscript"/>
        </w:rPr>
        <w:t>2</w:t>
      </w:r>
      <w:r>
        <w:t>emissions. However, differences in the cycling rates of carbon and other nutrients may impact the long-term response to ocean fertilization. In this study, we use a steady-state global biogeochemical inverse model, optimized to match hydrographic observations, to examine how differential production, remineralization, and circulation-driven re-exposure timescales of organic carbon and phosphorus affect long-term carbon sequestration. We partition global organic matter production based on the time required for regenerated carbon and phosphorus to return to the ocean surface. We find that less than 15% of total organic carbon and 31% of total organic phosphorus production remains sequestered in the ocean interior for</w:t>
      </w:r>
      <w:r>
        <w:t xml:space="preserve"> </w:t>
      </w:r>
      <w:r>
        <w:t>≥</w:t>
      </w:r>
      <w:r>
        <w:t xml:space="preserve"> </w:t>
      </w:r>
      <w:r>
        <w:t>1 y, with only 3.3% (1.8 Pg C y</w:t>
      </w:r>
      <w:r>
        <w:t xml:space="preserve"> </w:t>
      </w:r>
      <w:r>
        <w:t>−1</w:t>
      </w:r>
      <w:r>
        <w:t xml:space="preserve"> </w:t>
      </w:r>
      <w:r>
        <w:t>) and 8.3% (0.046 Pg P y</w:t>
      </w:r>
      <w:r>
        <w:t xml:space="preserve"> </w:t>
      </w:r>
      <w:r>
        <w:t>−1</w:t>
      </w:r>
      <w:r>
        <w:t xml:space="preserve"> </w:t>
      </w:r>
      <w:r>
        <w:t>), respectively, remaining for a century or longer. The C:P ratio of the sequestration flux declines with increasing residence time, from 255:1 for total production to 98:1 for material sequestered for 100+ years, indicating that carbon is recycled to the surface more rapidly than phosphorus. This decoupling between carbon and phosphorus sequestration timescales could result in a “productivity hangover,” where the slow recovery of surface phosphate leads to a long-term suppression of global productivity, reducing the net removal of atmospheric CO</w:t>
      </w:r>
      <w:r>
        <w:rPr>
          <w:vertAlign w:val="subscript"/>
        </w:rPr>
        <w:t>2</w:t>
      </w:r>
      <w:r>
        <w:t>.</w:t>
      </w:r>
    </w:p>
    <w:p>
      <w:pPr>
        <w:spacing w:before="120" w:after="120"/>
      </w:pPr>
      <w:r>
        <w:rPr>
          <w:sz w:val="18"/>
        </w:rPr>
        <w:t>——————————————————————————————————————————————————————————————————————</w:t>
      </w:r>
    </w:p>
    <w:p>
      <w:pPr>
        <w:spacing w:before="160" w:after="40" w:line="240" w:lineRule="auto"/>
      </w:pPr>
      <w:r>
        <w:rPr>
          <w:b/>
        </w:rPr>
        <w:t xml:space="preserve">[244] </w:t>
      </w:r>
      <w:hyperlink r:id="rId374">
        <w:r>
          <w:rPr>
            <w:color w:val="1155CC"/>
            <w:u w:val="single"/>
          </w:rPr>
          <w:t>Pks13 的精密特殊性界定了鼻阴性细菌中甘油的基本特性。</w:t>
        </w:r>
      </w:hyperlink>
    </w:p>
    <w:p>
      <w:pPr>
        <w:spacing w:before="0" w:after="80"/>
      </w:pPr>
      <w:r>
        <w:rPr>
          <w:i/>
          <w:sz w:val="20"/>
        </w:rPr>
        <w:t>EN: Exquisite specificity of Pks13 defines the essentiality of trehalose in mycobacteria</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75">
        <w:r>
          <w:rPr>
            <w:color w:val="1155CC"/>
            <w:u w:val="single"/>
          </w:rPr>
          <w:t>10.1073/pnas.2507896123</w:t>
        </w:r>
      </w:hyperlink>
    </w:p>
    <w:p>
      <w:pPr>
        <w:spacing w:before="0" w:after="120"/>
      </w:pPr>
      <w:r>
        <w:rPr>
          <w:b/>
        </w:rPr>
        <w:t xml:space="preserve">Notes: </w:t>
      </w:r>
      <w:r>
        <w:t>abstract_source=crossref</w:t>
      </w:r>
    </w:p>
    <w:p>
      <w:pPr>
        <w:spacing w:before="0" w:after="80" w:lineRule="auto" w:line="276"/>
      </w:pPr>
      <w:r>
        <w:rPr>
          <w:b/>
        </w:rPr>
        <w:t xml:space="preserve">摘要（ZH）: </w:t>
      </w:r>
      <w:r>
        <w:t>脊髓酸(MAs)是甲状腺外膜(Mas)的主要成分。 甲状腺外膜(MAs)是甲状腺外膜(Mambrane)的主要成分。 甲状腺外膜(Mams)是造成甲状腺外膜(Mambrane)对包括多种抗生素在内的外部侮辱的内在抗药性的关键因素。 MAs在细胞图层合成后,在到达外膜前,以乙型糖的形式穿过内膜( AMMs), 通常认为这是一种激素单体酸糖( TMMs ) 。 正在争论的是, 糖是否是唯一的甲状腺载体。 为何这一丰富多产的脱硫酸剂对于我的细胞生长至关重要, 尚不清楚。 为了解决这些问题,我们利用了一种激素抗氧化剂( 氧化性) 分子(Mycacterimmatis) 菌株来进行投资。</w:t>
      </w:r>
    </w:p>
    <w:p>
      <w:pPr>
        <w:spacing w:before="0" w:after="200" w:lineRule="auto" w:line="276"/>
      </w:pPr>
      <w:r>
        <w:rPr>
          <w:b/>
        </w:rPr>
        <w:t xml:space="preserve">Abstract (EN): </w:t>
      </w:r>
      <w:r>
        <w:t>Mycolic acids (MAs) are the major component of the mycobacterial outer membrane, a key contributor to the intrinsic resistance of mycobacteria to external insults including multiple antibiotics. After being synthesized in the cytoplasm and before reaching the outer membrane, MAs are transported across the inner membrane in the form of an acylated sugar, generally believed to be trehalose monomycolates (TMMs). Whether trehalose is the only mycolate carrier during transport is under debate, and why this highly abundant disaccharide is essential for mycobacterial growth is unclear. To address these questions, we leveraged a trehalose auxotrophic</w:t>
      </w:r>
      <w:r>
        <w:t xml:space="preserve"> </w:t>
      </w:r>
      <w:r>
        <w:t>Mycobacterium</w:t>
      </w:r>
      <w:r>
        <w:t xml:space="preserve"> </w:t>
      </w:r>
      <w:r>
        <w:t>smegmatis</w:t>
      </w:r>
      <w:r>
        <w:t xml:space="preserve"> </w:t>
      </w:r>
      <w:r>
        <w:t>strain to investigate the biosynthetic steps affording TMMs. We show that in addition to TMMs, mature MAs are also not produced in the absence of intracellular trehalose. This is likely due to a product inhibition mechanism where unreduced MA precursors accumulate on Pks13, the protein catalyzing the ligation of mycolic acids and the sugar head group. We establish that the unreduced mycolates could only be released by trehalose, revealing exquisite Pks13 specificity, and subsequently reduced by CmrA in vitro. Furthermore, only trehalose and its analogs can reactivate MA biosynthesis in cells. Finally, by replacing trehalose with a 6-deoxy analog in cells, we demonstrate that the cord factor trehalose dimycolate is dispensable for</w:t>
      </w:r>
      <w:r>
        <w:t xml:space="preserve"> </w:t>
      </w:r>
      <w:r>
        <w:t>M. smegmatis</w:t>
      </w:r>
      <w:r>
        <w:t xml:space="preserve"> </w:t>
      </w:r>
      <w:r>
        <w:t>growth in vitro. Our work gives a clear depiction of how TMMs are formed and provides a compelling reason for the essentiality of trehalose, shedding light on the development of future antimycobacterial strategies.</w:t>
      </w:r>
    </w:p>
    <w:p>
      <w:pPr>
        <w:spacing w:before="120" w:after="120"/>
      </w:pPr>
      <w:r>
        <w:rPr>
          <w:sz w:val="18"/>
        </w:rPr>
        <w:t>——————————————————————————————————————————————————————————————————————</w:t>
      </w:r>
    </w:p>
    <w:p>
      <w:pPr>
        <w:spacing w:before="160" w:after="40" w:line="240" w:lineRule="auto"/>
      </w:pPr>
      <w:r>
        <w:rPr>
          <w:b/>
        </w:rPr>
        <w:t xml:space="preserve">[245] </w:t>
      </w:r>
      <w:hyperlink r:id="rId376">
        <w:r>
          <w:rPr>
            <w:color w:val="1155CC"/>
            <w:u w:val="single"/>
          </w:rPr>
          <w:t>无定形材料机械丢失连接网络模型</w:t>
        </w:r>
      </w:hyperlink>
    </w:p>
    <w:p>
      <w:pPr>
        <w:spacing w:before="0" w:after="80"/>
      </w:pPr>
      <w:r>
        <w:rPr>
          <w:i/>
          <w:sz w:val="20"/>
        </w:rPr>
        <w:t>EN: Connected network model for the mechanical loss of amorphous materials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77">
        <w:r>
          <w:rPr>
            <w:color w:val="1155CC"/>
            <w:u w:val="single"/>
          </w:rPr>
          <w:t>10.1073/pnas.2513161123</w:t>
        </w:r>
      </w:hyperlink>
    </w:p>
    <w:p>
      <w:pPr>
        <w:spacing w:before="0" w:after="120"/>
      </w:pPr>
      <w:r>
        <w:rPr>
          <w:b/>
        </w:rPr>
        <w:t xml:space="preserve">Notes: </w:t>
      </w:r>
      <w:r>
        <w:t>abstract_source=crossref</w:t>
      </w:r>
    </w:p>
    <w:p>
      <w:pPr>
        <w:spacing w:before="0" w:after="80" w:lineRule="auto" w:line="276"/>
      </w:pPr>
      <w:r>
        <w:rPr>
          <w:b/>
        </w:rPr>
        <w:t xml:space="preserve">摘要（ZH）: </w:t>
      </w:r>
      <w:r>
        <w:t>低频率不固定固体的消散通常归因于与弹性或电场相共的孤立的两层系统(TLS)的动态转换。 用于引力波探测、高精密传感器和量子计算,迫切需要机械或电损耗低的材料。 我们发现,利用不固定硅和钛二氧化物的原子模型,他们的能源景观比收集孤立的TLS更好地代表一个连接的内在结构网络。 每个连接都是两个迷你或电场之间的单一能源屏障,如果能够从任何特定州达到所有州(minima),一个网络就会连接起来。我们受这一观察的驱动,我们为机械人开发了一种可分析的可移植理论。</w:t>
      </w:r>
    </w:p>
    <w:p>
      <w:pPr>
        <w:spacing w:before="0" w:after="200" w:lineRule="auto" w:line="276"/>
      </w:pPr>
      <w:r>
        <w:rPr>
          <w:b/>
        </w:rPr>
        <w:t xml:space="preserve">Abstract (EN): </w:t>
      </w:r>
      <w:r>
        <w:t>Dissipation in amorphous solids at low frequencies is commonly attributed to activated transitions of isolated two-level systems (TLS) that come in resonance with elastic or electric fields. Materials with low mechanical or dielectric loss are urgently needed for applications in gravitational wave detection, high precision sensors, and quantum computing. Using atomistic modeling of amorphous silicon and titanium dioxide, we find that their energy landscape is better represented by a connected network of inherent structures than a collection of isolated TLS. Each connection is a single energy barrier between two minima, and a network is connected if all states (minima) can be reached from any given state. Motivated by this observation, we develop an analytically tractable theory for mechanical loss of the full network from a nonequilibrium thermodynamic perspective. We demonstrate that the connectivity of the network introduces new mechanisms that can both reduce low frequency dissipation through additional low energy relaxation pathways, and increase dissipation through a broad distribution of energy minima. As a result, the connected network model predicts mechanical loss with distinct frequency profiles compared to the isolated TLS model. This not only calls into question the validity of the TLS model, but also gives us many avenues and properties to analyze for the targeted design of low mechanical loss materials.</w:t>
      </w:r>
    </w:p>
    <w:p>
      <w:pPr>
        <w:spacing w:before="120" w:after="120"/>
      </w:pPr>
      <w:r>
        <w:rPr>
          <w:sz w:val="18"/>
        </w:rPr>
        <w:t>——————————————————————————————————————————————————————————————————————</w:t>
      </w:r>
    </w:p>
    <w:p>
      <w:pPr>
        <w:spacing w:before="160" w:after="40" w:line="240" w:lineRule="auto"/>
      </w:pPr>
      <w:r>
        <w:rPr>
          <w:b/>
        </w:rPr>
        <w:t xml:space="preserve">[246] </w:t>
      </w:r>
      <w:hyperlink r:id="rId378">
        <w:r>
          <w:rPr>
            <w:color w:val="1155CC"/>
            <w:u w:val="single"/>
          </w:rPr>
          <w:t>本问题</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79">
        <w:r>
          <w:rPr>
            <w:color w:val="1155CC"/>
            <w:u w:val="single"/>
          </w:rPr>
          <w:t>10.1073/iti0726123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380">
        <w:r>
          <w:rPr>
            <w:color w:val="1155CC"/>
            <w:u w:val="single"/>
          </w:rPr>
          <w:t>营养基因学特征分析确定ZIP10(SLC39A10)是红甲锌固态的调节器,其遗传关系具有贫血风险。</w:t>
        </w:r>
      </w:hyperlink>
    </w:p>
    <w:p>
      <w:pPr>
        <w:spacing w:before="0" w:after="80"/>
      </w:pPr>
      <w:r>
        <w:rPr>
          <w:i/>
          <w:sz w:val="20"/>
        </w:rPr>
        <w:t>EN: Nutrigenomic profiling identifies ZIP10 (SLC39A10) as a regulator of erythroid zinc homeostasis with genetic associations to anemia risk</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81">
        <w:r>
          <w:rPr>
            <w:color w:val="1155CC"/>
            <w:u w:val="single"/>
          </w:rPr>
          <w:t>10.1073/pnas.2533600123</w:t>
        </w:r>
      </w:hyperlink>
    </w:p>
    <w:p>
      <w:pPr>
        <w:spacing w:before="0" w:after="120"/>
      </w:pPr>
      <w:r>
        <w:rPr>
          <w:b/>
        </w:rPr>
        <w:t xml:space="preserve">Notes: </w:t>
      </w:r>
      <w:r>
        <w:t>abstract_source=crossref</w:t>
      </w:r>
    </w:p>
    <w:p>
      <w:pPr>
        <w:spacing w:before="0" w:after="80" w:lineRule="auto" w:line="276"/>
      </w:pPr>
      <w:r>
        <w:rPr>
          <w:b/>
        </w:rPr>
        <w:t xml:space="preserve">摘要（ZH）: </w:t>
      </w:r>
      <w:r>
        <w:t>苯丙胺对红血杆菌至关重要,但将锌的可得性与 heme 生物合成物和贫血风险相联系的机制仍然不清楚。这项研究旨在界定在区别红细胞后代时的锌反应途径,并评价SLC39A10(ZIP10)遗传变异物与血细胞健康的翻译相关性。为了阐明锌在红血杆菌中的分子基础,我们在分化期间对受锌限制的G1E-ER4细胞进行了记录学分析,并将其与铁切化和氨基升利酸脱水酶抑制物作比较。</w:t>
      </w:r>
    </w:p>
    <w:p>
      <w:pPr>
        <w:spacing w:before="0" w:after="200" w:lineRule="auto" w:line="276"/>
      </w:pPr>
      <w:r>
        <w:rPr>
          <w:b/>
        </w:rPr>
        <w:t xml:space="preserve">Abstract (EN): </w:t>
      </w:r>
      <w:r>
        <w:t>Erythroid progenitors undergo dynamic morphological changes and robust heme biosynthesis during differentiation. Zinc is essential for erythropoiesis, yet the mechanisms linking zinc availability to heme biosynthesis and anemia risk remain unclear. This study aimed to define zinc-responsive pathways in differentiating erythroid progenitors and to evaluate the translational relevance of</w:t>
      </w:r>
      <w:r>
        <w:t xml:space="preserve"> </w:t>
      </w:r>
      <w:r>
        <w:t>SLC39A10</w:t>
      </w:r>
      <w:r>
        <w:t xml:space="preserve"> </w:t>
      </w:r>
      <w:r>
        <w:t>(</w:t>
      </w:r>
      <w:r>
        <w:t xml:space="preserve"> </w:t>
      </w:r>
      <w:r>
        <w:t>ZIP10</w:t>
      </w:r>
      <w:r>
        <w:t xml:space="preserve"> </w:t>
      </w:r>
      <w:r>
        <w:t>) genetic variants to hematological health. To elucidate the molecular basis of zinc’s role in erythropoiesis, we performed transcriptomic profiling of zinc-restricted G1E-ER4 cells during differentiation and compared it to iron chelation and δ-aminolevulinic acid dehydratase inhibition. Zinc deficiency uniquely enriched genes involved in not only heme biosynthesis but cellular maintenance functions. Zinc restriction caused a marked suppression of</w:t>
      </w:r>
      <w:r>
        <w:t xml:space="preserve"> </w:t>
      </w:r>
      <w:r>
        <w:t>Alad</w:t>
      </w:r>
      <w:r>
        <w:t xml:space="preserve"> </w:t>
      </w:r>
      <w:r>
        <w:t>transcript abundance, impairing the first enzymatic step of cytosolic heme biosynthesis. Notably,</w:t>
      </w:r>
      <w:r>
        <w:t xml:space="preserve"> </w:t>
      </w:r>
      <w:r>
        <w:t>Slc39a10</w:t>
      </w:r>
      <w:r>
        <w:t xml:space="preserve"> </w:t>
      </w:r>
      <w:r>
        <w:t>(</w:t>
      </w:r>
      <w:r>
        <w:t xml:space="preserve"> </w:t>
      </w:r>
      <w:r>
        <w:t>Zip10</w:t>
      </w:r>
      <w:r>
        <w:t xml:space="preserve"> </w:t>
      </w:r>
      <w:r>
        <w:t>) was the only zinc transporter strongly induced by zinc deficiency, independent of iron status. Loss of ZIP10 exacerbated zinc depletion, further reduced</w:t>
      </w:r>
      <w:r>
        <w:t xml:space="preserve"> </w:t>
      </w:r>
      <w:r>
        <w:t>Alad</w:t>
      </w:r>
      <w:r>
        <w:t xml:space="preserve"> </w:t>
      </w:r>
      <w:r>
        <w:t>expression, and diminished heme output, highlighting its role as a compensatory importer during zinc scarcity. GWAS database analyses revealed that</w:t>
      </w:r>
      <w:r>
        <w:t xml:space="preserve"> </w:t>
      </w:r>
      <w:r>
        <w:t>SLC39A10</w:t>
      </w:r>
      <w:r>
        <w:t xml:space="preserve"> </w:t>
      </w:r>
      <w:r>
        <w:t>variants are significantly associated with hemoglobin concentration, hematocrit, and iron deficiency anemia risk. Together, ZIP10 safeguards erythroid zinc homeostasis and heme synthesis under limiting zinc conditions. Genetic variation in</w:t>
      </w:r>
      <w:r>
        <w:t xml:space="preserve"> </w:t>
      </w:r>
      <w:r>
        <w:t>SLC39A10</w:t>
      </w:r>
      <w:r>
        <w:t xml:space="preserve"> </w:t>
      </w:r>
      <w:r>
        <w:t>may heighten sensitivity to zinc deficiency, providing a potential nutrigenetic marker for anemia risk. These findings establish a mechanistic and translational basis for genotype-guided precision nutrition strategies to improve hematological health.</w:t>
      </w:r>
    </w:p>
    <w:p>
      <w:pPr>
        <w:spacing w:before="120" w:after="120"/>
      </w:pPr>
      <w:r>
        <w:rPr>
          <w:sz w:val="18"/>
        </w:rPr>
        <w:t>——————————————————————————————————————————————————————————————————————</w:t>
      </w:r>
    </w:p>
    <w:p>
      <w:pPr>
        <w:spacing w:before="160" w:after="40" w:line="240" w:lineRule="auto"/>
      </w:pPr>
      <w:r>
        <w:rPr>
          <w:b/>
        </w:rPr>
        <w:t xml:space="preserve">[248] </w:t>
      </w:r>
      <w:hyperlink r:id="rId382">
        <w:r>
          <w:rPr>
            <w:color w:val="1155CC"/>
            <w:u w:val="single"/>
          </w:rPr>
          <w:t>狼群对人类信号的反应不同 当它们扩展到城市风景时</w:t>
        </w:r>
      </w:hyperlink>
    </w:p>
    <w:p>
      <w:pPr>
        <w:spacing w:before="0" w:after="80"/>
      </w:pPr>
      <w:r>
        <w:rPr>
          <w:i/>
          <w:sz w:val="20"/>
        </w:rPr>
        <w:t>EN: Wolves respond differently to human cues as they expand into urban landscapes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83">
        <w:r>
          <w:rPr>
            <w:color w:val="1155CC"/>
            <w:u w:val="single"/>
          </w:rPr>
          <w:t>10.1073/pnas.2529810123</w:t>
        </w:r>
      </w:hyperlink>
    </w:p>
    <w:p>
      <w:pPr>
        <w:spacing w:before="0" w:after="120"/>
      </w:pPr>
      <w:r>
        <w:rPr>
          <w:b/>
        </w:rPr>
        <w:t xml:space="preserve">Notes: </w:t>
      </w:r>
      <w:r>
        <w:t>abstract_source=crossref</w:t>
      </w:r>
    </w:p>
    <w:p>
      <w:pPr>
        <w:spacing w:before="0" w:after="80" w:lineRule="auto" w:line="276"/>
      </w:pPr>
      <w:r>
        <w:rPr>
          <w:b/>
        </w:rPr>
        <w:t xml:space="preserve">摘要（ZH）: </w:t>
      </w:r>
      <w:r>
        <w:t>重新殖民以人类为主的景观的狼(Canis lupus)在重新殖民化后会遇到人为风险和机会,但这种风险和机会如何形成人类恐惧尚不得而知。 我们测试了分布在44个地点、覆盖大城市化梯度的185只个体识别的野狼,覆盖了44个大城市化梯度,使其暴露在新的物体和人类播放器中。 较城市化地区的狼在第一次接触物体时表现出了较少的恐惧,但当物体改变时却更加谨慎,这表明人们更加关注环境变化,而不是统一减少恐惧。 相比之下,人类声音的回响引发了强烈的恐惧反应( &amp; gt; 80% ), 不论城市化情况如何。 然而, 个人迅速以相似的速度习惯于刺激性, 突出他们的愤怒。</w:t>
      </w:r>
    </w:p>
    <w:p>
      <w:pPr>
        <w:spacing w:before="0" w:after="200" w:lineRule="auto" w:line="276"/>
      </w:pPr>
      <w:r>
        <w:rPr>
          <w:b/>
        </w:rPr>
        <w:t xml:space="preserve">Abstract (EN): </w:t>
      </w:r>
      <w:r>
        <w:t>Wolves (</w:t>
      </w:r>
      <w:r>
        <w:t xml:space="preserve"> </w:t>
      </w:r>
      <w:r>
        <w:t>Canis lupus</w:t>
      </w:r>
      <w:r>
        <w:t xml:space="preserve"> </w:t>
      </w:r>
      <w:r>
        <w:t>) recolonizing human-dominated landscapes encounter anthropogenic risks and opportunities, but how this shapes their fear of humans is unknown. We tested 185 individually identified wild wolves across 44 locations covering a wide urbanization gradient, exposing them to novel objects and human playbacks. Wolves from more urbanized areas showed reduced fear at first exposure to an object but heightened caution when the object changed, indicating increased attention to environmental changes, rather than uniform fear reduction. By contrast, playbacks of human voices elicited strong fear responses (&amp;gt;80%), regardless of urbanization. However, individuals habituated to both stimuli quickly and at a similar pace, highlighting their rapid learning abilities. Sociality buffered fear, with wolves in groups reacting less fearfully than wolves alone. Results show that wolves are capable of flexibly modulating their behavioral responses to both the risks and opportunities of human-dominated landscapes, which likely underpins their urban success and requires us to rise to the challenge of peaceful coexistence.</w:t>
      </w:r>
    </w:p>
    <w:p>
      <w:pPr>
        <w:spacing w:before="120" w:after="120"/>
      </w:pPr>
      <w:r>
        <w:rPr>
          <w:sz w:val="18"/>
        </w:rPr>
        <w:t>——————————————————————————————————————————————————————————————————————</w:t>
      </w:r>
    </w:p>
    <w:p>
      <w:pPr>
        <w:spacing w:before="160" w:after="40" w:line="240" w:lineRule="auto"/>
      </w:pPr>
      <w:r>
        <w:rPr>
          <w:b/>
        </w:rPr>
        <w:t xml:space="preserve">[249] </w:t>
      </w:r>
      <w:hyperlink r:id="rId384">
        <w:r>
          <w:rPr>
            <w:color w:val="1155CC"/>
            <w:u w:val="single"/>
          </w:rPr>
          <w:t>PHGGDH在对RNA有约束力的活动中,通过人体脑组织模型,在零发性阿尔茨海默氏病中推动氨基类动物生产。</w:t>
        </w:r>
      </w:hyperlink>
    </w:p>
    <w:p>
      <w:pPr>
        <w:spacing w:before="0" w:after="80"/>
      </w:pPr>
      <w:r>
        <w:rPr>
          <w:i/>
          <w:sz w:val="20"/>
        </w:rPr>
        <w:t>EN: RNA-binding activity of PHGDH drives amyloid-beta production in a human brain organoid model of sporadic Alzheimer’s disease</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85">
        <w:r>
          <w:rPr>
            <w:color w:val="1155CC"/>
            <w:u w:val="single"/>
          </w:rPr>
          <w:t>10.1073/pnas.2532234123</w:t>
        </w:r>
      </w:hyperlink>
    </w:p>
    <w:p>
      <w:pPr>
        <w:spacing w:before="0" w:after="120"/>
      </w:pPr>
      <w:r>
        <w:rPr>
          <w:b/>
        </w:rPr>
        <w:t xml:space="preserve">Notes: </w:t>
      </w:r>
      <w:r>
        <w:t>abstract_source=crossref</w:t>
      </w:r>
    </w:p>
    <w:p>
      <w:pPr>
        <w:spacing w:before="0" w:after="80" w:lineRule="auto" w:line="276"/>
      </w:pPr>
      <w:r>
        <w:rPr>
          <w:b/>
        </w:rPr>
        <w:t xml:space="preserve">摘要（ZH）: </w:t>
      </w:r>
      <w:r>
        <w:t>零星阿尔茨海默氏病(sAD)的病理发展早期开始于可溶性氨基-β(Aet)的早期上升,先是塑料形成和神经衰变。然而,引发这种最初积累的分子事件仍然未知。我们报告说,磷酸盐脱氢酶(PHGDH)是原氨溶液脱氢酶(PHGDH)的一贯生物标志,它通过先前未承认的RNA约束功能驱动Aβ生产。 具体地说,PHGDH将EIF2AK1 mRNA(EIF2AK1 mRNA)的3'UTR(3'UTR)捆绑起来,使PHGDH和EF2AK1蛋白质之间能够进行物理互动。 通过促进EF2AK1的招募到其亚氏亚丁基亚硫化,这种复合驱动EIF2α磷化,从而有选择地促进BACE1(BA)的翻译,即亚氏一代的抑制率酶。</w:t>
      </w:r>
    </w:p>
    <w:p>
      <w:pPr>
        <w:spacing w:before="0" w:after="200" w:lineRule="auto" w:line="276"/>
      </w:pPr>
      <w:r>
        <w:rPr>
          <w:b/>
        </w:rPr>
        <w:t xml:space="preserve">Abstract (EN): </w:t>
      </w:r>
      <w:r>
        <w:t>Pathological progression in sporadic Alzheimer’s disease (sAD) initiates with an early rise in soluble amyloid-β (Aβ), preceding plaque formation and neurodegeneration. However, the molecular event triggering this initial accumulation remains unknown. We report that phosphoglycerate dehydrogenase (PHGDH), a consistent biomarker of prodromal sAD, drives Aβ production through a previously unrecognized RNA-binding function. Specifically, PHGDH binds the 3′UTR of</w:t>
      </w:r>
      <w:r>
        <w:t xml:space="preserve"> </w:t>
      </w:r>
      <w:r>
        <w:t>EIF2AK1</w:t>
      </w:r>
      <w:r>
        <w:t xml:space="preserve"> </w:t>
      </w:r>
      <w:r>
        <w:t>mRNA, enabling the physical interaction between PHGDH and the EIF2AK1 protein. By facilitating the recruitment of EIF2AK1 to its substrate EIF2α, this complex drives EIF2α phosphorylation, thereby selectively promoting the translation of BACE1, the rate-limiting enzyme for Aβ generation. We demonstrate that PHGDH overexpression elevates BACE1 protein and intracellular Aβ in neurons and astrocytes across mouse models and human brain organoids, independent of its canonical enzymatic or transcriptional roles. Mechanistically, this process requires a specific RNA-binding surface within PHGDH and the</w:t>
      </w:r>
      <w:r>
        <w:t xml:space="preserve"> </w:t>
      </w:r>
      <w:r>
        <w:t>EIF2AK1</w:t>
      </w:r>
      <w:r>
        <w:t xml:space="preserve"> </w:t>
      </w:r>
      <w:r>
        <w:t>3′UTR. These findings define a PHGDH–EIF2AK1–EIF2α–BACE1 axis as a key driver of the earliest amyloid pathology in sAD.</w:t>
      </w:r>
    </w:p>
    <w:p>
      <w:pPr>
        <w:spacing w:before="120" w:after="120"/>
      </w:pPr>
      <w:r>
        <w:rPr>
          <w:sz w:val="18"/>
        </w:rPr>
        <w:t>——————————————————————————————————————————————————————————————————————</w:t>
      </w:r>
    </w:p>
    <w:p>
      <w:pPr>
        <w:spacing w:before="160" w:after="40" w:line="240" w:lineRule="auto"/>
      </w:pPr>
      <w:r>
        <w:rPr>
          <w:b/>
        </w:rPr>
        <w:t xml:space="preserve">[250] </w:t>
      </w:r>
      <w:hyperlink r:id="rId386">
        <w:r>
          <w:rPr>
            <w:color w:val="1155CC"/>
            <w:u w:val="single"/>
          </w:rPr>
          <w:t>GSK-3β通过Shot和Tau协调轴微囊组织。</w:t>
        </w:r>
      </w:hyperlink>
    </w:p>
    <w:p>
      <w:pPr>
        <w:spacing w:before="0" w:after="80"/>
      </w:pPr>
      <w:r>
        <w:rPr>
          <w:i/>
          <w:sz w:val="20"/>
        </w:rPr>
        <w:t>EN: GSK-3β coordinates axonal microtubule organization through Shot and Tau</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87">
        <w:r>
          <w:rPr>
            <w:color w:val="1155CC"/>
            <w:u w:val="single"/>
          </w:rPr>
          <w:t>10.1073/pnas.2516746123</w:t>
        </w:r>
      </w:hyperlink>
    </w:p>
    <w:p>
      <w:pPr>
        <w:spacing w:before="0" w:after="120"/>
      </w:pPr>
      <w:r>
        <w:rPr>
          <w:b/>
        </w:rPr>
        <w:t xml:space="preserve">Notes: </w:t>
      </w:r>
      <w:r>
        <w:t>abstract_source=crossref</w:t>
      </w:r>
    </w:p>
    <w:p>
      <w:pPr>
        <w:spacing w:before="0" w:after="80" w:lineRule="auto" w:line="276"/>
      </w:pPr>
      <w:r>
        <w:rPr>
          <w:b/>
        </w:rPr>
        <w:t xml:space="preserve">摘要（ZH）: </w:t>
      </w:r>
      <w:r>
        <w:t>Glycogen Syncolence Syncase Kinas 3β(GSK-3β)是神经发育和维护的关键协调者;超活性GSK-3β与神经发育和降解性疾病相关,因此是一个很有希望的治疗目标。在神经元中,GSK-3β通过磷酸化微囊结合蛋白来协调细胞sketon。在这项研究中,我们发现,需要严格监管GSK-3β流动酶活动,以维护德罗索比拉和大鼠斧头的平行微囊。GSK-3β的上下调节导致轴形成病态膨胀,使微囊包分解成分解的、弯曲的微柱体。我们发现,微囊捆绑蛋白被射出和陶是关键的GSK-3β目标,我们发现,GSK-3β是GSK-3β的目标。</w:t>
      </w:r>
    </w:p>
    <w:p>
      <w:pPr>
        <w:spacing w:before="0" w:after="200" w:lineRule="auto" w:line="276"/>
      </w:pPr>
      <w:r>
        <w:rPr>
          <w:b/>
        </w:rPr>
        <w:t xml:space="preserve">Abstract (EN): </w:t>
      </w:r>
      <w:r>
        <w:t>Glycogen Synthase Kinase 3β (GSK-3β) is a key coordinator of neuronal development and maintenance; hyperactive GSK-3β is linked to neurodevelopmental and -degenerative diseases and therefore a promising therapeutic target. In neurons, GSK-3β coordinates the cytoskeleton by phosphorylating microtubule-binding proteins. In this study, we found that tight regulation of GSK-3β kinase activity is required for the maintenance of parallel microtubule bundles in</w:t>
      </w:r>
      <w:r>
        <w:t xml:space="preserve"> </w:t>
      </w:r>
      <w:r>
        <w:t>Drosophila</w:t>
      </w:r>
      <w:r>
        <w:t xml:space="preserve"> </w:t>
      </w:r>
      <w:r>
        <w:t>and rat axons. Up- or downregulation of GSK-3β led to axons forming pathological swellings in which microtubule bundles disintegrated into disorganized, curled microtubules. We identified the microtubule bundling proteins Shot and Tau as key GSK-3β targets and found that GSK-3β exerted its regulatory effect on microtubule bundling through them. GSK-3β regulates the ability of Shot and Tau to attach to microtubules and/or Eb1. Misregulation of GSK-3β leads to the loss of Eb1–Shot-mediated guidance of polymerizing microtubules into parallel bundles, thus causing disorganization. We propose that microtubule disorganization during both active and inactive states of GSK-3β links its hyperactivity to neurodegeneration and may explain why global GSK-3β inhibition has failed in clinical trials.</w:t>
      </w:r>
    </w:p>
    <w:p>
      <w:pPr>
        <w:spacing w:before="120" w:after="120"/>
      </w:pPr>
      <w:r>
        <w:rPr>
          <w:sz w:val="18"/>
        </w:rPr>
        <w:t>——————————————————————————————————————————————————————————————————————</w:t>
      </w:r>
    </w:p>
    <w:p>
      <w:pPr>
        <w:spacing w:before="160" w:after="40" w:line="240" w:lineRule="auto"/>
      </w:pPr>
      <w:r>
        <w:rPr>
          <w:b/>
        </w:rPr>
        <w:t xml:space="preserve">[251] </w:t>
      </w:r>
      <w:hyperlink r:id="rId388">
        <w:r>
          <w:rPr>
            <w:color w:val="1155CC"/>
            <w:u w:val="single"/>
          </w:rPr>
          <w:t>调节T细胞在代代谢相关肝炎期间保障肝脏健康</w:t>
        </w:r>
      </w:hyperlink>
    </w:p>
    <w:p>
      <w:pPr>
        <w:spacing w:before="0" w:after="80"/>
      </w:pPr>
      <w:r>
        <w:rPr>
          <w:i/>
          <w:sz w:val="20"/>
        </w:rPr>
        <w:t>EN: Regulatory T cells safeguard liver health during metabolic-associated steatohepatitis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89">
        <w:r>
          <w:rPr>
            <w:color w:val="1155CC"/>
            <w:u w:val="single"/>
          </w:rPr>
          <w:t>10.1073/pnas.2536314123</w:t>
        </w:r>
      </w:hyperlink>
    </w:p>
    <w:p>
      <w:pPr>
        <w:spacing w:before="0" w:after="120"/>
      </w:pPr>
      <w:r>
        <w:rPr>
          <w:b/>
        </w:rPr>
        <w:t xml:space="preserve">Notes: </w:t>
      </w:r>
      <w:r>
        <w:t>abstract_source=crossref</w:t>
      </w:r>
    </w:p>
    <w:p>
      <w:pPr>
        <w:spacing w:before="0" w:after="80" w:lineRule="auto" w:line="276"/>
      </w:pPr>
      <w:r>
        <w:rPr>
          <w:b/>
        </w:rPr>
        <w:t xml:space="preserve">摘要（ZH）: </w:t>
      </w:r>
      <w:r>
        <w:t>在代谢压力和破坏性炎交汇的推动下,代谢性脊髓灰炎是一种慢性肝病。抑制这一过程的免疫监管机制仍然不为人所熟知。关于补充的一对麻风淋病模型和公布的单细胞RNA序列患者的多管齐下数据显示,MASH病人Foxp3+CD4+监管T细胞(Tregs)在MASH中具有关键的保护作用。Tregs在疾病肝脏中逐渐积累,采用了一种以转录系数表示的活性、非淋巴-非淋巴-活性接收器-Gamma为标志的活性、非淋巴-非淋巴-活性受体(PPARGAM)成象体,以及一种对等性转录原体预兆</w:t>
      </w:r>
    </w:p>
    <w:p>
      <w:pPr>
        <w:spacing w:before="0" w:after="200" w:lineRule="auto" w:line="276"/>
      </w:pPr>
      <w:r>
        <w:rPr>
          <w:b/>
        </w:rPr>
        <w:t xml:space="preserve">Abstract (EN): </w:t>
      </w:r>
      <w:r>
        <w:t>Metabolic-dysfunction-associated steatohepatitis (MASH) is a chronic liver disease driven by the confluence of metabolic stress and destructive inflammation. The immunoregulatory mechanisms that temper this process remain poorly understood. Multipronged data on a complementary pair of murine MASH models and published single-cell RNA-sequencing datasets from MASH patients revealed a critical protective role for Foxp3</w:t>
      </w:r>
      <w:r>
        <w:t xml:space="preserve"> </w:t>
      </w:r>
      <w:r>
        <w:t>+</w:t>
      </w:r>
      <w:r>
        <w:t xml:space="preserve"> </w:t>
      </w:r>
      <w:r>
        <w:t>CD4</w:t>
      </w:r>
      <w:r>
        <w:t xml:space="preserve"> </w:t>
      </w:r>
      <w:r>
        <w:t>+</w:t>
      </w:r>
      <w:r>
        <w:t xml:space="preserve"> </w:t>
      </w:r>
      <w:r>
        <w:t>regulatory T cells (Tregs) in MASH. Tregs progressively accumulated in diseased livers, adopting an activated, nonlymphoid-tissue phenotype marked by expression of the transcription factor Peroxisome Proliferator-Activated Receptor Gamma (PPARγ) as well as a reparative transcriptional program. Punctual ablation of Tregs during established MASH unleashed a catastrophic inflammatory cascade, including exaggerated T-helper (Th)1, Th2, and Th17 responses, expansion of a pathogenic CD8</w:t>
      </w:r>
      <w:r>
        <w:t xml:space="preserve"> </w:t>
      </w:r>
      <w:r>
        <w:t>+</w:t>
      </w:r>
      <w:r>
        <w:t xml:space="preserve"> </w:t>
      </w:r>
      <w:r>
        <w:t>T cell population, and hepatocellular injury. Concomitantly, Treg deficiency disrupted key metabolic pathways in the liver, accelerating disease progression. These findings establish Tregs as nonredundant custodians of both immunologic and metabolic homeostasis in the liver, highlighting their promise as targets for temporally tuned immunoregulatory therapies in metabolic liver disease.</w:t>
      </w:r>
    </w:p>
    <w:p>
      <w:pPr>
        <w:spacing w:before="120" w:after="120"/>
      </w:pPr>
      <w:r>
        <w:rPr>
          <w:sz w:val="18"/>
        </w:rPr>
        <w:t>——————————————————————————————————————————————————————————————————————</w:t>
      </w:r>
    </w:p>
    <w:p>
      <w:pPr>
        <w:spacing w:before="160" w:after="40" w:line="240" w:lineRule="auto"/>
      </w:pPr>
      <w:r>
        <w:rPr>
          <w:b/>
        </w:rPr>
        <w:t xml:space="preserve">[252] </w:t>
      </w:r>
      <w:hyperlink r:id="rId390">
        <w:r>
          <w:rPr>
            <w:color w:val="1155CC"/>
            <w:u w:val="single"/>
          </w:rPr>
          <w:t>毛毛虫的过境时间 异质性成为焦点</w:t>
        </w:r>
      </w:hyperlink>
    </w:p>
    <w:p>
      <w:pPr>
        <w:spacing w:before="0" w:after="80"/>
      </w:pPr>
      <w:r>
        <w:rPr>
          <w:i/>
          <w:sz w:val="20"/>
        </w:rPr>
        <w:t>EN: Capillary transit time heterogeneity comes into focus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91">
        <w:r>
          <w:rPr>
            <w:color w:val="1155CC"/>
            <w:u w:val="single"/>
          </w:rPr>
          <w:t>10.1073/pnas.2537404123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[253] </w:t>
      </w:r>
      <w:hyperlink r:id="rId392">
        <w:r>
          <w:rPr>
            <w:color w:val="1155CC"/>
            <w:u w:val="single"/>
          </w:rPr>
          <w:t>细菌细胞表面的利皮景观美化</w:t>
        </w:r>
      </w:hyperlink>
    </w:p>
    <w:p>
      <w:pPr>
        <w:spacing w:before="0" w:after="80"/>
      </w:pPr>
      <w:r>
        <w:rPr>
          <w:i/>
          <w:sz w:val="20"/>
        </w:rPr>
        <w:t>EN: Lipid landscaping of the bacterial cell surface</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93">
        <w:r>
          <w:rPr>
            <w:color w:val="1155CC"/>
            <w:u w:val="single"/>
          </w:rPr>
          <w:t>10.1073/pnas.2537958123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394">
        <w:r>
          <w:rPr>
            <w:color w:val="1155CC"/>
            <w:u w:val="single"/>
          </w:rPr>
          <w:t>不仅仅是一个蓝图:发展监管者确保细胞环境的再生</w:t>
        </w:r>
      </w:hyperlink>
    </w:p>
    <w:p>
      <w:pPr>
        <w:spacing w:before="0" w:after="80"/>
      </w:pPr>
      <w:r>
        <w:rPr>
          <w:i/>
          <w:sz w:val="20"/>
        </w:rPr>
        <w:t>EN: More than a blueprint: Developmental regulators secure the cellular environment for regeneration</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95">
        <w:r>
          <w:rPr>
            <w:color w:val="1155CC"/>
            <w:u w:val="single"/>
          </w:rPr>
          <w:t>10.1073/pnas.2600463123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396">
        <w:r>
          <w:rPr>
            <w:color w:val="1155CC"/>
            <w:u w:val="single"/>
          </w:rPr>
          <w:t>成人发病和非产期异常后继遗传性跨代传承的稳定</w:t>
        </w:r>
      </w:hyperlink>
    </w:p>
    <w:p>
      <w:pPr>
        <w:spacing w:before="0" w:after="80"/>
      </w:pPr>
      <w:r>
        <w:rPr>
          <w:i/>
          <w:sz w:val="20"/>
        </w:rPr>
        <w:t>EN: Stability of epigenetic transgenerational inheritance of adult-onset disease and parturition abnormalities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97">
        <w:r>
          <w:rPr>
            <w:color w:val="1155CC"/>
            <w:u w:val="single"/>
          </w:rPr>
          <w:t>10.1073/pnas.2523071123</w:t>
        </w:r>
      </w:hyperlink>
    </w:p>
    <w:p>
      <w:pPr>
        <w:spacing w:before="0" w:after="120"/>
      </w:pPr>
      <w:r>
        <w:rPr>
          <w:b/>
        </w:rPr>
        <w:t xml:space="preserve">Notes: </w:t>
      </w:r>
      <w:r>
        <w:t>abstract_source=crossref</w:t>
      </w:r>
    </w:p>
    <w:p>
      <w:pPr>
        <w:spacing w:before="0" w:after="80" w:lineRule="auto" w:line="276"/>
      </w:pPr>
      <w:r>
        <w:rPr>
          <w:b/>
        </w:rPr>
        <w:t xml:space="preserve">摘要（ZH）: </w:t>
      </w:r>
      <w:r>
        <w:t>通过对哺乳动物所有跨代代代代代人进行一代人的研究,对前代代代代人遗传传承的稳定性进行了先前关于代代人遗传传承稳定性的研究,该研究显示了代代人传承遗传遗传遗产的稳定性,并显示了代人间疾病病理的发病率上升。根据这项研究,本研究遵循了与祖先接触牛皮洛佐林的两代人相同的大鼠群系。研究结果为长期的哺乳动物传承代代人遗传遗传遗产模型提供了重要见解。观察显示,不同代人间不同DNA甲基化区域的差异有所增加。这表明,遗传基因改变的传播是持续和稳定的。</w:t>
      </w:r>
    </w:p>
    <w:p>
      <w:pPr>
        <w:spacing w:before="0" w:after="200" w:lineRule="auto" w:line="276"/>
      </w:pPr>
      <w:r>
        <w:rPr>
          <w:b/>
        </w:rPr>
        <w:t xml:space="preserve">Abstract (EN): </w:t>
      </w:r>
      <w:r>
        <w:t>Previous research on the generational stability of epigenetic transgenerational inheritance was conducted through a ten-generation study of all transgenerational generations in mammals. This study demonstrated both the stability of epigenetic inheritance across generations and demonstrated a generational increase incidence of disease pathology. Building on this research, the present study follows the same lineage of rats with ancestral vinclozolin exposure through twenty generations. The findings offer important insights into long-term mammalian models of epigenetic transgenerational inheritance. Observations demonstrate an increase in differential DNA methylated regions across multiple generations. This indicates a persistent and stable transmission of epigenetic alterations. Additionally, deoxyuridine triphosphate (dUTP) transferase-mediated nick end labeling apoptosis assays revealed elevated levels of germline apoptosis in the male rats of the maternal and paternal lineages. This suggests a potential consequence of epigenetic dysregulation in spermatogenesis. Ancestrally exposed rats to vinclozolin showed significant parturition abnormalities in both the maternal and paternal lineages after 16 generations. This included maternal deaths during labor and stillbirths. Pathological assessments revealed abnormalities across multiple tissue types and an increased incidence of disease. This suggests the physiological consequences of the generational stability of epigenetic inheritance. Observations establish the generational stability of epigenetic inheritance over twenty generations in a mammalian model system; however, new pathology in later generations involving parturition abnormalities was also observed. The generational stability of transgenerational effects observed in this study has implications for human health, particularly regarding environmental toxicant exposures, reproductive health disorders, and disease susceptibility.</w:t>
      </w:r>
    </w:p>
    <w:p>
      <w:pPr>
        <w:spacing w:before="120" w:after="120"/>
      </w:pPr>
      <w:r>
        <w:rPr>
          <w:sz w:val="18"/>
        </w:rPr>
        <w:t>——————————————————————————————————————————————————————————————————————</w:t>
      </w:r>
    </w:p>
    <w:p>
      <w:pPr>
        <w:spacing w:before="160" w:after="40" w:line="240" w:lineRule="auto"/>
      </w:pPr>
      <w:r>
        <w:rPr>
          <w:b/>
        </w:rPr>
        <w:t xml:space="preserve">[256] </w:t>
      </w:r>
      <w:hyperlink r:id="rId398">
        <w:r>
          <w:rPr>
            <w:color w:val="1155CC"/>
            <w:u w:val="single"/>
          </w:rPr>
          <w:t>基于液态金属的无线软植入式软压力传感器,具有大面积绘图和适应性植入能力</w:t>
        </w:r>
      </w:hyperlink>
    </w:p>
    <w:p>
      <w:pPr>
        <w:spacing w:before="0" w:after="80"/>
      </w:pPr>
      <w:r>
        <w:rPr>
          <w:i/>
          <w:sz w:val="20"/>
        </w:rPr>
        <w:t>EN: Wireless soft implantable pressure sensors based on liquid metal with large-area mapping and adaptive implantation capabilities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399">
        <w:r>
          <w:rPr>
            <w:color w:val="1155CC"/>
            <w:u w:val="single"/>
          </w:rPr>
          <w:t>10.1073/pnas.2528796123</w:t>
        </w:r>
      </w:hyperlink>
    </w:p>
    <w:p>
      <w:pPr>
        <w:spacing w:before="0" w:after="120"/>
      </w:pPr>
      <w:r>
        <w:rPr>
          <w:b/>
        </w:rPr>
        <w:t xml:space="preserve">Notes: </w:t>
      </w:r>
      <w:r>
        <w:t>abstract_source=crossref</w:t>
      </w:r>
    </w:p>
    <w:p>
      <w:pPr>
        <w:spacing w:before="0" w:after="80" w:lineRule="auto" w:line="276"/>
      </w:pPr>
      <w:r>
        <w:rPr>
          <w:b/>
        </w:rPr>
        <w:t xml:space="preserve">摘要（ZH）: </w:t>
      </w:r>
      <w:r>
        <w:t>软材料创新推动了可植入的压力监测装置的开发,但制造和集成挑战依然存在,例如成型分辨率有限和可缩缩性差,妨碍了其微型化和无线感测能力。 这项研究介绍了将液态金属纳入微制造型无线软植入式压力传感器和可磨损的读出系统以进行大面积压力绘图和适应性植入系统,并具有自动折叠和自愈合能力。 一种液态金属,即乙化,既用作电容器的变形电极,又用作导导引器的低抗电导器。</w:t>
      </w:r>
    </w:p>
    <w:p>
      <w:pPr>
        <w:spacing w:before="0" w:after="200" w:lineRule="auto" w:line="276"/>
      </w:pPr>
      <w:r>
        <w:rPr>
          <w:b/>
        </w:rPr>
        <w:t xml:space="preserve">Abstract (EN): </w:t>
      </w:r>
      <w:r>
        <w:t>Innovations in soft materials have advanced the development of implantable devices for pressure monitoring, but fabrication and integration challenges remain, such as limited patterning resolution and poor scalability, hindering their miniaturization and wireless sensing capabilities. This study introduces methods and advantageous features of incorporating liquid metal into microfabriated, wireless soft implantable pressure sensors and wearable readout systems for large-area pressure mapping and adaptive implantation with autonomous folding and self-healing capabilities. Eutectic gallium–indium, a type of liquid metal, serves as both the deformable electrode for capacitive sensors and a low-resistance conductor for inductors. It is integrated into a thin-film, battery-free, inductive-capacitive wireless sensing platform. Scalable wireless sensor arrays are created through microfabrication for large-area pressure mapping. The wireless pressure sensor is also integrated with soft ferromagnetic and self-healing layers in cuff-type sensors to allow for autonomous folding in response to external magnets, eliminating the need for suturing. In addition, a miniaturized wearable readout system integrated into medical gloves enables wireless and real-time pressure monitoring. The presented wireless soft pressure-sensing method with large-area mapping and secure implantation capabilities offers alternatives to conventional medical tools for intraoperative monitoring and examinations.</w:t>
      </w:r>
    </w:p>
    <w:p>
      <w:pPr>
        <w:spacing w:before="120" w:after="120"/>
      </w:pPr>
      <w:r>
        <w:rPr>
          <w:sz w:val="18"/>
        </w:rPr>
        <w:t>——————————————————————————————————————————————————————————————————————</w:t>
      </w:r>
    </w:p>
    <w:p>
      <w:pPr>
        <w:spacing w:before="160" w:after="40" w:line="240" w:lineRule="auto"/>
      </w:pPr>
      <w:r>
        <w:rPr>
          <w:b/>
        </w:rPr>
        <w:t xml:space="preserve">[257] </w:t>
      </w:r>
      <w:hyperlink r:id="rId400">
        <w:r>
          <w:rPr>
            <w:color w:val="1155CC"/>
            <w:u w:val="single"/>
          </w:rPr>
          <w:t>对微型/DYRK1A的调控,在脆弱X综合症的德罗索哲学模型中,由于对微型/DYRK1A的调控,导致大脑和大脑过度增长。</w:t>
        </w:r>
      </w:hyperlink>
    </w:p>
    <w:p>
      <w:pPr>
        <w:spacing w:before="0" w:after="80"/>
      </w:pPr>
      <w:r>
        <w:rPr>
          <w:i/>
          <w:sz w:val="20"/>
        </w:rPr>
        <w:t>EN: Up-regulation of Minibrain/DYRK1A contributes to macrocephaly and brain overgrowth in a Drosophila model of fragile X syndrome</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01">
        <w:r>
          <w:rPr>
            <w:color w:val="1155CC"/>
            <w:u w:val="single"/>
          </w:rPr>
          <w:t>10.1073/pnas.2517506123</w:t>
        </w:r>
      </w:hyperlink>
    </w:p>
    <w:p>
      <w:pPr>
        <w:spacing w:before="0" w:after="120"/>
      </w:pPr>
      <w:r>
        <w:rPr>
          <w:b/>
        </w:rPr>
        <w:t xml:space="preserve">Notes: </w:t>
      </w:r>
      <w:r>
        <w:t>abstract_source=crossref</w:t>
      </w:r>
    </w:p>
    <w:p>
      <w:pPr>
        <w:spacing w:before="0" w:after="80" w:lineRule="auto" w:line="276"/>
      </w:pPr>
      <w:r>
        <w:rPr>
          <w:b/>
        </w:rPr>
        <w:t xml:space="preserve">摘要（ZH）: </w:t>
      </w:r>
      <w:r>
        <w:t>脆弱X综合症(FXS)是遗传性智力残疾和自闭症的主要原因。FXS的一个常见的物理特征是宏观骨骼,通常与大脑过度成长和机能失常有关;然而,其发生所依据的机制尚不清楚。在这里,我们发现了脆弱的X信使里博努列蛋白质(FMRP)通过微型脑(Mnb)血脉(也称为DyRK1A)来调节组织增长的作用,DyRK1A是一个在唐氏综合症中受监管的基因,以某种特定形式的自闭症变异。我们发现Drosophilla FMRP(dFrp)使用FS的飞行模型抑制Mnb的翻译。DFmrp的丧失导致Mnb在发育中的大脑中导致Mnb的上调,导致大脑和大脑的膨胀。我们发现Dyrp(dFrp)会抑制Mnb的翻译。</w:t>
      </w:r>
    </w:p>
    <w:p>
      <w:pPr>
        <w:spacing w:before="0" w:after="200" w:lineRule="auto" w:line="276"/>
      </w:pPr>
      <w:r>
        <w:rPr>
          <w:b/>
        </w:rPr>
        <w:t xml:space="preserve">Abstract (EN): </w:t>
      </w:r>
      <w:r>
        <w:t>Fragile X syndrome (FXS) is the leading cause of inherited intellectual disability and autism. One common physical feature of FXS is macrocephaly, a condition typically associated with brain overgrowth and dysfunction; however, the mechanisms underlying its occurrence are unclear. Here, we uncover a role for the fragile X messenger ribonucleoprotein (FMRP) in regulating tissue growth through the Minibrain (Mnb) kinase, also known as DYRK1A, a gene up-regulated in Down syndrome and mutated in a specific form of autism. Using fly models of FXS, we find that</w:t>
      </w:r>
      <w:r>
        <w:t xml:space="preserve"> </w:t>
      </w:r>
      <w:r>
        <w:t>Drosophila</w:t>
      </w:r>
      <w:r>
        <w:t xml:space="preserve"> </w:t>
      </w:r>
      <w:r>
        <w:t>FMRP (dFmrp) suppresses the translation of Mnb. Loss of dFmrp leads to the up-regulation of Mnb in the developing brain, resulting in macrocephaly and brain enlargement. We find that brain overgrowth begins early in development and can be suppressed with DYRK1A inhibitors. At the cellular level, the Mnb/DYRK1A signaling pathway drives brain enlargement by inducing both neuronal hypertrophy and excessive proliferation of neural progenitors. We further demonstrate that Mnb up-regulates protein synthesis, and reducing Mnb activity or disrupting essential translational machinery restores brain size and improves locomotor coordination in the</w:t>
      </w:r>
      <w:r>
        <w:t xml:space="preserve"> </w:t>
      </w:r>
      <w:r>
        <w:t>Drosophila</w:t>
      </w:r>
      <w:r>
        <w:t xml:space="preserve"> </w:t>
      </w:r>
      <w:r>
        <w:t>FXS model. These data suggest that dysregulation of the Mnb/DYRK1A signaling pathway contributes to brain overgrowth and aberrant protein synthesis in FXS. More broadly, our findings highlight that neurodevelopmental disorders such as FXS, Down syndrome, and autism share disruptions in common molecular pathways.</w:t>
      </w:r>
    </w:p>
    <w:p>
      <w:pPr>
        <w:spacing w:before="120" w:after="120"/>
      </w:pPr>
      <w:r>
        <w:rPr>
          <w:sz w:val="18"/>
        </w:rPr>
        <w:t>——————————————————————————————————————————————————————————————————————</w:t>
      </w:r>
    </w:p>
    <w:p>
      <w:pPr>
        <w:spacing w:before="160" w:after="40" w:line="240" w:lineRule="auto"/>
      </w:pPr>
      <w:r>
        <w:rPr>
          <w:b/>
        </w:rPr>
        <w:t xml:space="preserve">[258] </w:t>
      </w:r>
      <w:hyperlink r:id="rId402">
        <w:r>
          <w:rPr>
            <w:color w:val="1155CC"/>
            <w:u w:val="single"/>
          </w:rPr>
          <w:t>PLPP1大犬1密西西比变异体区分了产期和古典Pelizaeus-Merzbacher病的寡头催化细胞成熟期。</w:t>
        </w:r>
      </w:hyperlink>
    </w:p>
    <w:p>
      <w:pPr>
        <w:spacing w:before="0" w:after="80"/>
      </w:pPr>
      <w:r>
        <w:rPr>
          <w:i/>
          <w:sz w:val="20"/>
        </w:rPr>
        <w:t>EN: A canine PLP1 missense variant differentiates oligodendrocyte maturation in connatal and classical Pelizaeus–Merzbacher disease</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03">
        <w:r>
          <w:rPr>
            <w:color w:val="1155CC"/>
            <w:u w:val="single"/>
          </w:rPr>
          <w:t>10.1073/pnas.2523008123</w:t>
        </w:r>
      </w:hyperlink>
    </w:p>
    <w:p>
      <w:pPr>
        <w:spacing w:before="0" w:after="120"/>
      </w:pPr>
      <w:r>
        <w:rPr>
          <w:b/>
        </w:rPr>
        <w:t xml:space="preserve">Notes: </w:t>
      </w:r>
      <w:r>
        <w:t>abstract_source=crossref</w:t>
      </w:r>
    </w:p>
    <w:p>
      <w:pPr>
        <w:spacing w:before="0" w:after="80" w:lineRule="auto" w:line="276"/>
      </w:pPr>
      <w:r>
        <w:rPr>
          <w:b/>
        </w:rPr>
        <w:t xml:space="preserve">摘要（ZH）: </w:t>
      </w:r>
      <w:r>
        <w:t>皮质动物病(PMD)是由蛋白质蛋白质(PLP1)基因病原体变异引起的X-相关低血压障碍。我们报告英国小鸡鼠Spaniel小狗有自发的犬犬膜膜炎,受严重影响的雄性小狗表现出明显的普遍颤动、进化性运动机能障碍和显著减退的生长。 年龄在5公里处的生理病理学显示有极深的中枢神经系统(CNS)紊乱症,没有证据表明有外围神经参与。 西方的肿块证实CNS细胞相关蛋白的表达明显减少。 超结构分析显示几乎没有紧凑的甲状腺素、稀有的近距离近乎于近距离的近离子轴和显著的寡体畸变。</w:t>
      </w:r>
    </w:p>
    <w:p>
      <w:pPr>
        <w:spacing w:before="0" w:after="200" w:lineRule="auto" w:line="276"/>
      </w:pPr>
      <w:r>
        <w:rPr>
          <w:b/>
        </w:rPr>
        <w:t xml:space="preserve">Abstract (EN): </w:t>
      </w:r>
      <w:r>
        <w:t>Pelizaeus–Merzbacher disease (PMD) is an X-linked hypomyelinating disorder caused by pathogenic variants in the proteolipid protein (</w:t>
      </w:r>
      <w:r>
        <w:t xml:space="preserve"> </w:t>
      </w:r>
      <w:r>
        <w:t>PLP1</w:t>
      </w:r>
      <w:r>
        <w:t xml:space="preserve"> </w:t>
      </w:r>
      <w:r>
        <w:t>) gene. We report a spontaneous canine dysmyelinating leukodystrophy in English Cocker Spaniel puppies. The most severely affected male pup displayed pronounced generalized tremors, progressive motor dysfunction, and markedly impaired growth. Histopathology at 5 wk of age revealed profound central nervous system (CNS) dysmyelination with no evidence of peripheral nerve involvement. Western blotting confirmed markedly reduced expression of CNS myelin-associated proteins. Ultrastructural analysis demonstrated a near absence of compact myelin, rare myelinated axons, and significant oligodendrocyte abnormalities, the majority of which had an immature cellular morphology. More mature, yet infrequent oligodendrocytes had distended rough endoplasmic reticula. Nucleotide sequence analysis identified a hemizygous c.92T&amp;gt;A missense variant in the</w:t>
      </w:r>
      <w:r>
        <w:t xml:space="preserve"> </w:t>
      </w:r>
      <w:r>
        <w:t>PLP1</w:t>
      </w:r>
      <w:r>
        <w:t xml:space="preserve"> </w:t>
      </w:r>
      <w:r>
        <w:t>gene predicted to cause a leucine-to-glutamine substitution in the first transmembrane domain, p.(L31Q). This variant was absent in over 1,600 public canine genomes and was predicted to be deleterious by multiple bioinformatic tools. Heterozygous females exhibited variable, transient clinical signs. We compared this canine leukodystrophy with the previously reported</w:t>
      </w:r>
      <w:r>
        <w:t xml:space="preserve"> </w:t>
      </w:r>
      <w:r>
        <w:t>shaking pup</w:t>
      </w:r>
      <w:r>
        <w:t xml:space="preserve"> </w:t>
      </w:r>
      <w:r>
        <w:t>and found that it represents a more severe phenotype recapitulating key clinical, pathological, and molecular features of severe connatal PMD in humans, including extreme CNS dysmyelination and associated neurological deficits. Interestingly, this genetic variant seems to cause a defect at the oligodendrocyte progenitor stage limiting subsequent oligodendrocyte maturation and preventing myelination. The identification of this naturally occurring model provides a potential resource for investigating the mechanisms and therapeutic targets for specific</w:t>
      </w:r>
      <w:r>
        <w:t xml:space="preserve"> </w:t>
      </w:r>
      <w:r>
        <w:t>PLP1</w:t>
      </w:r>
      <w:r>
        <w:t xml:space="preserve"> </w:t>
      </w:r>
      <w:r>
        <w:t>genetic variants.</w:t>
      </w:r>
    </w:p>
    <w:p>
      <w:pPr>
        <w:spacing w:before="120" w:after="120"/>
      </w:pPr>
      <w:r>
        <w:rPr>
          <w:sz w:val="18"/>
        </w:rPr>
        <w:t>——————————————————————————————————————————————————————————————————————</w:t>
      </w:r>
    </w:p>
    <w:p>
      <w:pPr>
        <w:spacing w:before="160" w:after="40" w:line="240" w:lineRule="auto"/>
      </w:pPr>
      <w:r>
        <w:rPr>
          <w:b/>
        </w:rPr>
        <w:t xml:space="preserve">[259] </w:t>
      </w:r>
      <w:hyperlink r:id="rId404">
        <w:r>
          <w:rPr>
            <w:color w:val="1155CC"/>
            <w:u w:val="single"/>
          </w:rPr>
          <w:t>选择的雪崩:陌生人到陌生人互动如何影响人群动态</w:t>
        </w:r>
      </w:hyperlink>
    </w:p>
    <w:p>
      <w:pPr>
        <w:spacing w:before="0" w:after="80"/>
      </w:pPr>
      <w:r>
        <w:rPr>
          <w:i/>
          <w:sz w:val="20"/>
        </w:rPr>
        <w:t>EN: Avalanches of choice: How stranger-to-stranger interactions shape crowd dynamics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05">
        <w:r>
          <w:rPr>
            <w:color w:val="1155CC"/>
            <w:u w:val="single"/>
          </w:rPr>
          <w:t>10.1073/pnas.2528167123</w:t>
        </w:r>
      </w:hyperlink>
    </w:p>
    <w:p>
      <w:pPr>
        <w:spacing w:before="0" w:after="120"/>
      </w:pPr>
      <w:r>
        <w:rPr>
          <w:b/>
        </w:rPr>
        <w:t xml:space="preserve">Notes: </w:t>
      </w:r>
      <w:r>
        <w:t>abstract_source=crossref</w:t>
      </w:r>
    </w:p>
    <w:p>
      <w:pPr>
        <w:spacing w:before="0" w:after="80" w:lineRule="auto" w:line="276"/>
      </w:pPr>
      <w:r>
        <w:rPr>
          <w:b/>
        </w:rPr>
        <w:t xml:space="preserve">摘要（ZH）: </w:t>
      </w:r>
      <w:r>
        <w:t>路途选择在形成集体人群动态方面发挥着关键作用,但不熟悉个人互动的影响仍然不为人知。 在这项研究中,我们利用在三年时间框架内收集的高分辨率轨迹数据,分析了在繁忙火车站内分割的路线上真实世界行人的行为。我们揭示了个人与直接站在车前的人走相同道路的惊人趋势,即使没有社会联系,即使这种选择导致更长的旅行时间。这一趋势导致爆发性动态,行人顺序在轮替中作出相同的决定,导致集体运动的强烈模式。我们采用了包括路线成本、随机性和苏西等在内的随机性模式。</w:t>
      </w:r>
    </w:p>
    <w:p>
      <w:pPr>
        <w:spacing w:before="0" w:after="200" w:lineRule="auto" w:line="276"/>
      </w:pPr>
      <w:r>
        <w:rPr>
          <w:b/>
        </w:rPr>
        <w:t xml:space="preserve">Abstract (EN): </w:t>
      </w:r>
      <w:r>
        <w:t>Pedestrian routing choices play a crucial role in shaping collective crowd dynamics, yet the influence of interactions among unfamiliar individuals remains poorly understood. In this study, we analyze real-world pedestrian behavior at a route split within a busy train station using high-resolution trajectory data collected over a three-year time frame. We disclose a striking tendency for individuals to follow the same path as the person directly in front of them, even in the absence of social ties and even when such a choice leads to a longer travel time. This tendency leads to bursty dynamics, where sequences of pedestrians make identical decisions in succession, leading to strong patterns in collective movement. We employ a stochastic model that includes route costs, randomness, and social imitation to accurately reproduce the observed behavior, highlighting that local imitation behavior is the dominant driver of collective routing choices. These findings highlight how brief, low-level interactions between strangers can scale up to influence large-scale pedestrian movement, with strong implications for crowd management, urban design, and the broader understanding of social behavior in public spaces.</w:t>
      </w:r>
    </w:p>
    <w:p>
      <w:pPr>
        <w:spacing w:before="120" w:after="120"/>
      </w:pPr>
      <w:r>
        <w:rPr>
          <w:sz w:val="18"/>
        </w:rPr>
        <w:t>——————————————————————————————————————————————————————————————————————</w:t>
      </w:r>
    </w:p>
    <w:p>
      <w:pPr>
        <w:spacing w:before="160" w:after="40" w:line="240" w:lineRule="auto"/>
      </w:pPr>
      <w:r>
        <w:rPr>
          <w:b/>
        </w:rPr>
        <w:t xml:space="preserve">[260] </w:t>
      </w:r>
      <w:hyperlink r:id="rId406">
        <w:r>
          <w:rPr>
            <w:color w:val="1155CC"/>
            <w:u w:val="single"/>
          </w:rPr>
          <w:t>涉及确定蜜蜂种姓以及成年皇后和工人生育力的不育症相关长期非编码的 RNA</w:t>
        </w:r>
      </w:hyperlink>
    </w:p>
    <w:p>
      <w:pPr>
        <w:spacing w:before="0" w:after="80"/>
      </w:pPr>
      <w:r>
        <w:rPr>
          <w:i/>
          <w:sz w:val="20"/>
        </w:rPr>
        <w:t>EN: A sterility-associated long noncoding RNA involved in honey bee caste determination and adult queen and worker fertility</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07">
        <w:r>
          <w:rPr>
            <w:color w:val="1155CC"/>
            <w:u w:val="single"/>
          </w:rPr>
          <w:t>10.1073/pnas.2527882123</w:t>
        </w:r>
      </w:hyperlink>
    </w:p>
    <w:p>
      <w:pPr>
        <w:spacing w:before="0" w:after="120"/>
      </w:pPr>
      <w:r>
        <w:rPr>
          <w:b/>
        </w:rPr>
        <w:t xml:space="preserve">Notes: </w:t>
      </w:r>
      <w:r>
        <w:t>abstract_source=crossref</w:t>
      </w:r>
    </w:p>
    <w:p>
      <w:pPr>
        <w:spacing w:before="0" w:after="80" w:lineRule="auto" w:line="276"/>
      </w:pPr>
      <w:r>
        <w:rPr>
          <w:b/>
        </w:rPr>
        <w:t xml:space="preserve">摘要（ZH）: </w:t>
      </w:r>
      <w:r>
        <w:t>昆虫社会化是一个重大的进化过渡,其基础是禁止工人生殖,支持女王的生殖垄断。 尽管复杂的昆虫社会在Hymenoptera(蜂、蚂蚁和黄蜂)中多次独立出现,但工人不育如何通过自然选择而演变却并没有充分理解。 在蜜蜂(Apis mellifera)中,饮食提示(皇家或工人果冻)和社会化学信号(例如,王后Pelomons)通过调节幼虫激素水平(JH)促进种姓差异化。 JH是幼虫种姓决定和成年人保持种姓身份的关键生理管弦。 然而,JH对幼虫和成人卵卵的精确分子影响。</w:t>
      </w:r>
    </w:p>
    <w:p>
      <w:pPr>
        <w:spacing w:before="0" w:after="200" w:lineRule="auto" w:line="276"/>
      </w:pPr>
      <w:r>
        <w:rPr>
          <w:b/>
        </w:rPr>
        <w:t xml:space="preserve">Abstract (EN): </w:t>
      </w:r>
      <w:r>
        <w:t>Insect sociality is a major evolutionary transition based on the suppression of worker reproduction in favor of a queen’s reproductive monopoly. Although sophisticated insect societies have arisen independently on multiple occasions in the Hymenoptera (bees, ants, and wasps), how worker sterility evolved through natural selection is not fully understood. In honey bees (</w:t>
      </w:r>
      <w:r>
        <w:t xml:space="preserve"> </w:t>
      </w:r>
      <w:r>
        <w:t>Apis mellifera</w:t>
      </w:r>
      <w:r>
        <w:t xml:space="preserve"> </w:t>
      </w:r>
      <w:r>
        <w:t>), dietary cues (royal or worker jelly) and social chemical signals (e.g., queen pheromones) promote caste differentiation by modulating the levels of juvenile hormone (JH), the key physiological orchestrator of caste determination in larvae and the maintenance of caste identity in adults. However, the precise molecular effects of JH on the ovaries of larvae and adult bees remain open questions. Here, we describe</w:t>
      </w:r>
      <w:r>
        <w:t xml:space="preserve"> </w:t>
      </w:r>
      <w:r>
        <w:t>lncov1</w:t>
      </w:r>
      <w:r>
        <w:t xml:space="preserve"> </w:t>
      </w:r>
      <w:r>
        <w:t>, a long noncoding RNA (lncRNA), whose expression correlates with sterility in the ovaries of larvae and adult honey bees. Mechanistically, the low JH levels in worker larvae promote high</w:t>
      </w:r>
      <w:r>
        <w:t xml:space="preserve"> </w:t>
      </w:r>
      <w:r>
        <w:t>lncov1</w:t>
      </w:r>
      <w:r>
        <w:t xml:space="preserve"> </w:t>
      </w:r>
      <w:r>
        <w:t>expression in their ovaries, which subsequently show extensive programmed cell death. Moreover,</w:t>
      </w:r>
      <w:r>
        <w:t xml:space="preserve"> </w:t>
      </w:r>
      <w:r>
        <w:t>lncov1</w:t>
      </w:r>
      <w:r>
        <w:t xml:space="preserve"> </w:t>
      </w:r>
      <w:r>
        <w:t>expression is tightly connected to a reduction in the reproductive capacity of adult queens and workers, as this lncRNA responds to key environmental cues that regulate fertility, including royal jelly and queen pheromone. The sequence conservation of the</w:t>
      </w:r>
      <w:r>
        <w:t xml:space="preserve"> </w:t>
      </w:r>
      <w:r>
        <w:t>lncov1</w:t>
      </w:r>
      <w:r>
        <w:t xml:space="preserve"> </w:t>
      </w:r>
      <w:r>
        <w:t>gene across eusocial bees, especially the genus</w:t>
      </w:r>
      <w:r>
        <w:t xml:space="preserve"> </w:t>
      </w:r>
      <w:r>
        <w:t>Apis</w:t>
      </w:r>
      <w:r>
        <w:t xml:space="preserve"> </w:t>
      </w:r>
      <w:r>
        <w:t>, suggests the evolutionary stability of the JH/</w:t>
      </w:r>
      <w:r>
        <w:t>lncov1</w:t>
      </w:r>
      <w:r>
        <w:t xml:space="preserve"> </w:t>
      </w:r>
      <w:r>
        <w:t>pathway. Therefore, by revealing how nutritional and social cues acting through JH and</w:t>
      </w:r>
      <w:r>
        <w:t xml:space="preserve"> </w:t>
      </w:r>
      <w:r>
        <w:t>lncov1</w:t>
      </w:r>
      <w:r>
        <w:t xml:space="preserve"> </w:t>
      </w:r>
      <w:r>
        <w:t>shape queen and worker fertility in honey bees, these findings position lncRNAs as key components in the evolution of social complexity in insects.</w:t>
      </w:r>
    </w:p>
    <w:p>
      <w:pPr>
        <w:spacing w:before="120" w:after="120"/>
      </w:pPr>
      <w:r>
        <w:rPr>
          <w:sz w:val="18"/>
        </w:rPr>
        <w:t>——————————————————————————————————————————————————————————————————————</w:t>
      </w:r>
    </w:p>
    <w:p>
      <w:pPr>
        <w:spacing w:before="160" w:after="40" w:line="240" w:lineRule="auto"/>
      </w:pPr>
      <w:r>
        <w:rPr>
          <w:b/>
        </w:rPr>
        <w:t xml:space="preserve">[261] </w:t>
      </w:r>
      <w:hyperlink r:id="rId408">
        <w:r>
          <w:rPr>
            <w:color w:val="1155CC"/>
            <w:u w:val="single"/>
          </w:rPr>
          <w:t>用于地貌考古学的卫星热数据:密歇根州(1200-1600中东欧)</w:t>
        </w:r>
      </w:hyperlink>
    </w:p>
    <w:p>
      <w:pPr>
        <w:spacing w:before="0" w:after="80"/>
      </w:pPr>
      <w:r>
        <w:rPr>
          <w:i/>
          <w:sz w:val="20"/>
        </w:rPr>
        <w:t>EN: Satellite thermal data applied to landscape archaeology: Mounds in Michigan (1200–1600 CE)</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09">
        <w:r>
          <w:rPr>
            <w:color w:val="1155CC"/>
            <w:u w:val="single"/>
          </w:rPr>
          <w:t>10.1073/pnas.2528379123</w:t>
        </w:r>
      </w:hyperlink>
    </w:p>
    <w:p>
      <w:pPr>
        <w:spacing w:before="0" w:after="120"/>
      </w:pPr>
      <w:r>
        <w:rPr>
          <w:b/>
        </w:rPr>
        <w:t xml:space="preserve">Notes: </w:t>
      </w:r>
      <w:r>
        <w:t>abstract_source=crossref</w:t>
      </w:r>
    </w:p>
    <w:p>
      <w:pPr>
        <w:spacing w:before="0" w:after="80" w:lineRule="auto" w:line="276"/>
      </w:pPr>
      <w:r>
        <w:rPr>
          <w:b/>
        </w:rPr>
        <w:t xml:space="preserve">摘要（ZH）: </w:t>
      </w:r>
      <w:r>
        <w:t>全球卫星遥感、海量数据和机器学习方面的进步使大规模地理分析越来越容易获得,考古学可以受益于多时和多传感器卫星数据,即使不可能通过利用这些数据研究考古、生态和气候变量之间的关系,从而直接考古遗址和地貌探测是不可能的,因此考古学家可以问关于不同地貌矩阵的问题,以及这些矩阵如何影响过去文化过程的流动。 我们通过开发分析大地遥感卫星8号地球热红外传感器时间序列数据的自动例行程序,显示了热传感器数据的价值——在卫星阵列中十分常见。</w:t>
      </w:r>
    </w:p>
    <w:p>
      <w:pPr>
        <w:spacing w:before="0" w:after="200" w:lineRule="auto" w:line="276"/>
      </w:pPr>
      <w:r>
        <w:rPr>
          <w:b/>
        </w:rPr>
        <w:t xml:space="preserve">Abstract (EN): </w:t>
      </w:r>
      <w:r>
        <w:t>Advances in global satellite-based remote sensing, big data, and machine learning are making large-scale geographic analysis increasingly accessible. Archaeology can benefit from multitemporal and multisensor satellite data even when direct archaeological site and feature detection is not possible by using these data to examine relationships between archaeological, ecological, and climactic variables across vast geographies. With this, archaeologists can ask questions about diverse landscape matrices and how these shaped the flow of past cultural processes. We demonstrate the value of thermal sensor data—common in satellite arrays—by developing an automated routine for analyzing Landsat 8 Thermal Infrared Sensor time series data. We fit a harmonic regression to extract amplitude and phase shift values for thousands of inland lakes in Michigan’s lower peninsula and computed perimeter-to-area ratios. Treating these thermal data not as absolute equivalents to past conditions but as relative indices, we compared lakes with and without Late Precontact (ca. 1200–1600 CE) burial mounds. Results show lakes with mounds warmed later in the spring, cooled later in the fall, and were more regularly shaped, suggesting Late Precontact communities placed mounds on lakes with specific resource benefits, including extended growing seasons. Considering our findings alongside emerging evidence for widespread precontact Indigenous agriculture in the Great Lakes region, it is important to reconsider maize’s subsistence and ceremonial significance. The analytic workflow—leveraging free, global Landsat data in Google Earth Engine—offers a replicable framework for archaeologists worldwide to integrate relative thermal patterns into cultural landscape studies.</w:t>
      </w:r>
    </w:p>
    <w:p>
      <w:pPr>
        <w:spacing w:before="120" w:after="120"/>
      </w:pPr>
      <w:r>
        <w:rPr>
          <w:sz w:val="18"/>
        </w:rPr>
        <w:t>——————————————————————————————————————————————————————————————————————</w:t>
      </w:r>
    </w:p>
    <w:p>
      <w:pPr>
        <w:spacing w:before="160" w:after="40" w:line="240" w:lineRule="auto"/>
      </w:pPr>
      <w:r>
        <w:rPr>
          <w:b/>
        </w:rPr>
        <w:t xml:space="preserve">[262] </w:t>
      </w:r>
      <w:hyperlink r:id="rId410">
        <w:r>
          <w:rPr>
            <w:color w:val="1155CC"/>
            <w:u w:val="single"/>
          </w:rPr>
          <w:t>通过可重新配置的纳米粒子表面活性剂稳定液滴接口双层人运输</w:t>
        </w:r>
      </w:hyperlink>
    </w:p>
    <w:p>
      <w:pPr>
        <w:spacing w:before="0" w:after="80"/>
      </w:pPr>
      <w:r>
        <w:rPr>
          <w:i/>
          <w:sz w:val="20"/>
        </w:rPr>
        <w:t>EN: Ion transport through reconfigurable nanoparticle-surfactant stabilized droplet interface bilayers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11">
        <w:r>
          <w:rPr>
            <w:color w:val="1155CC"/>
            <w:u w:val="single"/>
          </w:rPr>
          <w:t>10.1073/pnas.2522349123</w:t>
        </w:r>
      </w:hyperlink>
    </w:p>
    <w:p>
      <w:pPr>
        <w:spacing w:before="0" w:after="120"/>
      </w:pPr>
      <w:r>
        <w:rPr>
          <w:b/>
        </w:rPr>
        <w:t xml:space="preserve">Notes: </w:t>
      </w:r>
      <w:r>
        <w:t>abstract_source=crossref</w:t>
      </w:r>
    </w:p>
    <w:p>
      <w:pPr>
        <w:spacing w:before="0" w:after="80" w:lineRule="auto" w:line="276"/>
      </w:pPr>
      <w:r>
        <w:rPr>
          <w:b/>
        </w:rPr>
        <w:t xml:space="preserve">摘要（ZH）: </w:t>
      </w:r>
      <w:r>
        <w:t>尽管具有适应性和机械稳定性,但基于凝胶粒粒子间结合的皮克乳化乳化没有在离子力学中使用,因为微微小颗粒的密集间跨轴包装排除了两个小滴之间的功能连接。这里,我们引入了一个基于纳米粒子-表面活性剂(NPS)间结合的化学可重新合成浮粒界面双层(DIB)平台,该平台可以自发或实地形成离子导纳米通道,从而消除电离眼素或纳米通道形成蛋白的需要。这些纳米孔来自充电核动力源和支撑尺寸以及受内部电塔控制的电源运输过程中的闭塞的闭锁间组合的包装缺陷。</w:t>
      </w:r>
    </w:p>
    <w:p>
      <w:pPr>
        <w:spacing w:before="0" w:after="200" w:lineRule="auto" w:line="276"/>
      </w:pPr>
      <w:r>
        <w:rPr>
          <w:b/>
        </w:rPr>
        <w:t xml:space="preserve">Abstract (EN): </w:t>
      </w:r>
      <w:r>
        <w:t>Despite their adaptability and mechanical stability, Pickering emulsions based on the interfacial assembly of colloidal particles have not found use in iontronics, since the dense interfacial packing of micron-sized particles precludes functional connectivity between two droplets. Here, we introduce a chemically reconfigurable droplet interface bilayer (DIB) platform based on the interfacial assembly of nanoparticle-surfactants (NPSs) that enables spontaneous or field-induced formation of ion-conducting nanochannels, eliminating the need of ionophores or nanochannel-forming proteins. These nanoscopic channels emerge from packing defects in the jammed interfacial assemblies of the charged NPSs and support size and charge selective, hysteretic ion transport governed by interfacial electrostatics and dimensional constraints. The NPS-DIBs show short-term and long-term plasticity, hallmarks of neuromorphic behavior, that are mediated by the structural and chemical design of the bilayer. These assemblies establish a versatile, chemically tunable platform that couples soft-matter mechanics with interfacial ionic functionality, offering a robust foundation for soft iontronic systems.</w:t>
      </w:r>
    </w:p>
    <w:p>
      <w:pPr>
        <w:spacing w:before="120" w:after="120"/>
      </w:pPr>
      <w:r>
        <w:rPr>
          <w:sz w:val="18"/>
        </w:rPr>
        <w:t>——————————————————————————————————————————————————————————————————————</w:t>
      </w:r>
    </w:p>
    <w:p>
      <w:pPr>
        <w:spacing w:before="160" w:after="40" w:line="240" w:lineRule="auto"/>
      </w:pPr>
      <w:r>
        <w:rPr>
          <w:b/>
        </w:rPr>
        <w:t xml:space="preserve">[263] </w:t>
      </w:r>
      <w:hyperlink r:id="rId412">
        <w:r>
          <w:rPr>
            <w:color w:val="1155CC"/>
            <w:u w:val="single"/>
          </w:rPr>
          <w:t>脱下生锈的真菌推翻了小麦分离阶段,通过中介豁免促进感染。</w:t>
        </w:r>
      </w:hyperlink>
    </w:p>
    <w:p>
      <w:pPr>
        <w:spacing w:before="0" w:after="80"/>
      </w:pPr>
      <w:r>
        <w:rPr>
          <w:i/>
          <w:sz w:val="20"/>
        </w:rPr>
        <w:t>EN: Stripe rust fungus subverts wheat phase separation–mediated immunity to promote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13">
        <w:r>
          <w:rPr>
            <w:color w:val="1155CC"/>
            <w:u w:val="single"/>
          </w:rPr>
          <w:t>10.1073/pnas.2522267123</w:t>
        </w:r>
      </w:hyperlink>
    </w:p>
    <w:p>
      <w:pPr>
        <w:spacing w:before="0" w:after="120"/>
      </w:pPr>
      <w:r>
        <w:rPr>
          <w:b/>
        </w:rPr>
        <w:t xml:space="preserve">Notes: </w:t>
      </w:r>
      <w:r>
        <w:t>abstract_source=crossref</w:t>
      </w:r>
    </w:p>
    <w:p>
      <w:pPr>
        <w:spacing w:before="0" w:after="80" w:lineRule="auto" w:line="276"/>
      </w:pPr>
      <w:r>
        <w:rPr>
          <w:b/>
        </w:rPr>
        <w:t xml:space="preserve">摘要（ZH）: </w:t>
      </w:r>
      <w:r>
        <w:t>液态分解(LLPS)已经成为植物应激抗药性的重要战略,但植物-病原体相互作用期间的动态监管仍然不为人所知。 在这里,我们证明脱衣生锈真菌Puccinia strififoris f. sp. tritici (Pst ) 部署电效应器Hasp170(一个显性秘密蛋白),通过直接干扰主机LPS(LPS)来破坏小麦的免疫。 哈斯普170针对小麦核蛋白TAPSTE(Petor针对的分级分离蛋白蛋白)的内在障碍区域(IDR1 ), 它构成了LPS依赖的生物分子凝聚点。 在这些凝聚点中,TAPSTE招募了TANF-YC(TANF-YC)的转录系数。</w:t>
      </w:r>
    </w:p>
    <w:p>
      <w:pPr>
        <w:spacing w:before="0" w:after="200" w:lineRule="auto" w:line="276"/>
      </w:pPr>
      <w:r>
        <w:rPr>
          <w:b/>
        </w:rPr>
        <w:t xml:space="preserve">Abstract (EN): </w:t>
      </w:r>
      <w:r>
        <w:t>Liquid–liquid phase separation (LLPS) has emerged as an important strategy for plant stress resistance, yet its dynamic regulation during plant–pathogen interaction remains poorly understood. Here, we demonstrate that the stripe rust fungus</w:t>
      </w:r>
      <w:r>
        <w:t xml:space="preserve"> </w:t>
      </w:r>
      <w:r>
        <w:t>Puccinia striiformis</w:t>
      </w:r>
      <w:r>
        <w:t xml:space="preserve"> </w:t>
      </w:r>
      <w:r>
        <w:t>f. sp.</w:t>
      </w:r>
      <w:r>
        <w:t xml:space="preserve"> </w:t>
      </w:r>
      <w:r>
        <w:t>tritici</w:t>
      </w:r>
      <w:r>
        <w:t xml:space="preserve"> </w:t>
      </w:r>
      <w:r>
        <w:t>(</w:t>
      </w:r>
      <w:r>
        <w:t xml:space="preserve"> </w:t>
      </w:r>
      <w:r>
        <w:t>Pst</w:t>
      </w:r>
      <w:r>
        <w:t xml:space="preserve"> </w:t>
      </w:r>
      <w:r>
        <w:t>) deploys effector Hasp170 (one haustorial secreted protein) to subvert wheat immunity by directly disrupting host LLPS. Hasp170 targets the intrinsically disordered region (IDR1) of the wheat nuclear protein TaPSTE (phase separation protein targeted by effector), which forms LLPS-dependent biomolecular condensates. Within these condensates, TaPSTE recruits the transcription factor TaNF-YC, thereby activating the expression of genes driving reactive oxygen species burst and Ca</w:t>
      </w:r>
      <w:r>
        <w:t xml:space="preserve"> </w:t>
      </w:r>
      <w:r>
        <w:t>2+</w:t>
      </w:r>
      <w:r>
        <w:t xml:space="preserve"> </w:t>
      </w:r>
      <w:r>
        <w:t>influx, key components for disease resistance. By binding TaPSTE’s IDR1, Hasp170 impairs condensate formation and prevents TaNF-YC recruitment, consequently suppressing host immunity and facilitating fungal parasitism. This reveals a virulence strategy where pathogens directly manipulate host biomolecular condensates to evade immune responses.</w:t>
      </w:r>
    </w:p>
    <w:p>
      <w:pPr>
        <w:spacing w:before="120" w:after="120"/>
      </w:pPr>
      <w:r>
        <w:rPr>
          <w:sz w:val="18"/>
        </w:rPr>
        <w:t>——————————————————————————————————————————————————————————————————————</w:t>
      </w:r>
    </w:p>
    <w:p>
      <w:pPr>
        <w:spacing w:before="160" w:after="40" w:line="240" w:lineRule="auto"/>
      </w:pPr>
      <w:r>
        <w:rPr>
          <w:b/>
        </w:rPr>
        <w:t xml:space="preserve">[264] </w:t>
      </w:r>
      <w:hyperlink r:id="rId414">
        <w:r>
          <w:rPr>
            <w:color w:val="1155CC"/>
            <w:u w:val="single"/>
          </w:rPr>
          <w:t>调制门和渔具:LRC26(GS1)分单元调制BK频道的内置加压和电压传感器连接</w:t>
        </w:r>
      </w:hyperlink>
    </w:p>
    <w:p>
      <w:pPr>
        <w:spacing w:before="0" w:after="80"/>
      </w:pPr>
      <w:r>
        <w:rPr>
          <w:i/>
          <w:sz w:val="20"/>
        </w:rPr>
        <w:t>EN: Tuning the gate and the gear: The LRRC26 (γ1) subunit modulates intrinsic gating and voltage-sensor coupling of the BK channel</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15">
        <w:r>
          <w:rPr>
            <w:color w:val="1155CC"/>
            <w:u w:val="single"/>
          </w:rPr>
          <w:t>10.1073/pnas.2526651123</w:t>
        </w:r>
      </w:hyperlink>
    </w:p>
    <w:p>
      <w:pPr>
        <w:spacing w:before="0" w:after="120"/>
      </w:pPr>
      <w:r>
        <w:rPr>
          <w:b/>
        </w:rPr>
        <w:t xml:space="preserve">Notes: </w:t>
      </w:r>
      <w:r>
        <w:t>abstract_source=crossref</w:t>
      </w:r>
    </w:p>
    <w:p>
      <w:pPr>
        <w:spacing w:before="0" w:after="80" w:lineRule="auto" w:line="276"/>
      </w:pPr>
      <w:r>
        <w:rPr>
          <w:b/>
        </w:rPr>
        <w:t xml:space="preserve">摘要（ZH）: </w:t>
      </w:r>
      <w:r>
        <w:t>辅助子单位协会(β1-4和γ1-4)与钙和电电活钾(BK)渠道孔状α子单位(α1-4和1-4)的组合具有功能多样性。 γ1促进电压-电动曲线的左向显著转变,确保秘密腺的适当功能,并允许BK渠道在Ca2+浓度的休息室释放K+。鉴于其生理重要性,必须阐明1级行动的机制。然而,结构和功能研究在以 1调控BK渠道方面得出了相互矛盾的结论。</w:t>
      </w:r>
    </w:p>
    <w:p>
      <w:pPr>
        <w:spacing w:before="0" w:after="200" w:lineRule="auto" w:line="276"/>
      </w:pPr>
      <w:r>
        <w:rPr>
          <w:b/>
        </w:rPr>
        <w:t xml:space="preserve">Abstract (EN): </w:t>
      </w:r>
      <w:r>
        <w:t>Association of auxiliary subunits (β1-4 and γ1-4) with the pore-forming α subunit of the calcium- and voltage-activated potassium (BK) channel provides functional diversity. γ1 promotes a significant leftward shift in the voltage-activation curve, ensuring proper function of secretory glands and allowing BK channels to release K</w:t>
      </w:r>
      <w:r>
        <w:t xml:space="preserve"> </w:t>
      </w:r>
      <w:r>
        <w:t>+</w:t>
      </w:r>
      <w:r>
        <w:t xml:space="preserve"> </w:t>
      </w:r>
      <w:r>
        <w:t>at the cell’s resting Ca</w:t>
      </w:r>
      <w:r>
        <w:t xml:space="preserve"> </w:t>
      </w:r>
      <w:r>
        <w:t>2+</w:t>
      </w:r>
      <w:r>
        <w:t xml:space="preserve"> </w:t>
      </w:r>
      <w:r>
        <w:t>concentration. Given its physiological importance, it is crucial to elucidate the mechanisms of γ1 action. However, structural and functional studies have yielded conflicting conclusions regarding the modulation of BK channels by γ1. Here, using macroscopic, single-channel, and gating-current measurements, we demonstrate that at zero mV, γ1 increases 106-fold the equilibrium constant for the closed–open transition by destabilizing the channel’s closed state and enhancing coupling between the voltage sensor and the pore domain, without affecting voltage-sensor activation. These results suggest that γ1 not only increases the energetic coupling between the voltage sensors and the pore but also primarily enhances the channel-opening reaction.</w:t>
      </w:r>
    </w:p>
    <w:p>
      <w:pPr>
        <w:spacing w:before="120" w:after="120"/>
      </w:pPr>
      <w:r>
        <w:rPr>
          <w:sz w:val="18"/>
        </w:rPr>
        <w:t>——————————————————————————————————————————————————————————————————————</w:t>
      </w:r>
    </w:p>
    <w:p>
      <w:pPr>
        <w:spacing w:before="160" w:after="40" w:line="240" w:lineRule="auto"/>
      </w:pPr>
      <w:r>
        <w:rPr>
          <w:b/>
        </w:rPr>
        <w:t xml:space="preserve">[265] </w:t>
      </w:r>
      <w:hyperlink r:id="rId416">
        <w:r>
          <w:rPr>
            <w:color w:val="1155CC"/>
            <w:u w:val="single"/>
          </w:rPr>
          <w:t>印度实现空气污染标准带来的死亡率和经济效益</w:t>
        </w:r>
      </w:hyperlink>
    </w:p>
    <w:p>
      <w:pPr>
        <w:spacing w:before="0" w:after="80"/>
      </w:pPr>
      <w:r>
        <w:rPr>
          <w:i/>
          <w:sz w:val="20"/>
        </w:rPr>
        <w:t>EN: The mortality and economic benefits of achieving air pollution standards in India</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17">
        <w:r>
          <w:rPr>
            <w:color w:val="1155CC"/>
            <w:u w:val="single"/>
          </w:rPr>
          <w:t>10.1073/pnas.2522228123</w:t>
        </w:r>
      </w:hyperlink>
    </w:p>
    <w:p>
      <w:pPr>
        <w:spacing w:before="0" w:after="120"/>
      </w:pPr>
      <w:r>
        <w:rPr>
          <w:b/>
        </w:rPr>
        <w:t xml:space="preserve">Notes: </w:t>
      </w:r>
      <w:r>
        <w:t>abstract_source=crossref</w:t>
      </w:r>
    </w:p>
    <w:p>
      <w:pPr>
        <w:spacing w:before="0" w:after="80" w:lineRule="auto" w:line="276"/>
      </w:pPr>
      <w:r>
        <w:rPr>
          <w:b/>
        </w:rPr>
        <w:t xml:space="preserve">摘要（ZH）: </w:t>
      </w:r>
      <w:r>
        <w:t>高含量PPP 2.5污染是印度健康的一大威胁。我们从2019年的基准线上评估减少环境PP 2.5和家庭空气污染的好处。 2019年的基准线上,印度70%以上的人口每年平均接触PPP 2.5,每米3和56%的家庭烧烧固体烹饪用燃料。我们估计,如果将环境PP 2.5降低到印度标准(40微克/立方米 3)和世界卫生组织(卫生组织)两项临时标准(25微克/立方米),那么降低死亡率将给健康带来的益处。</w:t>
      </w:r>
    </w:p>
    <w:p>
      <w:pPr>
        <w:spacing w:before="0" w:after="200" w:lineRule="auto" w:line="276"/>
      </w:pPr>
      <w:r>
        <w:rPr>
          <w:b/>
        </w:rPr>
        <w:t xml:space="preserve">Abstract (EN): </w:t>
      </w:r>
      <w:r>
        <w:t>The presence of high levels of PM</w:t>
      </w:r>
      <w:r>
        <w:t xml:space="preserve"> </w:t>
      </w:r>
      <w:r>
        <w:t>2.5</w:t>
      </w:r>
      <w:r>
        <w:t xml:space="preserve"> </w:t>
      </w:r>
      <w:r>
        <w:t>pollution is a major health threat in India. We evaluate the benefits of reducing ambient PM</w:t>
      </w:r>
      <w:r>
        <w:t xml:space="preserve"> </w:t>
      </w:r>
      <w:r>
        <w:t>2.5</w:t>
      </w:r>
      <w:r>
        <w:t xml:space="preserve"> </w:t>
      </w:r>
      <w:r>
        <w:t>and household air pollution from a 2019 baseline, when over 70% of the population of India was exposed to annual average PM</w:t>
      </w:r>
      <w:r>
        <w:t xml:space="preserve"> </w:t>
      </w:r>
      <w:r>
        <w:t>2.5</w:t>
      </w:r>
      <w:r>
        <w:t xml:space="preserve"> </w:t>
      </w:r>
      <w:r>
        <w:t>of more than 40 μg/m</w:t>
      </w:r>
      <w:r>
        <w:rPr>
          <w:vertAlign w:val="subscript"/>
        </w:rPr>
        <w:t>3</w:t>
      </w:r>
      <w:r>
        <w:t>and 56% of households burned solid fuels for cooking. We estimate the health benefits from reduced mortality that arise when lowering ambient PM</w:t>
      </w:r>
      <w:r>
        <w:t xml:space="preserve"> </w:t>
      </w:r>
      <w:r>
        <w:t>2.5</w:t>
      </w:r>
      <w:r>
        <w:t xml:space="preserve"> </w:t>
      </w:r>
      <w:r>
        <w:t>to the India standard (40 μg/m</w:t>
      </w:r>
      <w:r>
        <w:rPr>
          <w:vertAlign w:val="subscript"/>
        </w:rPr>
        <w:t>3</w:t>
      </w:r>
      <w:r>
        <w:t>) and to two World Health Organization (WHO) interim standards (25 μg/m</w:t>
      </w:r>
      <w:r>
        <w:rPr>
          <w:vertAlign w:val="subscript"/>
        </w:rPr>
        <w:t>3</w:t>
      </w:r>
      <w:r>
        <w:t>and 15 μg/m</w:t>
      </w:r>
      <w:r>
        <w:rPr>
          <w:vertAlign w:val="subscript"/>
        </w:rPr>
        <w:t>3</w:t>
      </w:r>
      <w:r>
        <w:t>). The benefits of the ambient standards are moderated by the high levels of household air pollution to which people are exposed due to the concavity of the exposure–response function. We therefore examine the benefits of achieving each standard paired with a 50% reduction in the percentage of households burning solid fuels. Annual mortality reductions from the combined policies exceed 300,000 lives saved for the India standard, 500,000 lives saved for the WHO 25 μg/m</w:t>
      </w:r>
      <w:r>
        <w:rPr>
          <w:vertAlign w:val="subscript"/>
        </w:rPr>
        <w:t>3</w:t>
      </w:r>
      <w:r>
        <w:t>interim standard, and 675,000 lives saved for the WHO 15 μg/m</w:t>
      </w:r>
      <w:r>
        <w:rPr>
          <w:vertAlign w:val="subscript"/>
        </w:rPr>
        <w:t>3</w:t>
      </w:r>
      <w:r>
        <w:t>interim standard. The economic benefits of each of these joint policies equal 2.2%, 3.6%, and 4.9% of Indian gross domestic product (GDP), using a Value per Statistical Life of 100 times per capita GDP. Results underscore the importance of considering household air pollution when evaluating ambient standards and the synergistic benefits of combined policies when the exposure–response function is concave.</w:t>
      </w:r>
    </w:p>
    <w:p>
      <w:pPr>
        <w:spacing w:before="120" w:after="120"/>
      </w:pPr>
      <w:r>
        <w:rPr>
          <w:sz w:val="18"/>
        </w:rPr>
        <w:t>——————————————————————————————————————————————————————————————————————</w:t>
      </w:r>
    </w:p>
    <w:p>
      <w:pPr>
        <w:spacing w:before="160" w:after="40" w:line="240" w:lineRule="auto"/>
      </w:pPr>
      <w:r>
        <w:rPr>
          <w:b/>
        </w:rPr>
        <w:t xml:space="preserve">[266] </w:t>
      </w:r>
      <w:hyperlink r:id="rId418">
        <w:r>
          <w:rPr>
            <w:color w:val="1155CC"/>
            <w:u w:val="single"/>
          </w:rPr>
          <w:t>人造制中正心旋球温度细胞上成形的焦球瞄准感应器,可增强亚尼基的抗力和组织修补能力。</w:t>
        </w:r>
      </w:hyperlink>
    </w:p>
    <w:p>
      <w:pPr>
        <w:spacing w:before="0" w:after="80"/>
      </w:pPr>
      <w:r>
        <w:rPr>
          <w:i/>
          <w:sz w:val="20"/>
        </w:rPr>
        <w:t>EN: Artificially constructed collagen-targeting receptors on mesenchymal stromal cells promote anoikis resistance and tissue repair</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19">
        <w:r>
          <w:rPr>
            <w:color w:val="1155CC"/>
            <w:u w:val="single"/>
          </w:rPr>
          <w:t>10.1073/pnas.2525881123</w:t>
        </w:r>
      </w:hyperlink>
    </w:p>
    <w:p>
      <w:pPr>
        <w:spacing w:before="0" w:after="120"/>
      </w:pPr>
      <w:r>
        <w:rPr>
          <w:b/>
        </w:rPr>
        <w:t xml:space="preserve">Notes: </w:t>
      </w:r>
      <w:r>
        <w:t>abstract_source=crossref</w:t>
      </w:r>
    </w:p>
    <w:p>
      <w:pPr>
        <w:spacing w:before="0" w:after="80" w:lineRule="auto" w:line="276"/>
      </w:pPr>
      <w:r>
        <w:rPr>
          <w:b/>
        </w:rPr>
        <w:t xml:space="preserve">摘要（ZH）: </w:t>
      </w:r>
      <w:r>
        <w:t>以中心干细胞(MSC)为基础的治疗在再生医学方面大有希望,利用其多种能力差异能力和石蜡效应,但临床翻译因细胞存活不良和在敌对伤害微环境中的移植而受到限制,在这种环境中,分离引起的异构体和不充足的外细胞粘合基体(ECM)会损害其治疗效力。在这里,我们用地表固化的冯威勒勃朗因子A3域(VWF A3)设计了具有天然共生结合性的域,对I型和III型科洛林来说具有特殊的亲近性,可以同时赋予科伦瞄准功能和生性功能。VFFCA3改制的MSCs(VFA3-MSCs)展示了强化的科洛根结合能力,改进了心肌梗塞的留存(M)。</w:t>
      </w:r>
    </w:p>
    <w:p>
      <w:pPr>
        <w:spacing w:before="0" w:after="200" w:lineRule="auto" w:line="276"/>
      </w:pPr>
      <w:r>
        <w:rPr>
          <w:b/>
        </w:rPr>
        <w:t xml:space="preserve">Abstract (EN): </w:t>
      </w:r>
      <w:r>
        <w:t>Mesenchymal stem cell (MSC)-based therapy holds significant promise in regenerative medicine, leveraging their multipotent differentiation capacity and paracrine effects. However, clinical translation is limited by poor cell survival and engraftment in a hostile injury microenvironment, where detachment-induced anoikis and insufficient extracellular matrix (ECM) adhesion compromise their therapeutic efficacy. Here, we engineered MSCs with surface-anchored von Willebrand factor A3 domain (vWF A3), a natural collagen-binding domain with exceptional affinity for type I and III collagen, to simultaneously confer collagen-targeting and prosurvival functionalities. The vWF A3-modified MSCs (vWF A3-MSCs) exhibited enhanced collagen-binding capacity, improving retention in myocardial infarction (MI) and osteoarthritis (OA) lesions. Beyond adhesion, vWF A3-MSCs demonstrated improved reparative capacity and anoikis resistance, driven by the activation of ECM–receptor interaction and integrin β3 signaling. These modifications promoted proangiogenic effects via mitogen-activated protein kinase pathway activation while enhancing cell survival through Hippo pathway suppression. In vivo studies confirmed the superior therapeutic efficacy of vWF A3-MSCs in both MI and OA models, highlighting how the artificially constructed collagen-targeting receptors on cell and ECM-adhesion-targeted strategy reprogram cellular fate and enhance therapeutic efficacy in stem cell–based regenerative medicine.</w:t>
      </w:r>
    </w:p>
    <w:p>
      <w:pPr>
        <w:spacing w:before="120" w:after="120"/>
      </w:pPr>
      <w:r>
        <w:rPr>
          <w:sz w:val="18"/>
        </w:rPr>
        <w:t>——————————————————————————————————————————————————————————————————————</w:t>
      </w:r>
    </w:p>
    <w:p>
      <w:pPr>
        <w:spacing w:before="160" w:after="40" w:line="240" w:lineRule="auto"/>
      </w:pPr>
      <w:r>
        <w:rPr>
          <w:b/>
        </w:rPr>
        <w:t xml:space="preserve">[267] </w:t>
      </w:r>
      <w:hyperlink r:id="rId420">
        <w:r>
          <w:rPr>
            <w:color w:val="1155CC"/>
            <w:u w:val="single"/>
          </w:rPr>
          <w:t>Pichia-CLM:Komagataella faffii的基于语言模式的codon优化管道</w:t>
        </w:r>
      </w:hyperlink>
    </w:p>
    <w:p>
      <w:pPr>
        <w:spacing w:before="0" w:after="80"/>
      </w:pPr>
      <w:r>
        <w:rPr>
          <w:i/>
          <w:sz w:val="20"/>
        </w:rPr>
        <w:t>EN: Pichia-CLM: A language model–based codon optimization pipeline for Komagataella phaffii</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21">
        <w:r>
          <w:rPr>
            <w:color w:val="1155CC"/>
            <w:u w:val="single"/>
          </w:rPr>
          <w:t>10.1073/pnas.2522052123</w:t>
        </w:r>
      </w:hyperlink>
    </w:p>
    <w:p>
      <w:pPr>
        <w:spacing w:before="0" w:after="120"/>
      </w:pPr>
      <w:r>
        <w:rPr>
          <w:b/>
        </w:rPr>
        <w:t xml:space="preserve">Notes: </w:t>
      </w:r>
      <w:r>
        <w:t>abstract_source=crossref</w:t>
      </w:r>
    </w:p>
    <w:p>
      <w:pPr>
        <w:spacing w:before="0" w:after="80" w:lineRule="auto" w:line="276"/>
      </w:pPr>
      <w:r>
        <w:rPr>
          <w:b/>
        </w:rPr>
        <w:t xml:space="preserve">摘要（ZH）: </w:t>
      </w:r>
      <w:r>
        <w:t>同义 Codon 使用的偏好 — — 所谓的 Codon 使用偏差(CUB ) — — 受多种因素制约,如宿主机体、基因的背景和功能,以及宿主在基因本身中的地位等。 我们证明,可以通过语言模型从宿主的基因组中学习这一绘图,然后应用宿主表达的异血蛋白的codon 优化。 这个称为Pichia-Codon 语言模型(Pichia-CLM ) 的管道被应用到工业宿主机体Komagataella phaffii(Komagataella phaffii ) 。 采用这种方法,异血蛋白质的生产比其本序列增加了三倍。 此外,Pichana-CLM(CLM ) 与杂质相比, 一直以更高生产率的方式生成不同复杂蛋白质的模型。</w:t>
      </w:r>
    </w:p>
    <w:p>
      <w:pPr>
        <w:spacing w:before="0" w:after="200" w:lineRule="auto" w:line="276"/>
      </w:pPr>
      <w:r>
        <w:rPr>
          <w:b/>
        </w:rPr>
        <w:t xml:space="preserve">Abstract (EN): </w:t>
      </w:r>
      <w:r>
        <w:t>The preference in synonymous codon usage—the so-called codon usage bias (CUB)—is governed by several factors such as the host organism, context and function of the gene, and the position of the codon within the gene itself. We demonstrated that this mapping can be learned from the host’s genome using language models and subsequently applied for codon optimization of heterologous proteins expressed by the host. This pipeline called Pichia–Codon language model (Pichia-CLM) was applied to the industrial host organism, Komagataella phaffii. With this approach, production of heterologous proteins was enhanced up to threefold compared to their native sequences. Furthermore, Pichia-CLM consistently yielded constructs with enhanced productivity for proteins of varied complexity, compared to commercially available tools. Finally, we showed that Pichia-CLM generates sequences resembling the properties of codon usage found in the host’s intrinsic host cell proteins and learned features such as avoiding negative cis-regulatory and repeat elements based on patterns in the genome data. These results show the potential of language models to unbiasedly learn patterns and design robust sequences for improved protein production.</w:t>
      </w:r>
    </w:p>
    <w:p>
      <w:pPr>
        <w:spacing w:before="120" w:after="120"/>
      </w:pPr>
      <w:r>
        <w:rPr>
          <w:sz w:val="18"/>
        </w:rPr>
        <w:t>——————————————————————————————————————————————————————————————————————</w:t>
      </w:r>
    </w:p>
    <w:p>
      <w:pPr>
        <w:spacing w:before="160" w:after="40" w:line="240" w:lineRule="auto"/>
      </w:pPr>
      <w:r>
        <w:rPr>
          <w:b/>
        </w:rPr>
        <w:t xml:space="preserve">[268] </w:t>
      </w:r>
      <w:hyperlink r:id="rId422">
        <w:r>
          <w:rPr>
            <w:color w:val="1155CC"/>
            <w:u w:val="single"/>
          </w:rPr>
          <w:t>Caenorhabditis elegans 的升温行为神经化:对碳氢化合物的养护作用的洞察</w:t>
        </w:r>
      </w:hyperlink>
    </w:p>
    <w:p>
      <w:pPr>
        <w:spacing w:before="0" w:after="80"/>
      </w:pPr>
      <w:r>
        <w:rPr>
          <w:i/>
          <w:sz w:val="20"/>
        </w:rPr>
        <w:t>EN: Neuromodulation of swarming behavior in Caenorhabditis elegans: Insights into the conserved role of calsyntenins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23">
        <w:r>
          <w:rPr>
            <w:color w:val="1155CC"/>
            <w:u w:val="single"/>
          </w:rPr>
          <w:t>10.1073/pnas.2520029123</w:t>
        </w:r>
      </w:hyperlink>
    </w:p>
    <w:p>
      <w:pPr>
        <w:spacing w:before="0" w:after="120"/>
      </w:pPr>
      <w:r>
        <w:rPr>
          <w:b/>
        </w:rPr>
        <w:t xml:space="preserve">Notes: </w:t>
      </w:r>
      <w:r>
        <w:t>abstract_source=crossref</w:t>
      </w:r>
    </w:p>
    <w:p>
      <w:pPr>
        <w:spacing w:before="0" w:after="80" w:lineRule="auto" w:line="276"/>
      </w:pPr>
      <w:r>
        <w:rPr>
          <w:b/>
        </w:rPr>
        <w:t xml:space="preserve">摘要（ZH）: </w:t>
      </w:r>
      <w:r>
        <w:t>动物集体行为源于内部生理状态和外部环境线索之间的复杂相互作用。 在Caenorhabditis 精英中,有利的条件促进分散,而像粮食稀缺这样的压力因素则引发聚集。这里,我们描述了一种截然不同的自我组织的升温行为,即C. elegan人在当地人口密度增长失控驱动下迁移和喂养的群体,尽管粮食供应充足。尽管在C. Elegan人的集体行为中涉及到各种环境因素,但潜在的遗传和分子机制仍然不明确。我们确定了一个关键项。</w:t>
      </w:r>
    </w:p>
    <w:p>
      <w:pPr>
        <w:spacing w:before="0" w:after="200" w:lineRule="auto" w:line="276"/>
      </w:pPr>
      <w:r>
        <w:rPr>
          <w:b/>
        </w:rPr>
        <w:t xml:space="preserve">Abstract (EN): </w:t>
      </w:r>
      <w:r>
        <w:t>Collective animal behaviors arise from a complex interplay between internal physiological states and external environmental cues. In</w:t>
      </w:r>
      <w:r>
        <w:t xml:space="preserve"> </w:t>
      </w:r>
      <w:r>
        <w:t>Caenorhabditis elegans</w:t>
      </w:r>
      <w:r>
        <w:t xml:space="preserve"> </w:t>
      </w:r>
      <w:r>
        <w:t>, favorable conditions promote dispersal, while stressors like food scarcity trigger aggregation. Here, we describe a distinct self-organized swarming behavior, where</w:t>
      </w:r>
      <w:r>
        <w:t xml:space="preserve"> </w:t>
      </w:r>
      <w:r>
        <w:t>C. elegans</w:t>
      </w:r>
      <w:r>
        <w:t xml:space="preserve"> </w:t>
      </w:r>
      <w:r>
        <w:t>move and feed in groups driven by uncontrolled local increases in population density despite abundant food availability. While various environmental factors have been implicated in collective behaviors in</w:t>
      </w:r>
      <w:r>
        <w:t xml:space="preserve"> </w:t>
      </w:r>
      <w:r>
        <w:t>C. elegans</w:t>
      </w:r>
      <w:r>
        <w:t xml:space="preserve"> </w:t>
      </w:r>
      <w:r>
        <w:t>, the underlying genetic and molecular mechanisms remain unclear. We identify a key role for the conserved calsyntenin protein CASY-1 in regulating swarming. Through genetic, behavioral, and optogenetic approaches, we show that CASY-1 functions to modulate the neuropeptide pigment-dispersing factor (PDF) signaling. Mutants in</w:t>
      </w:r>
      <w:r>
        <w:t xml:space="preserve"> </w:t>
      </w:r>
      <w:r>
        <w:t>casy-1</w:t>
      </w:r>
      <w:r>
        <w:t xml:space="preserve"> </w:t>
      </w:r>
      <w:r>
        <w:t>show impaired PDF-1 signaling and reduced inhibition of the serotonin pathway, a known regulator of social behaviors. This dysregulation, along with its associated mechanosensory and foraging defects, likely contributes to the swarming phenotype. Our findings reveal a putative neuromodulatory pathway critical for swarming behavior in</w:t>
      </w:r>
      <w:r>
        <w:t xml:space="preserve"> </w:t>
      </w:r>
      <w:r>
        <w:t>C. elegans</w:t>
      </w:r>
      <w:r>
        <w:t xml:space="preserve"> </w:t>
      </w:r>
      <w:r>
        <w:t>.</w:t>
      </w:r>
    </w:p>
    <w:p>
      <w:pPr>
        <w:spacing w:before="120" w:after="120"/>
      </w:pPr>
      <w:r>
        <w:rPr>
          <w:sz w:val="18"/>
        </w:rPr>
        <w:t>——————————————————————————————————————————————————————————————————————</w:t>
      </w:r>
    </w:p>
    <w:p>
      <w:pPr>
        <w:spacing w:before="160" w:after="40" w:line="240" w:lineRule="auto"/>
      </w:pPr>
      <w:r>
        <w:rPr>
          <w:b/>
        </w:rPr>
        <w:t xml:space="preserve">[269] </w:t>
      </w:r>
      <w:hyperlink r:id="rId424">
        <w:r>
          <w:rPr>
            <w:color w:val="1155CC"/>
            <w:u w:val="single"/>
          </w:rPr>
          <w:t>Fliar dewwdroutlet — 引发的红氧化级联促进了布拉西卡塞亚工厂的早期开花</w:t>
        </w:r>
      </w:hyperlink>
    </w:p>
    <w:p>
      <w:pPr>
        <w:spacing w:before="0" w:after="80"/>
      </w:pPr>
      <w:r>
        <w:rPr>
          <w:i/>
          <w:sz w:val="20"/>
        </w:rPr>
        <w:t>EN: Foliar dewdroplet–induced redox cascades promote early flowering in Brassicaceae plants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25">
        <w:r>
          <w:rPr>
            <w:color w:val="1155CC"/>
            <w:u w:val="single"/>
          </w:rPr>
          <w:t>10.1073/pnas.2527021123</w:t>
        </w:r>
      </w:hyperlink>
    </w:p>
    <w:p>
      <w:pPr>
        <w:spacing w:before="0" w:after="120"/>
      </w:pPr>
      <w:r>
        <w:rPr>
          <w:b/>
        </w:rPr>
        <w:t xml:space="preserve">Notes: </w:t>
      </w:r>
      <w:r>
        <w:t>abstract_source=crossref</w:t>
      </w:r>
    </w:p>
    <w:p>
      <w:pPr>
        <w:spacing w:before="0" w:after="80" w:lineRule="auto" w:line="276"/>
      </w:pPr>
      <w:r>
        <w:rPr>
          <w:b/>
        </w:rPr>
        <w:t xml:space="preserve">摘要（ZH）: </w:t>
      </w:r>
      <w:r>
        <w:t>植物生物学中常常忽略了露水等大气水投入。我们表明,花生露水作为生化微反应器,在芥子树(Brassicaceae)的一家小植物 -- -- 芥子树(Brassicaceae ) -- -- 阿比迪奥西斯·塔利亚娜(Brassiops Thaliana )中引发开花。这些滴子产生反应性氧物种,导致细胞内硝基氧化物累积,引发了红氧化物级联,抑制了亚密西西酸的生物合成,有助于调节开花时间。这通过以硝化融介质介质为介质的活化作用而发生,使AAO3和ABA2沉默。对全年1,200多万场记录进行了分析。</w:t>
      </w:r>
    </w:p>
    <w:p>
      <w:pPr>
        <w:spacing w:before="0" w:after="200" w:lineRule="auto" w:line="276"/>
      </w:pPr>
      <w:r>
        <w:rPr>
          <w:b/>
        </w:rPr>
        <w:t xml:space="preserve">Abstract (EN): </w:t>
      </w:r>
      <w:r>
        <w:t>Atmospheric water inputs such as dew are often overlooked in plant biology. We show that foliar dewdrops act as biochemical microreactors that trigger flowering in</w:t>
      </w:r>
      <w:r>
        <w:t xml:space="preserve"> </w:t>
      </w:r>
      <w:r>
        <w:t>Arabidopsis thaliana</w:t>
      </w:r>
      <w:r>
        <w:t xml:space="preserve"> </w:t>
      </w:r>
      <w:r>
        <w:t>, a small plant from the mustard family (</w:t>
      </w:r>
      <w:r>
        <w:t xml:space="preserve"> </w:t>
      </w:r>
      <w:r>
        <w:t>Brassicaceae</w:t>
      </w:r>
      <w:r>
        <w:t xml:space="preserve"> </w:t>
      </w:r>
      <w:r>
        <w:t>). These droplets generate reactive oxygen species that induce intracellular nitric oxide accumulation, initiating a redox cascade that suppresses the biosynthesis of abscisic acid, which contributes to the regulation of flowering time. This occurs via S-nitrosylation-mediated activation of histone deacetylase 19, which silences</w:t>
      </w:r>
      <w:r>
        <w:t xml:space="preserve"> </w:t>
      </w:r>
      <w:r>
        <w:t>AAO3</w:t>
      </w:r>
      <w:r>
        <w:t xml:space="preserve"> </w:t>
      </w:r>
      <w:r>
        <w:t>and</w:t>
      </w:r>
      <w:r>
        <w:t xml:space="preserve"> </w:t>
      </w:r>
      <w:r>
        <w:t>ABA2</w:t>
      </w:r>
      <w:r>
        <w:t xml:space="preserve"> </w:t>
      </w:r>
      <w:r>
        <w:t>. Analysis of over 12 million field records across the</w:t>
      </w:r>
      <w:r>
        <w:t xml:space="preserve"> </w:t>
      </w:r>
      <w:r>
        <w:t>Brassicaceae</w:t>
      </w:r>
      <w:r>
        <w:t xml:space="preserve"> </w:t>
      </w:r>
      <w:r>
        <w:t>family reveals a global correlation between dew point temperature and flowering time. These findings identify dewdrop chemistry as an unrecognized environmental cue that regulates developmental timing in plants.</w:t>
      </w:r>
    </w:p>
    <w:p>
      <w:pPr>
        <w:spacing w:before="120" w:after="120"/>
      </w:pPr>
      <w:r>
        <w:rPr>
          <w:sz w:val="18"/>
        </w:rPr>
        <w:t>——————————————————————————————————————————————————————————————————————</w:t>
      </w:r>
    </w:p>
    <w:p>
      <w:pPr>
        <w:spacing w:before="160" w:after="40" w:line="240" w:lineRule="auto"/>
      </w:pPr>
      <w:r>
        <w:rPr>
          <w:b/>
        </w:rPr>
        <w:t xml:space="preserve">[270] </w:t>
      </w:r>
      <w:hyperlink r:id="rId426">
        <w:r>
          <w:rPr>
            <w:color w:val="1155CC"/>
            <w:u w:val="single"/>
          </w:rPr>
          <w:t>PI(4)P通量对PI(4,5,5,5,P2)稳定状态和振动的独特影响</w:t>
        </w:r>
      </w:hyperlink>
    </w:p>
    <w:p>
      <w:pPr>
        <w:spacing w:before="0" w:after="80"/>
      </w:pPr>
      <w:r>
        <w:rPr>
          <w:i/>
          <w:sz w:val="20"/>
        </w:rPr>
        <w:t>EN: Distinct impact of PI(4)P flux on PI(4,5)P2 steady states and oscillations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27">
        <w:r>
          <w:rPr>
            <w:color w:val="1155CC"/>
            <w:u w:val="single"/>
          </w:rPr>
          <w:t>10.1073/pnas.2518354123</w:t>
        </w:r>
      </w:hyperlink>
    </w:p>
    <w:p>
      <w:pPr>
        <w:spacing w:before="0" w:after="120"/>
      </w:pPr>
      <w:r>
        <w:rPr>
          <w:b/>
        </w:rPr>
        <w:t xml:space="preserve">Notes: </w:t>
      </w:r>
      <w:r>
        <w:t>abstract_source=crossref</w:t>
      </w:r>
    </w:p>
    <w:p>
      <w:pPr>
        <w:spacing w:before="0" w:after="80" w:lineRule="auto" w:line="276"/>
      </w:pPr>
      <w:r>
        <w:rPr>
          <w:b/>
        </w:rPr>
        <w:t xml:space="preserve">摘要（ZH）: </w:t>
      </w:r>
      <w:r>
        <w:t>Plasma membrane (PM) 4,5-磷磷酸磷酸酯,4,5-乙基磷酸酯[PI(4,5,5,P2)],4,5-乙基磷酸酯[PI(4,5,5,P2)],4,5-乙基磷酸酯[PI(4,5,5,5,P2],4,5-乙基磷酸磷酸酯(PI),4,5-乙基磷酸酯(PI),4,5-乙酯(PI),4,5-磷酸磷酸酯(PI(4,5,5,P2),4,5-磷酸酯(PI),4,4,5-磷酸酯(PI,4,4,5,5-P),2等不可或缺的过程。然而,最近的证据表明,PPMPI(4)(PPP)在PI(4,4,5,5,5-P)的合成和功能中作用有限,我们通过研究PI(4)和PI(4,解决这种令人</w:t>
      </w:r>
    </w:p>
    <w:p>
      <w:pPr>
        <w:spacing w:before="0" w:after="200" w:lineRule="auto" w:line="276"/>
      </w:pPr>
      <w:r>
        <w:rPr>
          <w:b/>
        </w:rPr>
        <w:t xml:space="preserve">Abstract (EN): </w:t>
      </w:r>
      <w:r>
        <w:t>Plasma membrane (PM) phosphatidylinositol 4,5-bisphosphate [PI(4,5)P</w:t>
      </w:r>
      <w:r>
        <w:rPr>
          <w:vertAlign w:val="subscript"/>
        </w:rPr>
        <w:t>2</w:t>
      </w:r>
      <w:r>
        <w:t>] regulates indispensable processes such as exocytosis, endocytosis, and actin cytoskeleton remodeling in eukaryotic cells. Since phosphatidylinositol 4-phosphate [PI(4)P] has long been regarded as the primary precursor of PI(4,5)P</w:t>
      </w:r>
      <w:r>
        <w:rPr>
          <w:vertAlign w:val="subscript"/>
        </w:rPr>
        <w:t>2</w:t>
      </w:r>
      <w:r>
        <w:t>, perturbing PM PI(4)P is expected to impact the dynamics of PM PI(4,5)P</w:t>
      </w:r>
      <w:r>
        <w:rPr>
          <w:vertAlign w:val="subscript"/>
        </w:rPr>
        <w:t>2</w:t>
      </w:r>
      <w:r>
        <w:t>. Yet, recent evidence suggests that PM PI(4)P has a limited role in the synthesis and function of PI(4,5)P</w:t>
      </w:r>
      <w:r>
        <w:rPr>
          <w:vertAlign w:val="subscript"/>
        </w:rPr>
        <w:t>2</w:t>
      </w:r>
      <w:r>
        <w:t>. In this paper, we address this puzzling discrepancy by studying the collective dynamics of PM PI(4)P and PI(4,5)P</w:t>
      </w:r>
      <w:r>
        <w:rPr>
          <w:vertAlign w:val="subscript"/>
        </w:rPr>
        <w:t>2</w:t>
      </w:r>
      <w:r>
        <w:t>. Leveraging live-cell imaging, we observed periodic traveling waves of PI(4)P on the PM of mast cells, challenging the notion that this precursor lipid is spatially homogeneous at the PM. We then found that a reduction in PM PI(4)P synthesis rate attenuated PI(4,5)P</w:t>
      </w:r>
      <w:r>
        <w:rPr>
          <w:vertAlign w:val="subscript"/>
        </w:rPr>
        <w:t>2</w:t>
      </w:r>
      <w:r>
        <w:t>oscillation amplitude while conserving the total PM density of PI(4,5)P</w:t>
      </w:r>
      <w:r>
        <w:rPr>
          <w:vertAlign w:val="subscript"/>
        </w:rPr>
        <w:t>2</w:t>
      </w:r>
      <w:r>
        <w:t>. We assessed the functional consequences of PI(4,5)P</w:t>
      </w:r>
      <w:r>
        <w:rPr>
          <w:vertAlign w:val="subscript"/>
        </w:rPr>
        <w:t>2</w:t>
      </w:r>
      <w:r>
        <w:t>oscillation amplitude by examining its interplay with Rho GTPase Cdc42, which cooperatively regulates the filamentous actin (F-actin) cytoskeleton with PI(4,5)P</w:t>
      </w:r>
      <w:r>
        <w:rPr>
          <w:vertAlign w:val="subscript"/>
        </w:rPr>
        <w:t>2</w:t>
      </w:r>
      <w:r>
        <w:t>. We showed that both PM PI(4)P and PI(4,5)P</w:t>
      </w:r>
      <w:r>
        <w:rPr>
          <w:vertAlign w:val="subscript"/>
        </w:rPr>
        <w:t>2</w:t>
      </w:r>
      <w:r>
        <w:t>oscillations are coupled to oscillations of membrane-bound active Cdc42. Finally, we demonstrated that lowering PM PI(4)P synthesis rate alone was sufficient to reversibly quench Cdc42 oscillations and to suppress F-actin oscillations. These results suggest that, beyond the steady-state regime, oscillations of PI(4,5)P</w:t>
      </w:r>
      <w:r>
        <w:rPr>
          <w:vertAlign w:val="subscript"/>
        </w:rPr>
        <w:t>2</w:t>
      </w:r>
      <w:r>
        <w:t>and its effector proteins require a critical threshold of PI(4)P flux.</w:t>
      </w:r>
    </w:p>
    <w:p>
      <w:pPr>
        <w:spacing w:before="120" w:after="120"/>
      </w:pPr>
      <w:r>
        <w:rPr>
          <w:sz w:val="18"/>
        </w:rPr>
        <w:t>——————————————————————————————————————————————————————————————————————</w:t>
      </w:r>
    </w:p>
    <w:p>
      <w:pPr>
        <w:spacing w:before="160" w:after="40" w:line="240" w:lineRule="auto"/>
      </w:pPr>
      <w:r>
        <w:rPr>
          <w:b/>
        </w:rPr>
        <w:t xml:space="preserve">[271] </w:t>
      </w:r>
      <w:hyperlink r:id="rId428">
        <w:r>
          <w:rPr>
            <w:color w:val="1155CC"/>
            <w:u w:val="single"/>
          </w:rPr>
          <w:t>Caenorhabiditis elegans 一种横向感官信号信号路路介介介介于依赖环境的视象性嗅觉可塑性</w:t>
        </w:r>
      </w:hyperlink>
    </w:p>
    <w:p>
      <w:pPr>
        <w:spacing w:before="0" w:after="80"/>
      </w:pPr>
      <w:r>
        <w:rPr>
          <w:i/>
          <w:sz w:val="20"/>
        </w:rPr>
        <w:t>EN: A lateralized sensory signaling pathway mediates context-dependent olfactory plasticity in Caenorhabditis elegans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29">
        <w:r>
          <w:rPr>
            <w:color w:val="1155CC"/>
            <w:u w:val="single"/>
          </w:rPr>
          <w:t>10.1073/pnas.2519437123</w:t>
        </w:r>
      </w:hyperlink>
    </w:p>
    <w:p>
      <w:pPr>
        <w:spacing w:before="0" w:after="120"/>
      </w:pPr>
      <w:r>
        <w:rPr>
          <w:b/>
        </w:rPr>
        <w:t xml:space="preserve">Notes: </w:t>
      </w:r>
      <w:r>
        <w:t>abstract_source=crossref</w:t>
      </w:r>
    </w:p>
    <w:p>
      <w:pPr>
        <w:spacing w:before="0" w:after="80" w:lineRule="auto" w:line="276"/>
      </w:pPr>
      <w:r>
        <w:rPr>
          <w:b/>
        </w:rPr>
        <w:t xml:space="preserve">摘要（ZH）: </w:t>
      </w:r>
      <w:r>
        <w:t>神经功能横向化在调控行为灵活性方面起着关键作用,但基本分子机制在单中中层建立起来具有挑战性。我们以前曾表明,在第二个有吸引力的嗅觉的统一背景中,Caenorhabditis elegans 被中链酒精开关吸引到中链酒精开关中避免。这种依赖环境的行为性可塑性通过对称反转在双边AWC 嗅觉神经中的气味腐烂反应信号来调节。在这里,我们显示,这种对称反应可塑性是由AWC神经对的不对称分子机制驱动的。 gcy-12 受体的突变,即无损循环酶消除了气味反应的塑料。</w:t>
      </w:r>
    </w:p>
    <w:p>
      <w:pPr>
        <w:spacing w:before="0" w:after="200" w:lineRule="auto" w:line="276"/>
      </w:pPr>
      <w:r>
        <w:rPr>
          <w:b/>
        </w:rPr>
        <w:t xml:space="preserve">Abstract (EN): </w:t>
      </w:r>
      <w:r>
        <w:t>Lateralization of neuronal functions plays a critical role in regulating behavioral flexibility, but the underlying molecular mechanisms are challenging to establish at a single-neuron level. We previously showed that attraction of</w:t>
      </w:r>
      <w:r>
        <w:t xml:space="preserve"> </w:t>
      </w:r>
      <w:r>
        <w:t>Caenorhabditis elegans</w:t>
      </w:r>
      <w:r>
        <w:t xml:space="preserve"> </w:t>
      </w:r>
      <w:r>
        <w:t>to a medium-chain alcohol switches to avoidance in a uniform background of a second attractive odorant. This context-dependent behavioral plasticity is mediated by symmetric inversion of the odor-evoked response sign in the bilateral AWC olfactory neurons. Here, we show that this symmetric response plasticity is driven by asymmetric molecular mechanisms in the AWC neuron pair. Mutations in the</w:t>
      </w:r>
      <w:r>
        <w:t xml:space="preserve"> </w:t>
      </w:r>
      <w:r>
        <w:t>gcy-12</w:t>
      </w:r>
      <w:r>
        <w:t xml:space="preserve"> </w:t>
      </w:r>
      <w:r>
        <w:t>receptor guanylyl cyclase abolish odor response plasticity only in AWC</w:t>
      </w:r>
      <w:r>
        <w:t xml:space="preserve"> </w:t>
      </w:r>
      <w:r>
        <w:t>OFF</w:t>
      </w:r>
      <w:r>
        <w:t xml:space="preserve"> </w:t>
      </w:r>
      <w:r>
        <w:t>; the opposite odor-evoked response signs in AWC</w:t>
      </w:r>
      <w:r>
        <w:t xml:space="preserve"> </w:t>
      </w:r>
      <w:r>
        <w:t>OFF</w:t>
      </w:r>
      <w:r>
        <w:t xml:space="preserve"> </w:t>
      </w:r>
      <w:r>
        <w:t>and AWC</w:t>
      </w:r>
      <w:r>
        <w:t xml:space="preserve"> </w:t>
      </w:r>
      <w:r>
        <w:t>ON</w:t>
      </w:r>
      <w:r>
        <w:t xml:space="preserve"> </w:t>
      </w:r>
      <w:r>
        <w:t>in</w:t>
      </w:r>
      <w:r>
        <w:t xml:space="preserve"> </w:t>
      </w:r>
      <w:r>
        <w:t>gcy-12</w:t>
      </w:r>
      <w:r>
        <w:t xml:space="preserve"> </w:t>
      </w:r>
      <w:r>
        <w:t>mutants result in these animals being behaviorally indifferent to this chemical. We find that</w:t>
      </w:r>
      <w:r>
        <w:t xml:space="preserve"> </w:t>
      </w:r>
      <w:r>
        <w:t>gcy-12</w:t>
      </w:r>
      <w:r>
        <w:t xml:space="preserve"> </w:t>
      </w:r>
      <w:r>
        <w:t>is expressed, and required, in both AWC neurons to regulate odor response plasticity only in AWC</w:t>
      </w:r>
      <w:r>
        <w:t xml:space="preserve"> </w:t>
      </w:r>
      <w:r>
        <w:t>OFF</w:t>
      </w:r>
      <w:r>
        <w:t xml:space="preserve"> </w:t>
      </w:r>
      <w:r>
        <w:t>. We further show that disruption of AWC fate lateralization results in loss of asymmetry in the response plasticity in</w:t>
      </w:r>
      <w:r>
        <w:t xml:space="preserve"> </w:t>
      </w:r>
      <w:r>
        <w:t>gcy-12</w:t>
      </w:r>
      <w:r>
        <w:t xml:space="preserve"> </w:t>
      </w:r>
      <w:r>
        <w:t>mutants. Our results indicate that symmetric neuronal response plasticity can arise from asymmetric underlying molecular mechanisms and suggest that lateralization of signaling pathways in defined conditions may enhance neuronal and behavioral flexibility.</w:t>
      </w:r>
    </w:p>
    <w:p>
      <w:pPr>
        <w:spacing w:before="120" w:after="120"/>
      </w:pPr>
      <w:r>
        <w:rPr>
          <w:sz w:val="18"/>
        </w:rPr>
        <w:t>——————————————————————————————————————————————————————————————————————</w:t>
      </w:r>
    </w:p>
    <w:p>
      <w:pPr>
        <w:spacing w:before="160" w:after="40" w:line="240" w:lineRule="auto"/>
      </w:pPr>
      <w:r>
        <w:rPr>
          <w:b/>
        </w:rPr>
        <w:t xml:space="preserve">[272] </w:t>
      </w:r>
      <w:hyperlink r:id="rId430">
        <w:r>
          <w:rPr>
            <w:color w:val="1155CC"/>
            <w:u w:val="single"/>
          </w:rPr>
          <w:t>全球岛屿物种-植物区域关系</w:t>
        </w:r>
      </w:hyperlink>
    </w:p>
    <w:p>
      <w:pPr>
        <w:spacing w:before="0" w:after="80"/>
      </w:pPr>
      <w:r>
        <w:rPr>
          <w:i/>
          <w:sz w:val="20"/>
        </w:rPr>
        <w:t>EN: The global island species–area relationship for plants</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31">
        <w:r>
          <w:rPr>
            <w:color w:val="1155CC"/>
            <w:u w:val="single"/>
          </w:rPr>
          <w:t>10.1073/pnas.2518902123</w:t>
        </w:r>
      </w:hyperlink>
    </w:p>
    <w:p>
      <w:pPr>
        <w:spacing w:before="0" w:after="120"/>
      </w:pPr>
      <w:r>
        <w:rPr>
          <w:b/>
        </w:rPr>
        <w:t xml:space="preserve">Notes: </w:t>
      </w:r>
      <w:r>
        <w:t>abstract_source=crossref</w:t>
      </w:r>
    </w:p>
    <w:p>
      <w:pPr>
        <w:spacing w:before="0" w:after="80" w:lineRule="auto" w:line="276"/>
      </w:pPr>
      <w:r>
        <w:rPr>
          <w:b/>
        </w:rPr>
        <w:t xml:space="preserve">摘要（ZH）: </w:t>
      </w:r>
      <w:r>
        <w:t>众所周知,岛屿物种-地区关系(ISAR)是近乎无处不在的,但其在全球岛屿地区最宽广的地区的特点以及岛屿地方特有性如何塑造了ISAR,人们仍对之不甚了解。我们用1 262个岛屿(60.7S至80.7N和10级面积)的数据,确定了血管植物的本地(Nat Rich)和单一岛屿特有丰富性(SIE Rich)的全球会计准则专家组(ISAR),数据覆盖了1 262个岛屿,覆盖了60.7S至80.7N和该地区的10个数量级。我们用记录物种编号和地区,比较了电力模型和4个不同的断点模型。对于Nat Rich来说,一个简单的电力模型(slope, z=0.32,R2=66%) wa。</w:t>
      </w:r>
    </w:p>
    <w:p>
      <w:pPr>
        <w:spacing w:before="0" w:after="200" w:lineRule="auto" w:line="276"/>
      </w:pPr>
      <w:r>
        <w:rPr>
          <w:b/>
        </w:rPr>
        <w:t xml:space="preserve">Abstract (EN): </w:t>
      </w:r>
      <w:r>
        <w:t>The island species−area relationship (ISAR) is known to be near-ubiquitous, but its properties across the fullest span of island areas globally and how island endemism shapes the ISAR remain poorly understood. We determine the global ISAR for native (Nat</w:t>
      </w:r>
      <w:r>
        <w:t xml:space="preserve"> </w:t>
      </w:r>
      <w:r>
        <w:t>Rich</w:t>
      </w:r>
      <w:r>
        <w:t xml:space="preserve"> </w:t>
      </w:r>
      <w:r>
        <w:t>) and for single-island endemic richness (SIE</w:t>
      </w:r>
      <w:r>
        <w:t xml:space="preserve"> </w:t>
      </w:r>
      <w:r>
        <w:t>Rich</w:t>
      </w:r>
      <w:r>
        <w:t xml:space="preserve"> </w:t>
      </w:r>
      <w:r>
        <w:t>) of vascular plants, employing data for 1,262 islands, spanning 60.7S to 80.7 N and ten orders of magnitude in area. Using logged species number and area, we compared the power model and four different breakpoint models. For Nat</w:t>
      </w:r>
      <w:r>
        <w:t xml:space="preserve"> </w:t>
      </w:r>
      <w:r>
        <w:t>Rich</w:t>
      </w:r>
      <w:r>
        <w:t xml:space="preserve"> </w:t>
      </w:r>
      <w:r>
        <w:t>, a simple power model (slope,</w:t>
      </w:r>
      <w:r>
        <w:t xml:space="preserve"> </w:t>
      </w:r>
      <w:r>
        <w:t>z</w:t>
      </w:r>
      <w:r>
        <w:t xml:space="preserve"> </w:t>
      </w:r>
      <w:r>
        <w:t>= 0.32, R</w:t>
      </w:r>
      <w:r>
        <w:rPr>
          <w:vertAlign w:val="subscript"/>
        </w:rPr>
        <w:t>2</w:t>
      </w:r>
      <w:r>
        <w:t>= 66%) was best supported. For SIE</w:t>
      </w:r>
      <w:r>
        <w:t xml:space="preserve"> </w:t>
      </w:r>
      <w:r>
        <w:t>Rich</w:t>
      </w:r>
      <w:r>
        <w:t xml:space="preserve"> </w:t>
      </w:r>
      <w:r>
        <w:t>, a flat-steep breakpoint model outperforms the power model, with the latter producing a steeper slope (</w:t>
      </w:r>
      <w:r>
        <w:t xml:space="preserve"> </w:t>
      </w:r>
      <w:r>
        <w:t>z</w:t>
      </w:r>
      <w:r>
        <w:t xml:space="preserve"> </w:t>
      </w:r>
      <w:r>
        <w:t>= 0.48, R</w:t>
      </w:r>
      <w:r>
        <w:rPr>
          <w:vertAlign w:val="subscript"/>
        </w:rPr>
        <w:t>2</w:t>
      </w:r>
      <w:r>
        <w:t>= 0.47) than for Nat</w:t>
      </w:r>
      <w:r>
        <w:t xml:space="preserve"> </w:t>
      </w:r>
      <w:r>
        <w:t>Rich</w:t>
      </w:r>
      <w:r>
        <w:t xml:space="preserve"> </w:t>
      </w:r>
      <w:r>
        <w:t>. Rerunning the Nat</w:t>
      </w:r>
      <w:r>
        <w:t xml:space="preserve"> </w:t>
      </w:r>
      <w:r>
        <w:t>Rich</w:t>
      </w:r>
      <w:r>
        <w:t xml:space="preserve"> </w:t>
      </w:r>
      <w:r>
        <w:t>power model for subsets of islands of increasing endemism generates increased ISAR slope and improved prediction of continental richness values. Controlling for island area, Nat</w:t>
      </w:r>
      <w:r>
        <w:t xml:space="preserve"> </w:t>
      </w:r>
      <w:r>
        <w:t>Rich</w:t>
      </w:r>
      <w:r>
        <w:t xml:space="preserve"> </w:t>
      </w:r>
      <w:r>
        <w:t>declines with isolation, while endemism increases. Semilog analyses show that old, tropical, mountainous continental fragments and landbridge islands, rich in SIE, drive an accelerated increase in Nat</w:t>
      </w:r>
      <w:r>
        <w:t xml:space="preserve"> </w:t>
      </w:r>
      <w:r>
        <w:t>Rich</w:t>
      </w:r>
      <w:r>
        <w:t xml:space="preserve"> </w:t>
      </w:r>
      <w:r>
        <w:t>for islands &amp;gt;10,000 km</w:t>
      </w:r>
      <w:r>
        <w:rPr>
          <w:vertAlign w:val="subscript"/>
        </w:rPr>
        <w:t>2</w:t>
      </w:r>
      <w:r>
        <w:t>in size. The global Nat</w:t>
      </w:r>
      <w:r>
        <w:t xml:space="preserve"> </w:t>
      </w:r>
      <w:r>
        <w:t>Rich</w:t>
      </w:r>
      <w:r>
        <w:t xml:space="preserve"> </w:t>
      </w:r>
      <w:r>
        <w:t>archipelago species–area relationship was best described by a power model (</w:t>
      </w:r>
      <w:r>
        <w:t xml:space="preserve"> </w:t>
      </w:r>
      <w:r>
        <w:t>z</w:t>
      </w:r>
      <w:r>
        <w:t xml:space="preserve"> </w:t>
      </w:r>
      <w:r>
        <w:t>= 0.41, R</w:t>
      </w:r>
      <w:r>
        <w:rPr>
          <w:vertAlign w:val="subscript"/>
        </w:rPr>
        <w:t>2</w:t>
      </w:r>
      <w:r>
        <w:t>= 0.54), and there is also evidence of declining richness but higher endemism with increased archipelago isolation. Our findings provide no support for the existence of an upper asymptote in the global plants ISAR, while supporting the application of the power model at a global scale, and highlighting roles for island type, endemism, and isolation as influences on ISAR form.</w:t>
      </w:r>
    </w:p>
    <w:p>
      <w:pPr>
        <w:spacing w:before="120" w:after="120"/>
      </w:pPr>
      <w:r>
        <w:rPr>
          <w:sz w:val="18"/>
        </w:rPr>
        <w:t>——————————————————————————————————————————————————————————————————————</w:t>
      </w:r>
    </w:p>
    <w:p>
      <w:pPr>
        <w:spacing w:before="160" w:after="40" w:line="240" w:lineRule="auto"/>
      </w:pPr>
      <w:r>
        <w:rPr>
          <w:b/>
        </w:rPr>
        <w:t xml:space="preserve">[273] </w:t>
      </w:r>
      <w:hyperlink r:id="rId432">
        <w:r>
          <w:rPr>
            <w:color w:val="1155CC"/>
            <w:u w:val="single"/>
          </w:rPr>
          <w:t>Aubry-Andre当地化过渡为活跃的不振动者</w:t>
        </w:r>
      </w:hyperlink>
    </w:p>
    <w:p>
      <w:pPr>
        <w:spacing w:before="0" w:after="80"/>
      </w:pPr>
      <w:r>
        <w:rPr>
          <w:i/>
          <w:sz w:val="20"/>
        </w:rPr>
        <w:t>EN: Aubry–André localization transition for an active undulator</w:t>
      </w:r>
    </w:p>
    <w:p>
      <w:pPr>
        <w:spacing w:before="0" w:after="120"/>
      </w:pPr>
      <w:r>
        <w:rPr>
          <w:b/>
        </w:rPr>
        <w:t xml:space="preserve">Source: </w:t>
      </w:r>
      <w:r>
        <w:t>Proceedings of the National Academy of Sciences: Keyword search for query</w:t>
      </w:r>
      <w:r>
        <w:t xml:space="preserve">    </w:t>
      </w:r>
      <w:r>
        <w:rPr>
          <w:b/>
        </w:rPr>
        <w:t xml:space="preserve">Pub date: </w:t>
      </w:r>
      <w:r>
        <w:t>2026-02-17 08:00:00+00:00</w:t>
      </w:r>
      <w:r>
        <w:t xml:space="preserve">    </w:t>
      </w:r>
      <w:r>
        <w:rPr>
          <w:b/>
        </w:rPr>
        <w:t xml:space="preserve">DOI: </w:t>
      </w:r>
      <w:hyperlink r:id="rId433">
        <w:r>
          <w:rPr>
            <w:color w:val="1155CC"/>
            <w:u w:val="single"/>
          </w:rPr>
          <w:t>10.1073/pnas.2519118123</w:t>
        </w:r>
      </w:hyperlink>
    </w:p>
    <w:p>
      <w:pPr>
        <w:spacing w:before="0" w:after="120"/>
      </w:pPr>
      <w:r>
        <w:rPr>
          <w:b/>
        </w:rPr>
        <w:t xml:space="preserve">Notes: </w:t>
      </w:r>
      <w:r>
        <w:t>abstract_source=crossref</w:t>
      </w:r>
    </w:p>
    <w:p>
      <w:pPr>
        <w:spacing w:before="0" w:after="80" w:lineRule="auto" w:line="276"/>
      </w:pPr>
      <w:r>
        <w:rPr>
          <w:b/>
        </w:rPr>
        <w:t xml:space="preserve">摘要（ZH）: </w:t>
      </w:r>
      <w:r>
        <w:t>细菌、 蠕虫、 蛇和机器人等变形自我推进物体在多种环境中的迁移,人们对此知之甚少。 我们在这里使用实验、 模拟和理论来研究蛇状机器人, 因为它在无感应的情况下, 在无感应的情况下, 透过一连串巨石状半球障碍。 巨石表面的剖面接近于Aubry 和 André (AAA) 引进的量子波的一维潜力, 后者发现波波的功能在这种潜力足够定期时会发生本地化。 这种行为与Anderson 本地化现象有关, 即波浪在具有足够随机潜力的情况下局部化。 当巨石表面的周期性时, 机器人会穿过阵列。 但是如果风景是时, 机器人会穿过阵列。</w:t>
      </w:r>
    </w:p>
    <w:p>
      <w:pPr>
        <w:spacing w:before="0" w:after="200" w:lineRule="auto" w:line="276"/>
      </w:pPr>
      <w:r>
        <w:rPr>
          <w:b/>
        </w:rPr>
        <w:t xml:space="preserve">Abstract (EN): </w:t>
      </w:r>
      <w:r>
        <w:t>The transport of deformable self-propelling objects like bacteria, worms, snakes, and robots through heterogeneous environments is poorly understood. Here we use experiment, simulation, and theory to study a snake-like robot as it undulates without sensory feedback through a linear array of boulder-like hemispherical obstacles. The profile of the boulder landscape approximates a one-dimensional potential for quantum waves introduced by Aubry and André (AA), who found that wave function localization occurs when this potential is sufficiently aperiodic. This behavior is related to the phenomenon of Anderson localization, where waves localize in the presence of a sufficiently random potential. When the boulder landscape is periodic, the robot passes through the array. But if the landscape is sufficiently aperiodic, the robot becomes trapped. The metrics we use to quantify this transition—including exponential distributions of robot position when localized—agree well with earlier experimental and theoretical work on a localization transition that occurs when quantum waves interact with the AA potential. A theoretical treatment of the robot’s motion using resistive force theory modified to include spatially varying drag forces reproduces the behavior we observe. Further, our results indicate that the transition is generated by large fluctuations in the driving torques required for self-propulsion. These results point to an unexpected connection between the Hamiltonian mechanics of quantum and classical wave systems and the highly dissipative, continuously driven, and far-from-equilibrium dynamics of active embodied waves in nonperiodic landscapes.</w:t>
      </w:r>
    </w:p>
    <w:p>
      <w:pPr>
        <w:spacing w:before="120" w:after="120"/>
      </w:pPr>
      <w:r>
        <w:rPr>
          <w:sz w:val="18"/>
        </w:rPr>
        <w:t>——————————————————————————————————————————————————————————————————————</w:t>
      </w:r>
    </w:p>
    <w:p>
      <w:pPr>
        <w:spacing w:before="160" w:after="40" w:line="240" w:lineRule="auto"/>
      </w:pPr>
      <w:r>
        <w:rPr>
          <w:b/>
        </w:rPr>
        <w:t xml:space="preserve">[274] </w:t>
      </w:r>
      <w:hyperlink r:id="rId434">
        <w:r>
          <w:rPr>
            <w:color w:val="1155CC"/>
            <w:u w:val="single"/>
          </w:rPr>
          <w:t>取自全水分化光催化总体水分化战略的单层单层</w:t>
        </w:r>
      </w:hyperlink>
    </w:p>
    <w:p>
      <w:pPr>
        <w:spacing w:before="0" w:after="80"/>
      </w:pPr>
      <w:r>
        <w:rPr>
          <w:i/>
          <w:sz w:val="20"/>
        </w:rPr>
        <w:t>EN: Tantalum‐Based Perovskite Oxynitride Monolayers Derived From a Charge‐Balanced Nitridation Strategy for Photocatalytic Overall Water Splitting</w:t>
      </w:r>
    </w:p>
    <w:p>
      <w:pPr>
        <w:spacing w:before="0" w:after="120"/>
      </w:pPr>
      <w:r>
        <w:rPr>
          <w:b/>
        </w:rPr>
        <w:t xml:space="preserve">Source: </w:t>
      </w:r>
      <w:r>
        <w:t>Wiley: Advanced Energy Materials: Table of Contents</w:t>
      </w:r>
      <w:r>
        <w:t xml:space="preserve">    </w:t>
      </w:r>
      <w:r>
        <w:rPr>
          <w:b/>
        </w:rPr>
        <w:t xml:space="preserve">Pub date: </w:t>
      </w:r>
      <w:r>
        <w:t>2026-02-17 08:20:20+00:00</w:t>
      </w:r>
      <w:r>
        <w:t xml:space="preserve">    </w:t>
      </w:r>
      <w:r>
        <w:rPr>
          <w:b/>
        </w:rPr>
        <w:t xml:space="preserve">DOI: </w:t>
      </w:r>
      <w:hyperlink r:id="rId435">
        <w:r>
          <w:rPr>
            <w:color w:val="1155CC"/>
            <w:u w:val="single"/>
          </w:rPr>
          <w:t>10.1002/aenm.70774</w:t>
        </w:r>
      </w:hyperlink>
    </w:p>
    <w:p>
      <w:pPr>
        <w:spacing w:before="0" w:after="120"/>
      </w:pPr>
      <w:r>
        <w:rPr>
          <w:b/>
        </w:rPr>
        <w:t xml:space="preserve">Notes: </w:t>
      </w:r>
      <w:r>
        <w:t>abstract_source=crossref</w:t>
      </w:r>
    </w:p>
    <w:p>
      <w:pPr>
        <w:spacing w:before="0" w:after="80" w:lineRule="auto" w:line="276"/>
      </w:pPr>
      <w:r>
        <w:rPr>
          <w:b/>
        </w:rPr>
        <w:t xml:space="preserve">摘要（ZH）: </w:t>
      </w:r>
      <w:r>
        <w:t>ABSTACT Sunlight-由光驱动的光催光推动整个水分分化是可持续生产碳足迹为零的氢的一个很有希望的手段。对于高效的太阳能转换来说,这种反应应该针对充分利用光子产生的充电载荷器的窄带带式半导体进行,但因缺陷而干扰承运人的移动往往导致难以获得反应的电费,从而导致效率方面的重大损失。在这项工作中,采用了一种电压平衡的硝化战略来调节超氧基过氧化氮单层中的缺陷含量。与常规的硝化相比,即电平衡,电压平衡一是高氮峰值的预期组合。</w:t>
      </w:r>
    </w:p>
    <w:p>
      <w:pPr>
        <w:spacing w:before="0" w:after="200" w:lineRule="auto" w:line="276"/>
      </w:pPr>
      <w:r>
        <w:rPr>
          <w:b/>
        </w:rPr>
        <w:t xml:space="preserve">Abstract (EN): </w:t>
      </w:r>
      <w:r>
        <w:t>Sunlight‐driven photocatalytic overall water splitting is a promising means for a sustainable production of hydrogen with zero carbon footprint. For efficient solar energy conversions, this reaction should be conducted over narrow bandgap semiconductors with sufficient utilization of photo‐generated charge carriers. However, interference of charge carrier movement by defects often leads to poor access of charges to the reaction, accounting for substantial efficiency losses. In this work, a charge‐balanced nitridation strategy is applied to modulate the defect content in lanthanum‐tantalum perovskite oxynitride monolayers. Compared with conventional nitridation, which is charge‐imbalanced, the charge‐balanced one brings a desired combination of high nitrogen uptake for intense visible light absorption and low defect content for efficient charge carrier separation and migration. By depositing Pt nanoparticles and coating an amorphous layer of titanium oxyhydroxide, the modulated monolayers can photocatalyze overall water splitting with high stability, delivering an apparent quantum efficiency of 0.34% at 420 ± 20 nm and a solar‐to‐hydrogen efficiency of 0.018%. This work signifies the usefulness of charge‐balanced nitridation for defect control, which shall reinvigorate many other metal oxynitrides for photocatalytic overall water splitting.</w:t>
      </w:r>
    </w:p>
    <w:p>
      <w:pPr>
        <w:spacing w:before="120" w:after="120"/>
      </w:pPr>
      <w:r>
        <w:rPr>
          <w:sz w:val="18"/>
        </w:rPr>
        <w:t>——————————————————————————————————————————————————————————————————————</w:t>
      </w:r>
    </w:p>
    <w:p>
      <w:pPr>
        <w:spacing w:before="160" w:after="40" w:line="240" w:lineRule="auto"/>
      </w:pPr>
      <w:r>
        <w:rPr>
          <w:b/>
        </w:rPr>
        <w:t xml:space="preserve">[275] </w:t>
      </w:r>
      <w:hyperlink r:id="rId436">
        <w:r>
          <w:rPr>
            <w:color w:val="1155CC"/>
            <w:u w:val="single"/>
          </w:rPr>
          <w:t>确定异化分子电动催化剂的活性地点</w:t>
        </w:r>
      </w:hyperlink>
    </w:p>
    <w:p>
      <w:pPr>
        <w:spacing w:before="0" w:after="80"/>
      </w:pPr>
      <w:r>
        <w:rPr>
          <w:i/>
          <w:sz w:val="20"/>
        </w:rPr>
        <w:t>EN: Active Site Determination of Heterogenized Molecular Electrocatalysts</w:t>
      </w:r>
    </w:p>
    <w:p>
      <w:pPr>
        <w:spacing w:before="0" w:after="120"/>
      </w:pPr>
      <w:r>
        <w:rPr>
          <w:b/>
        </w:rPr>
        <w:t xml:space="preserve">Source: </w:t>
      </w:r>
      <w:r>
        <w:t>Wiley: Advanced Energy Materials: Table of Contents</w:t>
      </w:r>
      <w:r>
        <w:t xml:space="preserve">    </w:t>
      </w:r>
      <w:r>
        <w:rPr>
          <w:b/>
        </w:rPr>
        <w:t xml:space="preserve">Pub date: </w:t>
      </w:r>
      <w:r>
        <w:t>2026-02-17 08:20:30+00:00</w:t>
      </w:r>
      <w:r>
        <w:t xml:space="preserve">    </w:t>
      </w:r>
      <w:r>
        <w:rPr>
          <w:b/>
        </w:rPr>
        <w:t xml:space="preserve">DOI: </w:t>
      </w:r>
      <w:hyperlink r:id="rId437">
        <w:r>
          <w:rPr>
            <w:color w:val="1155CC"/>
            <w:u w:val="single"/>
          </w:rPr>
          <w:t>10.1002/aenm.70759</w:t>
        </w:r>
      </w:hyperlink>
    </w:p>
    <w:p>
      <w:pPr>
        <w:spacing w:before="0" w:after="120"/>
      </w:pPr>
      <w:r>
        <w:rPr>
          <w:b/>
        </w:rPr>
        <w:t xml:space="preserve">Notes: </w:t>
      </w:r>
      <w:r>
        <w:t>abstract_source=crossref</w:t>
      </w:r>
    </w:p>
    <w:p>
      <w:pPr>
        <w:spacing w:before="0" w:after="80" w:lineRule="auto" w:line="276"/>
      </w:pPr>
      <w:r>
        <w:rPr>
          <w:b/>
        </w:rPr>
        <w:t xml:space="preserve">摘要（ZH）: </w:t>
      </w:r>
      <w:r>
        <w:t>ABSTACT 由于分子催化剂越来越多地用于诸如CO2电减少等异化系统,因此需要更系统化的方法来说明其准备、分布和活动的特点,目前对电活性分子和旁观分子进行电活性分子与旁观分子的分类方法不够充分,而油墨配方、沉积和分布的改进主要取决于与电化学性能的间接联系。在本研究中,我们扩大在同质系统中对CV的通用利用,将其推广到异化分子催化剂结构。我们说明,即使含有碳、离聚物和分子的多孔催化剂层,如何使用一种混合的再毒波。</w:t>
      </w:r>
    </w:p>
    <w:p>
      <w:pPr>
        <w:spacing w:before="0" w:after="200" w:lineRule="auto" w:line="276"/>
      </w:pPr>
      <w:r>
        <w:rPr>
          <w:b/>
        </w:rPr>
        <w:t xml:space="preserve">Abstract (EN): </w:t>
      </w:r>
      <w:r>
        <w:t>As molecular catalysts are increasingly employed in heterogenized systems such as CO</w:t>
      </w:r>
      <w:r>
        <w:rPr>
          <w:vertAlign w:val="subscript"/>
        </w:rPr>
        <w:t>2</w:t>
      </w:r>
      <w:r>
        <w:t>electroreduction, a need arises for more systematic approaches to characterize their preparation, distribution, and activity. Current means of classifying electroactive versus spectator molecules are insufficient, while improvement of ink formulations, depositions, and distributions relies primarily on indirect links to electrochemical performance. In this study, we expand the common utilization of Cyclic Voltammetry (CV) in homogeneous systems toward heterogenized molecular catalyst architectures. We illustrate how, even with porous catalyst layers containing carbon, ionomer, and molecules, a combined redox wave integration and UV‐vis analysis can be used as a tool for designing a reproducible deposition procedure. An in‐depth CV analysis is then used to study the effect of catalyst aggregation and quantify the number of electroactive sites on carbon supports. We show that FeTPP (Iron(III)meso‐tetraphenylporphyrin chloride) gives a non‐linear electroactive response when loading is varied, allowing for the identification of distinct loading regions of insufficient, optimal, and excessive coverage. A FeTPP to Vulcan carbon mass ratio of 0.1 provides the highest number of electroactive species, giving the lowest expected aggregation. Overall, the CV approaches are extendable to any redox‐active catalysts, providing a versatile means of characterizing porous heterogeneous molecular catalyst systems.</w:t>
      </w:r>
    </w:p>
    <w:p>
      <w:pPr>
        <w:spacing w:before="120" w:after="120"/>
      </w:pPr>
      <w:r>
        <w:rPr>
          <w:sz w:val="18"/>
        </w:rPr>
        <w:t>——————————————————————————————————————————————————————————————————————</w:t>
      </w:r>
    </w:p>
    <w:p>
      <w:pPr>
        <w:spacing w:before="160" w:after="40" w:line="240" w:lineRule="auto"/>
      </w:pPr>
      <w:r>
        <w:rPr>
          <w:b/>
        </w:rPr>
        <w:t xml:space="preserve">[276] </w:t>
      </w:r>
      <w:hyperlink r:id="rId438">
        <w:r>
          <w:rPr>
            <w:color w:val="1155CC"/>
            <w:u w:val="single"/>
          </w:rPr>
          <w:t>在二氧化三氮基催化剂中,氢聚合能将CO2氢化增强至甲醇</w:t>
        </w:r>
      </w:hyperlink>
    </w:p>
    <w:p>
      <w:pPr>
        <w:spacing w:before="0" w:after="80"/>
      </w:pPr>
      <w:r>
        <w:rPr>
          <w:i/>
          <w:sz w:val="20"/>
        </w:rPr>
        <w:t>EN: Hydrogen Aggregation Enhances CO2 Hydrogenation to Methanol Over In2O3‐Based Catalysts</w:t>
      </w:r>
    </w:p>
    <w:p>
      <w:pPr>
        <w:spacing w:before="0" w:after="120"/>
      </w:pPr>
      <w:r>
        <w:rPr>
          <w:b/>
        </w:rPr>
        <w:t xml:space="preserve">Source: </w:t>
      </w:r>
      <w:r>
        <w:t>Wiley: Angewandte Chemie International Edition: Table of Contents</w:t>
      </w:r>
      <w:r>
        <w:t xml:space="preserve">    </w:t>
      </w:r>
      <w:r>
        <w:rPr>
          <w:b/>
        </w:rPr>
        <w:t xml:space="preserve">Pub date: </w:t>
      </w:r>
      <w:r>
        <w:t>2026-02-17 08:23:11+00:00</w:t>
      </w:r>
      <w:r>
        <w:t xml:space="preserve">    </w:t>
      </w:r>
      <w:r>
        <w:rPr>
          <w:b/>
        </w:rPr>
        <w:t xml:space="preserve">DOI: </w:t>
      </w:r>
      <w:hyperlink r:id="rId439">
        <w:r>
          <w:rPr>
            <w:color w:val="1155CC"/>
            <w:u w:val="single"/>
          </w:rPr>
          <w:t>10.1002/anie.6478038</w:t>
        </w:r>
      </w:hyperlink>
    </w:p>
    <w:p>
      <w:pPr>
        <w:spacing w:before="0" w:after="120"/>
      </w:pPr>
      <w:r>
        <w:rPr>
          <w:b/>
        </w:rPr>
        <w:t xml:space="preserve">Notes: </w:t>
      </w:r>
      <w:r>
        <w:t>abstract_source=crossref</w:t>
      </w:r>
    </w:p>
    <w:p>
      <w:pPr>
        <w:spacing w:before="0" w:after="80" w:lineRule="auto" w:line="276"/>
      </w:pPr>
      <w:r>
        <w:rPr>
          <w:b/>
        </w:rPr>
        <w:t xml:space="preserve">摘要（ZH）: </w:t>
      </w:r>
      <w:r>
        <w:t>催化剂表面的氢(H)溢出在CO2氢化反应中至关重要,但很少调查其对产品选择性的影响。 在这里,我们揭示了氧化物支持的Hspissover 中介监管作用,这改变了2O3的催化剂对CO2氢化的选择性。通过将2氧化物的支撑从2氧化物替换为ZrO2,二氧化碳2的主要氢化产物经历了一氧化碳(95)的显著转变。</w:t>
      </w:r>
    </w:p>
    <w:p>
      <w:pPr>
        <w:spacing w:before="0" w:after="200" w:lineRule="auto" w:line="276"/>
      </w:pPr>
      <w:r>
        <w:rPr>
          <w:b/>
        </w:rPr>
        <w:t xml:space="preserve">Abstract (EN): </w:t>
      </w:r>
      <w:r>
        <w:t>The hydrogen (H) spillover on the catalyst surface is crucial in the CO</w:t>
      </w:r>
      <w:r>
        <w:rPr>
          <w:vertAlign w:val="subscript"/>
        </w:rPr>
        <w:t>2</w:t>
      </w:r>
      <w:r>
        <w:t>hydrogenation reaction, but its effects on product selectivity have been rarely investigated. Herein, we reveal the H‐spillover mediated regulatory role of oxide supports, which changed the CO</w:t>
      </w:r>
      <w:r>
        <w:rPr>
          <w:vertAlign w:val="subscript"/>
        </w:rPr>
        <w:t>2</w:t>
      </w:r>
      <w:r>
        <w:t>hydrogenation selectivity on In</w:t>
      </w:r>
      <w:r>
        <w:rPr>
          <w:vertAlign w:val="subscript"/>
        </w:rPr>
        <w:t>2</w:t>
      </w:r>
      <w:r>
        <w:t>O</w:t>
      </w:r>
      <w:r>
        <w:rPr>
          <w:vertAlign w:val="subscript"/>
        </w:rPr>
        <w:t>3</w:t>
      </w:r>
      <w:r>
        <w:t>‐based catalysts. By replacing the supports from TiO</w:t>
      </w:r>
      <w:r>
        <w:rPr>
          <w:vertAlign w:val="subscript"/>
        </w:rPr>
        <w:t>2</w:t>
      </w:r>
      <w:r>
        <w:t>to ZrO</w:t>
      </w:r>
      <w:r>
        <w:rPr>
          <w:vertAlign w:val="subscript"/>
        </w:rPr>
        <w:t>2</w:t>
      </w:r>
      <w:r>
        <w:t>, the primary product of CO</w:t>
      </w:r>
      <w:r>
        <w:rPr>
          <w:vertAlign w:val="subscript"/>
        </w:rPr>
        <w:t>2</w:t>
      </w:r>
      <w:r>
        <w:t>hydrogenation experiences a significant shift from carbon monoxide (95.6%) to methanol (84.2%). In situ characterization and theoretical modeling evidence that the degree of H‐spillover influences the distribution of surface hydrogen species on In</w:t>
      </w:r>
      <w:r>
        <w:rPr>
          <w:vertAlign w:val="subscript"/>
        </w:rPr>
        <w:t>2</w:t>
      </w:r>
      <w:r>
        <w:t>O</w:t>
      </w:r>
      <w:r>
        <w:rPr>
          <w:vertAlign w:val="subscript"/>
        </w:rPr>
        <w:t>3</w:t>
      </w:r>
      <w:r>
        <w:t>‐based catalysts, affecting the hydrogenation behavior of formate intermediates and the product distribution. The results illustrate the intrinsic relationship between surface hydrogen atom concentration and methanol synthesis rate in catalytic CO</w:t>
      </w:r>
      <w:r>
        <w:rPr>
          <w:vertAlign w:val="subscript"/>
        </w:rPr>
        <w:t>2</w:t>
      </w:r>
      <w:r>
        <w:t>hydrogenation over In</w:t>
      </w:r>
      <w:r>
        <w:rPr>
          <w:vertAlign w:val="subscript"/>
        </w:rPr>
        <w:t>2</w:t>
      </w:r>
      <w:r>
        <w:t>O</w:t>
      </w:r>
      <w:r>
        <w:rPr>
          <w:vertAlign w:val="subscript"/>
        </w:rPr>
        <w:t>3</w:t>
      </w:r>
      <w:r>
        <w:t>‐based catalysts. This provides the potential to design selective catalysts for CO</w:t>
      </w:r>
      <w:r>
        <w:rPr>
          <w:vertAlign w:val="subscript"/>
        </w:rPr>
        <w:t>2</w:t>
      </w:r>
      <w:r>
        <w:t>hydrogenation by modulating the degree of H‐spillover.</w:t>
      </w:r>
    </w:p>
    <w:p>
      <w:pPr>
        <w:spacing w:before="120" w:after="120"/>
      </w:pPr>
      <w:r>
        <w:rPr>
          <w:sz w:val="18"/>
        </w:rPr>
        <w:t>——————————————————————————————————————————————————————————————————————</w:t>
      </w:r>
    </w:p>
    <w:p>
      <w:pPr>
        <w:spacing w:before="160" w:after="40" w:line="240" w:lineRule="auto"/>
      </w:pPr>
      <w:r>
        <w:rPr>
          <w:b/>
        </w:rPr>
        <w:t xml:space="preserve">[277] </w:t>
      </w:r>
      <w:hyperlink r:id="rId440">
        <w:r>
          <w:rPr>
            <w:color w:val="1155CC"/>
            <w:u w:val="single"/>
          </w:rPr>
          <w:t>通过协同Ion Doping和Situ Interfacial反应增强 CsSnBr3 Light-Emit二极管的性能</w:t>
        </w:r>
      </w:hyperlink>
    </w:p>
    <w:p>
      <w:pPr>
        <w:spacing w:before="0" w:after="80"/>
      </w:pPr>
      <w:r>
        <w:rPr>
          <w:i/>
          <w:sz w:val="20"/>
        </w:rPr>
        <w:t>EN: Enhancing Performance of CsSnBr3 Light‐Emitting Diodes via Synergistic Ion Doping and in Situ Interfacial Reaction</w:t>
      </w:r>
    </w:p>
    <w:p>
      <w:pPr>
        <w:spacing w:before="0" w:after="120"/>
      </w:pPr>
      <w:r>
        <w:rPr>
          <w:b/>
        </w:rPr>
        <w:t xml:space="preserve">Source: </w:t>
      </w:r>
      <w:r>
        <w:t>Wiley: Angewandte Chemie International Edition: Table of Contents</w:t>
      </w:r>
      <w:r>
        <w:t xml:space="preserve">    </w:t>
      </w:r>
      <w:r>
        <w:rPr>
          <w:b/>
        </w:rPr>
        <w:t xml:space="preserve">Pub date: </w:t>
      </w:r>
      <w:r>
        <w:t>2026-02-17 08:24:49+00:00</w:t>
      </w:r>
      <w:r>
        <w:t xml:space="preserve">    </w:t>
      </w:r>
      <w:r>
        <w:rPr>
          <w:b/>
        </w:rPr>
        <w:t xml:space="preserve">DOI: </w:t>
      </w:r>
      <w:hyperlink r:id="rId441">
        <w:r>
          <w:rPr>
            <w:color w:val="1155CC"/>
            <w:u w:val="single"/>
          </w:rPr>
          <w:t>10.1002/anie.7633567</w:t>
        </w:r>
      </w:hyperlink>
    </w:p>
    <w:p>
      <w:pPr>
        <w:spacing w:before="0" w:after="120"/>
      </w:pPr>
      <w:r>
        <w:rPr>
          <w:b/>
        </w:rPr>
        <w:t xml:space="preserve">Notes: </w:t>
      </w:r>
      <w:r>
        <w:t>abstract_source=crossref</w:t>
      </w:r>
    </w:p>
    <w:p>
      <w:pPr>
        <w:spacing w:before="0" w:after="80" w:lineRule="auto" w:line="276"/>
      </w:pPr>
      <w:r>
        <w:rPr>
          <w:b/>
        </w:rPr>
        <w:t xml:space="preserve">摘要（ZH）: </w:t>
      </w:r>
      <w:r>
        <w:t>ABSTACT Tin基全氟辛基磺酸酯是最有希望的无铅排放源光二极管(PeLEDs)的无铅排放物之一,但是其性能受到不受控制地快速结晶化和显形氧化的严重阻碍。 在这里,我们报告了一个协同的大型互动战略,通过将Zn 2+散装兴奋剂与就地间反应相结合,提高CsSnBR 3 PEDOTs的性能。 将Zn 2+散装兴奋剂与现场间反应相结合,将ZnBR 2抑制Sn空缺和残留的SnBR 2纳入其中,同时调节晶化以改善电影形态。 同时,纳纳式清调PEDOT:PSSS促进脱色。</w:t>
      </w:r>
    </w:p>
    <w:p>
      <w:pPr>
        <w:spacing w:before="0" w:after="200" w:lineRule="auto" w:line="276"/>
      </w:pPr>
      <w:r>
        <w:rPr>
          <w:b/>
        </w:rPr>
        <w:t xml:space="preserve">Abstract (EN): </w:t>
      </w:r>
      <w:r>
        <w:t>Tin‐based perovskites are among the most promising lead‐free emitters for perovskite light‐emitting diodes (PeLEDs), but their performance is severely hindered by the uncontrolled rapid crystallization and facile oxidation. Here, we report a synergistic bulk–interface strategy for enhancing performance of CsSnBr</w:t>
      </w:r>
      <w:r>
        <w:rPr>
          <w:vertAlign w:val="subscript"/>
        </w:rPr>
        <w:t>3</w:t>
      </w:r>
      <w:r>
        <w:t>PeLEDs by combining Zn</w:t>
      </w:r>
      <w:r>
        <w:t xml:space="preserve"> </w:t>
      </w:r>
      <w:r>
        <w:t>2+</w:t>
      </w:r>
      <w:r>
        <w:t xml:space="preserve"> </w:t>
      </w:r>
      <w:r>
        <w:t>bulk doping with an in situ interfacial reaction. Incorporation of ZnBr</w:t>
      </w:r>
      <w:r>
        <w:rPr>
          <w:vertAlign w:val="subscript"/>
        </w:rPr>
        <w:t>2</w:t>
      </w:r>
      <w:r>
        <w:t>suppresses Sn vacancies and residual SnBr</w:t>
      </w:r>
      <w:r>
        <w:rPr>
          <w:vertAlign w:val="subscript"/>
        </w:rPr>
        <w:t>2</w:t>
      </w:r>
      <w:r>
        <w:t>while regulating crystallization to improve film morphology. Concurrently, sodium citrate‐modified PEDOT:PSS promotes deprotonation of 6‐phosphonylhexyl acid, forming robust coordination bonds that delay crystallization and passivate defects. Benefiting from these dual effects, the optimized devices achieve a record external quantum efficiency for CsSnBr</w:t>
      </w:r>
      <w:r>
        <w:rPr>
          <w:vertAlign w:val="subscript"/>
        </w:rPr>
        <w:t>3</w:t>
      </w:r>
      <w:r>
        <w:t>PeLEDs. This work highlights the effectiveness of synergistic bulk–interface regulation in tuning crystallization kinetics, providing constructive insights for the development of efficient lead‐free perovskite optoelectronics.</w:t>
      </w:r>
    </w:p>
    <w:p>
      <w:pPr>
        <w:spacing w:before="120" w:after="120"/>
      </w:pPr>
      <w:r>
        <w:rPr>
          <w:sz w:val="18"/>
        </w:rPr>
        <w:t>——————————————————————————————————————————————————————————————————————</w:t>
      </w:r>
    </w:p>
    <w:p>
      <w:pPr>
        <w:spacing w:before="160" w:after="40" w:line="240" w:lineRule="auto"/>
      </w:pPr>
      <w:r>
        <w:rPr>
          <w:b/>
        </w:rPr>
        <w:t xml:space="preserve">[278] </w:t>
      </w:r>
      <w:hyperlink r:id="rId442">
        <w:r>
          <w:rPr>
            <w:color w:val="1155CC"/>
            <w:u w:val="single"/>
          </w:rPr>
          <w:t>在固体电化电池运行条件下,在氧化电极电极的氧化电极中,在Situ测量氧氧气气基的静量中,在氧化电极运行条件下,在氧化电极电极中,出现蒸汽动态和地表交换反应</w:t>
        </w:r>
      </w:hyperlink>
    </w:p>
    <w:p>
      <w:pPr>
        <w:spacing w:before="0" w:after="80"/>
      </w:pPr>
      <w:r>
        <w:rPr>
          <w:i/>
          <w:sz w:val="20"/>
        </w:rPr>
        <w:t>EN: In Situ Measurement of Oxygen Vacancy Dynamics and Surface Exchange Reactions in Oxide Electrode under Solid Electrochemical Cell Operating Conditions</w:t>
      </w:r>
    </w:p>
    <w:p>
      <w:pPr>
        <w:spacing w:before="0" w:after="120"/>
      </w:pPr>
      <w:r>
        <w:rPr>
          <w:b/>
        </w:rPr>
        <w:t xml:space="preserve">Source: </w:t>
      </w:r>
      <w:r>
        <w:t>Wiley: Advanced Energy Materials: Table of Contents</w:t>
      </w:r>
      <w:r>
        <w:t xml:space="preserve">    </w:t>
      </w:r>
      <w:r>
        <w:rPr>
          <w:b/>
        </w:rPr>
        <w:t xml:space="preserve">Pub date: </w:t>
      </w:r>
      <w:r>
        <w:t>2026-02-17 08:25:19+00:00</w:t>
      </w:r>
      <w:r>
        <w:t xml:space="preserve">    </w:t>
      </w:r>
      <w:r>
        <w:rPr>
          <w:b/>
        </w:rPr>
        <w:t xml:space="preserve">DOI: </w:t>
      </w:r>
      <w:hyperlink r:id="rId443">
        <w:r>
          <w:rPr>
            <w:color w:val="1155CC"/>
            <w:u w:val="single"/>
          </w:rPr>
          <w:t>10.1002/aenm.70758</w:t>
        </w:r>
      </w:hyperlink>
    </w:p>
    <w:p>
      <w:pPr>
        <w:spacing w:before="0" w:after="120"/>
      </w:pPr>
      <w:r>
        <w:rPr>
          <w:b/>
        </w:rPr>
        <w:t xml:space="preserve">Notes: </w:t>
      </w:r>
      <w:r>
        <w:t>abstract_source=crossref</w:t>
      </w:r>
    </w:p>
    <w:p>
      <w:pPr>
        <w:spacing w:before="0" w:after="80" w:lineRule="auto" w:line="276"/>
      </w:pPr>
      <w:r>
        <w:rPr>
          <w:b/>
        </w:rPr>
        <w:t xml:space="preserve">摘要（ZH）: </w:t>
      </w:r>
      <w:r>
        <w:t>固体氧化物电化学电池(SOCs)采用混合的离子-电子操作(MIEC) 渗透式电极,电化学性能取决于氧表面交换系数(k) 和氧浓度空缺() 。 常规方法分别评估 k 和 。 常规方法不反映操作过程中的组合行为,只提供基础过程的部分图解。 我们在此报告一种现场方法,在现实的SOC操作条件下,使用与固体电解法结合的密集散装电极同时解决 k 和 。</w:t>
      </w:r>
    </w:p>
    <w:p>
      <w:pPr>
        <w:spacing w:before="0" w:after="200" w:lineRule="auto" w:line="276"/>
      </w:pPr>
      <w:r>
        <w:rPr>
          <w:b/>
        </w:rPr>
        <w:t xml:space="preserve">Abstract (EN): </w:t>
      </w:r>
      <w:r>
        <w:t>Solid oxide electrochemical cells (SOCs) employ mixed ionic–electronic conducting (MIEC) perovskite electrodes, where electrochemical performance is dictated by the oxygen surface exchange coefficient (</w:t>
      </w:r>
      <w:r>
        <w:t xml:space="preserve"> </w:t>
      </w:r>
      <w:r>
        <w:t>k</w:t>
      </w:r>
      <w:r>
        <w:t xml:space="preserve"> </w:t>
      </w:r>
      <w:r>
        <w:t>) and the concentration of oxygen vacancies (δ). Conventional methods evaluate</w:t>
      </w:r>
      <w:r>
        <w:t xml:space="preserve"> </w:t>
      </w:r>
      <w:r>
        <w:t>k</w:t>
      </w:r>
      <w:r>
        <w:t xml:space="preserve"> </w:t>
      </w:r>
      <w:r>
        <w:t>and δ separately and under conditions that do not reflect their coupled behavior during operation, offering only a partial picture of the underlying processes. Here we report an in situ methodology that simultaneously resolves</w:t>
      </w:r>
      <w:r>
        <w:t xml:space="preserve"> </w:t>
      </w:r>
      <w:r>
        <w:t>k</w:t>
      </w:r>
      <w:r>
        <w:t xml:space="preserve"> </w:t>
      </w:r>
      <w:r>
        <w:t>and δ under realistic SOC operating conditions, using a dense bulk electrode integrated with a solid electrolyte. An applied overpotential induces an abrupt drop in the oxygen chemical potential gradient, enabling direct analysis of defect chemistry and surface reaction kinetics. The extracted values are consistent with those obtained from established characterization methods, validating the accuracy of the approach. Beyond fundamental characterization, the platform captures dynamic evolutions in defect chemistry and reaction kinetics, providing mechanistic insights into electrode degradation.</w:t>
      </w:r>
    </w:p>
    <w:p>
      <w:pPr>
        <w:spacing w:before="120" w:after="120"/>
      </w:pPr>
      <w:r>
        <w:rPr>
          <w:sz w:val="18"/>
        </w:rPr>
        <w:t>——————————————————————————————————————————————————————————————————————</w:t>
      </w:r>
    </w:p>
    <w:p>
      <w:pPr>
        <w:spacing w:before="160" w:after="40" w:line="240" w:lineRule="auto"/>
      </w:pPr>
      <w:r>
        <w:rPr>
          <w:b/>
        </w:rPr>
        <w:t xml:space="preserve">[279] </w:t>
      </w:r>
      <w:hyperlink r:id="rId444">
        <w:r>
          <w:rPr>
            <w:color w:val="1155CC"/>
            <w:u w:val="single"/>
          </w:rPr>
          <w:t>圆形分裂和圆极极化的圆形圆柱形裂缝中,通过与Chiral Histdine联系,为pH</w:t>
        </w:r>
      </w:hyperlink>
    </w:p>
    <w:p>
      <w:pPr>
        <w:spacing w:before="0" w:after="80"/>
      </w:pPr>
      <w:r>
        <w:rPr>
          <w:i/>
          <w:sz w:val="20"/>
        </w:rPr>
        <w:t>EN: Chiral Transcription on Achiral Carbon Dots by Linking with Chiral Histidine for pH‐Tunable Dual‐Mode Chiroptical Switch in Circular Dichroism and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2026-02-17 08:26:15+00:00</w:t>
      </w:r>
      <w:r>
        <w:t xml:space="preserve">    </w:t>
      </w:r>
      <w:r>
        <w:rPr>
          <w:b/>
        </w:rPr>
        <w:t xml:space="preserve">DOI: </w:t>
      </w:r>
      <w:hyperlink r:id="rId445">
        <w:r>
          <w:rPr>
            <w:color w:val="1155CC"/>
            <w:u w:val="single"/>
          </w:rPr>
          <w:t>10.1002/anie.4871915</w:t>
        </w:r>
      </w:hyperlink>
    </w:p>
    <w:p>
      <w:pPr>
        <w:spacing w:before="0" w:after="120"/>
      </w:pPr>
      <w:r>
        <w:rPr>
          <w:b/>
        </w:rPr>
        <w:t xml:space="preserve">Notes: </w:t>
      </w:r>
      <w:r>
        <w:t>abstract_source=crossref</w:t>
      </w:r>
    </w:p>
    <w:p>
      <w:pPr>
        <w:spacing w:before="0" w:after="80" w:lineRule="auto" w:line="276"/>
      </w:pPr>
      <w:r>
        <w:rPr>
          <w:b/>
        </w:rPr>
        <w:t xml:space="preserve">摘要（ZH）: </w:t>
      </w:r>
      <w:r>
        <w:t>ABSTACT碳点(CD)在开发刺激性活性手动纳米材料方面引起了极大关注,然而,尚未报告同时可逆电子循环异化(ECD)和固有的循环两极光化(CPL)的光盘。在此,我们开发了一种新型的双式手动手动手动开关,这种开关基于与LQ/Dhistedine(LQ/Dhistedine)的后方光碟。通过轻微的恐吓反应,LQ/DiHis不仅与CD表面有共鸣联系,而且还通过非covalent氢化和相互作用与发光中心密切相连,从而便利了LQ/DHis向CD的发光中心的有效传动。因此,LQ-Dhis对一个发光中心进行了修饰。</w:t>
      </w:r>
    </w:p>
    <w:p>
      <w:pPr>
        <w:spacing w:before="0" w:after="200" w:lineRule="auto" w:line="276"/>
      </w:pPr>
      <w:r>
        <w:rPr>
          <w:b/>
        </w:rPr>
        <w:t xml:space="preserve">Abstract (EN): </w:t>
      </w:r>
      <w:r>
        <w:t>Carbon dots (CDs) have garnered significant attention for developing stimuli‐responsive chiroptical nanomaterials. However, CDs featuring simultaneously reversible electronic circular dichroism (ECD) and intrinsic circularly polarized luminescence (CPL) have not yet been reported. Herein, we developed a novel kind of dual‐mode chiroptical switches based on achiral CDs through post‐modification with L‐/D‐histidine (L‐/D‐His). Through a mild amidation reaction, L‐/D‐His is not only covalently linked to the surface of CDs, but also closely attached to the luminescent centers via non‐covalent hydrogen‐bonding and π–π interactions, which facilitate efficient chiral transfer from L‐/D‐His to the luminescent centers of the CDs. Consequently, the chiral His‐modified achiral CDs (L‐/D‐His‐CDs) exhibit attractive chiroptical properties with both elegant ECD and intrinsic CPL across the entire visible spectrum. Intriguingly, the ECD and CPL signals of L‐/D‐His‐CDs can be reversibly switched to those of their enantiomers by alternating pH values between neutral and basic conditions. Our results indicate that the pH‐modulated protonation and deprotonation of imidazole directly modulate the surface non‐covalent interactions, triggering chiral conformational inversion and thereby enabling reversible ECD and CPL signals. This study establishes a facile strategy for the construction of stimuli‐responsive chiroptical switches from achiral CDs by rational chiral ligand modifications.</w:t>
      </w:r>
    </w:p>
    <w:p>
      <w:pPr>
        <w:spacing w:before="120" w:after="120"/>
      </w:pPr>
      <w:r>
        <w:rPr>
          <w:sz w:val="18"/>
        </w:rPr>
        <w:t>——————————————————————————————————————————————————————————————————————</w:t>
      </w:r>
    </w:p>
    <w:p>
      <w:pPr>
        <w:spacing w:before="160" w:after="40" w:line="240" w:lineRule="auto"/>
      </w:pPr>
      <w:r>
        <w:rPr>
          <w:b/>
        </w:rPr>
        <w:t xml:space="preserve">[280] </w:t>
      </w:r>
      <w:hyperlink r:id="rId446">
        <w:r>
          <w:rPr>
            <w:color w:val="1155CC"/>
            <w:u w:val="single"/>
          </w:rPr>
          <w:t>通过 C-N 债券形式拆解聚氨乙烷的拆解,使Ur乙烷电化学反应稳定在不同的债券形式和对聚氨乙烷的不同应用中的电化学反应</w:t>
        </w:r>
      </w:hyperlink>
    </w:p>
    <w:p>
      <w:pPr>
        <w:spacing w:before="0" w:after="80"/>
      </w:pPr>
      <w:r>
        <w:rPr>
          <w:i/>
          <w:sz w:val="20"/>
        </w:rPr>
        <w:t>EN: Unveiling the Electrochemical Reactivity of Urethane Toward Different Bond Formations and Application to Polyurethane Deconstruction via C─N Bond Formation</w:t>
      </w:r>
    </w:p>
    <w:p>
      <w:pPr>
        <w:spacing w:before="0" w:after="120"/>
      </w:pPr>
      <w:r>
        <w:rPr>
          <w:b/>
        </w:rPr>
        <w:t xml:space="preserve">Source: </w:t>
      </w:r>
      <w:r>
        <w:t>Wiley: Angewandte Chemie International Edition: Table of Contents</w:t>
      </w:r>
      <w:r>
        <w:t xml:space="preserve">    </w:t>
      </w:r>
      <w:r>
        <w:rPr>
          <w:b/>
        </w:rPr>
        <w:t xml:space="preserve">Pub date: </w:t>
      </w:r>
      <w:r>
        <w:t>2026-02-17 08:28:31+00:00</w:t>
      </w:r>
      <w:r>
        <w:t xml:space="preserve">    </w:t>
      </w:r>
      <w:r>
        <w:rPr>
          <w:b/>
        </w:rPr>
        <w:t xml:space="preserve">DOI: </w:t>
      </w:r>
      <w:hyperlink r:id="rId447">
        <w:r>
          <w:rPr>
            <w:color w:val="1155CC"/>
            <w:u w:val="single"/>
          </w:rPr>
          <w:t>10.1002/anie.202523229</w:t>
        </w:r>
      </w:hyperlink>
    </w:p>
    <w:p>
      <w:pPr>
        <w:spacing w:before="0" w:after="120"/>
      </w:pPr>
      <w:r>
        <w:rPr>
          <w:b/>
        </w:rPr>
        <w:t xml:space="preserve">Notes: </w:t>
      </w:r>
      <w:r>
        <w:t>abstract_source=crossref</w:t>
      </w:r>
    </w:p>
    <w:p>
      <w:pPr>
        <w:spacing w:before="0" w:after="80" w:lineRule="auto" w:line="276"/>
      </w:pPr>
      <w:r>
        <w:rPr>
          <w:b/>
        </w:rPr>
        <w:t xml:space="preserve">摘要（ZH）: </w:t>
      </w:r>
      <w:r>
        <w:t>ABSTACT塑料是必需的,而且其生产正在增加。塑料回收率极低,报废塑料被送往垃圾填埋场和海洋,这令人震惊。机械回收不是可行的解决办法,因为机械回收会产生降级材料。塑料的化学再循环方法至关重要。聚氨酯是一种广泛使用的塑料,由于存在非常稳定的氨基化合物功能,使其极难回收。现有方法需要昂贵的试剂和严酷的反应条件,如高温、高压和稀有金属催化剂,如和。可以使用电化学来开发可持续的方法,在更温和的条件下使用。</w:t>
      </w:r>
    </w:p>
    <w:p>
      <w:pPr>
        <w:spacing w:before="0" w:after="200" w:lineRule="auto" w:line="276"/>
      </w:pPr>
      <w:r>
        <w:rPr>
          <w:b/>
        </w:rPr>
        <w:t xml:space="preserve">Abstract (EN): </w:t>
      </w:r>
      <w:r>
        <w:t>Plastics are essential, and their production is increasing. The rate of plastic recycling is extremely low, and end‐of‐life plastics are sent to landfills and oceans, which is alarming. Mechanical recycling is not a viable solution because it produces downgraded materials. Efficient methods for chemical recycling of plastics are essential. Polyurethane is a widely used plastic, and the presence of very stable carbamate functionality makes its recycling extremely difficult. Existing methods require expensive reagents and harsh reaction conditions, such as high temperature, high pressure, and precious metal catalysts such as iridium and ruthenium. Electrochemistry can potentially be used to develop sustainable methods that can operate under milder conditions using fewer reagents. We disclose that urethane serves as an efficient carbamoylation reagent under electrochemical conditions at lower temperatures to form C─N, C─P, and C─C bonds. This method works successfully to deconstruct commercially available polyurethane using different amines. Furthermore, the robustness of the method has been tested on daily life plastics made of polyurethane with additives, such as flexible tubing and mobile covers. This method has also been applied for polymer backbone editing by converting the urethane linkage to urea upon reaction with diamine.</w:t>
      </w:r>
    </w:p>
    <w:p>
      <w:pPr>
        <w:spacing w:before="120" w:after="120"/>
      </w:pPr>
      <w:r>
        <w:rPr>
          <w:sz w:val="18"/>
        </w:rPr>
        <w:t>——————————————————————————————————————————————————————————————————————</w:t>
      </w:r>
    </w:p>
    <w:p>
      <w:pPr>
        <w:spacing w:before="160" w:after="40" w:line="240" w:lineRule="auto"/>
      </w:pPr>
      <w:r>
        <w:rPr>
          <w:b/>
        </w:rPr>
        <w:t xml:space="preserve">[281] </w:t>
      </w:r>
      <w:hyperlink r:id="rId448">
        <w:r>
          <w:rPr>
            <w:color w:val="1155CC"/>
            <w:u w:val="single"/>
          </w:rPr>
          <w:t>近红外环圆极化TADF</w:t>
        </w:r>
      </w:hyperlink>
    </w:p>
    <w:p>
      <w:pPr>
        <w:spacing w:before="0" w:after="80"/>
      </w:pPr>
      <w:r>
        <w:rPr>
          <w:i/>
          <w:sz w:val="20"/>
        </w:rPr>
        <w:t>EN: Ultrastable Enantiomeric Tetrapod Cu30 Clusters With Near‐Infrared Circularly Polarized TADF</w:t>
      </w:r>
    </w:p>
    <w:p>
      <w:pPr>
        <w:spacing w:before="0" w:after="120"/>
      </w:pPr>
      <w:r>
        <w:rPr>
          <w:b/>
        </w:rPr>
        <w:t xml:space="preserve">Source: </w:t>
      </w:r>
      <w:r>
        <w:t>Wiley: Angewandte Chemie International Edition: Table of Contents</w:t>
      </w:r>
      <w:r>
        <w:t xml:space="preserve">    </w:t>
      </w:r>
      <w:r>
        <w:rPr>
          <w:b/>
        </w:rPr>
        <w:t xml:space="preserve">Pub date: </w:t>
      </w:r>
      <w:r>
        <w:t>2026-02-17 08:29:12+00:00</w:t>
      </w:r>
      <w:r>
        <w:t xml:space="preserve">    </w:t>
      </w:r>
      <w:r>
        <w:rPr>
          <w:b/>
        </w:rPr>
        <w:t xml:space="preserve">DOI: </w:t>
      </w:r>
      <w:hyperlink r:id="rId449">
        <w:r>
          <w:rPr>
            <w:color w:val="1155CC"/>
            <w:u w:val="single"/>
          </w:rPr>
          <w:t>10.1002/anie.6076409</w:t>
        </w:r>
      </w:hyperlink>
    </w:p>
    <w:p>
      <w:pPr>
        <w:spacing w:before="0" w:after="120"/>
      </w:pPr>
      <w:r>
        <w:rPr>
          <w:b/>
        </w:rPr>
        <w:t xml:space="preserve">Notes: </w:t>
      </w:r>
      <w:r>
        <w:t>abstract_source=crossref</w:t>
      </w:r>
    </w:p>
    <w:p>
      <w:pPr>
        <w:spacing w:before="0" w:after="80" w:lineRule="auto" w:line="276"/>
      </w:pPr>
      <w:r>
        <w:rPr>
          <w:b/>
        </w:rPr>
        <w:t xml:space="preserve">摘要（ZH）: </w:t>
      </w:r>
      <w:r>
        <w:t>开发在红外循环两极化的环光(NIR CHPL)附近展示的稳定的Cu(I)集群是一个重大挑战,在应对这一挑战时,我们通过双层战略介绍超可变性R/S °Cu 30集群的合成情况,该集群具有四面金属骨骼特征,是据报告显示NIR CPL的最大核库(I)集群。</w:t>
      </w:r>
    </w:p>
    <w:p>
      <w:pPr>
        <w:spacing w:before="0" w:after="200" w:lineRule="auto" w:line="276"/>
      </w:pPr>
      <w:r>
        <w:rPr>
          <w:b/>
        </w:rPr>
        <w:t xml:space="preserve">Abstract (EN): </w:t>
      </w:r>
      <w:r>
        <w:t>The development of stable Cu(I) clusters exhibiting near‐infrared circularly polarized luminescence (NIR CPL) presents a significant challenge. In addressing this challenge, we present the synthesis of ultrastable chiral</w:t>
      </w:r>
      <w:r>
        <w:t xml:space="preserve"> </w:t>
      </w:r>
      <w:r>
        <w:t>R</w:t>
      </w:r>
      <w:r>
        <w:t xml:space="preserve"> </w:t>
      </w:r>
      <w:r>
        <w:t>/</w:t>
      </w:r>
      <w:r>
        <w:t>S</w:t>
      </w:r>
      <w:r>
        <w:t xml:space="preserve"> </w:t>
      </w:r>
      <w:r>
        <w:t>‐Cu</w:t>
      </w:r>
      <w:r>
        <w:rPr>
          <w:vertAlign w:val="subscript"/>
        </w:rPr>
        <w:t>30</w:t>
      </w:r>
      <w:r>
        <w:t xml:space="preserve"> </w:t>
      </w:r>
      <w:r>
        <w:t>clusters through a dual‐ligand strategy, which feature a tetrapod metal skeleton and represent the largest nuclearity Cu(I) cluster reported to exhibit NIR CPL. The</w:t>
      </w:r>
      <w:r>
        <w:t xml:space="preserve"> </w:t>
      </w:r>
      <w:r>
        <w:t>R</w:t>
      </w:r>
      <w:r>
        <w:t xml:space="preserve"> </w:t>
      </w:r>
      <w:r>
        <w:t>/</w:t>
      </w:r>
      <w:r>
        <w:t>S</w:t>
      </w:r>
      <w:r>
        <w:t xml:space="preserve"> </w:t>
      </w:r>
      <w:r>
        <w:t>‐Cu</w:t>
      </w:r>
      <w:r>
        <w:rPr>
          <w:vertAlign w:val="subscript"/>
        </w:rPr>
        <w:t>30</w:t>
      </w:r>
      <w:r>
        <w:t xml:space="preserve"> </w:t>
      </w:r>
      <w:r>
        <w:t>structure is self‐assembled from five octahedral Cu</w:t>
      </w:r>
      <w:r>
        <w:rPr>
          <w:vertAlign w:val="subscript"/>
        </w:rPr>
        <w:t>6</w:t>
      </w:r>
      <w:r>
        <w:t>units.</w:t>
      </w:r>
      <w:r>
        <w:t xml:space="preserve"> </w:t>
      </w:r>
      <w:r>
        <w:t>R</w:t>
      </w:r>
      <w:r>
        <w:t xml:space="preserve"> </w:t>
      </w:r>
      <w:r>
        <w:t>/</w:t>
      </w:r>
      <w:r>
        <w:t>S</w:t>
      </w:r>
      <w:r>
        <w:t xml:space="preserve"> </w:t>
      </w:r>
      <w:r>
        <w:t>‐Cu</w:t>
      </w:r>
      <w:r>
        <w:rPr>
          <w:vertAlign w:val="subscript"/>
        </w:rPr>
        <w:t>30</w:t>
      </w:r>
      <w:r>
        <w:t xml:space="preserve"> </w:t>
      </w:r>
      <w:r>
        <w:t>exhibits excellent NIR CPL with high quantum yields of 40% in solution, benefiting from the characteristic of stable structure and thermally activated delayed fluorescence (TADF), marking the first observation of NIR circularly polarized TADF within the Cu(I) cluster family. Due to the exceptional stability, solution processability and NIR CPL property of</w:t>
      </w:r>
      <w:r>
        <w:t xml:space="preserve"> </w:t>
      </w:r>
      <w:r>
        <w:t>R</w:t>
      </w:r>
      <w:r>
        <w:t xml:space="preserve"> </w:t>
      </w:r>
      <w:r>
        <w:t>/</w:t>
      </w:r>
      <w:r>
        <w:t>S</w:t>
      </w:r>
      <w:r>
        <w:t xml:space="preserve"> </w:t>
      </w:r>
      <w:r>
        <w:t>‐Cu</w:t>
      </w:r>
      <w:r>
        <w:rPr>
          <w:vertAlign w:val="subscript"/>
        </w:rPr>
        <w:t>30</w:t>
      </w:r>
      <w:r>
        <w:t xml:space="preserve"> </w:t>
      </w:r>
      <w:r>
        <w:t>, the NIR‐CP light‐emitting diodes were fabricated and exhibited</w:t>
      </w:r>
      <w:r>
        <w:t xml:space="preserve"> </w:t>
      </w:r>
      <w:r>
        <w:t>g</w:t>
      </w:r>
      <w:r>
        <w:t xml:space="preserve"> </w:t>
      </w:r>
      <w:r>
        <w:t>EL</w:t>
      </w:r>
      <w:r>
        <w:t xml:space="preserve"> </w:t>
      </w:r>
      <w:r>
        <w:t>of +1.8/−2.1 × 10</w:t>
      </w:r>
      <w:r>
        <w:t xml:space="preserve"> </w:t>
      </w:r>
      <w:r>
        <w:t>−3</w:t>
      </w:r>
      <w:r>
        <w:t xml:space="preserve"> </w:t>
      </w:r>
      <w:r>
        <w:t>and an EQE of 8% with an emission wavelength of 732 nm. This study not only presents an enantiomeric pair of tetrapod‐like Cu</w:t>
      </w:r>
      <w:r>
        <w:rPr>
          <w:vertAlign w:val="subscript"/>
        </w:rPr>
        <w:t>30</w:t>
      </w:r>
      <w:r>
        <w:t>(I) clusters but also successfully addresses the intertwined challenges of stability, efficient NIR emission, and chiral luminescence in the design of copper clusters.</w:t>
      </w:r>
    </w:p>
    <w:p>
      <w:pPr>
        <w:spacing w:before="120" w:after="120"/>
      </w:pPr>
      <w:r>
        <w:rPr>
          <w:sz w:val="18"/>
        </w:rPr>
        <w:t>——————————————————————————————————————————————————————————————————————</w:t>
      </w:r>
    </w:p>
    <w:p>
      <w:pPr>
        <w:spacing w:before="160" w:after="40" w:line="240" w:lineRule="auto"/>
      </w:pPr>
      <w:r>
        <w:rPr>
          <w:b/>
        </w:rPr>
        <w:t xml:space="preserve">[282] </w:t>
      </w:r>
      <w:hyperlink r:id="rId450">
        <w:r>
          <w:rPr>
            <w:color w:val="1155CC"/>
            <w:u w:val="single"/>
          </w:rPr>
          <w:t>通过带极地反转的脱氧性转变,通过脱氧转化,从碳基中取取镍的模块</w:t>
        </w:r>
      </w:hyperlink>
    </w:p>
    <w:p>
      <w:pPr>
        <w:spacing w:before="0" w:after="80"/>
      </w:pPr>
      <w:r>
        <w:rPr>
          <w:i/>
          <w:sz w:val="20"/>
        </w:rPr>
        <w:t>EN: Modular Access to Nitriles From Carbonyls via Deoxygenative Transformation With Polarity Inversion</w:t>
      </w:r>
    </w:p>
    <w:p>
      <w:pPr>
        <w:spacing w:before="0" w:after="120"/>
      </w:pPr>
      <w:r>
        <w:rPr>
          <w:b/>
        </w:rPr>
        <w:t xml:space="preserve">Source: </w:t>
      </w:r>
      <w:r>
        <w:t>Wiley: Angewandte Chemie International Edition: Table of Contents</w:t>
      </w:r>
      <w:r>
        <w:t xml:space="preserve">    </w:t>
      </w:r>
      <w:r>
        <w:rPr>
          <w:b/>
        </w:rPr>
        <w:t xml:space="preserve">Pub date: </w:t>
      </w:r>
      <w:r>
        <w:t>2026-02-17 08:31:06+00:00</w:t>
      </w:r>
      <w:r>
        <w:t xml:space="preserve">    </w:t>
      </w:r>
      <w:r>
        <w:rPr>
          <w:b/>
        </w:rPr>
        <w:t xml:space="preserve">DOI: </w:t>
      </w:r>
      <w:hyperlink r:id="rId451">
        <w:r>
          <w:rPr>
            <w:color w:val="1155CC"/>
            <w:u w:val="single"/>
          </w:rPr>
          <w:t>10.1002/anie.8039232</w:t>
        </w:r>
      </w:hyperlink>
    </w:p>
    <w:p>
      <w:pPr>
        <w:spacing w:before="0" w:after="120"/>
      </w:pPr>
      <w:r>
        <w:rPr>
          <w:b/>
        </w:rPr>
        <w:t xml:space="preserve">Notes: </w:t>
      </w:r>
      <w:r>
        <w:t>abstract_source=crossref</w:t>
      </w:r>
    </w:p>
    <w:p>
      <w:pPr>
        <w:spacing w:before="0" w:after="80" w:lineRule="auto" w:line="276"/>
      </w:pPr>
      <w:r>
        <w:rPr>
          <w:b/>
        </w:rPr>
        <w:t xml:space="preserve">摘要（ZH）: </w:t>
      </w:r>
      <w:r>
        <w:t>ABSTACT C-O 债券裂缝一直是因高联结分解能量而导致脱氧的主要挑战。 在这里,我们制定了刘易斯酸促进极地反向战略,使C-O 债券裂隙变得强大,并能够快速从碳基中获取硝酸铵。 其广泛适用性,加上无毒性和温和性条件,凸显了这一方法的高度模块化性质。</w:t>
      </w:r>
    </w:p>
    <w:p>
      <w:pPr>
        <w:spacing w:before="0" w:after="200" w:lineRule="auto" w:line="276"/>
      </w:pPr>
      <w:r>
        <w:rPr>
          <w:b/>
        </w:rPr>
        <w:t xml:space="preserve">Abstract (EN): </w:t>
      </w:r>
      <w:r>
        <w:t>The C─O bond cleavage has always been a central challenge for deoxygenation due to high bond dissociation energies. Here, we develop a Lewis acid‐promoted polarity inversion strategy that enables a strong C─O bond cleavage and rapid access to nitriles from carbonyls. Its broad applicability, together with the nontoxic and mild conditions, underscores the highly modular nature of this method.</w:t>
      </w:r>
    </w:p>
    <w:p>
      <w:pPr>
        <w:spacing w:before="120" w:after="120"/>
      </w:pPr>
      <w:r>
        <w:rPr>
          <w:sz w:val="18"/>
        </w:rPr>
        <w:t>——————————————————————————————————————————————————————————————————————</w:t>
      </w:r>
    </w:p>
    <w:p>
      <w:pPr>
        <w:spacing w:before="160" w:after="40" w:line="240" w:lineRule="auto"/>
      </w:pPr>
      <w:r>
        <w:rPr>
          <w:b/>
        </w:rPr>
        <w:t xml:space="preserve">[283] </w:t>
      </w:r>
      <w:hyperlink r:id="rId452">
        <w:r>
          <w:rPr>
            <w:color w:val="1155CC"/>
            <w:u w:val="single"/>
          </w:rPr>
          <w:t>三边建筑建筑建设与分子极极化增强在谢林酸盐地区创纪录的 SHG效应之间的战略整合</w:t>
        </w:r>
      </w:hyperlink>
    </w:p>
    <w:p>
      <w:pPr>
        <w:spacing w:before="0" w:after="80"/>
      </w:pPr>
      <w:r>
        <w:rPr>
          <w:i/>
          <w:sz w:val="20"/>
        </w:rPr>
        <w:t>EN: Strategic Integration Between Trigonal Architecture Construction and Molecular Polarization Enhancement for Record SHG Effect in Selenates</w:t>
      </w:r>
    </w:p>
    <w:p>
      <w:pPr>
        <w:spacing w:before="0" w:after="120"/>
      </w:pPr>
      <w:r>
        <w:rPr>
          <w:b/>
        </w:rPr>
        <w:t xml:space="preserve">Source: </w:t>
      </w:r>
      <w:r>
        <w:t>Wiley: Angewandte Chemie International Edition: Table of Contents</w:t>
      </w:r>
      <w:r>
        <w:t xml:space="preserve">    </w:t>
      </w:r>
      <w:r>
        <w:rPr>
          <w:b/>
        </w:rPr>
        <w:t xml:space="preserve">Pub date: </w:t>
      </w:r>
      <w:r>
        <w:t>2026-02-17 08:32:30+00:00</w:t>
      </w:r>
      <w:r>
        <w:t xml:space="preserve">    </w:t>
      </w:r>
      <w:r>
        <w:rPr>
          <w:b/>
        </w:rPr>
        <w:t xml:space="preserve">DOI: </w:t>
      </w:r>
      <w:hyperlink r:id="rId453">
        <w:r>
          <w:rPr>
            <w:color w:val="1155CC"/>
            <w:u w:val="single"/>
          </w:rPr>
          <w:t>10.1002/anie.5862968</w:t>
        </w:r>
      </w:hyperlink>
    </w:p>
    <w:p>
      <w:pPr>
        <w:spacing w:before="0" w:after="120"/>
      </w:pPr>
      <w:r>
        <w:rPr>
          <w:b/>
        </w:rPr>
        <w:t xml:space="preserve">Notes: </w:t>
      </w:r>
      <w:r>
        <w:t>abstract_source=crossref</w:t>
      </w:r>
    </w:p>
    <w:p>
      <w:pPr>
        <w:spacing w:before="0" w:after="80" w:lineRule="auto" w:line="276"/>
      </w:pPr>
      <w:r>
        <w:rPr>
          <w:b/>
        </w:rPr>
        <w:t xml:space="preserve">摘要（ZH）: </w:t>
      </w:r>
      <w:r>
        <w:t>尽管拥有与四面非线性光学(NLO)活性单元,如[SO 4]、[PO 4]等类似的结构和电子配置,但由于缺乏提高极分性和光导反活性的有效方法,与[SeO 4]单元分离器的开发长期受到阻碍。</w:t>
      </w:r>
    </w:p>
    <w:p>
      <w:pPr>
        <w:spacing w:before="0" w:after="200" w:lineRule="auto" w:line="276"/>
      </w:pPr>
      <w:r>
        <w:rPr>
          <w:b/>
        </w:rPr>
        <w:t xml:space="preserve">Abstract (EN): </w:t>
      </w:r>
      <w:r>
        <w:t>Although possessing similar structural and electronic configurations with the tetrahedral nonlinear optical (NLO) active units, such as [SO</w:t>
      </w:r>
      <w:r>
        <w:rPr>
          <w:vertAlign w:val="subscript"/>
        </w:rPr>
        <w:t>4</w:t>
      </w:r>
      <w:r>
        <w:t>], [PO</w:t>
      </w:r>
      <w:r>
        <w:rPr>
          <w:vertAlign w:val="subscript"/>
        </w:rPr>
        <w:t>4</w:t>
      </w:r>
      <w:r>
        <w:t>] and so on, the development of selenates with [SeO</w:t>
      </w:r>
      <w:r>
        <w:rPr>
          <w:vertAlign w:val="subscript"/>
        </w:rPr>
        <w:t>4</w:t>
      </w:r>
      <w:r>
        <w:t>] units have been long term hindered due to the lack of effective approaches to enhance polarizability and optical anisotropy. Here, a strategic integration between trigonal architecture construction and molecular polarization enhancement was proposed, which resulted in the discovery of an exceedingly performant selenate optical material, namely Hg</w:t>
      </w:r>
      <w:r>
        <w:rPr>
          <w:vertAlign w:val="subscript"/>
        </w:rPr>
        <w:t>6</w:t>
      </w:r>
      <w:r>
        <w:t>O</w:t>
      </w:r>
      <w:r>
        <w:rPr>
          <w:vertAlign w:val="subscript"/>
        </w:rPr>
        <w:t>2</w:t>
      </w:r>
      <w:r>
        <w:t>H(SeO</w:t>
      </w:r>
      <w:r>
        <w:rPr>
          <w:vertAlign w:val="subscript"/>
        </w:rPr>
        <w:t>4</w:t>
      </w:r>
      <w:r>
        <w:t>)</w:t>
      </w:r>
      <w:r>
        <w:rPr>
          <w:vertAlign w:val="subscript"/>
        </w:rPr>
        <w:t>3</w:t>
      </w:r>
      <w:r>
        <w:t>I</w:t>
      </w:r>
      <w:r>
        <w:rPr>
          <w:vertAlign w:val="subscript"/>
        </w:rPr>
        <w:t>3</w:t>
      </w:r>
      <w:r>
        <w:t>(</w:t>
      </w:r>
      <w:r>
        <w:t xml:space="preserve"> </w:t>
      </w:r>
      <w:r>
        <w:t>HSOI</w:t>
      </w:r>
      <w:r>
        <w:t xml:space="preserve"> </w:t>
      </w:r>
      <w:r>
        <w:t>). This compound possess unique pseudo‐planar [Hg</w:t>
      </w:r>
      <w:r>
        <w:rPr>
          <w:vertAlign w:val="subscript"/>
        </w:rPr>
        <w:t>3</w:t>
      </w:r>
      <w:r>
        <w:t>OI</w:t>
      </w:r>
      <w:r>
        <w:rPr>
          <w:vertAlign w:val="subscript"/>
        </w:rPr>
        <w:t>3</w:t>
      </w:r>
      <w:r>
        <w:t>] secondary building units (SBUs), which formed the cloverleaf‐shaped layer and further construct the sandwich structure with the polar [SeO</w:t>
      </w:r>
      <w:r>
        <w:rPr>
          <w:vertAlign w:val="subscript"/>
        </w:rPr>
        <w:t>4</w:t>
      </w:r>
      <w:r>
        <w:t>H] FBUs inserted between the layers. Notably,</w:t>
      </w:r>
      <w:r>
        <w:t xml:space="preserve"> </w:t>
      </w:r>
      <w:r>
        <w:t>HSOI</w:t>
      </w:r>
      <w:r>
        <w:t xml:space="preserve"> </w:t>
      </w:r>
      <w:r>
        <w:t>exhibits an exceptionally large second harmonic generation (SHG) response (14.6×KDP), achieving a new record that is 170% higher than the previous value of nonlinear metal selenates. Meanwhile, a record high birefringence of selenates (∼ 0.2) was also achieved in</w:t>
      </w:r>
      <w:r>
        <w:t xml:space="preserve"> </w:t>
      </w:r>
      <w:r>
        <w:t>HSOI</w:t>
      </w:r>
      <w:r>
        <w:t xml:space="preserve"> </w:t>
      </w:r>
      <w:r>
        <w:t>. Theoretical calculations were carried out to reveal its optical origins and provide new insights for further structure‐driven functional materials design.</w:t>
      </w:r>
    </w:p>
    <w:p>
      <w:pPr>
        <w:spacing w:before="120" w:after="120"/>
      </w:pPr>
      <w:r>
        <w:rPr>
          <w:sz w:val="18"/>
        </w:rPr>
        <w:t>——————————————————————————————————————————————————————————————————————</w:t>
      </w:r>
    </w:p>
    <w:p>
      <w:pPr>
        <w:spacing w:before="160" w:after="40" w:line="240" w:lineRule="auto"/>
      </w:pPr>
      <w:r>
        <w:rPr>
          <w:b/>
        </w:rPr>
        <w:t xml:space="preserve">[284] </w:t>
      </w:r>
      <w:hyperlink r:id="rId454">
        <w:r>
          <w:rPr>
            <w:color w:val="1155CC"/>
            <w:u w:val="single"/>
          </w:rPr>
          <w:t>CORRIGENDUM:更正为“通过竞争性金属(Ligond equiliblity)对等离子体金属氧化物纳米液晶体进行摄氏剂控制”</w:t>
        </w:r>
      </w:hyperlink>
    </w:p>
    <w:p>
      <w:pPr>
        <w:spacing w:before="0" w:after="80"/>
      </w:pPr>
      <w:r>
        <w:rPr>
          <w:i/>
          <w:sz w:val="20"/>
        </w:rPr>
        <w:t>EN: CORRIGENDUM: Correction to “Colloidal Phase Control in Plasmonic Metal Oxide Nanocrystals via Competitive Metal‐Ligand Equilibria”</w:t>
      </w:r>
    </w:p>
    <w:p>
      <w:pPr>
        <w:spacing w:before="0" w:after="120"/>
      </w:pPr>
      <w:r>
        <w:rPr>
          <w:b/>
        </w:rPr>
        <w:t xml:space="preserve">Source: </w:t>
      </w:r>
      <w:r>
        <w:t>Wiley: Angewandte Chemie International Edition: Table of Contents</w:t>
      </w:r>
      <w:r>
        <w:t xml:space="preserve">    </w:t>
      </w:r>
      <w:r>
        <w:rPr>
          <w:b/>
        </w:rPr>
        <w:t xml:space="preserve">Pub date: </w:t>
      </w:r>
      <w:r>
        <w:t>2026-02-17 08:33:40+00:00</w:t>
      </w:r>
      <w:r>
        <w:t xml:space="preserve">    </w:t>
      </w:r>
      <w:r>
        <w:rPr>
          <w:b/>
        </w:rPr>
        <w:t xml:space="preserve">DOI: </w:t>
      </w:r>
      <w:hyperlink r:id="rId455">
        <w:r>
          <w:rPr>
            <w:color w:val="1155CC"/>
            <w:u w:val="single"/>
          </w:rPr>
          <w:t>10.1002/anie.8595061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[285] </w:t>
      </w:r>
      <w:hyperlink r:id="rId456">
        <w:r>
          <w:rPr>
            <w:color w:val="1155CC"/>
            <w:u w:val="single"/>
          </w:rPr>
          <w:t>具有不同反应力的集中和再毒活性铝物种</w:t>
        </w:r>
      </w:hyperlink>
    </w:p>
    <w:p>
      <w:pPr>
        <w:spacing w:before="0" w:after="80"/>
      </w:pPr>
      <w:r>
        <w:rPr>
          <w:i/>
          <w:sz w:val="20"/>
        </w:rPr>
        <w:t>EN: A Constraining and Redox‐Active Aluminum Species With Diverse Reactivity</w:t>
      </w:r>
    </w:p>
    <w:p>
      <w:pPr>
        <w:spacing w:before="0" w:after="120"/>
      </w:pPr>
      <w:r>
        <w:rPr>
          <w:b/>
        </w:rPr>
        <w:t xml:space="preserve">Source: </w:t>
      </w:r>
      <w:r>
        <w:t>Wiley: Angewandte Chemie International Edition: Table of Contents</w:t>
      </w:r>
      <w:r>
        <w:t xml:space="preserve">    </w:t>
      </w:r>
      <w:r>
        <w:rPr>
          <w:b/>
        </w:rPr>
        <w:t xml:space="preserve">Pub date: </w:t>
      </w:r>
      <w:r>
        <w:t>2026-02-17 08:34:54+00:00</w:t>
      </w:r>
      <w:r>
        <w:t xml:space="preserve">    </w:t>
      </w:r>
      <w:r>
        <w:rPr>
          <w:b/>
        </w:rPr>
        <w:t xml:space="preserve">DOI: </w:t>
      </w:r>
      <w:hyperlink r:id="rId457">
        <w:r>
          <w:rPr>
            <w:color w:val="1155CC"/>
            <w:u w:val="single"/>
          </w:rPr>
          <w:t>10.1002/anie.202524691</w:t>
        </w:r>
      </w:hyperlink>
    </w:p>
    <w:p>
      <w:pPr>
        <w:spacing w:before="0" w:after="120"/>
      </w:pPr>
      <w:r>
        <w:rPr>
          <w:b/>
        </w:rPr>
        <w:t xml:space="preserve">Notes: </w:t>
      </w:r>
      <w:r>
        <w:t>abstract_source=crossref</w:t>
      </w:r>
    </w:p>
    <w:p>
      <w:pPr>
        <w:spacing w:before="0" w:after="80" w:lineRule="auto" w:line="276"/>
      </w:pPr>
      <w:r>
        <w:rPr>
          <w:b/>
        </w:rPr>
        <w:t xml:space="preserve">摘要（ZH）: </w:t>
      </w:r>
      <w:r>
        <w:t>本文报告高反应性铝复合体(2 / Et 2 O)的合成、全面定性和多维反应,并辅以受立体阻塞、分氧化活性针线的分解。 X-射线晶体学和光谱学方法的特征证实了其分子结构,而Gutmann-Beckett的研究和计算得出的氟化物离子测量了它重要的刘易酸性。 2 ° Et 2 O 的反反应特征非常不同:它经历光化光诱发物种形成过程,通过金属-直线与合作的热解晶片激活O-H联系。</w:t>
      </w:r>
    </w:p>
    <w:p>
      <w:pPr>
        <w:spacing w:before="0" w:after="200" w:lineRule="auto" w:line="276"/>
      </w:pPr>
      <w:r>
        <w:rPr>
          <w:b/>
        </w:rPr>
        <w:t xml:space="preserve">Abstract (EN): </w:t>
      </w:r>
      <w:r>
        <w:t>This work reports the synthesis, full characterization, and multifaceted reactivity of a highly reactive aluminum complex (</w:t>
      </w:r>
      <w:r>
        <w:rPr>
          <w:vertAlign w:val="subscript"/>
        </w:rPr>
        <w:t>2</w:t>
      </w:r>
      <w:r>
        <w:t>·Et</w:t>
      </w:r>
      <w:r>
        <w:rPr>
          <w:vertAlign w:val="subscript"/>
        </w:rPr>
        <w:t>2</w:t>
      </w:r>
      <w:r>
        <w:t>O) supported by a sterically hindered, redox‐active pincer ligand. Characterization by X‐ray crystallography and spectroscopic methods confirmed its molecular structure, while Gutmann–Beckett studies and calculated fluoride ion affinity quantified its significant Lewis acidity. The reactivity profile of</w:t>
      </w:r>
      <w:r>
        <w:rPr>
          <w:vertAlign w:val="subscript"/>
        </w:rPr>
        <w:t>2</w:t>
      </w:r>
      <w:r>
        <w:t>·Et</w:t>
      </w:r>
      <w:r>
        <w:rPr>
          <w:vertAlign w:val="subscript"/>
        </w:rPr>
        <w:t>2</w:t>
      </w:r>
      <w:r>
        <w:t>O is remarkably diverse: it undergoes facile photoinduced species formation, activates the O─H bond via metal–ligand cooperative heterolytic cleavage, and engages in redox reactions with substrates such as Ph</w:t>
      </w:r>
      <w:r>
        <w:rPr>
          <w:vertAlign w:val="subscript"/>
        </w:rPr>
        <w:t>3</w:t>
      </w:r>
      <w:r>
        <w:t>CCl and PhSSPh. Most notably,</w:t>
      </w:r>
      <w:r>
        <w:rPr>
          <w:vertAlign w:val="subscript"/>
        </w:rPr>
        <w:t>2</w:t>
      </w:r>
      <w:r>
        <w:t>·Et</w:t>
      </w:r>
      <w:r>
        <w:rPr>
          <w:vertAlign w:val="subscript"/>
        </w:rPr>
        <w:t>2</w:t>
      </w:r>
      <w:r>
        <w:t>O demonstrates distinct selectivity in activating the C─I bond of iodoalkanes. This process proceeds via a kinetically favored or cooperative pathway, leading to alkyl group transfer to the ligand, rather than the thermodynamically preferred σ‐bond oxidative addition at the aluminum center. This study highlights how the synergy between an Al(III) center and a non‐innocent pincer ligand can unlock unique reaction manifolds, expanding the potential of main‐group elements in stoichiometric bond activation.</w:t>
      </w:r>
    </w:p>
    <w:p>
      <w:pPr>
        <w:spacing w:before="120" w:after="120"/>
      </w:pPr>
      <w:r>
        <w:rPr>
          <w:sz w:val="18"/>
        </w:rPr>
        <w:t>——————————————————————————————————————————————————————————————————————</w:t>
      </w:r>
    </w:p>
    <w:p>
      <w:pPr>
        <w:spacing w:before="160" w:after="40" w:line="240" w:lineRule="auto"/>
      </w:pPr>
      <w:r>
        <w:rPr>
          <w:b/>
        </w:rPr>
        <w:t xml:space="preserve">[286] </w:t>
      </w:r>
      <w:hyperlink r:id="rId458">
        <w:r>
          <w:rPr>
            <w:color w:val="1155CC"/>
            <w:u w:val="single"/>
          </w:rPr>
          <w:t>用于监管Zn2+行为和 " 形成正式的无拘束自由交存 " 的 Zincoclicic 和负负充装自我重建的自制节制界面</w:t>
        </w:r>
      </w:hyperlink>
    </w:p>
    <w:p>
      <w:pPr>
        <w:spacing w:before="0" w:after="80"/>
      </w:pPr>
      <w:r>
        <w:rPr>
          <w:i/>
          <w:sz w:val="20"/>
        </w:rPr>
        <w:t>EN: A Zincophilic and Negatively‐Charged Self‐Reconstructed Stratified Interface for Regulating Zn2+ Conduction and Nucleation Toward Conformal Dendrite‐Free Deposition</w:t>
      </w:r>
    </w:p>
    <w:p>
      <w:pPr>
        <w:spacing w:before="0" w:after="120"/>
      </w:pPr>
      <w:r>
        <w:rPr>
          <w:b/>
        </w:rPr>
        <w:t xml:space="preserve">Source: </w:t>
      </w:r>
      <w:r>
        <w:t>Wiley: Angewandte Chemie International Edition: Table of Contents</w:t>
      </w:r>
      <w:r>
        <w:t xml:space="preserve">    </w:t>
      </w:r>
      <w:r>
        <w:rPr>
          <w:b/>
        </w:rPr>
        <w:t xml:space="preserve">Pub date: </w:t>
      </w:r>
      <w:r>
        <w:t>2026-02-17 08:36:42+00:00</w:t>
      </w:r>
      <w:r>
        <w:t xml:space="preserve">    </w:t>
      </w:r>
      <w:r>
        <w:rPr>
          <w:b/>
        </w:rPr>
        <w:t xml:space="preserve">DOI: </w:t>
      </w:r>
      <w:hyperlink r:id="rId459">
        <w:r>
          <w:rPr>
            <w:color w:val="1155CC"/>
            <w:u w:val="single"/>
          </w:rPr>
          <w:t>10.1002/anie.202523653</w:t>
        </w:r>
      </w:hyperlink>
    </w:p>
    <w:p>
      <w:pPr>
        <w:spacing w:before="0" w:after="120"/>
      </w:pPr>
      <w:r>
        <w:rPr>
          <w:b/>
        </w:rPr>
        <w:t xml:space="preserve">Notes: </w:t>
      </w:r>
      <w:r>
        <w:t>abstract_source=crossref</w:t>
      </w:r>
    </w:p>
    <w:p>
      <w:pPr>
        <w:spacing w:before="0" w:after="80" w:lineRule="auto" w:line="276"/>
      </w:pPr>
      <w:r>
        <w:rPr>
          <w:b/>
        </w:rPr>
        <w:t xml:space="preserve">摘要（ZH）: </w:t>
      </w:r>
      <w:r>
        <w:t>水态 Znion 电池(ZIBs) 的实际部署因循环不稳定而受阻,这种不稳定的稳定性是扭曲性增长和来自非正核核和缓慢Zn 2+迁移的侧反应的结果。在这里,我们建造了一个复合型NAMgF 3/NA 3 /N 3 InF 6 纳米立方体(NMIFn),在形成一个分层结构的过程中进行动态现场重建。这种转变通过3+减幅优惠,产生了一个中层的锌化生物,而外氟纳米管则保持强烈的负值。</w:t>
      </w:r>
    </w:p>
    <w:p>
      <w:pPr>
        <w:spacing w:before="0" w:after="200" w:lineRule="auto" w:line="276"/>
      </w:pPr>
      <w:r>
        <w:rPr>
          <w:b/>
        </w:rPr>
        <w:t xml:space="preserve">Abstract (EN): </w:t>
      </w:r>
      <w:r>
        <w:t>The practical deployment of aqueous Zn‐ion batteries (ZIBs) is hindered by poor cycling stability, a consequence of dendrite growth and side reactions originating from irregular Zn nucleation and sluggish Zn</w:t>
      </w:r>
      <w:r>
        <w:t xml:space="preserve"> </w:t>
      </w:r>
      <w:r>
        <w:t>2+</w:t>
      </w:r>
      <w:r>
        <w:t xml:space="preserve"> </w:t>
      </w:r>
      <w:r>
        <w:t>migration. Here, we construct a composite‐phase NaMgF</w:t>
      </w:r>
      <w:r>
        <w:rPr>
          <w:vertAlign w:val="subscript"/>
        </w:rPr>
        <w:t>3</w:t>
      </w:r>
      <w:r>
        <w:t>/Na</w:t>
      </w:r>
      <w:r>
        <w:rPr>
          <w:vertAlign w:val="subscript"/>
        </w:rPr>
        <w:t>3</w:t>
      </w:r>
      <w:r>
        <w:t>InF</w:t>
      </w:r>
      <w:r>
        <w:rPr>
          <w:vertAlign w:val="subscript"/>
        </w:rPr>
        <w:t>6</w:t>
      </w:r>
      <w:r>
        <w:t>nanocube interphase (NMIF@Zn) that undergoes dynamic in situ reconstruction during plating into a stratified architecture. This transformation generates a zincophilic inner layer via preferential In</w:t>
      </w:r>
      <w:r>
        <w:t xml:space="preserve"> </w:t>
      </w:r>
      <w:r>
        <w:t>3+</w:t>
      </w:r>
      <w:r>
        <w:t xml:space="preserve"> </w:t>
      </w:r>
      <w:r>
        <w:t>reduction, while the outer fluoride nanocubes retain a strong negative surface charge. The synergy between these reconstituted components and the nanocube matrix topology significantly enhances the interfacial electric double layer and creates unimpeded ion channels rich in zincophilic sites, collectively lowering the ion migration barrier and nucleation overpotential to enable conformal dendrite‐free deposition. Consequently, the NMIF@Zn symmetric cell achieves superior cycling stability for 2000 h at 3 mA cm</w:t>
      </w:r>
      <w:r>
        <w:t xml:space="preserve"> </w:t>
      </w:r>
      <w:r>
        <w:t>−2</w:t>
      </w:r>
      <w:r>
        <w:t xml:space="preserve"> </w:t>
      </w:r>
      <w:r>
        <w:t>/3 mAh cm</w:t>
      </w:r>
      <w:r>
        <w:t xml:space="preserve"> </w:t>
      </w:r>
      <w:r>
        <w:t>−2</w:t>
      </w:r>
      <w:r>
        <w:t xml:space="preserve"> </w:t>
      </w:r>
      <w:r>
        <w:t>, along with stable operation at a high depth of discharge of 81.9%. When paired with a MnO</w:t>
      </w:r>
      <w:r>
        <w:rPr>
          <w:vertAlign w:val="subscript"/>
        </w:rPr>
        <w:t>2</w:t>
      </w:r>
      <w:r>
        <w:t>cathode, the interphase‐optimized anode demonstrates excellent energy storage under high cathode loadings in both coin‐type and pouch‐cell configurations. This work establishes in situ interfacial conversion engineering as a powerful strategy to coordinately regulate ion flux and nucleation behavior, paving the way for durable Zn anodes in next‐generation energy storage.</w:t>
      </w:r>
    </w:p>
    <w:p>
      <w:pPr>
        <w:spacing w:before="120" w:after="120"/>
      </w:pPr>
      <w:r>
        <w:rPr>
          <w:sz w:val="18"/>
        </w:rPr>
        <w:t>——————————————————————————————————————————————————————————————————————</w:t>
      </w:r>
    </w:p>
    <w:p>
      <w:pPr>
        <w:spacing w:before="160" w:after="40" w:line="240" w:lineRule="auto"/>
      </w:pPr>
      <w:r>
        <w:rPr>
          <w:b/>
        </w:rPr>
        <w:t xml:space="preserve">[287] </w:t>
      </w:r>
      <w:hyperlink r:id="rId460">
        <w:r>
          <w:rPr>
            <w:color w:val="1155CC"/>
            <w:u w:val="single"/>
          </w:rPr>
          <w:t>推进NType PbSe作为热电冷却和发电的有前景的候选人</w:t>
        </w:r>
      </w:hyperlink>
    </w:p>
    <w:p>
      <w:pPr>
        <w:spacing w:before="0" w:after="80"/>
      </w:pPr>
      <w:r>
        <w:rPr>
          <w:i/>
          <w:sz w:val="20"/>
        </w:rPr>
        <w:t>EN: Advancing N‐Type PbSe as Promising Candidates for Thermoelectric Cooling and Power Generation</w:t>
      </w:r>
    </w:p>
    <w:p>
      <w:pPr>
        <w:spacing w:before="0" w:after="120"/>
      </w:pPr>
      <w:r>
        <w:rPr>
          <w:b/>
        </w:rPr>
        <w:t xml:space="preserve">Source: </w:t>
      </w:r>
      <w:r>
        <w:t>Wiley: Advanced Energy Materials: Table of Contents</w:t>
      </w:r>
      <w:r>
        <w:t xml:space="preserve">    </w:t>
      </w:r>
      <w:r>
        <w:rPr>
          <w:b/>
        </w:rPr>
        <w:t xml:space="preserve">Pub date: </w:t>
      </w:r>
      <w:r>
        <w:t>2026-02-17 08:38:36+00:00</w:t>
      </w:r>
      <w:r>
        <w:t xml:space="preserve">    </w:t>
      </w:r>
      <w:r>
        <w:rPr>
          <w:b/>
        </w:rPr>
        <w:t xml:space="preserve">DOI: </w:t>
      </w:r>
      <w:hyperlink r:id="rId461">
        <w:r>
          <w:rPr>
            <w:color w:val="1155CC"/>
            <w:u w:val="single"/>
          </w:rPr>
          <w:t>10.1002/aenm.70775</w:t>
        </w:r>
      </w:hyperlink>
    </w:p>
    <w:p>
      <w:pPr>
        <w:spacing w:before="0" w:after="120"/>
      </w:pPr>
      <w:r>
        <w:rPr>
          <w:b/>
        </w:rPr>
        <w:t xml:space="preserve">Notes: </w:t>
      </w:r>
      <w:r>
        <w:t>abstract_source=crossref</w:t>
      </w:r>
    </w:p>
    <w:p>
      <w:pPr>
        <w:spacing w:before="0" w:after="80" w:lineRule="auto" w:line="276"/>
      </w:pPr>
      <w:r>
        <w:rPr>
          <w:b/>
        </w:rPr>
        <w:t xml:space="preserve">摘要（ZH）: </w:t>
      </w:r>
      <w:r>
        <w:t>PbSe 晶体由于其高转离热电性能,在热电冷却和发电应用方面表现出巨大的发展潜力。在这里,我们通过Ge doping和额外的Ge集成,在N类型Pb 0.993 Ge.0.007 Se+0.0015Ge晶体体体体体体体体体体温时,在N类型Pb 0.993 Ge. 007 Se+0.0015Ge晶体体体体和P2 Te 中,在N类型Pb 0.993 Ge. 007 Se+0.0015Ge晶体体体体和P2 Te制造的7pair热电冷却装置。</w:t>
      </w:r>
    </w:p>
    <w:p>
      <w:pPr>
        <w:spacing w:before="0" w:after="200" w:lineRule="auto" w:line="276"/>
      </w:pPr>
      <w:r>
        <w:rPr>
          <w:b/>
        </w:rPr>
        <w:t xml:space="preserve">Abstract (EN): </w:t>
      </w:r>
      <w:r>
        <w:t>PbSe crystals exhibit significant potential for development in thermoelectric cooling and power generation applications due to their high‐ranged thermoelectric performance. Herein, we achieve lattice plainification in n‐type PbSe crystals through Ge doping and additional Ge incorporation, leading to a</w:t>
      </w:r>
      <w:r>
        <w:t xml:space="preserve"> </w:t>
      </w:r>
      <w:r>
        <w:t>ZT</w:t>
      </w:r>
      <w:r>
        <w:t xml:space="preserve"> </w:t>
      </w:r>
      <w:r>
        <w:t>value of 0.7 at room temperature in n‐type Pb</w:t>
      </w:r>
      <w:r>
        <w:t xml:space="preserve"> </w:t>
      </w:r>
      <w:r>
        <w:t>0.993</w:t>
      </w:r>
      <w:r>
        <w:t xml:space="preserve"> </w:t>
      </w:r>
      <w:r>
        <w:t>Ge</w:t>
      </w:r>
      <w:r>
        <w:t xml:space="preserve"> </w:t>
      </w:r>
      <w:r>
        <w:t>0.007</w:t>
      </w:r>
      <w:r>
        <w:t xml:space="preserve"> </w:t>
      </w:r>
      <w:r>
        <w:t>Se+0.0015Ge crystals. The 7‐pair thermoelectric cooling device constructed by n‐type Pb</w:t>
      </w:r>
      <w:r>
        <w:t xml:space="preserve"> </w:t>
      </w:r>
      <w:r>
        <w:t>0.993</w:t>
      </w:r>
      <w:r>
        <w:t xml:space="preserve"> </w:t>
      </w:r>
      <w:r>
        <w:t>Ge</w:t>
      </w:r>
      <w:r>
        <w:t xml:space="preserve"> </w:t>
      </w:r>
      <w:r>
        <w:t>0.007</w:t>
      </w:r>
      <w:r>
        <w:t xml:space="preserve"> </w:t>
      </w:r>
      <w:r>
        <w:t>Se+0.0015Ge crystals and p‐type Bi</w:t>
      </w:r>
      <w:r>
        <w:rPr>
          <w:vertAlign w:val="subscript"/>
        </w:rPr>
        <w:t>2</w:t>
      </w:r>
      <w:r>
        <w:t>Te</w:t>
      </w:r>
      <w:r>
        <w:rPr>
          <w:vertAlign w:val="subscript"/>
        </w:rPr>
        <w:t>3</w:t>
      </w:r>
      <w:r>
        <w:t>alloys attains a peak temperature difference of 66.3 K with the hot‐side temperature of 343 K. Furthermore, the introduction of interstitial Cu enables a broad‐temperature‐range enhancement of thermoelectric performance. A high average</w:t>
      </w:r>
      <w:r>
        <w:t xml:space="preserve"> </w:t>
      </w:r>
      <w:r>
        <w:t>ZT</w:t>
      </w:r>
      <w:r>
        <w:t xml:space="preserve"> </w:t>
      </w:r>
      <w:r>
        <w:t>value of 1.07 can be obtained in Pb</w:t>
      </w:r>
      <w:r>
        <w:t xml:space="preserve"> </w:t>
      </w:r>
      <w:r>
        <w:t>0.993</w:t>
      </w:r>
      <w:r>
        <w:t xml:space="preserve"> </w:t>
      </w:r>
      <w:r>
        <w:t>Ge</w:t>
      </w:r>
      <w:r>
        <w:t xml:space="preserve"> </w:t>
      </w:r>
      <w:r>
        <w:t>0.007</w:t>
      </w:r>
      <w:r>
        <w:t xml:space="preserve"> </w:t>
      </w:r>
      <w:r>
        <w:t>Se+0.0015Ge+0.0012Cu crystal across the 303–673 K, as well as a single‐leg device exhibits a peak power generation efficiency of 8.7% under the temperature gradient of 423 K. This study elucidates the great potential of n‐type PbSe crystals in both thermoelectric cooling and power generation, thereby significantly advancing the practical implementation of this cost‐effective thermoelectric material.</w:t>
      </w:r>
    </w:p>
    <w:p>
      <w:pPr>
        <w:spacing w:before="120" w:after="120"/>
      </w:pPr>
      <w:r>
        <w:rPr>
          <w:sz w:val="18"/>
        </w:rPr>
        <w:t>——————————————————————————————————————————————————————————————————————</w:t>
      </w:r>
    </w:p>
    <w:p>
      <w:pPr>
        <w:spacing w:before="160" w:after="40" w:line="240" w:lineRule="auto"/>
      </w:pPr>
      <w:r>
        <w:rPr>
          <w:b/>
        </w:rPr>
        <w:t xml:space="preserve">[288] </w:t>
      </w:r>
      <w:hyperlink r:id="rId462">
        <w:r>
          <w:rPr>
            <w:color w:val="1155CC"/>
            <w:u w:val="single"/>
          </w:rPr>
          <w:t>Ion 平衡障碍匹配和电磁损失流动工程</w:t>
        </w:r>
      </w:hyperlink>
    </w:p>
    <w:p>
      <w:pPr>
        <w:spacing w:before="0" w:after="80"/>
      </w:pPr>
      <w:r>
        <w:rPr>
          <w:i/>
          <w:sz w:val="20"/>
        </w:rPr>
        <w:t>EN: Ion Mobility Engineering for Balanced Impedance Matching and Electromagnetic Loss</w:t>
      </w:r>
    </w:p>
    <w:p>
      <w:pPr>
        <w:spacing w:before="0" w:after="120"/>
      </w:pPr>
      <w:r>
        <w:rPr>
          <w:b/>
        </w:rPr>
        <w:t xml:space="preserve">Source: </w:t>
      </w:r>
      <w:r>
        <w:t>Wiley: Advanced Materials: Table of Contents</w:t>
      </w:r>
      <w:r>
        <w:t xml:space="preserve">    </w:t>
      </w:r>
      <w:r>
        <w:rPr>
          <w:b/>
        </w:rPr>
        <w:t xml:space="preserve">Pub date: </w:t>
      </w:r>
      <w:r>
        <w:t>2026-02-17 08:38:58+00:00</w:t>
      </w:r>
      <w:r>
        <w:t xml:space="preserve">    </w:t>
      </w:r>
      <w:r>
        <w:rPr>
          <w:b/>
        </w:rPr>
        <w:t xml:space="preserve">DOI: </w:t>
      </w:r>
      <w:hyperlink r:id="rId463">
        <w:r>
          <w:rPr>
            <w:color w:val="1155CC"/>
            <w:u w:val="single"/>
          </w:rPr>
          <w:t>10.1002/adma.202523331</w:t>
        </w:r>
      </w:hyperlink>
    </w:p>
    <w:p>
      <w:pPr>
        <w:spacing w:before="0" w:after="120"/>
      </w:pPr>
      <w:r>
        <w:rPr>
          <w:b/>
        </w:rPr>
        <w:t xml:space="preserve">Notes: </w:t>
      </w:r>
      <w:r>
        <w:t>abstract_source=crossref</w:t>
      </w:r>
    </w:p>
    <w:p>
      <w:pPr>
        <w:spacing w:before="0" w:after="80" w:lineRule="auto" w:line="276"/>
      </w:pPr>
      <w:r>
        <w:rPr>
          <w:b/>
        </w:rPr>
        <w:t xml:space="preserve">摘要（ZH）: </w:t>
      </w:r>
      <w:r>
        <w:t>用于制造史无前例的电磁电磁吸收器的离星体ABSTACT抑制离子体电磁运动的离子体电磁运动仍然是一个尚未探索的前沿,因为研究人员主要侧重于便利而不是抑制离子运输。在此,制定了合理的双网络设计战略,将离子运动压抑的离子凝胶与创纪录的高 EMW吸收性能(最小反射损耗-63.45 dB和6.19 GHz带宽)合成成合成电磁吸收器超过大多数离子凝吸收器。双网络是通过聚甲基甲基甲基甲基甲基甲基丙烯酸和聚(2--acrylamido%2-methymethy_1丙烷磺酸)(PAMPS)的缠合组合组建造的。由于强大的电静电相互作用,离子运动受到PAMPS网络的限制,</w:t>
      </w:r>
    </w:p>
    <w:p>
      <w:pPr>
        <w:spacing w:before="0" w:after="200" w:lineRule="auto" w:line="276"/>
      </w:pPr>
      <w:r>
        <w:rPr>
          <w:b/>
        </w:rPr>
        <w:t xml:space="preserve">Abstract (EN): </w:t>
      </w:r>
      <w:r>
        <w:t>Suppressing ionic motion in ionogels for the fabrication of unprecedented EMW absorbers remains an unexplored frontier, as researchers have predominantly focused on facilitating rather than inhibiting ion transport. Herein, a rational double‐network design strategy is developed to synthesize an ion motion‐suppressed ionogel with record‐high EMW absorption performance (minimum reflection loss −63.45 dB and 6.19 GHz bandwidth) that surpasses most ionogel absorbers. The double‐network is constructed via the entangled assembly of polymethyl methacrylate and poly(2‐acrylamido‐2‐methyl‐1‐propanesulfonic acid) (PAMPS) in 1‐ethyl‐3‐methylimidazolium methanesulfonate ionic liquids. Thanks to strong electrostatic interactions, ion motion is restrained by the PAMPS network, balancing impedance matching and dielectric loss under EM fields. The resultant ionogels demonstrate a minimum reflection loss of ‐63.45 dB at 1.8 mm and a broad effective absorption bandwidth of 6.19 GHz (fully covering the Ku‐band), both setting up new EMW absorption benchmarks among ionogels and their hybrids. Unlike emerging approaches that promote ionic conduction for loss, here we suppress ion mobility to optimize impedance matching, a paradigm shift in ionogel design. In essence, this work introduces a strategy to design high‐performance, multifunctional ionogels, paving the way for next‐generation flexible EMW absorbers in 5G/6G communications and wearable electronics.</w:t>
      </w:r>
    </w:p>
    <w:p>
      <w:pPr>
        <w:spacing w:before="120" w:after="120"/>
      </w:pPr>
      <w:r>
        <w:rPr>
          <w:sz w:val="18"/>
        </w:rPr>
        <w:t>——————————————————————————————————————————————————————————————————————</w:t>
      </w:r>
    </w:p>
    <w:p>
      <w:pPr>
        <w:spacing w:before="160" w:after="40" w:line="240" w:lineRule="auto"/>
      </w:pPr>
      <w:r>
        <w:rPr>
          <w:b/>
        </w:rPr>
        <w:t xml:space="preserve">[289] </w:t>
      </w:r>
      <w:hyperlink r:id="rId464">
        <w:r>
          <w:rPr>
            <w:color w:val="1155CC"/>
            <w:u w:val="single"/>
          </w:rPr>
          <w:t>推进RNAi Nanotheret 治疗缺化学心脏病的治疗性治疗疗法的景观</w:t>
        </w:r>
      </w:hyperlink>
    </w:p>
    <w:p>
      <w:pPr>
        <w:spacing w:before="0" w:after="80"/>
      </w:pPr>
      <w:r>
        <w:rPr>
          <w:i/>
          <w:sz w:val="20"/>
        </w:rPr>
        <w:t>EN: Advancing the Landscape of RNAi Nanotherapeutics for Ischemic Heart Disease</w:t>
      </w:r>
    </w:p>
    <w:p>
      <w:pPr>
        <w:spacing w:before="0" w:after="120"/>
      </w:pPr>
      <w:r>
        <w:rPr>
          <w:b/>
        </w:rPr>
        <w:t xml:space="preserve">Source: </w:t>
      </w:r>
      <w:r>
        <w:t>Wiley: Advanced Materials: Table of Contents</w:t>
      </w:r>
      <w:r>
        <w:t xml:space="preserve">    </w:t>
      </w:r>
      <w:r>
        <w:rPr>
          <w:b/>
        </w:rPr>
        <w:t xml:space="preserve">Pub date: </w:t>
      </w:r>
      <w:r>
        <w:t>2026-02-17 08:39:53+00:00</w:t>
      </w:r>
      <w:r>
        <w:t xml:space="preserve">    </w:t>
      </w:r>
      <w:r>
        <w:rPr>
          <w:b/>
        </w:rPr>
        <w:t xml:space="preserve">DOI: </w:t>
      </w:r>
      <w:hyperlink r:id="rId465">
        <w:r>
          <w:rPr>
            <w:color w:val="1155CC"/>
            <w:u w:val="single"/>
          </w:rPr>
          <w:t>10.1002/adma.202523005</w:t>
        </w:r>
      </w:hyperlink>
    </w:p>
    <w:p>
      <w:pPr>
        <w:spacing w:before="0" w:after="120"/>
      </w:pPr>
      <w:r>
        <w:rPr>
          <w:b/>
        </w:rPr>
        <w:t xml:space="preserve">Notes: </w:t>
      </w:r>
      <w:r>
        <w:t>abstract_source=crossref</w:t>
      </w:r>
    </w:p>
    <w:p>
      <w:pPr>
        <w:spacing w:before="0" w:after="80" w:lineRule="auto" w:line="276"/>
      </w:pPr>
      <w:r>
        <w:rPr>
          <w:b/>
        </w:rPr>
        <w:t xml:space="preserve">摘要（ZH）: </w:t>
      </w:r>
      <w:r>
        <w:t>缺血性心脏病(IHD)仍然是全世界死亡的首要原因,其特征是成年哺乳动物心脏再生能力有限,导致大面积的心肌损伤。RNA干扰(RNAi)纳米技术正在利用能够克服阻碍常规治疗方法的障碍的顺序式基因调节法,使心脏治疗革命。在这里,我们概述了用于心脏修复的RNAi纳米医疗的演变格局,重点是心肌梗塞和心血管硬化的治疗进步。我们进一步讨论了建设有效纳米系统的设计考虑,强调关键原则,将机械洞察与材料工程联系起来。最后,我们进一步讨论了将机械洞察与材料工程联系起来。</w:t>
      </w:r>
    </w:p>
    <w:p>
      <w:pPr>
        <w:spacing w:before="0" w:after="200" w:lineRule="auto" w:line="276"/>
      </w:pPr>
      <w:r>
        <w:rPr>
          <w:b/>
        </w:rPr>
        <w:t xml:space="preserve">Abstract (EN): </w:t>
      </w:r>
      <w:r>
        <w:t>Ischemic heart disease (IHD) remains the foremost cause of mortality worldwide, characterized by extensive myocardial injury following infarction with limited regenerative capacity of the adult mammalian heart. RNA interference (RNAi) nanotechnology is revolutionizing cardiac therapy by leveraging the sequence‐oriented gene regulation that can overcome the obstacles hindering conventional therapeutic approaches. Here, we outline the evolving landscape of RNAi nanomedicine for cardiac repair, with an emphasis on therapeutic advances in myocardial infarction and atherosclerosis. We further discuss design considerations for constructing effective nanosystems, underscoring the critical principles by bridging mechanistic insights with material engineering. Finally, we delineate the translational pathway from bench to bedside, detailing current challenges and highlighting prospective opportunities for advancing RNAi therapeutics in cardiovascular therapy.</w:t>
      </w:r>
    </w:p>
    <w:p>
      <w:pPr>
        <w:spacing w:before="120" w:after="120"/>
      </w:pPr>
      <w:r>
        <w:rPr>
          <w:sz w:val="18"/>
        </w:rPr>
        <w:t>——————————————————————————————————————————————————————————————————————</w:t>
      </w:r>
    </w:p>
    <w:p>
      <w:pPr>
        <w:spacing w:before="160" w:after="40" w:line="240" w:lineRule="auto"/>
      </w:pPr>
      <w:r>
        <w:rPr>
          <w:b/>
        </w:rPr>
        <w:t xml:space="preserve">[290] </w:t>
      </w:r>
      <w:hyperlink r:id="rId466">
        <w:r>
          <w:rPr>
            <w:color w:val="1155CC"/>
            <w:u w:val="single"/>
          </w:rPr>
          <w:t>高价值产品合成水溶液中的C-N结合</w:t>
        </w:r>
      </w:hyperlink>
    </w:p>
    <w:p>
      <w:pPr>
        <w:spacing w:before="0" w:after="80"/>
      </w:pPr>
      <w:r>
        <w:rPr>
          <w:i/>
          <w:sz w:val="20"/>
        </w:rPr>
        <w:t>EN: Electrocatalytic C─N Coupling in Aqueous Solutions for High‐Value Product Synthesis</w:t>
      </w:r>
    </w:p>
    <w:p>
      <w:pPr>
        <w:spacing w:before="0" w:after="120"/>
      </w:pPr>
      <w:r>
        <w:rPr>
          <w:b/>
        </w:rPr>
        <w:t xml:space="preserve">Source: </w:t>
      </w:r>
      <w:r>
        <w:t>Wiley: Angewandte Chemie International Edition: Table of Contents</w:t>
      </w:r>
      <w:r>
        <w:t xml:space="preserve">    </w:t>
      </w:r>
      <w:r>
        <w:rPr>
          <w:b/>
        </w:rPr>
        <w:t xml:space="preserve">Pub date: </w:t>
      </w:r>
      <w:r>
        <w:t>2026-02-17 08:41:17+00:00</w:t>
      </w:r>
      <w:r>
        <w:t xml:space="preserve">    </w:t>
      </w:r>
      <w:r>
        <w:rPr>
          <w:b/>
        </w:rPr>
        <w:t xml:space="preserve">DOI: </w:t>
      </w:r>
      <w:hyperlink r:id="rId467">
        <w:r>
          <w:rPr>
            <w:color w:val="1155CC"/>
            <w:u w:val="single"/>
          </w:rPr>
          <w:t>10.1002/anie.202518370</w:t>
        </w:r>
      </w:hyperlink>
    </w:p>
    <w:p>
      <w:pPr>
        <w:spacing w:before="0" w:after="120"/>
      </w:pPr>
      <w:r>
        <w:rPr>
          <w:b/>
        </w:rPr>
        <w:t xml:space="preserve">Notes: </w:t>
      </w:r>
      <w:r>
        <w:t>abstract_source=crossref</w:t>
      </w:r>
    </w:p>
    <w:p>
      <w:pPr>
        <w:spacing w:before="0" w:after="80" w:lineRule="auto" w:line="276"/>
      </w:pPr>
      <w:r>
        <w:rPr>
          <w:b/>
        </w:rPr>
        <w:t xml:space="preserve">摘要（ZH）: </w:t>
      </w:r>
      <w:r>
        <w:t>ABSTACT 含有有机氮的化合物,如尿素、氨、氨和氨基酸,在全球生物地球化学循环和工业系统中发挥着关键作用。 电催化C-N结合,在温和条件下(室温/压力)利用一系列原料(CO 2、CO、N 2、NO 3-和NH 3,等等)进行辅助反应,已成为合成这些化学品的可持续替代品。</w:t>
      </w:r>
    </w:p>
    <w:p>
      <w:pPr>
        <w:spacing w:before="0" w:after="200" w:lineRule="auto" w:line="276"/>
      </w:pPr>
      <w:r>
        <w:rPr>
          <w:b/>
        </w:rPr>
        <w:t xml:space="preserve">Abstract (EN): </w:t>
      </w:r>
      <w:r>
        <w:t>Organic nitrogen‐containing compounds, such as urea, amines, amides, and amino acids, play a crucial role in global biogeochemical cycles and industrial systems. Electrocatalytic C─N coupling, enabling reactions under mild conditions (room temperature/pressure) and utilizing a range of feedstocks (CO</w:t>
      </w:r>
      <w:r>
        <w:rPr>
          <w:vertAlign w:val="subscript"/>
        </w:rPr>
        <w:t>2</w:t>
      </w:r>
      <w:r>
        <w:t>, CO, N</w:t>
      </w:r>
      <w:r>
        <w:rPr>
          <w:vertAlign w:val="subscript"/>
        </w:rPr>
        <w:t>2</w:t>
      </w:r>
      <w:r>
        <w:t>, NO</w:t>
      </w:r>
      <w:r>
        <w:rPr>
          <w:vertAlign w:val="subscript"/>
        </w:rPr>
        <w:t>3</w:t>
      </w:r>
      <w:r>
        <w:t>−</w:t>
      </w:r>
      <w:r>
        <w:t>, and NH</w:t>
      </w:r>
      <w:r>
        <w:rPr>
          <w:vertAlign w:val="subscript"/>
        </w:rPr>
        <w:t>3</w:t>
      </w:r>
      <w:r>
        <w:t>, etc.), has emerged as a sustainable alternative for the synthesis of these chemicals. Recent advancements in diversifying product scopes via C─N coupling methodologies have significantly enhanced reaction versatility and conversion efficiency. These developments enable novel reaction pathways while addressing critical challenges, such as slow kinetics (e.g., high bond dissociation energies in N≡N or C═O bonds) and competing reactions. This review comprehensively examines the progress in electrochemical C─N coupling, with a focus on reaction mechanisms across diverse systems and the advanced catalysts driving these transformations. Furthermore, we summarize the integrated electrolytic cell design to bridge laboratory‐scale breakthroughs with sustainable large‐scale production. By overcoming existing limitations, electrocatalytic synthesis holds the potential to transform chemical manufacturing while mitigating environmental impacts.</w:t>
      </w:r>
    </w:p>
    <w:p>
      <w:pPr>
        <w:spacing w:before="120" w:after="120"/>
      </w:pPr>
      <w:r>
        <w:rPr>
          <w:sz w:val="18"/>
        </w:rPr>
        <w:t>——————————————————————————————————————————————————————————————————————</w:t>
      </w:r>
    </w:p>
    <w:p>
      <w:pPr>
        <w:spacing w:before="160" w:after="40" w:line="240" w:lineRule="auto"/>
      </w:pPr>
      <w:r>
        <w:rPr>
          <w:b/>
        </w:rPr>
        <w:t xml:space="preserve">[291] </w:t>
      </w:r>
      <w:hyperlink r:id="rId468">
        <w:r>
          <w:rPr>
            <w:color w:val="1155CC"/>
            <w:u w:val="single"/>
          </w:rPr>
          <w:t>在倒置的Perovskite太阳能电池中稳定Perovskite Octahidron</w:t>
        </w:r>
      </w:hyperlink>
    </w:p>
    <w:p>
      <w:pPr>
        <w:spacing w:before="0" w:after="80"/>
      </w:pPr>
      <w:r>
        <w:rPr>
          <w:i/>
          <w:sz w:val="20"/>
        </w:rPr>
        <w:t>EN: Tailored Arylboronic Acid Derivatives Stabilize Perovskite Octahedron in Inverted Perovskite Solar Cells</w:t>
      </w:r>
    </w:p>
    <w:p>
      <w:pPr>
        <w:spacing w:before="0" w:after="120"/>
      </w:pPr>
      <w:r>
        <w:rPr>
          <w:b/>
        </w:rPr>
        <w:t xml:space="preserve">Source: </w:t>
      </w:r>
      <w:r>
        <w:t>Wiley: Advanced Materials: Table of Contents</w:t>
      </w:r>
      <w:r>
        <w:t xml:space="preserve">    </w:t>
      </w:r>
      <w:r>
        <w:rPr>
          <w:b/>
        </w:rPr>
        <w:t xml:space="preserve">Pub date: </w:t>
      </w:r>
      <w:r>
        <w:t>2026-02-17 08:41:36+00:00</w:t>
      </w:r>
      <w:r>
        <w:t xml:space="preserve">    </w:t>
      </w:r>
      <w:r>
        <w:rPr>
          <w:b/>
        </w:rPr>
        <w:t xml:space="preserve">DOI: </w:t>
      </w:r>
      <w:hyperlink r:id="rId469">
        <w:r>
          <w:rPr>
            <w:color w:val="1155CC"/>
            <w:u w:val="single"/>
          </w:rPr>
          <w:t>10.1002/adma.72592</w:t>
        </w:r>
      </w:hyperlink>
    </w:p>
    <w:p>
      <w:pPr>
        <w:spacing w:before="0" w:after="120"/>
      </w:pPr>
      <w:r>
        <w:rPr>
          <w:b/>
        </w:rPr>
        <w:t xml:space="preserve">Notes: </w:t>
      </w:r>
      <w:r>
        <w:t>abstract_source=crossref</w:t>
      </w:r>
    </w:p>
    <w:p>
      <w:pPr>
        <w:spacing w:before="0" w:after="80" w:lineRule="auto" w:line="276"/>
      </w:pPr>
      <w:r>
        <w:rPr>
          <w:b/>
        </w:rPr>
        <w:t xml:space="preserve">摘要（ZH）: </w:t>
      </w:r>
      <w:r>
        <w:t>在掩埋的界面中,百草枯中缺乏卤化离子,这仍然是一个关键因素,限制了高效倒转的百草枯太阳能电池(PSC)的稳定性,这主要是由于元稳定密闭。 由此,通过系统调查丙烯酸衍生物与百草枯之间的联结机制,设计了5-氟-6-羟基丙基丁基3-乙酸(FOPYBA)紧紧固定在百草枯表面的空隙上,以强化百草枯八面以稳定埋埋的界面。 FOPYBA中的-B(OH) 2和C O组推动与N-H-I和O-H-I氢联并存的C O-Pb和B-O-OPb协调纽带的同时形成,从而建立了一个 r-H-I氢联结。</w:t>
      </w:r>
    </w:p>
    <w:p>
      <w:pPr>
        <w:spacing w:before="0" w:after="200" w:lineRule="auto" w:line="276"/>
      </w:pPr>
      <w:r>
        <w:rPr>
          <w:b/>
        </w:rPr>
        <w:t xml:space="preserve">Abstract (EN): </w:t>
      </w:r>
      <w:r>
        <w:t>The absence of halide ions in perovskite at the buried interface remains a critical factor restricting the stability in efficient inverted perovskite solar cells (PSCs), mainly due to the metastable perovskite lattice. Herein, through a systematic investigation of the bonding mechanisms between arylboronic acid derivatives and perovskite, designing 5‐fluoro‐6‐hydroxypyridin‐3‐ylboronic acid (FO‐PyBA) anchors robustly on the perovskite surface vacancies to reinforce the perovskite octahedron to stabilize the buried interface. The –B(OH)</w:t>
      </w:r>
      <w:r>
        <w:rPr>
          <w:vertAlign w:val="subscript"/>
        </w:rPr>
        <w:t>2</w:t>
      </w:r>
      <w:r>
        <w:t>and C ═ O groups in FO‐PyBA promote the concurrent formation of C ═ O─Pb and B─O─Pb coordination bonds alongside N─H···I and O─H···I hydrogen bonds, which establish a robust coplanar multidentate anchoring with perovskite to reinforce the octahedral framework. Crucially, this more stable multidentate anchoring is enabled by precisely tailoring the interatomic distances of anchoring sites in derivatives to match the defect sites of perovskite. The FO‐PyBA effectively suppresses Pb/I vacancy defects and iodine ions migration to reduce interfacial nonradiative recombination. Consequently, it enabled inverted PSCs achieving a champion efficiency of 26.85% (certificated 26.70%) and maintained 94% of its initial efficiencies after 1000 h of operating under one‐sun illumination in N</w:t>
      </w:r>
      <w:r>
        <w:rPr>
          <w:vertAlign w:val="subscript"/>
        </w:rPr>
        <w:t>2</w:t>
      </w:r>
      <w:r>
        <w:t>.</w:t>
      </w:r>
    </w:p>
    <w:p>
      <w:pPr>
        <w:spacing w:before="120" w:after="120"/>
      </w:pPr>
      <w:r>
        <w:rPr>
          <w:sz w:val="18"/>
        </w:rPr>
        <w:t>——————————————————————————————————————————————————————————————————————</w:t>
      </w:r>
    </w:p>
    <w:p>
      <w:pPr>
        <w:spacing w:before="160" w:after="40" w:line="240" w:lineRule="auto"/>
      </w:pPr>
      <w:r>
        <w:rPr>
          <w:b/>
        </w:rPr>
        <w:t xml:space="preserve">[292] </w:t>
      </w:r>
      <w:hyperlink r:id="rId470">
        <w:r>
          <w:rPr>
            <w:color w:val="1155CC"/>
            <w:u w:val="single"/>
          </w:rPr>
          <w:t>增强的三轮三轮驱动Exciton利用和刺激能源水平监管所增强的高效有机无机 Sn4基于的卤化氢磷光荧光荧光器</w:t>
        </w:r>
      </w:hyperlink>
    </w:p>
    <w:p>
      <w:pPr>
        <w:spacing w:before="0" w:after="80"/>
      </w:pPr>
      <w:r>
        <w:rPr>
          <w:i/>
          <w:sz w:val="20"/>
        </w:rPr>
        <w:t>EN: Efficient Organic‐Inorganic Sn4+‐Based Halide Phosphorescent Scintillators Enabled by Enhanced Triplet Exciton Utilization and Excited Energy Level Regulation</w:t>
      </w:r>
    </w:p>
    <w:p>
      <w:pPr>
        <w:spacing w:before="0" w:after="120"/>
      </w:pPr>
      <w:r>
        <w:rPr>
          <w:b/>
        </w:rPr>
        <w:t xml:space="preserve">Source: </w:t>
      </w:r>
      <w:r>
        <w:t>Wiley: Angewandte Chemie International Edition: Table of Contents</w:t>
      </w:r>
      <w:r>
        <w:t xml:space="preserve">    </w:t>
      </w:r>
      <w:r>
        <w:rPr>
          <w:b/>
        </w:rPr>
        <w:t xml:space="preserve">Pub date: </w:t>
      </w:r>
      <w:r>
        <w:t>2026-02-17 08:45:57+00:00</w:t>
      </w:r>
      <w:r>
        <w:t xml:space="preserve">    </w:t>
      </w:r>
      <w:r>
        <w:rPr>
          <w:b/>
        </w:rPr>
        <w:t xml:space="preserve">DOI: </w:t>
      </w:r>
      <w:hyperlink r:id="rId471">
        <w:r>
          <w:rPr>
            <w:color w:val="1155CC"/>
            <w:u w:val="single"/>
          </w:rPr>
          <w:t>10.1002/anie.202524854</w:t>
        </w:r>
      </w:hyperlink>
    </w:p>
    <w:p>
      <w:pPr>
        <w:spacing w:before="0" w:after="120"/>
      </w:pPr>
      <w:r>
        <w:rPr>
          <w:b/>
        </w:rPr>
        <w:t xml:space="preserve">Notes: </w:t>
      </w:r>
      <w:r>
        <w:t>abstract_source=crossref</w:t>
      </w:r>
    </w:p>
    <w:p>
      <w:pPr>
        <w:spacing w:before="0" w:after="80" w:lineRule="auto" w:line="276"/>
      </w:pPr>
      <w:r>
        <w:rPr>
          <w:b/>
        </w:rPr>
        <w:t xml:space="preserve">摘要（ZH）: </w:t>
      </w:r>
      <w:r>
        <w:t>ABSTACT 尽管无机或有机水晶材料的X-射线闪烁性表现显著,但其实际应用往往因处理能力差、X-射线吸收力弱和/或刺激利用效率低而受阻。因此,开发有机有机的有机有机有机混合金属-卤化磷荧光荧光荧光点对X-射光成像应用至关重要,但仍很少进行探索。我们在此报告了一系列有机的无机混合Sn 4+基金属卤化物,称为3PP(R)SnCl(R=H,F1,F2,Cl,B),显示高效的荧光、热能延迟的荧光度(TADF)和室状。</w:t>
      </w:r>
    </w:p>
    <w:p>
      <w:pPr>
        <w:spacing w:before="0" w:after="200" w:lineRule="auto" w:line="276"/>
      </w:pPr>
      <w:r>
        <w:rPr>
          <w:b/>
        </w:rPr>
        <w:t xml:space="preserve">Abstract (EN): </w:t>
      </w:r>
      <w:r>
        <w:t>Despite remarkable X‐ray scintillation performance of inorganic or organic crystal materials, their practical application is often hindered by poor processability, weak X‐ray absorption, and/or inefficient exciton utilization. Developing organic‐inorganic hybrid metal‐halide phosphorescent scintillators is thus of vital importance for X‐ray imaging applications, yet remains scarcely explored. Herein, we report a series of organic‐inorganic hybrid Sn</w:t>
      </w:r>
      <w:r>
        <w:t xml:space="preserve"> </w:t>
      </w:r>
      <w:r>
        <w:t>4+</w:t>
      </w:r>
      <w:r>
        <w:t xml:space="preserve"> </w:t>
      </w:r>
      <w:r>
        <w:t>‐based metal halides, designated as 3PP(</w:t>
      </w:r>
      <w:r>
        <w:t xml:space="preserve"> </w:t>
      </w:r>
      <w:r>
        <w:t>R</w:t>
      </w:r>
      <w:r>
        <w:t xml:space="preserve"> </w:t>
      </w:r>
      <w:r>
        <w:t>)‐Sn‐Cl (</w:t>
      </w:r>
      <w:r>
        <w:t xml:space="preserve"> </w:t>
      </w:r>
      <w:r>
        <w:t>R</w:t>
      </w:r>
      <w:r>
        <w:t xml:space="preserve"> </w:t>
      </w:r>
      <w:r>
        <w:t>= H, F1, F2, Cl, Br), which exhibit efficient fluorescence, thermally activated delayed fluorescence (TADF), and room‐temperature phosphorescence (RTP) tailored through the substituent “</w:t>
      </w:r>
      <w:r>
        <w:t xml:space="preserve"> </w:t>
      </w:r>
      <w:r>
        <w:t>R</w:t>
      </w:r>
      <w:r>
        <w:t xml:space="preserve"> </w:t>
      </w:r>
      <w:r>
        <w:t>”. Multiple weak intermolecular interactions and strategic variation of the “</w:t>
      </w:r>
      <w:r>
        <w:t xml:space="preserve"> </w:t>
      </w:r>
      <w:r>
        <w:t>R</w:t>
      </w:r>
      <w:r>
        <w:t xml:space="preserve"> </w:t>
      </w:r>
      <w:r>
        <w:t>” group effectively modulate molecular stacking and excited‐state dynamics, thereby boosting X‐ray absorption and triplet exciton utilization. As a result, 3PP()‐Sn‐Cl achieves a record RTP efficiency of 79.1% and a long lifetime of 164.4 ms, the highest values reported to date for undoped Sn</w:t>
      </w:r>
      <w:r>
        <w:t xml:space="preserve"> </w:t>
      </w:r>
      <w:r>
        <w:t>4+</w:t>
      </w:r>
      <w:r>
        <w:t xml:space="preserve"> </w:t>
      </w:r>
      <w:r>
        <w:t>‐based halides. Furthermore, we demonstrate multilevel information encryption applications leveraging the highly sensitive thermochromism properties of 3PP(</w:t>
      </w:r>
      <w:r>
        <w:t xml:space="preserve"> </w:t>
      </w:r>
      <w:r>
        <w:t>R</w:t>
      </w:r>
      <w:r>
        <w:t xml:space="preserve"> </w:t>
      </w:r>
      <w:r>
        <w:t>)‐Sn‐Cl. More importantly, benefiting from strong heavy‐atom‐effect and efficient triplet exciton utilization, 3PP(</w:t>
      </w:r>
      <w:r>
        <w:t xml:space="preserve"> </w:t>
      </w:r>
      <w:r>
        <w:t>Br</w:t>
      </w:r>
      <w:r>
        <w:t xml:space="preserve"> </w:t>
      </w:r>
      <w:r>
        <w:t>)‐Sn‐Cl exhibits a high light yield of 31213.3 photons MeV</w:t>
      </w:r>
      <w:r>
        <w:t xml:space="preserve"> </w:t>
      </w:r>
      <w:r>
        <w:t>−1</w:t>
      </w:r>
      <w:r>
        <w:t xml:space="preserve"> </w:t>
      </w:r>
      <w:r>
        <w:t>and a low detection limit of 328.2 nGy/s under X‐ray irradiation, enabling efficient radiography with a spatial resolution over 14.0 lp mm</w:t>
      </w:r>
      <w:r>
        <w:t xml:space="preserve"> </w:t>
      </w:r>
      <w:r>
        <w:t>−1</w:t>
      </w:r>
      <w:r>
        <w:t xml:space="preserve"> </w:t>
      </w:r>
      <w:r>
        <w:t>. This work for the first time demonstrates Sn</w:t>
      </w:r>
      <w:r>
        <w:t xml:space="preserve"> </w:t>
      </w:r>
      <w:r>
        <w:t>4+</w:t>
      </w:r>
      <w:r>
        <w:t xml:space="preserve"> </w:t>
      </w:r>
      <w:r>
        <w:t>‐based metal halides as high‐performance scintillators for next‐generation X‐ray imaging technologies.</w:t>
      </w:r>
    </w:p>
    <w:p>
      <w:pPr>
        <w:spacing w:before="120" w:after="120"/>
      </w:pPr>
      <w:r>
        <w:rPr>
          <w:sz w:val="18"/>
        </w:rPr>
        <w:t>——————————————————————————————————————————————————————————————————————</w:t>
      </w:r>
    </w:p>
    <w:p>
      <w:pPr>
        <w:spacing w:before="160" w:after="40" w:line="240" w:lineRule="auto"/>
      </w:pPr>
      <w:r>
        <w:rPr>
          <w:b/>
        </w:rPr>
        <w:t xml:space="preserve">[293] </w:t>
      </w:r>
      <w:hyperlink r:id="rId472">
        <w:r>
          <w:rPr>
            <w:color w:val="1155CC"/>
            <w:u w:val="single"/>
          </w:rPr>
          <w:t>2D 以人工感应神经元为基础,用于识别多子焦近红外物体识别(Adv. Mater. 10/2026)</w:t>
        </w:r>
      </w:hyperlink>
    </w:p>
    <w:p>
      <w:pPr>
        <w:spacing w:before="0" w:after="80"/>
      </w:pPr>
      <w:r>
        <w:rPr>
          <w:i/>
          <w:sz w:val="20"/>
        </w:rPr>
        <w:t>EN: 2D Vanadium Carbide/Oxide Heterostructure‐Based Artificial Sensory Neuron for Multi‐Color Near‐Infrared Object Recognition (Adv. Mater. 10/2026)</w:t>
      </w:r>
    </w:p>
    <w:p>
      <w:pPr>
        <w:spacing w:before="0" w:after="120"/>
      </w:pPr>
      <w:r>
        <w:rPr>
          <w:b/>
        </w:rPr>
        <w:t xml:space="preserve">Source: </w:t>
      </w:r>
      <w:r>
        <w:t>Wiley: Advanced Materials: Table of Contents</w:t>
      </w:r>
      <w:r>
        <w:t xml:space="preserve">    </w:t>
      </w:r>
      <w:r>
        <w:rPr>
          <w:b/>
        </w:rPr>
        <w:t xml:space="preserve">Pub date: </w:t>
      </w:r>
      <w:r>
        <w:t>2026-02-17 09:48:24+00:00</w:t>
      </w:r>
      <w:r>
        <w:t xml:space="preserve">    </w:t>
      </w:r>
      <w:r>
        <w:rPr>
          <w:b/>
        </w:rPr>
        <w:t xml:space="preserve">DOI: </w:t>
      </w:r>
      <w:hyperlink r:id="rId473">
        <w:r>
          <w:rPr>
            <w:color w:val="1155CC"/>
            <w:u w:val="single"/>
          </w:rPr>
          <w:t>10.1002/adma.72276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474">
        <w:r>
          <w:rPr>
            <w:color w:val="1155CC"/>
            <w:u w:val="single"/>
          </w:rPr>
          <w:t>蒸发酸点如何增强在装载的热立硫碳化复合材料上的电催化甘油溶解氧化性能(Adv. Mater. 10/2026)</w:t>
        </w:r>
      </w:hyperlink>
    </w:p>
    <w:p>
      <w:pPr>
        <w:spacing w:before="0" w:after="80"/>
      </w:pPr>
      <w:r>
        <w:rPr>
          <w:i/>
          <w:sz w:val="20"/>
        </w:rPr>
        <w:t>EN: Revealing How Acid Sites Enhance the Electrocatalytic Glycerol Oxidation Performance on Pt Loaded Zeolite‐Carbon Composite Materials (Adv. Mater. 10/2026)</w:t>
      </w:r>
    </w:p>
    <w:p>
      <w:pPr>
        <w:spacing w:before="0" w:after="120"/>
      </w:pPr>
      <w:r>
        <w:rPr>
          <w:b/>
        </w:rPr>
        <w:t xml:space="preserve">Source: </w:t>
      </w:r>
      <w:r>
        <w:t>Wiley: Advanced Materials: Table of Contents</w:t>
      </w:r>
      <w:r>
        <w:t xml:space="preserve">    </w:t>
      </w:r>
      <w:r>
        <w:rPr>
          <w:b/>
        </w:rPr>
        <w:t xml:space="preserve">Pub date: </w:t>
      </w:r>
      <w:r>
        <w:t>2026-02-17 09:48:24+00:00</w:t>
      </w:r>
      <w:r>
        <w:t xml:space="preserve">    </w:t>
      </w:r>
      <w:r>
        <w:rPr>
          <w:b/>
        </w:rPr>
        <w:t xml:space="preserve">DOI: </w:t>
      </w:r>
      <w:hyperlink r:id="rId475">
        <w:r>
          <w:rPr>
            <w:color w:val="1155CC"/>
            <w:u w:val="single"/>
          </w:rPr>
          <w:t>10.1002/adma.72274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[295] </w:t>
      </w:r>
      <w:hyperlink r:id="rId476">
        <w:r>
          <w:rPr>
            <w:color w:val="1155CC"/>
            <w:u w:val="single"/>
          </w:rPr>
          <w:t>3D 极地流体中的等级轮廓:超端电场的等级管理(Adv. Mater. 10/2026)</w:t>
        </w:r>
      </w:hyperlink>
    </w:p>
    <w:p>
      <w:pPr>
        <w:spacing w:before="0" w:after="80"/>
      </w:pPr>
      <w:r>
        <w:rPr>
          <w:i/>
          <w:sz w:val="20"/>
        </w:rPr>
        <w:t>EN: 3D Hierarchical Twists in Polar Fluids: Chirality Regulation by Ultralow Electric Field (Adv. Mater. 10/2026)</w:t>
      </w:r>
    </w:p>
    <w:p>
      <w:pPr>
        <w:spacing w:before="0" w:after="120"/>
      </w:pPr>
      <w:r>
        <w:rPr>
          <w:b/>
        </w:rPr>
        <w:t xml:space="preserve">Source: </w:t>
      </w:r>
      <w:r>
        <w:t>Wiley: Advanced Materials: Table of Contents</w:t>
      </w:r>
      <w:r>
        <w:t xml:space="preserve">    </w:t>
      </w:r>
      <w:r>
        <w:rPr>
          <w:b/>
        </w:rPr>
        <w:t xml:space="preserve">Pub date: </w:t>
      </w:r>
      <w:r>
        <w:t>2026-02-17 09:48:24+00:00</w:t>
      </w:r>
      <w:r>
        <w:t xml:space="preserve">    </w:t>
      </w:r>
      <w:r>
        <w:rPr>
          <w:b/>
        </w:rPr>
        <w:t xml:space="preserve">DOI: </w:t>
      </w:r>
      <w:hyperlink r:id="rId477">
        <w:r>
          <w:rPr>
            <w:color w:val="1155CC"/>
            <w:u w:val="single"/>
          </w:rPr>
          <w:t>10.1002/adma.72277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[296] </w:t>
      </w:r>
      <w:hyperlink r:id="rId478">
        <w:r>
          <w:rPr>
            <w:color w:val="1155CC"/>
            <w:u w:val="single"/>
          </w:rPr>
          <w:t>[ASAP] 对翻译后修改的单细胞单步分析</w:t>
        </w:r>
      </w:hyperlink>
    </w:p>
    <w:p>
      <w:pPr>
        <w:spacing w:before="0" w:after="80"/>
      </w:pPr>
      <w:r>
        <w:rPr>
          <w:i/>
          <w:sz w:val="20"/>
        </w:rPr>
        <w:t>EN: [ASAP] Organotellurium Probes Enable One-step Single-cell Analysis of Post-translational Modification</w:t>
      </w:r>
    </w:p>
    <w:p>
      <w:pPr>
        <w:spacing w:before="0" w:after="120"/>
      </w:pPr>
      <w:r>
        <w:rPr>
          <w:b/>
        </w:rPr>
        <w:t xml:space="preserve">Source: </w:t>
      </w:r>
      <w:r>
        <w:t>Journal of the American Chemical Society: Latest Articles (ACS Publications)</w:t>
      </w:r>
      <w:r>
        <w:t xml:space="preserve">    </w:t>
      </w:r>
      <w:r>
        <w:rPr>
          <w:b/>
        </w:rPr>
        <w:t xml:space="preserve">Pub date: </w:t>
      </w:r>
      <w:r>
        <w:t>2026-02-17 10:23:42+00:00</w:t>
      </w:r>
      <w:r>
        <w:t xml:space="preserve">    </w:t>
      </w:r>
      <w:r>
        <w:rPr>
          <w:b/>
        </w:rPr>
        <w:t xml:space="preserve">DOI: </w:t>
      </w:r>
      <w:hyperlink r:id="rId479">
        <w:r>
          <w:rPr>
            <w:color w:val="1155CC"/>
            <w:u w:val="single"/>
          </w:rPr>
          <w:t>10.1021/jacs.5c19824</w:t>
        </w:r>
      </w:hyperlink>
    </w:p>
    <w:p>
      <w:pPr>
        <w:spacing w:before="0" w:after="120"/>
      </w:pPr>
      <w:r>
        <w:rPr>
          <w:b/>
        </w:rPr>
        <w:t xml:space="preserve">Notes: </w:t>
      </w:r>
      <w:r>
        <w:t>abstract_source=pubmed</w:t>
      </w:r>
    </w:p>
    <w:p>
      <w:pPr>
        <w:spacing w:before="0" w:after="80" w:lineRule="auto" w:line="276"/>
      </w:pPr>
      <w:r>
        <w:rPr>
          <w:b/>
        </w:rPr>
        <w:t xml:space="preserve">摘要（ZH）: </w:t>
      </w:r>
      <w:r>
        <w:t>蛋白质预感是一种广泛的翻译后变异(PTM),它规范了膜的关联和信号;对这一过程的调制导致各种疾病。带有含有生物光学功能的探测器的代名词标签使许多蛋白变异的研究,包括预感发生了革命性的变化。然而,这一方法要求采取两个步骤,包括代谢结合和随后安装化学记录器时的生物同源反应。在这里,我们介绍可通过一项单一的酶步骤纳入并能够通过质量细胞测量直接量化单细胞一级前因子反应的含有的异象素的研制和应用。这一强有力的方法在各种细胞线和细胞线上进行了研究。</w:t>
      </w:r>
    </w:p>
    <w:p>
      <w:pPr>
        <w:spacing w:before="0" w:after="200" w:lineRule="auto" w:line="276"/>
      </w:pPr>
      <w:r>
        <w:rPr>
          <w:b/>
        </w:rPr>
        <w:t xml:space="preserve">Abstract (EN): </w:t>
      </w:r>
      <w:r>
        <w:t>Protein prenylation is a widespread post-translational modification (PTM) that regulates membrane association and signaling; dysregulation of this process leads to a variety of diseases. Metabolic labeling with probes containing bioorthogonal functionality has revolutionized the study of many protein modifications, including prenylation. However, that approach requires two steps, including metabolic incorporation and subsequent bioorthogonal reaction to install chemical reporters. Here, we present the development and application of tellurium-containing isoprenoid analogues that can be incorporated through a single enzymatic step and enable the direct quantification of prenylation at the single-cell level by mass cytometry. This robust methodology was examined in a variety of cell lines and used to show that prenylation levels are perturbed in autophagy-deficient L6 cells, a model for certain features of aging. Modification of tellurium-labeled proteins through the oxidation-controlled strain-promoted tellurophene-alkyne cycloaddition reaction also enabled the identification of prenylation targets by chemical proteomics. This methodology bridges proteomic and multiplexed single-cell analyses, opening up promising avenues for exploring a variety of post-translational modifications.</w:t>
      </w:r>
    </w:p>
    <w:p>
      <w:pPr>
        <w:spacing w:before="120" w:after="120"/>
      </w:pPr>
      <w:r>
        <w:rPr>
          <w:sz w:val="18"/>
        </w:rPr>
        <w:t>——————————————————————————————————————————————————————————————————————</w:t>
      </w:r>
    </w:p>
    <w:p>
      <w:pPr>
        <w:spacing w:before="160" w:after="40" w:line="240" w:lineRule="auto"/>
      </w:pPr>
      <w:r>
        <w:rPr>
          <w:b/>
        </w:rPr>
        <w:t xml:space="preserve">[297] </w:t>
      </w:r>
      <w:hyperlink r:id="rId480">
        <w:r>
          <w:rPr>
            <w:color w:val="1155CC"/>
            <w:u w:val="single"/>
          </w:rPr>
          <w:t>SiC 阳极中的热化学交叉对话:通过可聚合磷基Additive实现机制与稳定(Adv. Energy Matter. 6/2026)</w:t>
        </w:r>
      </w:hyperlink>
    </w:p>
    <w:p>
      <w:pPr>
        <w:spacing w:before="0" w:after="80"/>
      </w:pPr>
      <w:r>
        <w:rPr>
          <w:i/>
          <w:sz w:val="20"/>
        </w:rPr>
        <w:t>EN: Thermochemical Crosstalk in Si‐C Anodes: Mechanism and Stabilization via a Polymerizable Phosphorus‐Based Additive (Adv. Energy Mater. 6/2026)</w:t>
      </w:r>
    </w:p>
    <w:p>
      <w:pPr>
        <w:spacing w:before="0" w:after="120"/>
      </w:pPr>
      <w:r>
        <w:rPr>
          <w:b/>
        </w:rPr>
        <w:t xml:space="preserve">Source: </w:t>
      </w:r>
      <w:r>
        <w:t>Wiley: Advanced Energy Materials: Table of Contents</w:t>
      </w:r>
      <w:r>
        <w:t xml:space="preserve">    </w:t>
      </w:r>
      <w:r>
        <w:rPr>
          <w:b/>
        </w:rPr>
        <w:t xml:space="preserve">Pub date: </w:t>
      </w:r>
      <w:r>
        <w:t>2026-02-17 10:52:22+00:00</w:t>
      </w:r>
      <w:r>
        <w:t xml:space="preserve">    </w:t>
      </w:r>
      <w:r>
        <w:rPr>
          <w:b/>
        </w:rPr>
        <w:t xml:space="preserve">DOI: </w:t>
      </w:r>
      <w:hyperlink r:id="rId481">
        <w:r>
          <w:rPr>
            <w:color w:val="1155CC"/>
            <w:u w:val="single"/>
          </w:rPr>
          <w:t>10.1002/aenm.70570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[298] </w:t>
      </w:r>
      <w:hyperlink r:id="rId482">
        <w:r>
          <w:rPr>
            <w:color w:val="1155CC"/>
            <w:u w:val="single"/>
          </w:rPr>
          <w:t>[ASAP] 能源-高密度钠电池的阴极设计概念</w:t>
        </w:r>
      </w:hyperlink>
    </w:p>
    <w:p>
      <w:pPr>
        <w:spacing w:before="0" w:after="80"/>
      </w:pPr>
      <w:r>
        <w:rPr>
          <w:i/>
          <w:sz w:val="20"/>
        </w:rPr>
        <w:t>EN: [ASAP] Anode Design Concepts for Energy-Dense Sodium Batteries</w:t>
      </w:r>
    </w:p>
    <w:p>
      <w:pPr>
        <w:spacing w:before="0" w:after="120"/>
      </w:pPr>
      <w:r>
        <w:rPr>
          <w:b/>
        </w:rPr>
        <w:t xml:space="preserve">Source: </w:t>
      </w:r>
      <w:r>
        <w:t>ACS Energy Letters: Latest Articles (ACS Publications)</w:t>
      </w:r>
      <w:r>
        <w:t xml:space="preserve">    </w:t>
      </w:r>
      <w:r>
        <w:rPr>
          <w:b/>
        </w:rPr>
        <w:t xml:space="preserve">Pub date: </w:t>
      </w:r>
      <w:r>
        <w:t>2026-02-17 11:00:48+00:00</w:t>
      </w:r>
      <w:r>
        <w:t xml:space="preserve">    </w:t>
      </w:r>
      <w:r>
        <w:rPr>
          <w:b/>
        </w:rPr>
        <w:t xml:space="preserve">DOI: </w:t>
      </w:r>
      <w:hyperlink r:id="rId483">
        <w:r>
          <w:rPr>
            <w:color w:val="1155CC"/>
            <w:u w:val="single"/>
          </w:rPr>
          <w:t>10.1021/acsenergylett.5c03890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[299] </w:t>
      </w:r>
      <w:hyperlink r:id="rId484">
        <w:r>
          <w:rPr>
            <w:color w:val="1155CC"/>
            <w:u w:val="single"/>
          </w:rPr>
          <w:t>通过生物合作实现生物能动物质</w:t>
        </w:r>
      </w:hyperlink>
    </w:p>
    <w:p>
      <w:pPr>
        <w:spacing w:before="0" w:after="80"/>
      </w:pPr>
      <w:r>
        <w:rPr>
          <w:i/>
          <w:sz w:val="20"/>
        </w:rPr>
        <w:t>EN: Functional Biomaterials Through Biocooperation</w:t>
      </w:r>
    </w:p>
    <w:p>
      <w:pPr>
        <w:spacing w:before="0" w:after="120"/>
      </w:pPr>
      <w:r>
        <w:rPr>
          <w:b/>
        </w:rPr>
        <w:t xml:space="preserve">Source: </w:t>
      </w:r>
      <w:r>
        <w:t>Wiley: Advanced Materials: Table of Contents</w:t>
      </w:r>
      <w:r>
        <w:t xml:space="preserve">    </w:t>
      </w:r>
      <w:r>
        <w:rPr>
          <w:b/>
        </w:rPr>
        <w:t xml:space="preserve">Pub date: </w:t>
      </w:r>
      <w:r>
        <w:t>2026-02-17 11:16:12+00:00</w:t>
      </w:r>
      <w:r>
        <w:t xml:space="preserve">    </w:t>
      </w:r>
      <w:r>
        <w:rPr>
          <w:b/>
        </w:rPr>
        <w:t xml:space="preserve">DOI: </w:t>
      </w:r>
      <w:hyperlink r:id="rId485">
        <w:r>
          <w:rPr>
            <w:color w:val="1155CC"/>
            <w:u w:val="single"/>
          </w:rPr>
          <w:t>10.1002/adma.202515925</w:t>
        </w:r>
      </w:hyperlink>
    </w:p>
    <w:p>
      <w:pPr>
        <w:spacing w:before="0" w:after="120"/>
      </w:pPr>
      <w:r>
        <w:rPr>
          <w:b/>
        </w:rPr>
        <w:t xml:space="preserve">Notes: </w:t>
      </w:r>
      <w:r>
        <w:t>abstract_source=crossref</w:t>
      </w:r>
    </w:p>
    <w:p>
      <w:pPr>
        <w:spacing w:before="0" w:after="80" w:lineRule="auto" w:line="276"/>
      </w:pPr>
      <w:r>
        <w:rPr>
          <w:b/>
        </w:rPr>
        <w:t xml:space="preserve">摘要（ZH）: </w:t>
      </w:r>
      <w:r>
        <w:t>越来越需要开发能够重新创造生命系统固有的结构和功能复杂性的材料,这些环境在体外越来越需要,以更好地筛选药物和疗法,在体外越来越需要,在体外也越来越需要,以克服再生医学的主要挑战,这些挑战继续限制诊所的广泛影响。从这个角度来看,我们认为,现在应该与自然所发展和建立的生物和再生机制合作,超越生物呼吸和设计材料。在这种生物合作方法中,生物学不被视为复制的样板,而是作为伙伴参与,利用生物分子和生物机制作为材料的构件和制造过程。</w:t>
      </w:r>
    </w:p>
    <w:p>
      <w:pPr>
        <w:spacing w:before="0" w:after="200" w:lineRule="auto" w:line="276"/>
      </w:pPr>
      <w:r>
        <w:rPr>
          <w:b/>
        </w:rPr>
        <w:t xml:space="preserve">Abstract (EN): </w:t>
      </w:r>
      <w:r>
        <w:t>There is a growing need to develop materials that can recreate the inherent structural and functional complexity of living systems. These environments are increasingly needed both in vitro to better screen drugs and therapies, and in vivo to overcome key challenges of regenerative medicine that continue to limit broad impact in the clinic. In this perspective, we argue that it is time to go beyond bioinspiration and design materials by working with biological and regenerative mechanisms that Nature has evolved and established. In this biocooperative approach, biology is not seen as a template to copy, but rather as a partner to engage with, by harnessing biomolecules and biological mechanisms as building‐blocks and fabrication processes of materials. The manuscript also summarizes studies describing the use of recombinant technologies to produce biomolecules as material building‐blocks, incorporating living systems within synthetic matrices to create engineered living biomaterials, and integrating synthetic building blocks with cellular processes to produce regenerative materials. These examples illustrate the potential for a new biocooperative material paradigm, opening the door for more accessible and functional personalized biomaterials.</w:t>
      </w:r>
    </w:p>
    <w:p>
      <w:pPr>
        <w:spacing w:before="120" w:after="120"/>
      </w:pPr>
      <w:r>
        <w:rPr>
          <w:sz w:val="18"/>
        </w:rPr>
        <w:t>——————————————————————————————————————————————————————————————————————</w:t>
      </w:r>
    </w:p>
    <w:p>
      <w:pPr>
        <w:spacing w:before="160" w:after="40" w:line="240" w:lineRule="auto"/>
      </w:pPr>
      <w:r>
        <w:rPr>
          <w:b/>
        </w:rPr>
        <w:t xml:space="preserve">[300] </w:t>
      </w:r>
      <w:hyperlink r:id="rId486">
        <w:r>
          <w:rPr>
            <w:color w:val="1155CC"/>
            <w:u w:val="single"/>
          </w:rPr>
          <w:t>利用基于解决复杂组合优化问题Potts模型的浮动生物模型计算多国家多概率计算</w:t>
        </w:r>
      </w:hyperlink>
    </w:p>
    <w:p>
      <w:pPr>
        <w:spacing w:before="0" w:after="80"/>
      </w:pPr>
      <w:r>
        <w:rPr>
          <w:i/>
          <w:sz w:val="20"/>
        </w:rPr>
        <w:t>EN: Multi‐State Probabilistic Computing Using Floating‐Body MOSFETs Based on the Potts Model for Solving Complex Combinatorial Optimization Problems</w:t>
      </w:r>
    </w:p>
    <w:p>
      <w:pPr>
        <w:spacing w:before="0" w:after="120"/>
      </w:pPr>
      <w:r>
        <w:rPr>
          <w:b/>
        </w:rPr>
        <w:t xml:space="preserve">Source: </w:t>
      </w:r>
      <w:r>
        <w:t>Wiley: Advanced Materials: Table of Contents</w:t>
      </w:r>
      <w:r>
        <w:t xml:space="preserve">    </w:t>
      </w:r>
      <w:r>
        <w:rPr>
          <w:b/>
        </w:rPr>
        <w:t xml:space="preserve">Pub date: </w:t>
      </w:r>
      <w:r>
        <w:t>2026-02-17 11:17:53+00:00</w:t>
      </w:r>
      <w:r>
        <w:t xml:space="preserve">    </w:t>
      </w:r>
      <w:r>
        <w:rPr>
          <w:b/>
        </w:rPr>
        <w:t xml:space="preserve">DOI: </w:t>
      </w:r>
      <w:hyperlink r:id="rId487">
        <w:r>
          <w:rPr>
            <w:color w:val="1155CC"/>
            <w:u w:val="single"/>
          </w:rPr>
          <w:t>10.1002/adma.202516797</w:t>
        </w:r>
      </w:hyperlink>
    </w:p>
    <w:p>
      <w:pPr>
        <w:spacing w:before="0" w:after="120"/>
      </w:pPr>
      <w:r>
        <w:rPr>
          <w:b/>
        </w:rPr>
        <w:t xml:space="preserve">Notes: </w:t>
      </w:r>
      <w:r>
        <w:t>abstract_source=crossref</w:t>
      </w:r>
    </w:p>
    <w:p>
      <w:pPr>
        <w:spacing w:before="0" w:after="80" w:lineRule="auto" w:line="276"/>
      </w:pPr>
      <w:r>
        <w:rPr>
          <w:b/>
        </w:rPr>
        <w:t xml:space="preserve">摘要（ZH）: </w:t>
      </w:r>
      <w:r>
        <w:t>ABSTACT 概率性计算在解决组合优化问题(COPs)方面引起了注意,主要是使用Ising模型,这也许不适合复杂的COPs。相反,这项工作提议了一个基于Potts模型的多州概率性计算系统,使用Stochistic 阈值,转换浮浮控体金属氧化性半导体的外向式晶体管(FBMOSFETs),作为解决挑战性COP(COPs)的多州概率性比特(píbs)。该系统采用排水电分享和单热取样法,以实现可控的概率行为和可伸缩的Annealing。在旋转玻璃和最大四分点问题上的实验性验证表明,该系统在加速同步速度的同时有效地采样了金枪鱼分波尔茨曼的分布。</w:t>
      </w:r>
    </w:p>
    <w:p>
      <w:pPr>
        <w:spacing w:before="0" w:after="200" w:lineRule="auto" w:line="276"/>
      </w:pPr>
      <w:r>
        <w:rPr>
          <w:b/>
        </w:rPr>
        <w:t xml:space="preserve">Abstract (EN): </w:t>
      </w:r>
      <w:r>
        <w:t>Probabilistic computing has gained attention for solving combinatorial optimization problems (COPs), mainly using the Ising model, which may not be suitable for complex COPs. Instead, this work proposes a multi‐state probabilistic computing system based on the Potts model using stochastic threshold switching floating‐body metal‐oxide‐semiconductor field‐effect transistors (FB‐MOSFETs) as the multi‐state probabilistic bits (p‐bits) to solve challenging COPs. The system employs drain voltage sharing and a one‐hot sampling method to achieve controllable probabilistic behavior and scalable annealing. Experimental validations on spin glass and max‐4‐cut problems demonstrate that the system efficiently samples a tunable Boltzmann distribution while converging faster than traditional methods. Comparative analyses further highlight superior energy efficiency and decreased time‐to‐solution, underscoring the potential of multi‐state probabilistic computing for large‐scale, complex COPs using only MOSFET devices.</w:t>
      </w:r>
    </w:p>
    <w:p>
      <w:pPr>
        <w:spacing w:before="120" w:after="120"/>
      </w:pPr>
      <w:r>
        <w:rPr>
          <w:sz w:val="18"/>
        </w:rPr>
        <w:t>——————————————————————————————————————————————————————————————————————</w:t>
      </w:r>
    </w:p>
    <w:p>
      <w:pPr>
        <w:spacing w:before="160" w:after="40" w:line="240" w:lineRule="auto"/>
      </w:pPr>
      <w:r>
        <w:rPr>
          <w:b/>
        </w:rPr>
        <w:t xml:space="preserve">[301] </w:t>
      </w:r>
      <w:hyperlink r:id="rId488">
        <w:r>
          <w:rPr>
            <w:color w:val="1155CC"/>
            <w:u w:val="single"/>
          </w:rPr>
          <w:t>通过关键组合远程控制加速CRISPR/Cas12a-基于护理点的ECRPR/Cas12a-Cas12a-Cas12a</w:t>
        </w:r>
      </w:hyperlink>
    </w:p>
    <w:p>
      <w:pPr>
        <w:spacing w:before="0" w:after="80"/>
      </w:pPr>
      <w:r>
        <w:rPr>
          <w:i/>
          <w:sz w:val="20"/>
        </w:rPr>
        <w:t>EN: Accelerated CRISPR/Cas12a‐Based Point‐of‐Care Diagnostics Through Critical Coupling Distance Control</w:t>
      </w:r>
    </w:p>
    <w:p>
      <w:pPr>
        <w:spacing w:before="0" w:after="120"/>
      </w:pPr>
      <w:r>
        <w:rPr>
          <w:b/>
        </w:rPr>
        <w:t xml:space="preserve">Source: </w:t>
      </w:r>
      <w:r>
        <w:t>Wiley: Advanced Materials: Table of Contents</w:t>
      </w:r>
      <w:r>
        <w:t xml:space="preserve">    </w:t>
      </w:r>
      <w:r>
        <w:rPr>
          <w:b/>
        </w:rPr>
        <w:t xml:space="preserve">Pub date: </w:t>
      </w:r>
      <w:r>
        <w:t>2026-02-17 11:20:17+00:00</w:t>
      </w:r>
      <w:r>
        <w:t xml:space="preserve">    </w:t>
      </w:r>
      <w:r>
        <w:rPr>
          <w:b/>
        </w:rPr>
        <w:t xml:space="preserve">DOI: </w:t>
      </w:r>
      <w:hyperlink r:id="rId489">
        <w:r>
          <w:rPr>
            <w:color w:val="1155CC"/>
            <w:u w:val="single"/>
          </w:rPr>
          <w:t>10.1002/adma.202523381</w:t>
        </w:r>
      </w:hyperlink>
    </w:p>
    <w:p>
      <w:pPr>
        <w:spacing w:before="0" w:after="120"/>
      </w:pPr>
      <w:r>
        <w:rPr>
          <w:b/>
        </w:rPr>
        <w:t xml:space="preserve">Notes: </w:t>
      </w:r>
      <w:r>
        <w:t>abstract_source=crossref</w:t>
      </w:r>
    </w:p>
    <w:p>
      <w:pPr>
        <w:spacing w:before="0" w:after="80" w:lineRule="auto" w:line="276"/>
      </w:pPr>
      <w:r>
        <w:rPr>
          <w:b/>
        </w:rPr>
        <w:t xml:space="preserve">摘要（ZH）: </w:t>
      </w:r>
      <w:r>
        <w:t>在资源有限的环境下,ABSTACT快速病原体检测仍然受到能源密集仪器的制约,而且缺乏训练有素的人员。CRISPR/Cas12a 基础诊断技术,尽管其强健性是一个很有希望的工具,但受到低于最佳检测速度和灵敏度的制约。在这里,我们设计了三堵式DNA中流球核酸(tSNA),它作为空间封闭式报告器,在基质之间的临界距离上起到关键连接作用,使Cas12a蛋白能够用大小对称间隔迅速识别集中和拉伸的单层子。精确控制不同尺寸的TSNA距离表明,在跨层切裂效率和连接距离之间有直接的关联,表明只有当距离不同时,Cas12a蛋白质才能迅速识别集中和拉伸的单层子质。</w:t>
      </w:r>
    </w:p>
    <w:p>
      <w:pPr>
        <w:spacing w:before="0" w:after="200" w:lineRule="auto" w:line="276"/>
      </w:pPr>
      <w:r>
        <w:rPr>
          <w:b/>
        </w:rPr>
        <w:t xml:space="preserve">Abstract (EN): </w:t>
      </w:r>
      <w:r>
        <w:t>Prompt pathogen detection in resource‐limited settings remains constrained by energy‐intensive instrumentation and a shortage of trained personnel. The CRISPR/Cas12a‐based diagnostic technology, despite its robustness as a promising tool, is constrained by suboptimal detection speed and sensitivity. Here we designed triblock DNA‐mediated spherical nucleic acids (tSNA) that acts as a spatially confined reporter with critical coupling distances between substrates, enabling Cas12a protein to rapidly identify concentrated and stretched single‐stranded substrates with size‐matching intervals. Precise control of distances on tSNA of varying sizes revealed a direct correlation between trans‐cleavage efficiency and coupling distance, indicating that only when the distance exceeds the protein size can it offer an appropriate reaction space. It demonstrates a rapid “scooting” reaction model on tSNA, resulting in a trans‐cleavage rate of 10 nm A30‐tSNA 12 times faster and a sensitivity that is two orders of magnitude higher than that in bulk solution. Furthermore, tSNA can serve as a novel recognition and colorimetric element in lateral‐flow strips, thereby reducing the detection time for pathogen nucleic acids to just 3 min. This “size‐matching” model of tSNA offers a new perspective on the regulation of Cas12a enzymatic activity, establishing a versatile platform to advance diagnostic development through ultrafast, CRISPR‐powered POC systems.</w:t>
      </w:r>
    </w:p>
    <w:p>
      <w:pPr>
        <w:spacing w:before="120" w:after="120"/>
      </w:pPr>
      <w:r>
        <w:rPr>
          <w:sz w:val="18"/>
        </w:rPr>
        <w:t>——————————————————————————————————————————————————————————————————————</w:t>
      </w:r>
    </w:p>
    <w:p>
      <w:pPr>
        <w:spacing w:before="160" w:after="40" w:line="240" w:lineRule="auto"/>
      </w:pPr>
      <w:r>
        <w:rPr>
          <w:b/>
        </w:rPr>
        <w:t xml:space="preserve">[302] </w:t>
      </w:r>
      <w:hyperlink r:id="rId490">
        <w:r>
          <w:rPr>
            <w:color w:val="1155CC"/>
            <w:u w:val="single"/>
          </w:rPr>
          <w:t>Terrylene Bisimide在溶和晶状状态的自组自组Helical Tetramer堆叠</w:t>
        </w:r>
      </w:hyperlink>
    </w:p>
    <w:p>
      <w:pPr>
        <w:spacing w:before="0" w:after="80"/>
      </w:pPr>
      <w:r>
        <w:rPr>
          <w:i/>
          <w:sz w:val="20"/>
        </w:rPr>
        <w:t>EN: Self‐assembled Helical Tetramer Stack of Terrylene Bisimide in Solution and Crystalline State</w:t>
      </w:r>
    </w:p>
    <w:p>
      <w:pPr>
        <w:spacing w:before="0" w:after="120"/>
      </w:pPr>
      <w:r>
        <w:rPr>
          <w:b/>
        </w:rPr>
        <w:t xml:space="preserve">Source: </w:t>
      </w:r>
      <w:r>
        <w:t>Wiley: Angewandte Chemie International Edition: Table of Contents</w:t>
      </w:r>
      <w:r>
        <w:t xml:space="preserve">    </w:t>
      </w:r>
      <w:r>
        <w:rPr>
          <w:b/>
        </w:rPr>
        <w:t xml:space="preserve">Pub date: </w:t>
      </w:r>
      <w:r>
        <w:t>2026-02-17 11:20:32+00:00</w:t>
      </w:r>
      <w:r>
        <w:t xml:space="preserve">    </w:t>
      </w:r>
      <w:r>
        <w:rPr>
          <w:b/>
        </w:rPr>
        <w:t xml:space="preserve">DOI: </w:t>
      </w:r>
      <w:hyperlink r:id="rId491">
        <w:r>
          <w:rPr>
            <w:color w:val="1155CC"/>
            <w:u w:val="single"/>
          </w:rPr>
          <w:t>10.1002/anie.2434302</w:t>
        </w:r>
      </w:hyperlink>
    </w:p>
    <w:p>
      <w:pPr>
        <w:spacing w:before="0" w:after="120"/>
      </w:pPr>
      <w:r>
        <w:rPr>
          <w:b/>
        </w:rPr>
        <w:t xml:space="preserve">Notes: </w:t>
      </w:r>
      <w:r>
        <w:t>abstract_source=crossref</w:t>
      </w:r>
    </w:p>
    <w:p>
      <w:pPr>
        <w:spacing w:before="0" w:after="80" w:lineRule="auto" w:line="276"/>
      </w:pPr>
      <w:r>
        <w:rPr>
          <w:b/>
        </w:rPr>
        <w:t xml:space="preserve">摘要（ZH）: </w:t>
      </w:r>
      <w:r>
        <w:t>ABSTACT A ABSTACT A 乙二烯二酰胺(TBI)1 衍生物1, 含有散装元苯乙烯化化化替代成分,显示可自行组装成溶解的肝[14]四聚堆,在强烈分散和静电力量的驱使下,在室温的甲型六氯环己烷微molar浓度范围(10-6M)中,已经观察到从单体直接转化成确定的四聚氨酯,相当于G=-40.1kJ mol的交互强度。</w:t>
      </w:r>
    </w:p>
    <w:p>
      <w:pPr>
        <w:spacing w:before="0" w:after="200" w:lineRule="auto" w:line="276"/>
      </w:pPr>
      <w:r>
        <w:rPr>
          <w:b/>
        </w:rPr>
        <w:t xml:space="preserve">Abstract (EN): </w:t>
      </w:r>
      <w:r>
        <w:t>A terrylene bisimide (TBI) derivative</w:t>
      </w:r>
      <w:r>
        <w:rPr>
          <w:vertAlign w:val="subscript"/>
        </w:rPr>
        <w:t>1</w:t>
      </w:r>
      <w:r>
        <w:t>bearing bulky</w:t>
      </w:r>
      <w:r>
        <w:t xml:space="preserve"> </w:t>
      </w:r>
      <w:r>
        <w:t>meta</w:t>
      </w:r>
      <w:r>
        <w:t xml:space="preserve"> </w:t>
      </w:r>
      <w:r>
        <w:t>‐terphenyl imide substituents is shown to self‐assemble into helical</w:t>
      </w:r>
      <w:r>
        <w:t xml:space="preserve"> </w:t>
      </w:r>
      <w:r>
        <w:t>[1</w:t>
      </w:r>
      <w:r>
        <w:rPr>
          <w:vertAlign w:val="subscript"/>
        </w:rPr>
        <w:t>4</w:t>
      </w:r>
      <w:r>
        <w:t>]</w:t>
      </w:r>
      <w:r>
        <w:t xml:space="preserve"> </w:t>
      </w:r>
      <w:r>
        <w:t>tetramer stacks in solution. Driven by strong dispersion and electrostatic forces, a direct transition from monomers into defined tetramers is already observed in the micromolar concentration range (∼10</w:t>
      </w:r>
      <w:r>
        <w:t xml:space="preserve"> </w:t>
      </w:r>
      <w:r>
        <w:t>−6</w:t>
      </w:r>
      <w:r>
        <w:t xml:space="preserve"> </w:t>
      </w:r>
      <w:r>
        <w:t>M) in methylcyclohexane at room temperature, corresponding to a π–π‐interaction strength of Δ</w:t>
      </w:r>
      <w:r>
        <w:t xml:space="preserve"> </w:t>
      </w:r>
      <w:r>
        <w:t>G</w:t>
      </w:r>
      <w:r>
        <w:t xml:space="preserve"> </w:t>
      </w:r>
      <w:r>
        <w:t>= −40.1 kJ mol</w:t>
      </w:r>
      <w:r>
        <w:t xml:space="preserve"> </w:t>
      </w:r>
      <w:r>
        <w:t>−1</w:t>
      </w:r>
      <w:r>
        <w:t xml:space="preserve"> </w:t>
      </w:r>
      <w:r>
        <w:t>for the respective π–π‐stacking interaction between two neighboring TBIs. Upon addition of perylene (</w:t>
      </w:r>
      <w:r>
        <w:t xml:space="preserve"> </w:t>
      </w:r>
      <w:r>
        <w:t>P</w:t>
      </w:r>
      <w:r>
        <w:t xml:space="preserve"> </w:t>
      </w:r>
      <w:r>
        <w:t>), a further growth of the stacks toward</w:t>
      </w:r>
      <w:r>
        <w:t xml:space="preserve"> </w:t>
      </w:r>
      <w:r>
        <w:t>[P</w:t>
      </w:r>
      <w:r>
        <w:t xml:space="preserve"> </w:t>
      </w:r>
      <w:r>
        <w:t>.</w:t>
      </w:r>
      <w:r>
        <w:rPr>
          <w:vertAlign w:val="subscript"/>
        </w:rPr>
        <w:t>1</w:t>
      </w:r>
      <w:r>
        <w:rPr>
          <w:vertAlign w:val="subscript"/>
        </w:rPr>
        <w:t>4</w:t>
      </w:r>
      <w:r>
        <w:t>.</w:t>
      </w:r>
      <w:r>
        <w:t xml:space="preserve"> </w:t>
      </w:r>
      <w:r>
        <w:t>P]</w:t>
      </w:r>
      <w:r>
        <w:t xml:space="preserve"> </w:t>
      </w:r>
      <w:r>
        <w:t>hexalayers is observed where the guest molecules are stacked at the peripheral positions. In contrast, upon addition of the larger coronene (</w:t>
      </w:r>
      <w:r>
        <w:t xml:space="preserve"> </w:t>
      </w:r>
      <w:r>
        <w:t>C</w:t>
      </w:r>
      <w:r>
        <w:t xml:space="preserve"> </w:t>
      </w:r>
      <w:r>
        <w:t>), the equilibrium shifts toward 1:2 complexes</w:t>
      </w:r>
      <w:r>
        <w:t xml:space="preserve"> </w:t>
      </w:r>
      <w:r>
        <w:t>[C</w:t>
      </w:r>
      <w:r>
        <w:t xml:space="preserve"> </w:t>
      </w:r>
      <w:r>
        <w:t>.</w:t>
      </w:r>
      <w:r>
        <w:rPr>
          <w:vertAlign w:val="subscript"/>
        </w:rPr>
        <w:t>1</w:t>
      </w:r>
      <w:r>
        <w:t>.</w:t>
      </w:r>
      <w:r>
        <w:t xml:space="preserve"> </w:t>
      </w:r>
      <w:r>
        <w:t>C]</w:t>
      </w:r>
      <w:r>
        <w:t xml:space="preserve"> </w:t>
      </w:r>
      <w:r>
        <w:t>where each TBI is surrounded by two coronene neighbors. Single crystal X‐ray analyses of the pristine</w:t>
      </w:r>
      <w:r>
        <w:t xml:space="preserve"> </w:t>
      </w:r>
      <w:r>
        <w:t>[1</w:t>
      </w:r>
      <w:r>
        <w:rPr>
          <w:vertAlign w:val="subscript"/>
        </w:rPr>
        <w:t>4</w:t>
      </w:r>
      <w:r>
        <w:t>]</w:t>
      </w:r>
      <w:r>
        <w:t xml:space="preserve"> </w:t>
      </w:r>
      <w:r>
        <w:t>tetramer stack as well as the</w:t>
      </w:r>
      <w:r>
        <w:t xml:space="preserve"> </w:t>
      </w:r>
      <w:r>
        <w:t>[P</w:t>
      </w:r>
      <w:r>
        <w:t xml:space="preserve"> </w:t>
      </w:r>
      <w:r>
        <w:t>.</w:t>
      </w:r>
      <w:r>
        <w:rPr>
          <w:vertAlign w:val="subscript"/>
        </w:rPr>
        <w:t>1</w:t>
      </w:r>
      <w:r>
        <w:rPr>
          <w:vertAlign w:val="subscript"/>
        </w:rPr>
        <w:t>4</w:t>
      </w:r>
      <w:r>
        <w:t>.</w:t>
      </w:r>
      <w:r>
        <w:t xml:space="preserve"> </w:t>
      </w:r>
      <w:r>
        <w:t>P]</w:t>
      </w:r>
      <w:r>
        <w:t xml:space="preserve"> </w:t>
      </w:r>
      <w:r>
        <w:t>hexalayer stack and the 1:2 trilayer</w:t>
      </w:r>
      <w:r>
        <w:t xml:space="preserve"> </w:t>
      </w:r>
      <w:r>
        <w:t>[C</w:t>
      </w:r>
      <w:r>
        <w:t xml:space="preserve"> </w:t>
      </w:r>
      <w:r>
        <w:t>.</w:t>
      </w:r>
      <w:r>
        <w:rPr>
          <w:vertAlign w:val="subscript"/>
        </w:rPr>
        <w:t>1</w:t>
      </w:r>
      <w:r>
        <w:t>.</w:t>
      </w:r>
      <w:r>
        <w:t xml:space="preserve"> </w:t>
      </w:r>
      <w:r>
        <w:t>C]</w:t>
      </w:r>
      <w:r>
        <w:t xml:space="preserve"> </w:t>
      </w:r>
      <w:r>
        <w:t>unambiguously confirm the unique stacking arrangements.</w:t>
      </w:r>
    </w:p>
    <w:p>
      <w:pPr>
        <w:spacing w:before="120" w:after="120"/>
      </w:pPr>
      <w:r>
        <w:rPr>
          <w:sz w:val="18"/>
        </w:rPr>
        <w:t>——————————————————————————————————————————————————————————————————————</w:t>
      </w:r>
    </w:p>
    <w:p>
      <w:pPr>
        <w:spacing w:before="160" w:after="40" w:line="240" w:lineRule="auto"/>
      </w:pPr>
      <w:r>
        <w:rPr>
          <w:b/>
        </w:rPr>
        <w:t xml:space="preserve">[303] </w:t>
      </w:r>
      <w:hyperlink r:id="rId492">
        <w:r>
          <w:rPr>
            <w:color w:val="1155CC"/>
            <w:u w:val="single"/>
          </w:rPr>
          <w:t>基纳米材料:战略、结构和催化应用</w:t>
        </w:r>
      </w:hyperlink>
    </w:p>
    <w:p>
      <w:pPr>
        <w:spacing w:before="0" w:after="80"/>
      </w:pPr>
      <w:r>
        <w:rPr>
          <w:i/>
          <w:sz w:val="20"/>
        </w:rPr>
        <w:t>EN: Phase Tailoring in Ruthenium‐Based Nanomaterials: Strategies, Structures, and Catalytic Applications</w:t>
      </w:r>
    </w:p>
    <w:p>
      <w:pPr>
        <w:spacing w:before="0" w:after="120"/>
      </w:pPr>
      <w:r>
        <w:rPr>
          <w:b/>
        </w:rPr>
        <w:t xml:space="preserve">Source: </w:t>
      </w:r>
      <w:r>
        <w:t>Wiley: Advanced Materials: Table of Contents</w:t>
      </w:r>
      <w:r>
        <w:t xml:space="preserve">    </w:t>
      </w:r>
      <w:r>
        <w:rPr>
          <w:b/>
        </w:rPr>
        <w:t xml:space="preserve">Pub date: </w:t>
      </w:r>
      <w:r>
        <w:t>2026-02-17 11:23:49+00:00</w:t>
      </w:r>
      <w:r>
        <w:t xml:space="preserve">    </w:t>
      </w:r>
      <w:r>
        <w:rPr>
          <w:b/>
        </w:rPr>
        <w:t xml:space="preserve">DOI: </w:t>
      </w:r>
      <w:hyperlink r:id="rId493">
        <w:r>
          <w:rPr>
            <w:color w:val="1155CC"/>
            <w:u w:val="single"/>
          </w:rPr>
          <w:t>10.1002/adma.202523625</w:t>
        </w:r>
      </w:hyperlink>
    </w:p>
    <w:p>
      <w:pPr>
        <w:spacing w:before="0" w:after="120"/>
      </w:pPr>
      <w:r>
        <w:rPr>
          <w:b/>
        </w:rPr>
        <w:t xml:space="preserve">Notes: </w:t>
      </w:r>
      <w:r>
        <w:t>abstract_source=crossref</w:t>
      </w:r>
    </w:p>
    <w:p>
      <w:pPr>
        <w:spacing w:before="0" w:after="80" w:lineRule="auto" w:line="276"/>
      </w:pPr>
      <w:r>
        <w:rPr>
          <w:b/>
        </w:rPr>
        <w:t xml:space="preserve">摘要（ZH）: </w:t>
      </w:r>
      <w:r>
        <w:t>直接控制原子安排的分阶段裁缝已成为精确调整其物理化学特性的有力战略。这次审查全面概述了在逐步调整基于鲁瓦的纳米材料方面的最新进展。首先将基于鲁瓦的纳米材料的新开发阶段从非常规晶体和不固定结构编成目录,编成混合金属和铬化合物,并从热动力学和动能学的角度讨论合成原理。然后我们总结具有代表性的合成方法。我们总结了具有代表性的合成方法。</w:t>
      </w:r>
    </w:p>
    <w:p>
      <w:pPr>
        <w:spacing w:before="0" w:after="200" w:lineRule="auto" w:line="276"/>
      </w:pPr>
      <w:r>
        <w:rPr>
          <w:b/>
        </w:rPr>
        <w:t xml:space="preserve">Abstract (EN): </w:t>
      </w:r>
      <w:r>
        <w:t>Ru‐based nanomaterials are highly promising catalysts for energy storage and conversion due to their high intrinsic activity and cost‐effectiveness among platinum‐group metals. Phase tailoring, which directly controls the atomic arrangement, has emerged as a powerful strategy for precisely tailoring their physicochemical properties. This review provides a comprehensive overview of recent advances in phase tailoring of Ru‐based nanomaterials. It starts with cataloging the newly developed phases of Ru‐based nanomaterials from unconventional crystalline and amorphous structures to intermetallic and chalcogenide compounds, and discusses their synthetic principles from the thermodynamic and kinetic perspectives. We then summarize the representative synthetic methodologies that enable these novel phases and highlight the resulting Ru‐based nanomaterials with novel phases. Furthermore, we review their electrocatalytic applications in water splitting and fuel cells, with the establishment of structure‐performance relationships. Finally, the review concludes by pointing out the potential challenges and presenting a perspective on future research, aiming to guide the rational design of next‐generation Ru‐based catalysts.</w:t>
      </w:r>
    </w:p>
    <w:p>
      <w:pPr>
        <w:spacing w:before="120" w:after="120"/>
      </w:pPr>
      <w:r>
        <w:rPr>
          <w:sz w:val="18"/>
        </w:rPr>
        <w:t>——————————————————————————————————————————————————————————————————————</w:t>
      </w:r>
    </w:p>
    <w:p>
      <w:pPr>
        <w:spacing w:before="160" w:after="40" w:line="240" w:lineRule="auto"/>
      </w:pPr>
      <w:r>
        <w:rPr>
          <w:b/>
        </w:rPr>
        <w:t xml:space="preserve">[304] </w:t>
      </w:r>
      <w:hyperlink r:id="rId494">
        <w:r>
          <w:rPr>
            <w:color w:val="1155CC"/>
            <w:u w:val="single"/>
          </w:rPr>
          <w:t>三核七甲基苯丁为维伏成像中短波红外红外线</w:t>
        </w:r>
      </w:hyperlink>
    </w:p>
    <w:p>
      <w:pPr>
        <w:spacing w:before="0" w:after="80"/>
      </w:pPr>
      <w:r>
        <w:rPr>
          <w:i/>
          <w:sz w:val="20"/>
        </w:rPr>
        <w:t>EN: Trinuclear Heptamethine Dyes for Shortwave Infrared In Vivo Imaging</w:t>
      </w:r>
    </w:p>
    <w:p>
      <w:pPr>
        <w:spacing w:before="0" w:after="120"/>
      </w:pPr>
      <w:r>
        <w:rPr>
          <w:b/>
        </w:rPr>
        <w:t xml:space="preserve">Source: </w:t>
      </w:r>
      <w:r>
        <w:t>Wiley: Angewandte Chemie International Edition: Table of Contents</w:t>
      </w:r>
      <w:r>
        <w:t xml:space="preserve">    </w:t>
      </w:r>
      <w:r>
        <w:rPr>
          <w:b/>
        </w:rPr>
        <w:t xml:space="preserve">Pub date: </w:t>
      </w:r>
      <w:r>
        <w:t>2026-02-17 11:23:51+00:00</w:t>
      </w:r>
      <w:r>
        <w:t xml:space="preserve">    </w:t>
      </w:r>
      <w:r>
        <w:rPr>
          <w:b/>
        </w:rPr>
        <w:t xml:space="preserve">DOI: </w:t>
      </w:r>
      <w:hyperlink r:id="rId495">
        <w:r>
          <w:rPr>
            <w:color w:val="1155CC"/>
            <w:u w:val="single"/>
          </w:rPr>
          <w:t>10.1002/anie.202525311</w:t>
        </w:r>
      </w:hyperlink>
    </w:p>
    <w:p>
      <w:pPr>
        <w:spacing w:before="0" w:after="120"/>
      </w:pPr>
      <w:r>
        <w:rPr>
          <w:b/>
        </w:rPr>
        <w:t xml:space="preserve">Notes: </w:t>
      </w:r>
      <w:r>
        <w:t>abstract_source=crossref</w:t>
      </w:r>
    </w:p>
    <w:p>
      <w:pPr>
        <w:spacing w:before="0" w:after="80" w:lineRule="auto" w:line="276"/>
      </w:pPr>
      <w:r>
        <w:rPr>
          <w:b/>
        </w:rPr>
        <w:t xml:space="preserve">摘要（ZH）: </w:t>
      </w:r>
      <w:r>
        <w:t>多光谱(PMD)一词与二核手架 — — 由不同长度的多光链链连接在一起的两颗热循环器 — — 有着密切的联系。 二核光谱(PMD)对于近红外线和电磁频谱短波红外(SWIR)等具有生物优势的区域的活体成像中非侵入性成像而言,是成功的。 三核光谱(PMD)由于在聚光链中添加了第三个热循环而产生,具有相同的光物理特性,使二核染色器成为极好的荧光探测器,但在活性成像中有待调查。 赫林(Herein),我们利用环球环球连接器和合成器的不断增强的再活性,扩展了二核和三核七甲基染色网。</w:t>
      </w:r>
    </w:p>
    <w:p>
      <w:pPr>
        <w:spacing w:before="0" w:after="200" w:lineRule="auto" w:line="276"/>
      </w:pPr>
      <w:r>
        <w:rPr>
          <w:b/>
        </w:rPr>
        <w:t xml:space="preserve">Abstract (EN): </w:t>
      </w:r>
      <w:r>
        <w:t>The term polymethine dye (PMD) has been intimately connected to the dinuclear scaffold–two heterocycles linked together by a polymethine chain of varying length. Dinuclear PMDs have been a successful scaffold for noninvasive in vivo imaging in the biologically advantageous near infrared (NIR) and shortwave infrared (SWIR) regions of the electromagnetic spectrum. Trinuclear PMDs, resulting from the addition of a third heterocycle into the polymethine chain, possess the same photophysical properties that make dinuclear dyes excellent fluorescent probes, but have yet to be investigated for in vivo imaging. Herein, we expand upon the dinuclear and trinuclear heptamethine dye scaffolds by taking advantage of the increased reactivity of a cyclopentenyl linker and synthesizing flavylium‐ and chromenylium‐based SWIR‐emitting fluorophores. The trinuclear scaffold instills the fluorophores with increased steric bulk, leading to beneficial photophysical properties in micelles and outperforming their classic dinuclear counterparts. In this work, we apply trinuclear PMDs for in vivo SWIR imaging in mice and find them to be particularly efficient at lymph node labeling upon intravenous administration.</w:t>
      </w:r>
    </w:p>
    <w:p>
      <w:pPr>
        <w:spacing w:before="120" w:after="120"/>
      </w:pPr>
      <w:r>
        <w:rPr>
          <w:sz w:val="18"/>
        </w:rPr>
        <w:t>——————————————————————————————————————————————————————————————————————</w:t>
      </w:r>
    </w:p>
    <w:p>
      <w:pPr>
        <w:spacing w:before="160" w:after="40" w:line="240" w:lineRule="auto"/>
      </w:pPr>
      <w:r>
        <w:rPr>
          <w:b/>
        </w:rPr>
        <w:t xml:space="preserve">[305] </w:t>
      </w:r>
      <w:hyperlink r:id="rId496">
        <w:r>
          <w:rPr>
            <w:color w:val="1155CC"/>
            <w:u w:val="single"/>
          </w:rPr>
          <w:t>用于触发 Ferroptisis 和 Immuno 疗法的细胞内共值有机框架的Situ合成</w:t>
        </w:r>
      </w:hyperlink>
    </w:p>
    <w:p>
      <w:pPr>
        <w:spacing w:before="0" w:after="80"/>
      </w:pPr>
      <w:r>
        <w:rPr>
          <w:i/>
          <w:sz w:val="20"/>
        </w:rPr>
        <w:t>EN: In Situ Synthesis of Covalent Organic Frameworks Inside Cells for Triggering Ferroptosis and Immunotherapy</w:t>
      </w:r>
    </w:p>
    <w:p>
      <w:pPr>
        <w:spacing w:before="0" w:after="120"/>
      </w:pPr>
      <w:r>
        <w:rPr>
          <w:b/>
        </w:rPr>
        <w:t xml:space="preserve">Source: </w:t>
      </w:r>
      <w:r>
        <w:t>Wiley: Advanced Materials: Table of Contents</w:t>
      </w:r>
      <w:r>
        <w:t xml:space="preserve">    </w:t>
      </w:r>
      <w:r>
        <w:rPr>
          <w:b/>
        </w:rPr>
        <w:t xml:space="preserve">Pub date: </w:t>
      </w:r>
      <w:r>
        <w:t>2026-02-17 11:35:57+00:00</w:t>
      </w:r>
      <w:r>
        <w:t xml:space="preserve">    </w:t>
      </w:r>
      <w:r>
        <w:rPr>
          <w:b/>
        </w:rPr>
        <w:t xml:space="preserve">DOI: </w:t>
      </w:r>
      <w:hyperlink r:id="rId497">
        <w:r>
          <w:rPr>
            <w:color w:val="1155CC"/>
            <w:u w:val="single"/>
          </w:rPr>
          <w:t>10.1002/adma.202510663</w:t>
        </w:r>
      </w:hyperlink>
    </w:p>
    <w:p>
      <w:pPr>
        <w:spacing w:before="0" w:after="120"/>
      </w:pPr>
      <w:r>
        <w:rPr>
          <w:b/>
        </w:rPr>
        <w:t xml:space="preserve">Notes: </w:t>
      </w:r>
      <w:r>
        <w:t>abstract_source=crossref</w:t>
      </w:r>
    </w:p>
    <w:p>
      <w:pPr>
        <w:spacing w:before="0" w:after="80" w:lineRule="auto" w:line="276"/>
      </w:pPr>
      <w:r>
        <w:rPr>
          <w:b/>
        </w:rPr>
        <w:t xml:space="preserve">摘要（ZH）: </w:t>
      </w:r>
      <w:r>
        <w:t>活体系统中非自然聚合物的合成已成为控制细胞功能和行为的有效办法,然而,利用动态共价化学、晶化和功能性等内在细胞中共价有机框架(COFs)等晶体聚合物的现场合成,在水生环境中面临挑战,晶体化和机能。在此,我们提出了一个共溶晶体内聚合战略,通过酸催化的含汞凝聚反应,在肿瘤细胞中合成COFs。COF合成的细胞内显露了内在的荧光和明确界定的晶体结构,使得能够实时监测合成和产品特征。在细胞内形成含汞框架。</w:t>
      </w:r>
    </w:p>
    <w:p>
      <w:pPr>
        <w:spacing w:before="0" w:after="200" w:lineRule="auto" w:line="276"/>
      </w:pPr>
      <w:r>
        <w:rPr>
          <w:b/>
        </w:rPr>
        <w:t xml:space="preserve">Abstract (EN): </w:t>
      </w:r>
      <w:r>
        <w:t>The synthesis of non‐natural polymers inside living systems has become an effective approach for controlling cellular functions and behaviors. However, in situ synthesis of crystalline polymers, such as covalent organic frameworks (COFs), inside cells using dynamic covalent chemistry faces challenges in aqueous environments, crystallization, and functionality. Herein, we present an intralysosomal crystalline polymerization strategy to synthesize COFs inside tumor cells through an acid‐catalyzed imine condensation reaction. The COFs synthesized intracellularly exhibit inherent fluorescence and well‐defined crystalline structures, allowing real‐time monitoring of the synthesis and product characterization. The formation of imine frameworks inside cell lysosomes induces lysosomal damage, activates lysosomal iron, and triggers immunogenic ferroptosis, thus enhancing antitumor immunotherapy. This strategy of intralysosomal crystalline polymerization facilitates the ambient synthesis of COFs, opening avenues for therapeutic polymerization reactions and providing insights into cellular responses to in situ polymer synthesis.</w:t>
      </w:r>
    </w:p>
    <w:p>
      <w:pPr>
        <w:spacing w:before="120" w:after="120"/>
      </w:pPr>
      <w:r>
        <w:rPr>
          <w:sz w:val="18"/>
        </w:rPr>
        <w:t>——————————————————————————————————————————————————————————————————————</w:t>
      </w:r>
    </w:p>
    <w:p>
      <w:pPr>
        <w:spacing w:before="160" w:after="40" w:line="240" w:lineRule="auto"/>
      </w:pPr>
      <w:r>
        <w:rPr>
          <w:b/>
        </w:rPr>
        <w:t xml:space="preserve">[306] </w:t>
      </w:r>
      <w:hyperlink r:id="rId498">
        <w:r>
          <w:rPr>
            <w:color w:val="1155CC"/>
            <w:u w:val="single"/>
          </w:rPr>
          <w:t>用于肿瘤的米托贡德立体目标的金纳米粒子紫外亚细胞分析</w:t>
        </w:r>
      </w:hyperlink>
    </w:p>
    <w:p>
      <w:pPr>
        <w:spacing w:before="0" w:after="80"/>
      </w:pPr>
      <w:r>
        <w:rPr>
          <w:i/>
          <w:sz w:val="20"/>
        </w:rPr>
        <w:t>EN: High‐Throughput In Vivo Subcellular Analysis of Gold Nanoparticles for Tumor Mitochondrial Targeting</w:t>
      </w:r>
    </w:p>
    <w:p>
      <w:pPr>
        <w:spacing w:before="0" w:after="120"/>
      </w:pPr>
      <w:r>
        <w:rPr>
          <w:b/>
        </w:rPr>
        <w:t xml:space="preserve">Source: </w:t>
      </w:r>
      <w:r>
        <w:t>Wiley: Advanced Materials: Table of Contents</w:t>
      </w:r>
      <w:r>
        <w:t xml:space="preserve">    </w:t>
      </w:r>
      <w:r>
        <w:rPr>
          <w:b/>
        </w:rPr>
        <w:t xml:space="preserve">Pub date: </w:t>
      </w:r>
      <w:r>
        <w:t>2026-02-17 12:05:13+00:00</w:t>
      </w:r>
      <w:r>
        <w:t xml:space="preserve">    </w:t>
      </w:r>
      <w:r>
        <w:rPr>
          <w:b/>
        </w:rPr>
        <w:t xml:space="preserve">DOI: </w:t>
      </w:r>
      <w:hyperlink r:id="rId499">
        <w:r>
          <w:rPr>
            <w:color w:val="1155CC"/>
            <w:u w:val="single"/>
          </w:rPr>
          <w:t>10.1002/adma.202517706</w:t>
        </w:r>
      </w:hyperlink>
    </w:p>
    <w:p>
      <w:pPr>
        <w:spacing w:before="0" w:after="120"/>
      </w:pPr>
      <w:r>
        <w:rPr>
          <w:b/>
        </w:rPr>
        <w:t xml:space="preserve">Notes: </w:t>
      </w:r>
      <w:r>
        <w:t>abstract_source=crossref</w:t>
      </w:r>
    </w:p>
    <w:p>
      <w:pPr>
        <w:spacing w:before="0" w:after="80" w:lineRule="auto" w:line="276"/>
      </w:pPr>
      <w:r>
        <w:rPr>
          <w:b/>
        </w:rPr>
        <w:t xml:space="preserve">摘要（ZH）: </w:t>
      </w:r>
      <w:r>
        <w:t>Mitochondrial瞄准是癌症精密治疗的有力战略。本研究展示了一个用于对金纳米子粒子(NPs)进行活体检测的高通量检测的亚细胞分子DNA条码系统。在用六种PEG/TPPATI化的体外NPs验证了条形系统坚固性之后,材料库扩大到了30种不同形状、大小和链条的NP物种。在器官、细胞子类型和线形水平上,生物分布在分层、圆形和相反肿瘤模型中都得到了系统的评估。这种多轴法方法在活体纳米粒子吸收和针对行为方面产生了1000多个数据点,同时比常规方法要求的老鼠数量少30倍。数据显示了强的数据。</w:t>
      </w:r>
    </w:p>
    <w:p>
      <w:pPr>
        <w:spacing w:before="0" w:after="200" w:lineRule="auto" w:line="276"/>
      </w:pPr>
      <w:r>
        <w:rPr>
          <w:b/>
        </w:rPr>
        <w:t xml:space="preserve">Abstract (EN): </w:t>
      </w:r>
      <w:r>
        <w:t>Mitochondrial targeting is a powerful strategy for cancer precision therapy. This study presents a subcellular DNA barcoding system for high‐throughput in vivo screening of mitochondrial‐targeting gold nanoparticles (NPs). After validating the robustness of the barcode system with six PEG/TPP‑modified NPs in vitro, the materials library expands to 30 NP species differing in shape, size, and ligand. Their biodistributions are systematically evaluated across subcutaneous, orthotopic, and contralateral tumor models at organ, cell‐subtype, and mitochondrial levels. This multiplexed approach yields more than 1000 data points on in vivo nanoparticle uptake and targeting behaviors, while requiring 30‐fold fewer mice than conventional approaches. The data reveal a strong correlation between tumor accumulation and mitochondrial delivery, indicating that effective tumor accumulation is a prerequisite for mitochondrial targeting. 80 nm cube (CL‑FA) and sphere (PL‑FA) nanoparticles tagged with folic acid (FA) emerge as top performers, with CL‑FA achieving 99% tumor regression when combined with mild photothermal therapy and mitochondria‐targeted siRNA delivery. Underlying mechanisms are attributed to geometry‐dependent protein corona formation patterns and cellular uptake via clathrin‑mediated endocytosis and specific curvature‑sensing protein interactions. Overall, this subcellular high‐throughput barcoding platform offers a rational framework to select inorganic nanomaterials for precision subcellular drug delivery.</w:t>
      </w:r>
    </w:p>
    <w:p>
      <w:pPr>
        <w:spacing w:before="120" w:after="120"/>
      </w:pPr>
      <w:r>
        <w:rPr>
          <w:sz w:val="18"/>
        </w:rPr>
        <w:t>——————————————————————————————————————————————————————————————————————</w:t>
      </w:r>
    </w:p>
    <w:p>
      <w:pPr>
        <w:spacing w:before="160" w:after="40" w:line="240" w:lineRule="auto"/>
      </w:pPr>
      <w:r>
        <w:rPr>
          <w:b/>
        </w:rPr>
        <w:t xml:space="preserve">[307] </w:t>
      </w:r>
      <w:hyperlink r:id="rId500">
        <w:r>
          <w:rPr>
            <w:color w:val="1155CC"/>
            <w:u w:val="single"/>
          </w:rPr>
          <w:t>[ASAP] 水溶液中氢氧基激进化学机制,通过摄影采样和软X射线探测而触发</w:t>
        </w:r>
      </w:hyperlink>
    </w:p>
    <w:p>
      <w:pPr>
        <w:spacing w:before="0" w:after="80"/>
      </w:pPr>
      <w:r>
        <w:rPr>
          <w:i/>
          <w:sz w:val="20"/>
        </w:rPr>
        <w:t>EN: [ASAP] Mechanisms of Hydroxyl Radical Chemistry in Aqueous Solution Triggered by Photoexcitation and Probed by Soft X-rays</w:t>
      </w:r>
    </w:p>
    <w:p>
      <w:pPr>
        <w:spacing w:before="0" w:after="120"/>
      </w:pPr>
      <w:r>
        <w:rPr>
          <w:b/>
        </w:rPr>
        <w:t xml:space="preserve">Source: </w:t>
      </w:r>
      <w:r>
        <w:t>Journal of the American Chemical Society: Latest Articles (ACS Publications)</w:t>
      </w:r>
      <w:r>
        <w:t xml:space="preserve">    </w:t>
      </w:r>
      <w:r>
        <w:rPr>
          <w:b/>
        </w:rPr>
        <w:t xml:space="preserve">Pub date: </w:t>
      </w:r>
      <w:r>
        <w:t>2026-02-17 12:22:06+00:00</w:t>
      </w:r>
      <w:r>
        <w:t xml:space="preserve">    </w:t>
      </w:r>
      <w:r>
        <w:rPr>
          <w:b/>
        </w:rPr>
        <w:t xml:space="preserve">DOI: </w:t>
      </w:r>
      <w:hyperlink r:id="rId501">
        <w:r>
          <w:rPr>
            <w:color w:val="1155CC"/>
            <w:u w:val="single"/>
          </w:rPr>
          <w:t>10.1021/jacs.5c20053</w:t>
        </w:r>
      </w:hyperlink>
    </w:p>
    <w:p>
      <w:pPr>
        <w:spacing w:before="0" w:after="120"/>
      </w:pPr>
      <w:r>
        <w:rPr>
          <w:b/>
        </w:rPr>
        <w:t xml:space="preserve">Notes: </w:t>
      </w:r>
      <w:r>
        <w:t>abstract_source=pubmed</w:t>
      </w:r>
    </w:p>
    <w:p>
      <w:pPr>
        <w:spacing w:before="0" w:after="80" w:lineRule="auto" w:line="276"/>
      </w:pPr>
      <w:r>
        <w:rPr>
          <w:b/>
        </w:rPr>
        <w:t xml:space="preserve">摘要（ZH）: </w:t>
      </w:r>
      <w:r>
        <w:t>氢氧基是地球上最重要的基质之一,存在于人体、大气层、河流和海洋中,有助于细胞中的氧化压力和对流层的光化学等机制,对水生生命构成威胁,农业广泛使用肥料,导致世界上许多河流的氧化氮水平上升,这些河流是水中氢氧基的主要来源。在本文中,我们探索了亚硝酸盐的氢氧基光诱发生成,以及利用氧和氮基的瞬时软X射线吸收光光谱仪(XAS)在水溶液中被激进的2,2,6,6,6-四甲基基丙基氧基(TEMPO)清除。我们展示了氧基和氮基的光诱发光生成。</w:t>
      </w:r>
    </w:p>
    <w:p>
      <w:pPr>
        <w:spacing w:before="0" w:after="200" w:lineRule="auto" w:line="276"/>
      </w:pPr>
      <w:r>
        <w:rPr>
          <w:b/>
        </w:rPr>
        <w:t xml:space="preserve">Abstract (EN): </w:t>
      </w:r>
      <w:r>
        <w:t>Hydroxyl radicals are among the most important radicals on earth, being present in the human body, the atmosphere, rivers, and oceans, contributing to mechanisms like oxidative stress in cells and the photochemistry of the troposphere, and posing a threat to aquatic life. Extensive use of fertilizers in agriculture has led to increased levels of nitrogen oxides in many rivers around the world, which are a major source of hydroxyl radicals in water. In this paper, we explore the photoinduced generation of hydroxyl radicals from nitrite and their scavenging by the radical scavenger 2,2,6,6-tetramethylpiperidinyloxyl (TEMPO) in aqueous solutions using transient soft X-ray absorption spectroscopy (XAS) at the oxygen and nitrogen K-edges. We show the photoinduced generation of hydroxyl radicals from nitrite and determine its mechanism. For the scavenging of hydroxyl radicals by TEMPO, we show that the mechanism does not proceed through a bound intermediate state between the two molecules, as has been proposed in the literature, but instead through an electron transfer.</w:t>
      </w:r>
    </w:p>
    <w:p>
      <w:pPr>
        <w:spacing w:before="120" w:after="120"/>
      </w:pPr>
      <w:r>
        <w:rPr>
          <w:sz w:val="18"/>
        </w:rPr>
        <w:t>——————————————————————————————————————————————————————————————————————</w:t>
      </w:r>
    </w:p>
    <w:p>
      <w:pPr>
        <w:spacing w:before="160" w:after="40" w:line="240" w:lineRule="auto"/>
      </w:pPr>
      <w:r>
        <w:rPr>
          <w:b/>
        </w:rPr>
        <w:t xml:space="preserve">[308] </w:t>
      </w:r>
      <w:hyperlink r:id="rId502">
        <w:r>
          <w:rPr>
            <w:color w:val="1155CC"/>
            <w:u w:val="single"/>
          </w:rPr>
          <w:t>[ASAP] 增强氧化气气溶解多成份巨巨型轮式家庭Anion-引导控制分子增长</w:t>
        </w:r>
      </w:hyperlink>
    </w:p>
    <w:p>
      <w:pPr>
        <w:spacing w:before="0" w:after="80"/>
      </w:pPr>
      <w:r>
        <w:rPr>
          <w:i/>
          <w:sz w:val="20"/>
        </w:rPr>
        <w:t>EN: [ASAP] Anion-Guided Controlled Molecular Growth of Multi-Component Giant Mo Wheel Family for Enhanced Oxidation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2026-02-17 13:40:06+00:00</w:t>
      </w:r>
      <w:r>
        <w:t xml:space="preserve">    </w:t>
      </w:r>
      <w:r>
        <w:rPr>
          <w:b/>
        </w:rPr>
        <w:t xml:space="preserve">DOI: </w:t>
      </w:r>
      <w:hyperlink r:id="rId503">
        <w:r>
          <w:rPr>
            <w:color w:val="1155CC"/>
            <w:u w:val="single"/>
          </w:rPr>
          <w:t>10.1021/jacs.5c19867</w:t>
        </w:r>
      </w:hyperlink>
    </w:p>
    <w:p>
      <w:pPr>
        <w:spacing w:before="0" w:after="120"/>
      </w:pPr>
      <w:r>
        <w:rPr>
          <w:b/>
        </w:rPr>
        <w:t xml:space="preserve">Notes: </w:t>
      </w:r>
      <w:r>
        <w:t>abstract_source=pubmed</w:t>
      </w:r>
    </w:p>
    <w:p>
      <w:pPr>
        <w:spacing w:before="0" w:after="80" w:lineRule="auto" w:line="276"/>
      </w:pPr>
      <w:r>
        <w:rPr>
          <w:b/>
        </w:rPr>
        <w:t xml:space="preserve">摘要（ZH）: </w:t>
      </w:r>
      <w:r>
        <w:t>了解多成分巨型多氧元体的自我组装及其随后的受控分子增长,对于应对在复杂集化学中建立多成分结构元体和解释结构-财产关系的挑战至关重要,但它却是一个重大挑战。在这里,我们报告有两个前所未有的巨型莫轮,具有独特的多成分构件,这些构件是一个独特的多成分构件,是 {Mo2VP2}稳定解剖器 {Mo110V10P20} 和 mo2VP2} 中间型电子四氧代谢器 {Mo154V4P8} 。前者是长期寻求的原型,而后者则产生一种稀有的巨型结构变体,与古典{Mo154}一道。此外,还采用离子制导战略,使特定地点的分子得以在现场增长。</w:t>
      </w:r>
    </w:p>
    <w:p>
      <w:pPr>
        <w:spacing w:before="0" w:after="200" w:lineRule="auto" w:line="276"/>
      </w:pPr>
      <w:r>
        <w:rPr>
          <w:b/>
        </w:rPr>
        <w:t xml:space="preserve">Abstract (EN): </w:t>
      </w:r>
      <w:r>
        <w:t>Understanding the self-assembly of multicomponent giant polyoxometalates and their subsequent controlled molecular growth is crucial for addressing the challenges of building multicomponent structural motifs and elucidating structure-property relationships in complex cluster chemistry, yet it presents a significant challenge. Herein, we report two unprecedented giant Mo wheels featuring unique multicomponent building blocks, which are a {Mo2VP2}-stabilized decamer {Mo110V10P20} and a {Mo2VP2}-mediated elliptical tetradecamer {Mo154V4P8}. The former constitutes the long-sought archetypal decameric prototype, while the latter gives rise to a rare giant structural variant alongside classical {Mo154}. Furthermore, employing anion-guided strategies enabled in situ site-specific molecular growth at {Mo2} active sites of these wheels: sulfate-induced symmetrical capping of {Mo110V10P20} with two {Mo11} units yields Mo green {Mo132V10P20} whereas a hierarchical growth mediated by PhPO32-/SO42- anions on {Mo154V4P8} generates Mo blue {Mo188V11P20} through the incorporation of {Mo1}, arch-shaped {Mo4}, and {ε-MoV24VV7} guests. Molecular-growth products exhibit enhanced broad-spectrum light absorption and improved charge separation efficiency, leading to superior photocatalytic aerobic oxidation performance over both their precursors and undoped analogues. This study pioneers the use of multicomponent moieties in the design of giant Mo wheels and establishes an anion-guided strategy for precisely regulating molecular growth, which opens pathways to functional giant clusters with tailored properties.</w:t>
      </w:r>
    </w:p>
    <w:p>
      <w:pPr>
        <w:spacing w:before="120" w:after="120"/>
      </w:pPr>
      <w:r>
        <w:rPr>
          <w:sz w:val="18"/>
        </w:rPr>
        <w:t>——————————————————————————————————————————————————————————————————————</w:t>
      </w:r>
    </w:p>
    <w:p>
      <w:pPr>
        <w:spacing w:before="160" w:after="40" w:line="240" w:lineRule="auto"/>
      </w:pPr>
      <w:r>
        <w:rPr>
          <w:b/>
        </w:rPr>
        <w:t xml:space="preserve">[309] </w:t>
      </w:r>
      <w:hyperlink r:id="rId504">
        <w:r>
          <w:rPr>
            <w:color w:val="1155CC"/>
            <w:u w:val="single"/>
          </w:rPr>
          <w:t>[ASAP]除硫醇-酶干扰外:NHC-Au(I)复合体是具有重新编程的免疫分子功能的催化活性抗癌剂。</w:t>
        </w:r>
      </w:hyperlink>
    </w:p>
    <w:p>
      <w:pPr>
        <w:spacing w:before="0" w:after="80"/>
      </w:pPr>
      <w:r>
        <w:rPr>
          <w:i/>
          <w:sz w:val="20"/>
        </w:rPr>
        <w:t>EN: [ASAP] Beyond Thiol-Enzyme Inhibition: Sterically Bulky NHC-Au(I) Complexes are Catalytically Active Anticancer Agents with Reprogrammed Immunomodulatory Function</w:t>
      </w:r>
    </w:p>
    <w:p>
      <w:pPr>
        <w:spacing w:before="0" w:after="120"/>
      </w:pPr>
      <w:r>
        <w:rPr>
          <w:b/>
        </w:rPr>
        <w:t xml:space="preserve">Source: </w:t>
      </w:r>
      <w:r>
        <w:t>Journal of the American Chemical Society: Latest Articles (ACS Publications)</w:t>
      </w:r>
      <w:r>
        <w:t xml:space="preserve">    </w:t>
      </w:r>
      <w:r>
        <w:rPr>
          <w:b/>
        </w:rPr>
        <w:t xml:space="preserve">Pub date: </w:t>
      </w:r>
      <w:r>
        <w:t>2026-02-17 13:41:03+00:00</w:t>
      </w:r>
      <w:r>
        <w:t xml:space="preserve">    </w:t>
      </w:r>
      <w:r>
        <w:rPr>
          <w:b/>
        </w:rPr>
        <w:t xml:space="preserve">DOI: </w:t>
      </w:r>
      <w:hyperlink r:id="rId505">
        <w:r>
          <w:rPr>
            <w:color w:val="1155CC"/>
            <w:u w:val="single"/>
          </w:rPr>
          <w:t>10.1021/jacs.5c19777</w:t>
        </w:r>
      </w:hyperlink>
    </w:p>
    <w:p>
      <w:pPr>
        <w:spacing w:before="0" w:after="120"/>
      </w:pPr>
      <w:r>
        <w:rPr>
          <w:b/>
        </w:rPr>
        <w:t xml:space="preserve">Notes: </w:t>
      </w:r>
      <w:r>
        <w:t>abstract_source=pubmed</w:t>
      </w:r>
    </w:p>
    <w:p>
      <w:pPr>
        <w:spacing w:before="0" w:after="80" w:lineRule="auto" w:line="276"/>
      </w:pPr>
      <w:r>
        <w:rPr>
          <w:b/>
        </w:rPr>
        <w:t xml:space="preserve">摘要（ZH）: </w:t>
      </w:r>
      <w:r>
        <w:t>金属诱导的免疫性能为提高癌症免疫疗法的功效提供了巨大的潜力,例如用金金等金属进行癌症免疫疗法的功效提供了显著的范例,然而,重金属可能同时破坏免疫细胞功能,其中部分金属可以增加免疫性,而不会损害免疫完整性。在这里,我们报告说,Au(I)综合体具有催化作用,具有重新规划免疫分子功能的催化活性抗癌剂作用。我们的初步研究发现,以大宗替代成分为特征的复杂的IPr-Au-Cl,在GSH的存在下催化启动了电离子探针,并触发了从NADH到NAD+的氢化物转移。</w:t>
      </w:r>
    </w:p>
    <w:p>
      <w:pPr>
        <w:spacing w:before="0" w:after="200" w:lineRule="auto" w:line="276"/>
      </w:pPr>
      <w:r>
        <w:rPr>
          <w:b/>
        </w:rPr>
        <w:t xml:space="preserve">Abstract (EN): </w:t>
      </w:r>
      <w:r>
        <w:t>Metallodrug-induced immunogenicity offers significant potential for improving the efficacy of cancer immunotherapy with metals such as gold serving as a notable example. However, heavy metals may concurrently disrupt immune cell function, and a few of them can augment immunogenicity without compromising immunological integrity. Here, we report sterically bulky Au(I) complexes as catalytically active anticancer agents with the capability to reprogram immunomodulatory function. Our initial studies identified complex IPr-Au-Cl, characterized by bulky substituents, which catalytically activated an alkyne probe in the presence of GSH and triggered hydride transfer from NADH to NAD+. Subsequent structural optimization led to the development of Au-8, which showed an increased catalytic activity and improved cytotoxicity against cancer cells. Although Au-8 induced elevated ROS levels and immunogenic CRT exposure in cancer cells akin to auranofin, it triggered unique proteomic responses, notably showing minimal inhibition of thioredoxin reductase 1 (TrxR1), a crucial protein for maintaining immune cell function. Auranofin's inhibition of TrxR1 resulted in immunosuppression at one-seventh of its cytotoxic IC50 against cancer cells. In contrast, Au-8 not only maintained but also enhanced immune function in vitro, ex vivo, and in vivo, including activated immunogenic phagocytosis and cytotoxic effects in human peripheral blood mononuclear cells isolated from healthy donors. This study, therefore, presents a novel design for gold compounds that leverages steric hindrance to achieve catalytic anticancer activity without affecting TrxR1, opening avenues for future gold-based therapeutics with desirable immunomodulatory effects.</w:t>
      </w:r>
    </w:p>
    <w:p>
      <w:pPr>
        <w:spacing w:before="120" w:after="120"/>
      </w:pPr>
      <w:r>
        <w:rPr>
          <w:sz w:val="18"/>
        </w:rPr>
        <w:t>——————————————————————————————————————————————————————————————————————</w:t>
      </w:r>
    </w:p>
    <w:p>
      <w:pPr>
        <w:spacing w:before="160" w:after="40" w:line="240" w:lineRule="auto"/>
      </w:pPr>
      <w:r>
        <w:rPr>
          <w:b/>
        </w:rPr>
        <w:t xml:space="preserve">[310] </w:t>
      </w:r>
      <w:hyperlink r:id="rId506">
        <w:r>
          <w:rPr>
            <w:color w:val="1155CC"/>
            <w:u w:val="single"/>
          </w:rPr>
          <w:t>[ASAP] 内分子单纤维中的桥梁连通性二立方体旋转相互作用和三角对角动力学</w:t>
        </w:r>
      </w:hyperlink>
    </w:p>
    <w:p>
      <w:pPr>
        <w:spacing w:before="0" w:after="80"/>
      </w:pPr>
      <w:r>
        <w:rPr>
          <w:i/>
          <w:sz w:val="20"/>
        </w:rPr>
        <w:t>EN: [ASAP] Bridge Connectivity Dictates Spin Interactions and Triplet Pair Dynamics in Intramolecular Singlet Fission</w:t>
      </w:r>
    </w:p>
    <w:p>
      <w:pPr>
        <w:spacing w:before="0" w:after="120"/>
      </w:pPr>
      <w:r>
        <w:rPr>
          <w:b/>
        </w:rPr>
        <w:t xml:space="preserve">Source: </w:t>
      </w:r>
      <w:r>
        <w:t>Journal of the American Chemical Society: Latest Articles (ACS Publications)</w:t>
      </w:r>
      <w:r>
        <w:t xml:space="preserve">    </w:t>
      </w:r>
      <w:r>
        <w:rPr>
          <w:b/>
        </w:rPr>
        <w:t xml:space="preserve">Pub date: </w:t>
      </w:r>
      <w:r>
        <w:t>2026-02-17 13:55:54+00:00</w:t>
      </w:r>
      <w:r>
        <w:t xml:space="preserve">    </w:t>
      </w:r>
      <w:r>
        <w:rPr>
          <w:b/>
        </w:rPr>
        <w:t xml:space="preserve">DOI: </w:t>
      </w:r>
      <w:hyperlink r:id="rId507">
        <w:r>
          <w:rPr>
            <w:color w:val="1155CC"/>
            <w:u w:val="single"/>
          </w:rPr>
          <w:t>10.1021/jacs.5c14936</w:t>
        </w:r>
      </w:hyperlink>
    </w:p>
    <w:p>
      <w:pPr>
        <w:spacing w:before="0" w:after="120"/>
      </w:pPr>
      <w:r>
        <w:rPr>
          <w:b/>
        </w:rPr>
        <w:t xml:space="preserve">Notes: </w:t>
      </w:r>
      <w:r>
        <w:t>abstract_source=pubmed</w:t>
      </w:r>
    </w:p>
    <w:p>
      <w:pPr>
        <w:spacing w:before="0" w:after="80" w:lineRule="auto" w:line="276"/>
      </w:pPr>
      <w:r>
        <w:rPr>
          <w:b/>
        </w:rPr>
        <w:t xml:space="preserve">摘要（ZH）: </w:t>
      </w:r>
      <w:r>
        <w:t>电旋在确定分子激动状态的结构、动态和反应方面发挥着关键作用,包括单质裂变等多异质过程。 这些系统展示了三对三对状态,其兴奋状态动态可以通过分子工程进行广泛调控。 比如,共价连接的染色体之间的电子联动可以通过化学桥梁来随时调节,以控制相近性、量子干扰或共振效应。 然而,对于旋合互动如何受到染色体结构的影响,以及这如何影响三对重新组合动态,人们知之甚少。 在这里,我们调查了桥梁连接和染色体身份在调制染色体间交换和双极联动相互作用中的作用。</w:t>
      </w:r>
    </w:p>
    <w:p>
      <w:pPr>
        <w:spacing w:before="0" w:after="200" w:lineRule="auto" w:line="276"/>
      </w:pPr>
      <w:r>
        <w:rPr>
          <w:b/>
        </w:rPr>
        <w:t xml:space="preserve">Abstract (EN): </w:t>
      </w:r>
      <w:r>
        <w:t>Electron spin plays a critical role in determining the structure, dynamics, and reactivities of molecular excited states, including multiexciton processes such as singlet fission. These systems exhibit triplet pair states whose excited state dynamics can be widely tuned through molecular engineering. For example, the electronic coupling between covalently linked chromophores can be readily modulated using chemical bridges to control proximity, quantum interference, or resonance effects. However, less is known about how spin coupling interactions are impacted by chromophore architecture, and how this influences triplet pair recombination dynamics. Here, we investigate the role of bridge connectivity and chromophore identity in modulating interchromophore exchange and dipolar coupling interactions for a series of pentacene and tetracene dimers bridged by alternant hydrocarbons (phenylene, naphthalene, anthracene). Using both time-resolved electron paramagnetic resonance and transient absorption spectroscopy, we find that the boundedness and recombination pathways of the triplet pair spins are highly sensitive to molecular architecture and chromophore-specific magnetic dipolar interactions. Notably, nominally ferromagnetic and antiferromagnetic eigenstates result in distinct spin state orderings, consistent with predictions from quantum interference-based graphical models. These findings establish new design principles for tuning spin dynamics in iSF materials, with implications for photonic and quantum information applications.</w:t>
      </w:r>
    </w:p>
    <w:p>
      <w:pPr>
        <w:spacing w:before="120" w:after="120"/>
      </w:pPr>
      <w:r>
        <w:rPr>
          <w:sz w:val="18"/>
        </w:rPr>
        <w:t>——————————————————————————————————————————————————————————————————————</w:t>
      </w:r>
    </w:p>
    <w:p>
      <w:pPr>
        <w:spacing w:before="160" w:after="40" w:line="240" w:lineRule="auto"/>
      </w:pPr>
      <w:r>
        <w:rPr>
          <w:b/>
        </w:rPr>
        <w:t xml:space="preserve">[311] </w:t>
      </w:r>
      <w:hyperlink r:id="rId508">
        <w:r>
          <w:rPr>
            <w:color w:val="1155CC"/>
            <w:u w:val="single"/>
          </w:rPr>
          <w:t>[ASAP] 通过同步超声波和过氧化亚硝化物生成的精密麻醉剂能源转让,通过合成超声和过氧化亚硝化物生成的超光谱纳米蛋白,对 NIR-II</w:t>
        </w:r>
      </w:hyperlink>
    </w:p>
    <w:p>
      <w:pPr>
        <w:spacing w:before="0" w:after="80"/>
      </w:pPr>
      <w:r>
        <w:rPr>
          <w:i/>
          <w:sz w:val="20"/>
        </w:rPr>
        <w:t>EN: [ASAP] Spatiotemporally Controlled NIR-II Afterglow Nanoprobes via Synergistic Ultrasound and Peroxynitrite-Induced Energy Transfer for Precision Theranostics</w:t>
      </w:r>
    </w:p>
    <w:p>
      <w:pPr>
        <w:spacing w:before="0" w:after="120"/>
      </w:pPr>
      <w:r>
        <w:rPr>
          <w:b/>
        </w:rPr>
        <w:t xml:space="preserve">Source: </w:t>
      </w:r>
      <w:r>
        <w:t>Journal of the American Chemical Society: Latest Articles (ACS Publications)</w:t>
      </w:r>
      <w:r>
        <w:t xml:space="preserve">    </w:t>
      </w:r>
      <w:r>
        <w:rPr>
          <w:b/>
        </w:rPr>
        <w:t xml:space="preserve">Pub date: </w:t>
      </w:r>
      <w:r>
        <w:t>2026-02-17 14:07:05+00:00</w:t>
      </w:r>
      <w:r>
        <w:t xml:space="preserve">    </w:t>
      </w:r>
      <w:r>
        <w:rPr>
          <w:b/>
        </w:rPr>
        <w:t xml:space="preserve">DOI: </w:t>
      </w:r>
      <w:hyperlink r:id="rId509">
        <w:r>
          <w:rPr>
            <w:color w:val="1155CC"/>
            <w:u w:val="single"/>
          </w:rPr>
          <w:t>10.1021/jacs.5c18541</w:t>
        </w:r>
      </w:hyperlink>
    </w:p>
    <w:p>
      <w:pPr>
        <w:spacing w:before="0" w:after="120"/>
      </w:pPr>
      <w:r>
        <w:rPr>
          <w:b/>
        </w:rPr>
        <w:t xml:space="preserve">Notes: </w:t>
      </w:r>
      <w:r>
        <w:t>abstract_source=pubmed</w:t>
      </w:r>
    </w:p>
    <w:p>
      <w:pPr>
        <w:spacing w:before="0" w:after="80" w:lineRule="auto" w:line="276"/>
      </w:pPr>
      <w:r>
        <w:rPr>
          <w:b/>
        </w:rPr>
        <w:t xml:space="preserve">摘要（ZH）: </w:t>
      </w:r>
      <w:r>
        <w:t>在远程、非侵入性疾病诊断和治疗方面,随机控制的后天探测器代表了远程非侵入性疾病诊断和治疗方面的重大进步,然而,建造和操纵长波后天探测器的战略,提供高分辨率成像特性和有效的诊断和治疗能力,仍然是罕见和难以开发的。在这项研究中,我们介绍了一种通过结合一种包括遥控超声超声波和肿瘤环境特定过氧化硝酸盐(ONO-)诱发的能量转移过程的协同双刺激机制,用于精密肿瘤成像和治疗的随机受控NIR-II超光速二型纳米(FZ970),纳米Probe的设计方法是在纳米粒子中结合一种NIR-II后基子质和致氮素。</w:t>
      </w:r>
    </w:p>
    <w:p>
      <w:pPr>
        <w:spacing w:before="0" w:after="200" w:lineRule="auto" w:line="276"/>
      </w:pPr>
      <w:r>
        <w:rPr>
          <w:b/>
        </w:rPr>
        <w:t xml:space="preserve">Abstract (EN): </w:t>
      </w:r>
      <w:r>
        <w:t>Spatiotemporally controlled afterglow probes represent a significant advancement in remote, noninvasive disease diagnosis and therapy. However, strategies for constructing and manipulating long-wavelength afterglow probes that offer high-resolution imaging specificity and effective diagnostic and therapeutic capabilities are still rare and challenging to develop. In this study, we present a spatiotemporally controlled NIR-II afterglow nanoprobe (FZ970) for precision tumor imaging and therapy by integrating a synergistic dual-stimuli mechanism involving remotely controlled ultrasound and a tumor environment-specific peroxynitrite (ONOO-)-induced energy transfer process. The nanoprobe is designed by coencapsulating a NIR-II afterglow substrate and sonosensitizer within a nanoparticle. Upon remote ultrasound irradiation, singlet oxygen (1O2) is generated, which then interacts with tumor-specific ONOO- to trigger a chemiexcitation process, producing a persistent NIR-II afterglow via chemiluminescence resonance energy transfer (CRET). This synergistic mechanism enables precise spatiotemporal control over afterglow emission, ensuring high tumor selectivity and deep tissue penetration with minimal background interference. Moreover, the enhanced 1O2 production facilitates sonodynamic therapy (SDT), effectively abating tumors. This nanoprobe not only improves imaging accuracy but also provides real-time monitoring of therapeutic efficacy, offering a promising approach for personalized cancer treatment and advancement of precision theranostics.</w:t>
      </w:r>
    </w:p>
    <w:p>
      <w:pPr>
        <w:spacing w:before="120" w:after="120"/>
      </w:pPr>
      <w:r>
        <w:rPr>
          <w:sz w:val="18"/>
        </w:rPr>
        <w:t>——————————————————————————————————————————————————————————————————————</w:t>
      </w:r>
    </w:p>
    <w:p>
      <w:pPr>
        <w:spacing w:before="160" w:after="40" w:line="240" w:lineRule="auto"/>
      </w:pPr>
      <w:r>
        <w:rPr>
          <w:b/>
        </w:rPr>
        <w:t xml:space="preserve">[312] </w:t>
      </w:r>
      <w:hyperlink r:id="rId510">
        <w:r>
          <w:rPr>
            <w:color w:val="1155CC"/>
            <w:u w:val="single"/>
          </w:rPr>
          <w:t>[ASAP] 原生分解蛋白凝聚体的结构异异性和流体动力学</w:t>
        </w:r>
      </w:hyperlink>
    </w:p>
    <w:p>
      <w:pPr>
        <w:spacing w:before="0" w:after="80"/>
      </w:pPr>
      <w:r>
        <w:rPr>
          <w:i/>
          <w:sz w:val="20"/>
        </w:rPr>
        <w:t>EN: [ASAP] Structural Heterogeneity and Hydrodynamics of an Intrinsically Disordered Protein Condensate</w:t>
      </w:r>
    </w:p>
    <w:p>
      <w:pPr>
        <w:spacing w:before="0" w:after="120"/>
      </w:pPr>
      <w:r>
        <w:rPr>
          <w:b/>
        </w:rPr>
        <w:t xml:space="preserve">Source: </w:t>
      </w:r>
      <w:r>
        <w:t>Journal of the American Chemical Society: Latest Articles (ACS Publications)</w:t>
      </w:r>
      <w:r>
        <w:t xml:space="preserve">    </w:t>
      </w:r>
      <w:r>
        <w:rPr>
          <w:b/>
        </w:rPr>
        <w:t xml:space="preserve">Pub date: </w:t>
      </w:r>
      <w:r>
        <w:t>2026-02-17 14:20:17+00:00</w:t>
      </w:r>
      <w:r>
        <w:t xml:space="preserve">    </w:t>
      </w:r>
      <w:r>
        <w:rPr>
          <w:b/>
        </w:rPr>
        <w:t xml:space="preserve">DOI: </w:t>
      </w:r>
      <w:hyperlink r:id="rId511">
        <w:r>
          <w:rPr>
            <w:color w:val="1155CC"/>
            <w:u w:val="single"/>
          </w:rPr>
          <w:t>10.1021/jacs.5c19731</w:t>
        </w:r>
      </w:hyperlink>
    </w:p>
    <w:p>
      <w:pPr>
        <w:spacing w:before="0" w:after="120"/>
      </w:pPr>
      <w:r>
        <w:rPr>
          <w:b/>
        </w:rPr>
        <w:t xml:space="preserve">Notes: </w:t>
      </w:r>
      <w:r>
        <w:t>abstract_source=pubmed</w:t>
      </w:r>
    </w:p>
    <w:p>
      <w:pPr>
        <w:spacing w:before="0" w:after="80" w:lineRule="auto" w:line="276"/>
      </w:pPr>
      <w:r>
        <w:rPr>
          <w:b/>
        </w:rPr>
        <w:t xml:space="preserve">摘要（ZH）: </w:t>
      </w:r>
      <w:r>
        <w:t>生物学表明,通过有选择地将生物微生物分子分解成无膜器官,使生物化学转化、信号级联和机械增强等基本功能得以实现,从而精确控制了自由能源景观。虽然这些凝凝聚器的功能取决于其底部结构和流体动力学,但关于这些系统的分子量信息仍然很少。在这里,中子散射被用来探测内有障碍的加列金N-终点域的组织和动态。 这是一种外细胞电动器,负责在稀释和浓缩阶段促进细胞表面的液液-液体分离。稀释和浓缩溶液溶液溶液溶液溶液溶液溶液溶液溶液溶液溶液溶液溶液溶液溶液溶液溶液溶液溶液溶液溶液溶液溶液溶液溶液溶液含有与中子溶胶合物平衡的单蛋白质链。</w:t>
      </w:r>
    </w:p>
    <w:p>
      <w:pPr>
        <w:spacing w:before="0" w:after="200" w:lineRule="auto" w:line="276"/>
      </w:pPr>
      <w:r>
        <w:rPr>
          <w:b/>
        </w:rPr>
        <w:t xml:space="preserve">Abstract (EN): </w:t>
      </w:r>
      <w:r>
        <w:t>Biology demonstrates precise control over the free-energy landscape through the selective partitioning of biomacromolecules into membraneless organelles, enabling essential functions such as biochemical transformations, signaling cascades, and mechanical reinforcement. Although the function of these condensates depends on their underlying structure and hydrodynamics, molecular-scale information on these systems remains sparse. Here, neutron scattering is used to probe the organization and dynamics of the intrinsically disordered N-terminal domain of Galectin-3, an extracellular lectin responsible for facilitating liquid-liquid phase separation on the cellular surface, in both dilute and condensed phases. Dilute solutions contain isolated protein chains in equilibrium with mesoscopic clusters, whereas the condensed phase adopts a bicontinuous, microemulsion-like morphology. The dilute phase behavior is quantitatively described by coarse-grained polymer models from soft-matter physics, demonstrating their predictive power for complex biological proteins. At elevated concentrations, the proteins self-assemble akin to block copolymers, microphase separating through the aggregation of hydrophobic domains along the protein contour. The resulting condensate remains fluid-like despite a 25-fold increase in concentration; its internal hydrodynamics slow by only a factor of 3 relative to dilute protein chains. These results provide a molecular-level framework for how disordered proteins achieve both the structural complexity and dynamic fluidity of biomolecular condensates.</w:t>
      </w:r>
    </w:p>
    <w:p>
      <w:pPr>
        <w:spacing w:before="120" w:after="120"/>
      </w:pPr>
      <w:r>
        <w:rPr>
          <w:sz w:val="18"/>
        </w:rPr>
        <w:t>——————————————————————————————————————————————————————————————————————</w:t>
      </w:r>
    </w:p>
    <w:p>
      <w:pPr>
        <w:spacing w:before="160" w:after="40" w:line="240" w:lineRule="auto"/>
      </w:pPr>
      <w:r>
        <w:rPr>
          <w:b/>
        </w:rPr>
        <w:t xml:space="preserve">[313] </w:t>
      </w:r>
      <w:hyperlink r:id="rId512">
        <w:r>
          <w:rPr>
            <w:color w:val="1155CC"/>
            <w:u w:val="single"/>
          </w:rPr>
          <w:t>[ASAP] 在可缩缩金属-有机框架内将选择性气相乙烯二化为1-丁</w:t>
        </w:r>
      </w:hyperlink>
    </w:p>
    <w:p>
      <w:pPr>
        <w:spacing w:before="0" w:after="80"/>
      </w:pPr>
      <w:r>
        <w:rPr>
          <w:i/>
          <w:sz w:val="20"/>
        </w:rPr>
        <w:t>EN: [ASAP] Selective Gas-Phase Ethylene Dimerization to 1-Butene in a Scalable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2026-02-17 14:33:00+00:00</w:t>
      </w:r>
      <w:r>
        <w:t xml:space="preserve">    </w:t>
      </w:r>
      <w:r>
        <w:rPr>
          <w:b/>
        </w:rPr>
        <w:t xml:space="preserve">DOI: </w:t>
      </w:r>
      <w:hyperlink r:id="rId513">
        <w:r>
          <w:rPr>
            <w:color w:val="1155CC"/>
            <w:u w:val="single"/>
          </w:rPr>
          <w:t>10.1021/jacs.5c21528</w:t>
        </w:r>
      </w:hyperlink>
    </w:p>
    <w:p>
      <w:pPr>
        <w:spacing w:before="0" w:after="120"/>
      </w:pPr>
      <w:r>
        <w:rPr>
          <w:b/>
        </w:rPr>
        <w:t xml:space="preserve">Notes: </w:t>
      </w:r>
      <w:r>
        <w:t>abstract_source=pubmed</w:t>
      </w:r>
    </w:p>
    <w:p>
      <w:pPr>
        <w:spacing w:before="0" w:after="80" w:lineRule="auto" w:line="276"/>
      </w:pPr>
      <w:r>
        <w:rPr>
          <w:b/>
        </w:rPr>
        <w:t xml:space="preserve">摘要（ZH）: </w:t>
      </w:r>
      <w:r>
        <w:t>高纯度1-丁苯是塑料工业的关键原料,目前由同质催化乙烯二二二化生产,这种规模的工艺可受益于异异式催化,特别是当反应剂在气相中交付时,允许产品回流,但气相乙烯二化催化剂极少见,通常显示活动活动非常少或选择性减少。 我们报告使用可缩放、稳健的MOF催化剂(镍交换的CFA-1、Ni-CFA-1、Ni-CFA-1)用于乙烯连续气相二化以生产1-丁的气相。在含有MOF催化剂的包装床式反应堆中在没有溶剂的条件下运行,该反应堆以简单和直接的方式预先激活MOF催化剂,MeNI-CFA-1提供了极好的选择性。</w:t>
      </w:r>
    </w:p>
    <w:p>
      <w:pPr>
        <w:spacing w:before="0" w:after="200" w:lineRule="auto" w:line="276"/>
      </w:pPr>
      <w:r>
        <w:rPr>
          <w:b/>
        </w:rPr>
        <w:t xml:space="preserve">Abstract (EN): </w:t>
      </w:r>
      <w:r>
        <w:t>High-purity 1-butene is a crucial feedstock for the plastics industry and is currently produced by homogeneously catalyzed ethylene dimerization. Processes of this scale can benefit from heterogeneous catalysis, especially if reactants are delivered in the gas phase, to allow product recovery in flow. However, catalysts for gas-phase ethylene dimerization are exceedingly rare and generally show very low activity or reduced selectivity. Here, we report the use of a scalable, robust MOF catalyst (nickel-exchanged CFA-1, Ni-CFA-1) for the continuous gas-phase dimerization of ethylene to produce 1-butene. Operating under solvent-free conditions in a packed-bed reactor containing the MOF catalyst preactivated with a simple and straightforward approach, MeNi-CFA-1 delivers excellent selectivity (96%), turnover frequencies greater than 800,000 mol ethylene·mol Ni-1·h-1, and total turnover numbers of 1.23 × 108 mol ethylene·mol Ni-1, all exceeding the values observed for the commercial homogeneous catalyst. This flow process produces 49.4 kg 1-butene·g MOF-1 without requiring catalyst reactivation. The elimination of solvent allows a significantly higher concentration of ethylene near the Ni active sites, while the flow process drives away the butene product, thus suppressing undesired isomerization and oligomerization byproducts. Overall, this work highlights how MOFs can facilitate reactivity inconceivable for a molecular analogue and bridge the gap between molecular precision and industrial practicality, broadly illustrating the value of MOFs for the development of novel, selective, and scalable heterogeneous processes for the production of commodity chemicals.</w:t>
      </w:r>
    </w:p>
    <w:p>
      <w:pPr>
        <w:spacing w:before="120" w:after="120"/>
      </w:pPr>
      <w:r>
        <w:rPr>
          <w:sz w:val="18"/>
        </w:rPr>
        <w:t>——————————————————————————————————————————————————————————————————————</w:t>
      </w:r>
    </w:p>
    <w:p>
      <w:pPr>
        <w:spacing w:before="160" w:after="40" w:line="240" w:lineRule="auto"/>
      </w:pPr>
      <w:r>
        <w:rPr>
          <w:b/>
        </w:rPr>
        <w:t xml:space="preserve">[314] </w:t>
      </w:r>
      <w:hyperlink r:id="rId514">
        <w:r>
          <w:rPr>
            <w:color w:val="1155CC"/>
            <w:u w:val="single"/>
          </w:rPr>
          <w:t>[ASAP] 使用以五氯苯酚为基础的NHC-Pype Pincer Pype的催化氮氮化复合物使用Molybdenum-Oxo 来固化催化性氮化物</w:t>
        </w:r>
      </w:hyperlink>
    </w:p>
    <w:p>
      <w:pPr>
        <w:spacing w:before="0" w:after="80"/>
      </w:pPr>
      <w:r>
        <w:rPr>
          <w:i/>
          <w:sz w:val="20"/>
        </w:rPr>
        <w:t>EN: [ASAP] Catalytic Nitrogen Fixation Using Molybdenum–Oxo Complexes Bearing NHC-Based PCP-Type Pincer Ligands Via Oxo-to-Nitride 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2026-02-17 14:34:06+00:00</w:t>
      </w:r>
      <w:r>
        <w:t xml:space="preserve">    </w:t>
      </w:r>
      <w:r>
        <w:rPr>
          <w:b/>
        </w:rPr>
        <w:t xml:space="preserve">DOI: </w:t>
      </w:r>
      <w:hyperlink r:id="rId515">
        <w:r>
          <w:rPr>
            <w:color w:val="1155CC"/>
            <w:u w:val="single"/>
          </w:rPr>
          <w:t>10.1021/jacs.5c21715</w:t>
        </w:r>
      </w:hyperlink>
    </w:p>
    <w:p>
      <w:pPr>
        <w:spacing w:before="0" w:after="120"/>
      </w:pPr>
      <w:r>
        <w:rPr>
          <w:b/>
        </w:rPr>
        <w:t xml:space="preserve">Notes: </w:t>
      </w:r>
      <w:r>
        <w:t>abstract_source=pubmed</w:t>
      </w:r>
    </w:p>
    <w:p>
      <w:pPr>
        <w:spacing w:before="0" w:after="80" w:lineRule="auto" w:line="276"/>
      </w:pPr>
      <w:r>
        <w:rPr>
          <w:b/>
        </w:rPr>
        <w:t xml:space="preserve">摘要（ZH）: </w:t>
      </w:r>
      <w:r>
        <w:t>开发与水相兼容的分子催化剂对于实现可持续氨合成至关重要,在这方面,金属-氧化物物种很少被确认为固氮催化剂,而是被视作通过低价金属与水的复合体反应形成的死端物种。在此,我们报告了一系列以NHC为基础的以NHC为基础的以NHC为基础的以NHC为基础的以NHC为基体的五氯苯酚型球螺,及其作为在环境反应条件下形成氨的催化剂前体的用途。根据相应的三碘化物综合体与水的反应,制作了摩尔本-氧化物复合体。N2的大气压力反应,将SmI2作为再处理剂,水作为质源,而Molybdenum-oxo综合体作为催化剂出现。</w:t>
      </w:r>
    </w:p>
    <w:p>
      <w:pPr>
        <w:spacing w:before="0" w:after="200" w:lineRule="auto" w:line="276"/>
      </w:pPr>
      <w:r>
        <w:rPr>
          <w:b/>
        </w:rPr>
        <w:t xml:space="preserve">Abstract (EN): </w:t>
      </w:r>
      <w:r>
        <w:t>Development of molecular catalysts compatible with water is essential for achieving sustainable ammonia synthesis. In this context, metal-oxo species have rarely been recognized as catalysts for nitrogen fixation but, rather, regarded as dead-end species formed through the reaction of low-valent metal complexes with water. Herein, we report a series of cationic molybdenum-oxo complexes bearing NHC-based PCP-type pincer ligands and their utility as catalyst precursors for ammonia formation under ambient reaction conditions. The molybdenum-oxo complexes were prepared from reactions of the corresponding triiodide complexes with water. Reactions of an atmospheric pressure of N2 with SmI2 as a reductant and water as a proton source in the presence of the molybdenum-oxo complexes as catalysts at room temperature afforded up to 22,000 equiv of ammonia based on the molybdenum atom. The oxo complexes also served as effective catalysts for ammonia formation employing metallocenes and pyridinium salts. Stoichiometric reactions, electrochemical measurements, and DFT calculations revealed that the oxo complexes are readily converted into the corresponding nitride complexes as catalytically active species. The oxo-to-nitride conversion is triggered by oxygen abstraction with SmI2 or by protonation/reduction steps to form aqua complexes, followed by N≡N bond cleavage of the coordinated N2. We also revealed the reverse reaction from the nitride complex to the oxo complex in the presence of H2O under reductive conditions. Our study demonstrates that molybdenum-oxo complexes should not be merely regarded as dead-end species but as viable catalyst precursors, offering new options for catalyst design toward sustainable nitrogen fixation.</w:t>
      </w:r>
    </w:p>
    <w:p>
      <w:pPr>
        <w:spacing w:before="120" w:after="120"/>
      </w:pPr>
      <w:r>
        <w:rPr>
          <w:sz w:val="18"/>
        </w:rPr>
        <w:t>——————————————————————————————————————————————————————————————————————</w:t>
      </w:r>
    </w:p>
    <w:p>
      <w:pPr>
        <w:spacing w:before="160" w:after="40" w:line="240" w:lineRule="auto"/>
      </w:pPr>
      <w:r>
        <w:rPr>
          <w:b/>
        </w:rPr>
        <w:t xml:space="preserve">[315] </w:t>
      </w:r>
      <w:hyperlink r:id="rId516">
        <w:r>
          <w:rPr>
            <w:color w:val="1155CC"/>
            <w:u w:val="single"/>
          </w:rPr>
          <w:t>[ASAP] 4d协调框架中的 Redox非无辜和对称脱</w:t>
        </w:r>
      </w:hyperlink>
    </w:p>
    <w:p>
      <w:pPr>
        <w:spacing w:before="0" w:after="80"/>
      </w:pPr>
      <w:r>
        <w:rPr>
          <w:i/>
          <w:sz w:val="20"/>
        </w:rPr>
        <w:t>EN: [ASAP] Interplay of Redox Non-Innocence and Symmetry Breaking in a 4d Coordination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2026-02-17 15:17:02+00:00</w:t>
      </w:r>
      <w:r>
        <w:t xml:space="preserve">    </w:t>
      </w:r>
      <w:r>
        <w:rPr>
          <w:b/>
        </w:rPr>
        <w:t xml:space="preserve">DOI: </w:t>
      </w:r>
      <w:hyperlink r:id="rId517">
        <w:r>
          <w:rPr>
            <w:color w:val="1155CC"/>
            <w:u w:val="single"/>
          </w:rPr>
          <w:t>10.1021/jacs.5c19779</w:t>
        </w:r>
      </w:hyperlink>
    </w:p>
    <w:p>
      <w:pPr>
        <w:spacing w:before="0" w:after="120"/>
      </w:pPr>
      <w:r>
        <w:rPr>
          <w:b/>
        </w:rPr>
        <w:t xml:space="preserve">Notes: </w:t>
      </w:r>
      <w:r>
        <w:t>abstract_source=pubmed</w:t>
      </w:r>
    </w:p>
    <w:p>
      <w:pPr>
        <w:spacing w:before="0" w:after="80" w:lineRule="auto" w:line="276"/>
      </w:pPr>
      <w:r>
        <w:rPr>
          <w:b/>
        </w:rPr>
        <w:t xml:space="preserve">摘要（ZH）: </w:t>
      </w:r>
      <w:r>
        <w:t>将4D和5D金属离子纳入协调框架提供了一条强大的量子材料路线,在这种路线上,轨道离位和旋轨相联重塑磁场和电子地面状态仍然难以合成进入。然而,这些系统仍然难以合成进入。这里我们报告的是Mo(pyz)2I2,这是第一个由配有1个配有1个半磁4D金属中心的双子桥平方拉曲框架,它使用新的有机金属先质路线获得,使Mo能够结合。结构和光谱数据建立了一种MIII({pyz2-)I2配方,并揭示了明显的离子和再氧化非神经性,同时还存在因中性和减少的丙津联系器的无序分布而导致的局部对称破碎。第一次实验观测了在丙津基底的局部对等离子的测量。</w:t>
      </w:r>
    </w:p>
    <w:p>
      <w:pPr>
        <w:spacing w:before="0" w:after="200" w:lineRule="auto" w:line="276"/>
      </w:pPr>
      <w:r>
        <w:rPr>
          <w:b/>
        </w:rPr>
        <w:t xml:space="preserve">Abstract (EN): </w:t>
      </w:r>
      <w:r>
        <w:t>Incorporating 4d and 5d metal ions into coordination frameworks offers a powerful route to quantum materials where orbital delocalization and spin-orbit coupling reshape magnetic and electronic ground states. However, such systems remain difficult to access synthetically. Here we report Mo(pyz)2I2, the first pyrazine-bridged square-lattice framework featuring a paramagnetic 4d metal center, obtained using a new organometallic precursor route that enables Mo incorporation. Structural and spectroscopic data establish a MoIII({pyz2}•-)I2 formulation and reveal pronounced ligand redox non-innocence accompanied by local symmetry breaking arising from a disordered distribution of neutral and reduced pyrazine linkers─the first experimental observation of local symmetry lowering in a pyrazine-based coordination solid. Magnetic measurements show strong antiferromagnetic interactions without clear evidence of long-range order, and electrical transport indicates narrow-gap semiconducting behavior. Extending pyrazine framework chemistry to the 4d block thus requires new synthetic strategies and reveals new local structural and magnetic degrees of freedom, positioning Mo(pyz)2I2 as a prototype for designing correlated and spin-orbit-entangled states in molecule-based quantum materials based on heavier transition metals.</w:t>
      </w:r>
    </w:p>
    <w:p>
      <w:pPr>
        <w:spacing w:before="120" w:after="120"/>
      </w:pPr>
      <w:r>
        <w:rPr>
          <w:sz w:val="18"/>
        </w:rPr>
        <w:t>——————————————————————————————————————————————————————————————————————</w:t>
      </w:r>
    </w:p>
    <w:p>
      <w:pPr>
        <w:spacing w:before="160" w:after="40" w:line="240" w:lineRule="auto"/>
      </w:pPr>
      <w:r>
        <w:rPr>
          <w:b/>
        </w:rPr>
        <w:t xml:space="preserve">[316] </w:t>
      </w:r>
      <w:hyperlink r:id="rId518">
        <w:r>
          <w:rPr>
            <w:color w:val="1155CC"/>
            <w:u w:val="single"/>
          </w:rPr>
          <w:t>[ASAP]二苯并氯环环球和二苯环球联效增强抗原交叉供应和T-阴道杀杀阳性癌症疫苗</w:t>
        </w:r>
      </w:hyperlink>
    </w:p>
    <w:p>
      <w:pPr>
        <w:spacing w:before="0" w:after="80"/>
      </w:pPr>
      <w:r>
        <w:rPr>
          <w:i/>
          <w:sz w:val="20"/>
        </w:rPr>
        <w:t>EN: [ASAP] Dibenzocyclooctyne Conjugation Enhances Antigen Cross-Presentation and T-Cell Killing for Potent Cancer Vaccines</w:t>
      </w:r>
    </w:p>
    <w:p>
      <w:pPr>
        <w:spacing w:before="0" w:after="120"/>
      </w:pPr>
      <w:r>
        <w:rPr>
          <w:b/>
        </w:rPr>
        <w:t xml:space="preserve">Source: </w:t>
      </w:r>
      <w:r>
        <w:t>Journal of the American Chemical Society: Latest Articles (ACS Publications)</w:t>
      </w:r>
      <w:r>
        <w:t xml:space="preserve">    </w:t>
      </w:r>
      <w:r>
        <w:rPr>
          <w:b/>
        </w:rPr>
        <w:t xml:space="preserve">Pub date: </w:t>
      </w:r>
      <w:r>
        <w:t>2026-02-17 15:17:44+00:00</w:t>
      </w:r>
      <w:r>
        <w:t xml:space="preserve">    </w:t>
      </w:r>
      <w:r>
        <w:rPr>
          <w:b/>
        </w:rPr>
        <w:t xml:space="preserve">DOI: </w:t>
      </w:r>
      <w:hyperlink r:id="rId519">
        <w:r>
          <w:rPr>
            <w:color w:val="1155CC"/>
            <w:u w:val="single"/>
          </w:rPr>
          <w:t>10.1021/jacs.5c17189</w:t>
        </w:r>
      </w:hyperlink>
    </w:p>
    <w:p>
      <w:pPr>
        <w:spacing w:before="0" w:after="120"/>
      </w:pPr>
      <w:r>
        <w:rPr>
          <w:b/>
        </w:rPr>
        <w:t xml:space="preserve">Notes: </w:t>
      </w:r>
      <w:r>
        <w:t>abstract_source=pubmed</w:t>
      </w:r>
    </w:p>
    <w:p>
      <w:pPr>
        <w:spacing w:before="0" w:after="80" w:lineRule="auto" w:line="276"/>
      </w:pPr>
      <w:r>
        <w:rPr>
          <w:b/>
        </w:rPr>
        <w:t xml:space="preserve">摘要（ZH）: </w:t>
      </w:r>
      <w:r>
        <w:t>癌症疫苗在肿瘤预防和治疗方面得到了相当大的关注;然而,由于抗原特定细胞毒性T淋巴细胞(CTLs)的激活不足,其临床功效仍然有限,这主要是因为常规疫苗部件无法有效促进登地性细胞的交叉介绍和激活,尽管经常使用抗药剂加强这种相互作用,但许多常规副作用的抗药剂的生物兼容性和系统毒性很差,限制了它们的临床效用。我们报告的一项疫苗战略是利用生物口点击化学试剂二苯并环球晶体(DBCO)作为辅助性免疫增强剂促进交叉展示和CTL反应。</w:t>
      </w:r>
    </w:p>
    <w:p>
      <w:pPr>
        <w:spacing w:before="0" w:after="200" w:lineRule="auto" w:line="276"/>
      </w:pPr>
      <w:r>
        <w:rPr>
          <w:b/>
        </w:rPr>
        <w:t xml:space="preserve">Abstract (EN): </w:t>
      </w:r>
      <w:r>
        <w:t>Cancer vaccines have gained considerable attention for tumor prevention and therapy; however, their clinical efficacy remains limited by insufficient activation of antigen-specific cytotoxic T lymphocytes (CTLs). This limitation is primarily due to the inability of conventional vaccine components to effectively promote dendritic-cell-mediated cross-presentation and activation. While adjuvants are often used to enhance this interaction, many conventional adjuvants suffer from poor biocompatibility and systemic toxicity, limiting their clinical utility. Here, we report a vaccine strategy that leverages the bioorthogonal click chemistry reagent dibenzocyclooctyne (DBCO) as an adjuvant-like immune enhancer to promote cross-presentation and a CTL response. DBCO modification to antigen significantly increased antigen uptake by dendritic cells in vitro and promoted MHC class I-mediated cross-presentation via activation of the NF-κB/iNOS signaling pathway. In murine tumor models, systemic administration of DBCO-conjugated protein vaccines elicited enhanced CD8+ T-cell activation, leading to improved tumor control and long-term immune memory. Furthermore, DBCO-modified protein vaccines significantly suppressed tumor metastasis when combined with anti-PD-1 treatment. Collectively, our findings extend the immunotherapeutic potential of click chemistry reagents and establish a promising platform for enhancing CTL-mediated cancer vaccine efficacy in clinical settings.</w:t>
      </w:r>
    </w:p>
    <w:p>
      <w:pPr>
        <w:spacing w:before="120" w:after="120"/>
      </w:pPr>
      <w:r>
        <w:rPr>
          <w:sz w:val="18"/>
        </w:rPr>
        <w:t>——————————————————————————————————————————————————————————————————————</w:t>
      </w:r>
    </w:p>
    <w:p>
      <w:pPr>
        <w:spacing w:before="160" w:after="40" w:line="240" w:lineRule="auto"/>
      </w:pPr>
      <w:r>
        <w:rPr>
          <w:b/>
        </w:rPr>
        <w:t xml:space="preserve">[317] </w:t>
      </w:r>
      <w:hyperlink r:id="rId520">
        <w:r>
          <w:rPr>
            <w:color w:val="1155CC"/>
            <w:u w:val="single"/>
          </w:rPr>
          <w:t>[ASAP]活细胞中蛋白-药物综合体Situ探测中单细胞土著群谱度</w:t>
        </w:r>
      </w:hyperlink>
    </w:p>
    <w:p>
      <w:pPr>
        <w:spacing w:before="0" w:after="80"/>
      </w:pPr>
      <w:r>
        <w:rPr>
          <w:i/>
          <w:sz w:val="20"/>
        </w:rPr>
        <w:t>EN: [ASAP] Single-Cell Native Mass Spectrometry for In Situ Detection of Protein–Drug Complexes in Live Cells</w:t>
      </w:r>
    </w:p>
    <w:p>
      <w:pPr>
        <w:spacing w:before="0" w:after="120"/>
      </w:pPr>
      <w:r>
        <w:rPr>
          <w:b/>
        </w:rPr>
        <w:t xml:space="preserve">Source: </w:t>
      </w:r>
      <w:r>
        <w:t>Journal of the American Chemical Society: Latest Articles (ACS Publications)</w:t>
      </w:r>
      <w:r>
        <w:t xml:space="preserve">    </w:t>
      </w:r>
      <w:r>
        <w:rPr>
          <w:b/>
        </w:rPr>
        <w:t xml:space="preserve">Pub date: </w:t>
      </w:r>
      <w:r>
        <w:t>2026-02-17 15:42:10+00:00</w:t>
      </w:r>
      <w:r>
        <w:t xml:space="preserve">    </w:t>
      </w:r>
      <w:r>
        <w:rPr>
          <w:b/>
        </w:rPr>
        <w:t xml:space="preserve">DOI: </w:t>
      </w:r>
      <w:hyperlink r:id="rId521">
        <w:r>
          <w:rPr>
            <w:color w:val="1155CC"/>
            <w:u w:val="single"/>
          </w:rPr>
          <w:t>10.1021/jacs.5c17263</w:t>
        </w:r>
      </w:hyperlink>
    </w:p>
    <w:p>
      <w:pPr>
        <w:spacing w:before="0" w:after="120"/>
      </w:pPr>
      <w:r>
        <w:rPr>
          <w:b/>
        </w:rPr>
        <w:t xml:space="preserve">Notes: </w:t>
      </w:r>
      <w:r>
        <w:t>abstract_source=pubmed</w:t>
      </w:r>
    </w:p>
    <w:p>
      <w:pPr>
        <w:spacing w:before="0" w:after="80" w:lineRule="auto" w:line="276"/>
      </w:pPr>
      <w:r>
        <w:rPr>
          <w:b/>
        </w:rPr>
        <w:t xml:space="preserve">摘要（ZH）: </w:t>
      </w:r>
      <w:r>
        <w:t>单细胞本地质谱测定(MS)极有可能对单个活细胞内的生物事件进行高度敏感的现场现场分析。在这里,我们展示了显著的进步,能够直接探测单人细胞中的蛋白质药物综合体。我们首先利用我们的单细胞本地质谱测量方法,建立了HEK293T细胞中表示的强化绿色荧光蛋白的强力和可复制检测。为了调查与这种方法的蛋白-同比相互作用,人类Sortuin 2 乙酮脱乙基酶域(SIRT2 HDAC)与EGFP结合,在HEK293T细胞中表达过量。然而,这种EGFP-SIRT2 HDA聚变蛋白质的表达水平太低,单细胞本地质谱仪无法检测蛋白信号。要克服这一切片。</w:t>
      </w:r>
    </w:p>
    <w:p>
      <w:pPr>
        <w:spacing w:before="0" w:after="200" w:lineRule="auto" w:line="276"/>
      </w:pPr>
      <w:r>
        <w:rPr>
          <w:b/>
        </w:rPr>
        <w:t xml:space="preserve">Abstract (EN): </w:t>
      </w:r>
      <w:r>
        <w:t>Single-cell native mass spectrometry (MS) holds immense potential for highly sensitive in situ analysis of biological events within individual live cells. Herein, we present a significant advancement that enables the direct detection of protein-drug complexes in single human cells. We first established the robust and reproducible detection of enhanced green fluorescent protein (EGFP) expressed in HEK293T cells using our single-cell native MS approach. To investigate protein-inhibitor interactions with this approach, human Sirtuin 2 histone deacetylase domain (SIRT2 HDAC) was fused with EGFP and overexpressed in HEK293T cells. However, the expression level of this EGFP-SIRT2 HDAC fusion protein was too low for the detection of protein signals by single-cell native MS. To overcome this challenge, we employed a P2A peptide linker strategy to achieve coexpression of independent EGFP and SIRT2 HDAC at suitable levels within the same cell. This strategy enabled the clear identification of multiply charged ions for both proteins and, crucially, the observation of SIRT2 HDAC-drug complex ions within a single live cell. Our platform establishes a transformative approach for characterizing protein-drug interactions in their native cellular environment at the single-cell level, with potential applications in cell-cycle-resolved pharmacology and drug discovery.</w:t>
      </w:r>
    </w:p>
    <w:p>
      <w:pPr>
        <w:spacing w:before="120" w:after="120"/>
      </w:pPr>
      <w:r>
        <w:rPr>
          <w:sz w:val="18"/>
        </w:rPr>
        <w:t>——————————————————————————————————————————————————————————————————————</w:t>
      </w:r>
    </w:p>
    <w:p>
      <w:pPr>
        <w:spacing w:before="160" w:after="40" w:line="240" w:lineRule="auto"/>
      </w:pPr>
      <w:r>
        <w:rPr>
          <w:b/>
        </w:rPr>
        <w:t xml:space="preserve">[318] </w:t>
      </w:r>
      <w:hyperlink r:id="rId522">
        <w:r>
          <w:rPr>
            <w:color w:val="1155CC"/>
            <w:u w:val="single"/>
          </w:rPr>
          <w:t>[ASAP]利用固态NMR光谱仪检测土著细菌膜中巴氏和巴米埃的成形</w:t>
        </w:r>
      </w:hyperlink>
    </w:p>
    <w:p>
      <w:pPr>
        <w:spacing w:before="0" w:after="80"/>
      </w:pPr>
      <w:r>
        <w:rPr>
          <w:i/>
          <w:sz w:val="20"/>
        </w:rPr>
        <w:t>EN: [ASAP] Probing the Conformation of BamC and BamE in Native Bacterial Membranes Using Solid-State NMR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2026-02-17 15:45:46+00:00</w:t>
      </w:r>
      <w:r>
        <w:t xml:space="preserve">    </w:t>
      </w:r>
      <w:r>
        <w:rPr>
          <w:b/>
        </w:rPr>
        <w:t xml:space="preserve">DOI: </w:t>
      </w:r>
      <w:hyperlink r:id="rId523">
        <w:r>
          <w:rPr>
            <w:color w:val="1155CC"/>
            <w:u w:val="single"/>
          </w:rPr>
          <w:t>10.1021/jacs.5c19778</w:t>
        </w:r>
      </w:hyperlink>
    </w:p>
    <w:p>
      <w:pPr>
        <w:spacing w:before="0" w:after="120"/>
      </w:pPr>
      <w:r>
        <w:rPr>
          <w:b/>
        </w:rPr>
        <w:t xml:space="preserve">Notes: </w:t>
      </w:r>
      <w:r>
        <w:t>abstract_source=pubmed</w:t>
      </w:r>
    </w:p>
    <w:p>
      <w:pPr>
        <w:spacing w:before="0" w:after="80" w:lineRule="auto" w:line="276"/>
      </w:pPr>
      <w:r>
        <w:rPr>
          <w:b/>
        </w:rPr>
        <w:t xml:space="preserve">摘要（ZH）: </w:t>
      </w:r>
      <w:r>
        <w:t>Lipoproteins参与了细胞膜内和细胞膜周围的各种细胞过程,一个突出的例子涉及由β-巴雷尔组装机(BAM)介介介的外膜蛋白蛋白的生物起源,该机由集成膜蛋白巴马和若干脂质蛋白(BamB-BamE)组成。我们结合了当地细菌环境的固态NMR光谱和分子动态模拟,调查了原生细菌膜的脂质蛋白BamC和巴姆埃的结构整齐、动态和表层学。我们发现,在BamC和巴姆埃,与原生的膜环境有关时,与它们完全组装的BAM综合体的相容化情况相比,我们发现了巨大的动态和地貌差异。</w:t>
      </w:r>
    </w:p>
    <w:p>
      <w:pPr>
        <w:spacing w:before="0" w:after="200" w:lineRule="auto" w:line="276"/>
      </w:pPr>
      <w:r>
        <w:rPr>
          <w:b/>
        </w:rPr>
        <w:t xml:space="preserve">Abstract (EN): </w:t>
      </w:r>
      <w:r>
        <w:t>Lipoproteins are involved in diverse cellular processes that take place in and around cell membranes. A prominent example refers to the biogenesis of outer membrane proteins mediated by the β-barrel assembly machinery (BAM) that comprises the integral membrane protein BamA and several lipoproteins (BamB-BamE). Using a combination of solid-state NMR spectroscopy in native bacterial settings and molecular dynamics (MD) simulations, we have investigated the structural conformation, dynamics, and topology of lipoproteins BamC and BamE in their native bacterial membrane at the atomic level. We found significant dynamic and topological differences in BamC and BamE when associated with their native membrane settings as compared to their conformation within the fully assembled BAM complex. The combination of these dynamic protein-protein and protein-membrane interactions may be critical to modulating the activity of BamA during BAM-mediated protein insertion.</w:t>
      </w:r>
    </w:p>
    <w:p>
      <w:pPr>
        <w:spacing w:before="120" w:after="120"/>
      </w:pPr>
      <w:r>
        <w:rPr>
          <w:sz w:val="18"/>
        </w:rPr>
        <w:t>——————————————————————————————————————————————————————————————————————</w:t>
      </w:r>
    </w:p>
    <w:p>
      <w:pPr>
        <w:spacing w:before="160" w:after="40" w:line="240" w:lineRule="auto"/>
      </w:pPr>
      <w:r>
        <w:rPr>
          <w:b/>
        </w:rPr>
        <w:t xml:space="preserve">[319] </w:t>
      </w:r>
      <w:hyperlink r:id="rId524">
        <w:r>
          <w:rPr>
            <w:color w:val="1155CC"/>
            <w:u w:val="single"/>
          </w:rPr>
          <w:t>[ASAP]多反应性发射多反应性粒子的宏观周期共价组合:在高效深蓝低温层中了解和控制相互作用</w:t>
        </w:r>
      </w:hyperlink>
    </w:p>
    <w:p>
      <w:pPr>
        <w:spacing w:before="0" w:after="80"/>
      </w:pPr>
      <w:r>
        <w:rPr>
          <w:i/>
          <w:sz w:val="20"/>
        </w:rPr>
        <w:t>EN: [ASAP] Macrocyclic Covalent Encapsulation of a Multi-Resonant Emitter: Understanding and Controlling Interactions in Highly Efficient Deep-Blue OLEDs</w:t>
      </w:r>
    </w:p>
    <w:p>
      <w:pPr>
        <w:spacing w:before="0" w:after="120"/>
      </w:pPr>
      <w:r>
        <w:rPr>
          <w:b/>
        </w:rPr>
        <w:t xml:space="preserve">Source: </w:t>
      </w:r>
      <w:r>
        <w:t>Journal of the American Chemical Society: Latest Articles (ACS Publications)</w:t>
      </w:r>
      <w:r>
        <w:t xml:space="preserve">    </w:t>
      </w:r>
      <w:r>
        <w:rPr>
          <w:b/>
        </w:rPr>
        <w:t xml:space="preserve">Pub date: </w:t>
      </w:r>
      <w:r>
        <w:t>2026-02-17 15:51:30+00:00</w:t>
      </w:r>
      <w:r>
        <w:t xml:space="preserve">    </w:t>
      </w:r>
      <w:r>
        <w:rPr>
          <w:b/>
        </w:rPr>
        <w:t xml:space="preserve">DOI: </w:t>
      </w:r>
      <w:hyperlink r:id="rId525">
        <w:r>
          <w:rPr>
            <w:color w:val="1155CC"/>
            <w:u w:val="single"/>
          </w:rPr>
          <w:t>10.1021/jacs.5c16290</w:t>
        </w:r>
      </w:hyperlink>
    </w:p>
    <w:p>
      <w:pPr>
        <w:spacing w:before="0" w:after="120"/>
      </w:pPr>
      <w:r>
        <w:rPr>
          <w:b/>
        </w:rPr>
        <w:t xml:space="preserve">Notes: </w:t>
      </w:r>
      <w:r>
        <w:t>abstract_source=pubmed</w:t>
      </w:r>
    </w:p>
    <w:p>
      <w:pPr>
        <w:spacing w:before="0" w:after="80" w:lineRule="auto" w:line="276"/>
      </w:pPr>
      <w:r>
        <w:rPr>
          <w:b/>
        </w:rPr>
        <w:t xml:space="preserve">摘要（ZH）: </w:t>
      </w:r>
      <w:r>
        <w:t>多共振热热发热延迟荧光延缓发(MR-TADF)发射物已成为开发蓝有机发光二极管(OLEDs)的受欢迎的候选物,提供窄带排放、高光光光度量产量(PLQYs)和将暗色三重状态向亮单状态转化的能力。然而,它们的计划式多环结构促进了固态中有害的分子间相互作用,从而降低了颜色纯度,并引入了非辐射性损失路径。 此外,许多MR-TADF发射物的内在发光未能满足下一代显示技术所需的严格颜色纯度标准。 在这里,我们通过将蓝色移动的MR-TADF发射物混为一体,共同解决这些问题。</w:t>
      </w:r>
    </w:p>
    <w:p>
      <w:pPr>
        <w:spacing w:before="0" w:after="200" w:lineRule="auto" w:line="276"/>
      </w:pPr>
      <w:r>
        <w:rPr>
          <w:b/>
        </w:rPr>
        <w:t xml:space="preserve">Abstract (EN): </w:t>
      </w:r>
      <w:r>
        <w:t>Multi-resonant thermally activated delayed fluorescence (MR-TADF) emitters have emerged as popular candidates for the development of blue organic light-emitting diodes (OLEDs), offering narrowband emission, high photoluminescence quantum yields (PLQYs), and the ability to upconvert dark triplet states to bright singlet states. However, their planar polycyclic structures promote detrimental intermolecular interactions in the solid-state which diminish the color purity and introduce nonradiative loss pathways. Furthermore, the intrinsic luminescence of many MR-TADF emitters fails to satisfy the stringent color purity standards required for next-generation display technologies. Here, we synthetically address these issues by covalently encapsulating a blue-shifted MR-TADF emitter within a protective macrocyclic ring. We identify a previously undiscovered utility of macrocyclic encapsulation, whereby it can shield the MR core from the surrounding environment to enhance its radiative rate, PLQY, and reverse intersystem crossing (RISC) efficiency. Only with spectrally resolved transient photoluminescence measurements were we able to identify the weakly emissive aggregate and excimer species, and definitively confirm that the macrocycle suppresses their formation in the solid-state, thereby preserving narrowband deep-blue emission and reducing nonradiative losses. Notably, these performance enhancements were achieved without compromising thermal stability or vacuum-processability. When integrated into an OLED device based on the "hyperfluorescent" strategy, this emitter delivers an exceptional combined maximum external quantum efficiency (EQE) of 33% and (0.146, 0.046) CIEx,y coordinates with peak emission at 451 nm, satisfying BT.2020 blue color requirement, and significantly outperforming its nonencapsulated analogue. This material represents one of the highest efficiency deep-blue OLEDs to date and therefore establishes macrocyclic encapsulation as a powerful synthetic strategy for unlocking the full potential of MR-TADF materials for next-generation OLEDs.</w:t>
      </w:r>
    </w:p>
    <w:p>
      <w:pPr>
        <w:spacing w:before="120" w:after="120"/>
      </w:pPr>
      <w:r>
        <w:rPr>
          <w:sz w:val="18"/>
        </w:rPr>
        <w:t>——————————————————————————————————————————————————————————————————————</w:t>
      </w:r>
    </w:p>
    <w:p>
      <w:pPr>
        <w:spacing w:before="160" w:after="40" w:line="240" w:lineRule="auto"/>
      </w:pPr>
      <w:r>
        <w:rPr>
          <w:b/>
        </w:rPr>
        <w:t xml:space="preserve">[320] </w:t>
      </w:r>
      <w:hyperlink r:id="rId526">
        <w:r>
          <w:rPr>
            <w:color w:val="1155CC"/>
            <w:u w:val="single"/>
          </w:rPr>
          <w:t>[ASAP]更正为“环境条件下有机微粒中受干扰电场驱动的有机微粒中无磁性激进反应”</w:t>
        </w:r>
      </w:hyperlink>
    </w:p>
    <w:p>
      <w:pPr>
        <w:spacing w:before="0" w:after="80"/>
      </w:pPr>
      <w:r>
        <w:rPr>
          <w:i/>
          <w:sz w:val="20"/>
        </w:rPr>
        <w:t>EN: [ASAP] Correction to “Catalyst-Free Radical Reaction Driven by Interfacial Electric Fields in Organic Microdroplets under Ambient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2026-02-17 16:52:03+00:00</w:t>
      </w:r>
      <w:r>
        <w:t xml:space="preserve">    </w:t>
      </w:r>
      <w:r>
        <w:rPr>
          <w:b/>
        </w:rPr>
        <w:t xml:space="preserve">DOI: </w:t>
      </w:r>
      <w:hyperlink r:id="rId527">
        <w:r>
          <w:rPr>
            <w:color w:val="1155CC"/>
            <w:u w:val="single"/>
          </w:rPr>
          <w:t>10.1021/jacs.6c02031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[321] </w:t>
      </w:r>
      <w:hyperlink r:id="rId528">
        <w:r>
          <w:rPr>
            <w:color w:val="1155CC"/>
            <w:u w:val="single"/>
          </w:rPr>
          <w:t>[ASAP]通过一种精密二氧基酶Sclareolide二氧基酶直接进化对Arisugacins和Terreactones的化学酶合成</w:t>
        </w:r>
      </w:hyperlink>
    </w:p>
    <w:p>
      <w:pPr>
        <w:spacing w:before="0" w:after="80"/>
      </w:pPr>
      <w:r>
        <w:rPr>
          <w:i/>
          <w:sz w:val="20"/>
        </w:rPr>
        <w:t>EN: [ASAP] Chemoenzymatic Synthesis of Arisugacins and Terreulactones via Directed Evolution of a Privileged Sclareolide Dioxygenase</w:t>
      </w:r>
    </w:p>
    <w:p>
      <w:pPr>
        <w:spacing w:before="0" w:after="120"/>
      </w:pPr>
      <w:r>
        <w:rPr>
          <w:b/>
        </w:rPr>
        <w:t xml:space="preserve">Source: </w:t>
      </w:r>
      <w:r>
        <w:t>Journal of the American Chemical Society: Latest Articles (ACS Publications)</w:t>
      </w:r>
      <w:r>
        <w:t xml:space="preserve">    </w:t>
      </w:r>
      <w:r>
        <w:rPr>
          <w:b/>
        </w:rPr>
        <w:t xml:space="preserve">Pub date: </w:t>
      </w:r>
      <w:r>
        <w:t>2026-02-17 17:31:34+00:00</w:t>
      </w:r>
      <w:r>
        <w:t xml:space="preserve">    </w:t>
      </w:r>
      <w:r>
        <w:rPr>
          <w:b/>
        </w:rPr>
        <w:t xml:space="preserve">DOI: </w:t>
      </w:r>
      <w:hyperlink r:id="rId529">
        <w:r>
          <w:rPr>
            <w:color w:val="1155CC"/>
            <w:u w:val="single"/>
          </w:rPr>
          <w:t>10.1021/jacs.5c22624</w:t>
        </w:r>
      </w:hyperlink>
    </w:p>
    <w:p>
      <w:pPr>
        <w:spacing w:before="0" w:after="120"/>
      </w:pPr>
      <w:r>
        <w:rPr>
          <w:b/>
        </w:rPr>
        <w:t xml:space="preserve">Notes: </w:t>
      </w:r>
      <w:r>
        <w:t>abstract_source=pubmed</w:t>
      </w:r>
    </w:p>
    <w:p>
      <w:pPr>
        <w:spacing w:before="0" w:after="80" w:lineRule="auto" w:line="276"/>
      </w:pPr>
      <w:r>
        <w:rPr>
          <w:b/>
        </w:rPr>
        <w:t xml:space="preserve">摘要（ZH）: </w:t>
      </w:r>
      <w:r>
        <w:t>聚环十二烷的现场和化学选择性化合物氧化仍然是合成过程中的一个中心挑战。我们向方案C1、C3和C5-H氢氧化物报告,一个直接在玻璃素中运行的化学酶平台,该平台直接运行于方案C1、C3和C5-C-H氢氧化物。引导非Cheme Fe(II)/α-氯酸甲酸盐氧酶和A的演化提供了STAC变异物,补充了C1α/C3α/C5α/C5α/C5α的选择性和高达82倍的活动性改进,在克到十克比例上提供了5种优先氧化的拉达烷头巾。C5-水氧化模块通过从玻璃素的简明形式合成简化了(+)phorbadione的准入。Orthogonal C1/C3/C5氧化物,加上苏拉雷斯氧化性氧化性裂变形的正规[3+3]的废止,这些组合在一种经过后阶段多样化的普通二醇上趋同。这些序列。</w:t>
      </w:r>
    </w:p>
    <w:p>
      <w:pPr>
        <w:spacing w:before="0" w:after="200" w:lineRule="auto" w:line="276"/>
      </w:pPr>
      <w:r>
        <w:rPr>
          <w:b/>
        </w:rPr>
        <w:t xml:space="preserve">Abstract (EN): </w:t>
      </w:r>
      <w:r>
        <w:t>Site- and chemoselective oxidation of polycyclic terpenes remains a central challenge in synthesis. We report a chemoenzymatic platform that operates directly on sclareolide to program C1, C3, and C5 C-H hydroxylation. Directed evolution of the nonheme Fe(II)/α-ketoglutarate oxygenase AndA furnishes STAC variants with complementary C1α/C3α/C5α selectivity and up to 82-fold activity improvements, delivering five privileged oxidized labdane scaffolds on gram to decagram scale. A C5-hydroxylation module streamlines access to (+)-phorbadione via a concise formal synthesis from sclareolide. Orthogonal C1/C3/C5 oxidation, combined with Suárez oxidative cleavage and an amine-catalyzed formal [3 + 3] annulation, converges on a common diol that undergoes late-stage diversification. These sequences enable the first syntheses of arisugacin J, arisugacin D, arisugacin M, terreulactone C, and terreulactone B. This work establishes AndA as an Fe/αKG analogue of P450BM3 for tunable, multisite terpene oxidation and illustrates a general strategy for platform synthesis of densely oxidized meroterpenoids from chiral-pool feedstocks.</w:t>
      </w:r>
    </w:p>
    <w:p>
      <w:pPr>
        <w:spacing w:before="120" w:after="120"/>
      </w:pPr>
      <w:r>
        <w:rPr>
          <w:sz w:val="18"/>
        </w:rPr>
        <w:t>——————————————————————————————————————————————————————————————————————</w:t>
      </w:r>
    </w:p>
    <w:p>
      <w:pPr>
        <w:spacing w:before="160" w:after="40" w:line="240" w:lineRule="auto"/>
      </w:pPr>
      <w:r>
        <w:rPr>
          <w:b/>
        </w:rPr>
        <w:t xml:space="preserve">[322] </w:t>
      </w:r>
      <w:hyperlink r:id="rId530">
        <w:r>
          <w:rPr>
            <w:color w:val="1155CC"/>
            <w:u w:val="single"/>
          </w:rPr>
          <w:t>[ASAP]作为Tune 1,2-Dialkyldizene碎裂处理的三联能源转移,在激进C(sp3)-C(sp2)中</w:t>
        </w:r>
      </w:hyperlink>
    </w:p>
    <w:p>
      <w:pPr>
        <w:spacing w:before="0" w:after="80"/>
      </w:pPr>
      <w:r>
        <w:rPr>
          <w:i/>
          <w:sz w:val="20"/>
        </w:rPr>
        <w:t>EN: [ASAP] Triplet Energy Transfer as a Handle to Tune 1,2-Dialkyldiazene Fragmentation in Radical C(sp3)–C(sp2) Cross-Coupling</w:t>
      </w:r>
    </w:p>
    <w:p>
      <w:pPr>
        <w:spacing w:before="0" w:after="120"/>
      </w:pPr>
      <w:r>
        <w:rPr>
          <w:b/>
        </w:rPr>
        <w:t xml:space="preserve">Source: </w:t>
      </w:r>
      <w:r>
        <w:t>Journal of the American Chemical Society: Latest Articles (ACS Publications)</w:t>
      </w:r>
      <w:r>
        <w:t xml:space="preserve">    </w:t>
      </w:r>
      <w:r>
        <w:rPr>
          <w:b/>
        </w:rPr>
        <w:t xml:space="preserve">Pub date: </w:t>
      </w:r>
      <w:r>
        <w:t>2026-02-17 19:13:51+00:00</w:t>
      </w:r>
      <w:r>
        <w:t xml:space="preserve">    </w:t>
      </w:r>
      <w:r>
        <w:rPr>
          <w:b/>
        </w:rPr>
        <w:t xml:space="preserve">DOI: </w:t>
      </w:r>
      <w:hyperlink r:id="rId531">
        <w:r>
          <w:rPr>
            <w:color w:val="1155CC"/>
            <w:u w:val="single"/>
          </w:rPr>
          <w:t>10.1021/jacs.5c22244</w:t>
        </w:r>
      </w:hyperlink>
    </w:p>
    <w:p>
      <w:pPr>
        <w:spacing w:before="0" w:after="120"/>
      </w:pPr>
      <w:r>
        <w:rPr>
          <w:b/>
        </w:rPr>
        <w:t xml:space="preserve">Notes: </w:t>
      </w:r>
      <w:r>
        <w:t>abstract_source=pubmed</w:t>
      </w:r>
    </w:p>
    <w:p>
      <w:pPr>
        <w:spacing w:before="0" w:after="80" w:lineRule="auto" w:line="276"/>
      </w:pPr>
      <w:r>
        <w:rPr>
          <w:b/>
        </w:rPr>
        <w:t xml:space="preserve">摘要（ZH）: </w:t>
      </w:r>
      <w:r>
        <w:t>光诱发工艺的机械学调查至关重要,因为它不仅提供了全面的机械图象,而且还提供了有关不同反应步骤的效率和相关率常数的信息,在某些情况下,对系统系列的光敏化器或支气器的研究也使得能够确定未知物种的地面状态红氧化潜能值或三重能量水平。在这里,通过稳定状态和时间溶解光谱学技术的结合,我们阐明了1,2-二对基二乙基二氯甲烷通过兴奋光电催化剂的能源转移而成的三联三联基对子形成机制。 Stern-Volmer和Rehm-Weller分析证实了能源转移途径,并提供了两种1,2-二对基模型的三联能水平的利用。</w:t>
      </w:r>
    </w:p>
    <w:p>
      <w:pPr>
        <w:spacing w:before="0" w:after="200" w:lineRule="auto" w:line="276"/>
      </w:pPr>
      <w:r>
        <w:rPr>
          <w:b/>
        </w:rPr>
        <w:t xml:space="preserve">Abstract (EN): </w:t>
      </w:r>
      <w:r>
        <w:t>Mechanistic investigation of light-induced processes is paramount as it not only offers an overall mechanistic picture but also provides information about the efficiency and associated rate constants of the different reaction steps. In some cases, study of systematic series of photosensitizers or quenchers also allows to determine ground-state redox potentials or triplet energy levels of unknown species. Herein, through a combination of steady-state and time-resolved spectroscopic techniques, we elucidate the mechanism of geminate triplet radical pair formation from 1,2-dialkyldiazenes operating via energy transfer from excited photocatalysts. Stern-Volmer and Rehm-Weller analyses confirmed the energy-transfer pathway and provided access to the triplet energy level of two model 1,2-dialkyldiazenes, which were found to be around 2.3 eV. Further evidence was gained by mediator-enhanced triplet energy transfer to an anthracene substrate, showcasing that the excited diazene can serve as an energy shuttle that can be intercepted before bond fragmentation to release N2 and the corresponding radicals. This activation mechanism confers clear advantages over conventional high-energy UV photofragmentation as triplet sensitization was shown to promote a more efficient solvent-cage escape of the resulting geminate radical pairs relative to direct excitation. Additionally, the structure of the 1,2-dialkyldiazenes was found to profoundly influence the kinetics of fragmentation following energy transfer. These mechanistic insights were leveraged to improve C(sp3)-C(sp2) cross-coupling efficiency with challenging electron-rich aryl bromides by slowing alkyl radical generation through photocatalyst selection to match the rate of Ni oxidative addition, thereby demonstrating the tunability of energy-transfer-based dual catalytic systems.</w:t>
      </w:r>
    </w:p>
    <w:p>
      <w:pPr>
        <w:spacing w:before="120" w:after="120"/>
      </w:pPr>
      <w:r>
        <w:rPr>
          <w:sz w:val="18"/>
        </w:rPr>
        <w:t>——————————————————————————————————————————————————————————————————————</w:t>
      </w:r>
    </w:p>
    <w:p>
      <w:pPr>
        <w:spacing w:before="160" w:after="40" w:line="240" w:lineRule="auto"/>
      </w:pPr>
      <w:r>
        <w:rPr>
          <w:b/>
        </w:rPr>
        <w:t xml:space="preserve">[323] </w:t>
      </w:r>
      <w:hyperlink r:id="rId532">
        <w:r>
          <w:rPr>
            <w:color w:val="1155CC"/>
            <w:u w:val="single"/>
          </w:rPr>
          <w:t>[ASAP] 协调-Iosomerism-Driven 调控混合激光转换金属-有机框架的CO2和C2H2 协调-Iosomerism-Driver 阈值压力控制</w:t>
        </w:r>
      </w:hyperlink>
    </w:p>
    <w:p>
      <w:pPr>
        <w:spacing w:before="0" w:after="80"/>
      </w:pPr>
      <w:r>
        <w:rPr>
          <w:i/>
          <w:sz w:val="20"/>
        </w:rPr>
        <w:t>EN: [ASAP] Coordination-Isomerism-Driven Threshold Pressure Control of CO2 and C2H2 in Mixed-Ligand Switching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2026-02-17 19:43:48+00:00</w:t>
      </w:r>
      <w:r>
        <w:t xml:space="preserve">    </w:t>
      </w:r>
      <w:r>
        <w:rPr>
          <w:b/>
        </w:rPr>
        <w:t xml:space="preserve">DOI: </w:t>
      </w:r>
      <w:hyperlink r:id="rId533">
        <w:r>
          <w:rPr>
            <w:color w:val="1155CC"/>
            <w:u w:val="single"/>
          </w:rPr>
          <w:t>10.1021/jacs.5c20845</w:t>
        </w:r>
      </w:hyperlink>
    </w:p>
    <w:p>
      <w:pPr>
        <w:spacing w:before="0" w:after="120"/>
      </w:pPr>
      <w:r>
        <w:rPr>
          <w:b/>
        </w:rPr>
        <w:t xml:space="preserve">Notes: </w:t>
      </w:r>
      <w:r>
        <w:t>abstract_source=openalex; must_have_abstract=True</w:t>
      </w:r>
    </w:p>
    <w:p>
      <w:pPr>
        <w:spacing w:before="0" w:after="80" w:lineRule="auto" w:line="276"/>
      </w:pPr>
      <w:r>
        <w:rPr>
          <w:b/>
        </w:rPr>
        <w:t xml:space="preserve">摘要（ZH）: </w:t>
      </w:r>
      <w:r>
        <w:t>软体金属-有机框架(MOFs)承诺在气体分离、储存和释放方面获得上层控制和增强性能。对于开发具有“随需”反应的智能材料而言,切换机制的&lt;i&gt;特设 &lt;/i&gt;设计对于推动多重结构转型至关重要。在这项研究中,双渗透的支柱Zinc(II)-MOFs被定制为微调CO&lt;sub&gt;2 &lt;/sub&gt;和C&lt;sub&gt;2 &lt;/sub&gt;H &lt;sub&gt;2 &lt;/sub &gt; 吸附/解吸压力,通过调控其动态反应。将专门设计的不对称双丙烯-丙烯三烯柱与苯二烯基甲酸酯和/或氨基-苯二甲二烯酸酯离子体结合结合,利用可逆金属调异异构体来控制气体刺激反应。尖端的Mmmmm。</w:t>
      </w:r>
    </w:p>
    <w:p>
      <w:pPr>
        <w:spacing w:before="0" w:after="200" w:lineRule="auto" w:line="276"/>
      </w:pPr>
      <w:r>
        <w:rPr>
          <w:b/>
        </w:rPr>
        <w:t xml:space="preserve">Abstract (EN): </w:t>
      </w:r>
      <w:r>
        <w:t>Flexible metal-organic frameworks (MOFs) promise access to superior control and enhanced performance for gas separation, storage, and release. For the development of smart materials with "on-demand" responsiveness, the &lt;i&gt;ad hoc&lt;/i&gt; design of switching mechanisms is crucial to drive multiple structural transformations. In this study, doubly interpenetrated pillared Zinc(II)-MOFs were customized to fine-tune CO&lt;sub&gt;2&lt;/sub&gt; and C&lt;sub&gt;2&lt;/sub&gt;H&lt;sub&gt;2&lt;/sub&gt; sorption/desorption pressures by modulating their dynamic responses. The incorporation of a specifically designed asymmetric bipyridyl-acrylonitrile pillar, together with benzenedicarboxylate and/or amino-benzenedicarboxylate ligands, leverages reversible metal-coordination isomerism to control gas-stimuli responsiveness. The sophisticated mechanism and temporal response involve framework expansion, node rearrangement, and ligand displacement. Furthermore, evolution of the global dynamics of the framework under cyclical CO&lt;sub&gt;2&lt;/sub&gt; stimuli was revealed, demonstrating a progression from switching behavior to a permanently open structure. The pore-opening threshold pressure for CO&lt;sub&gt;2&lt;/sub&gt; and acetylene (C&lt;sub&gt;2&lt;/sub&gt;H&lt;sub&gt;2&lt;/sub&gt;)─from discrete pockets to one-dimensional and two-dimensional interconnected channels─was rationally governed by increasing the amine group content, which modulates the density of hydrogen bonds between the two interpenetrated frameworks. This intricate mechanism was elucidated through &lt;i&gt;in situ&lt;/i&gt; PXRD under CO&lt;sub&gt;2&lt;/sub&gt; atmosphere, calorimetry-coupled gas adsorption, and density functional theory calculations. Notably, C&lt;sub&gt;2&lt;/sub&gt;H&lt;sub&gt;2&lt;/sub&gt;-induced gate opening expands the feasibility of C&lt;sub&gt;2&lt;/sub&gt;H&lt;sub&gt;2&lt;/sub&gt;-responsive systems, offering safer and more efficient sorbents.</w:t>
      </w:r>
    </w:p>
    <w:p>
      <w:pPr>
        <w:spacing w:before="120" w:after="120"/>
      </w:pPr>
      <w:r>
        <w:rPr>
          <w:sz w:val="18"/>
        </w:rPr>
        <w:t>——————————————————————————————————————————————————————————————————————</w:t>
      </w:r>
    </w:p>
    <w:p>
      <w:pPr>
        <w:spacing w:before="160" w:after="40" w:line="240" w:lineRule="auto"/>
      </w:pPr>
      <w:r>
        <w:rPr>
          <w:b/>
        </w:rPr>
        <w:t xml:space="preserve">[324] </w:t>
      </w:r>
      <w:hyperlink r:id="rId534">
        <w:r>
          <w:rPr>
            <w:color w:val="1155CC"/>
            <w:u w:val="single"/>
          </w:rPr>
          <w:t>[ASAP] 硫化钾在开发一种硬平台以作为Piperidine前体的氮浓缩的N-乙基盐的硬平台方面的作用</w:t>
        </w:r>
      </w:hyperlink>
    </w:p>
    <w:p>
      <w:pPr>
        <w:spacing w:before="0" w:after="80"/>
      </w:pPr>
      <w:r>
        <w:rPr>
          <w:i/>
          <w:sz w:val="20"/>
        </w:rPr>
        <w:t>EN: [ASAP] Potassium Bisulfite’s Role in Developing a Robust Platform for Enantioenriched N-Alkylpyridinium Salts as Piperidine Precursors</w:t>
      </w:r>
    </w:p>
    <w:p>
      <w:pPr>
        <w:spacing w:before="0" w:after="120"/>
      </w:pPr>
      <w:r>
        <w:rPr>
          <w:b/>
        </w:rPr>
        <w:t xml:space="preserve">Source: </w:t>
      </w:r>
      <w:r>
        <w:t>Journal of the American Chemical Society: Latest Articles (ACS Publications)</w:t>
      </w:r>
      <w:r>
        <w:t xml:space="preserve">    </w:t>
      </w:r>
      <w:r>
        <w:rPr>
          <w:b/>
        </w:rPr>
        <w:t xml:space="preserve">Pub date: </w:t>
      </w:r>
      <w:r>
        <w:t>2026-02-17 20:47:31+00:00</w:t>
      </w:r>
      <w:r>
        <w:t xml:space="preserve">    </w:t>
      </w:r>
      <w:r>
        <w:rPr>
          <w:b/>
        </w:rPr>
        <w:t xml:space="preserve">DOI: </w:t>
      </w:r>
      <w:hyperlink r:id="rId535">
        <w:r>
          <w:rPr>
            <w:color w:val="1155CC"/>
            <w:u w:val="single"/>
          </w:rPr>
          <w:t>10.1021/jacs.5c20464</w:t>
        </w:r>
      </w:hyperlink>
    </w:p>
    <w:p>
      <w:pPr>
        <w:spacing w:before="0" w:after="120"/>
      </w:pPr>
      <w:r>
        <w:rPr>
          <w:b/>
        </w:rPr>
        <w:t xml:space="preserve">Notes: </w:t>
      </w:r>
      <w:r>
        <w:t>abstract_source=pubmed</w:t>
      </w:r>
    </w:p>
    <w:p>
      <w:pPr>
        <w:spacing w:before="0" w:after="80" w:lineRule="auto" w:line="276"/>
      </w:pPr>
      <w:r>
        <w:rPr>
          <w:b/>
        </w:rPr>
        <w:t xml:space="preserve">摘要（ZH）: </w:t>
      </w:r>
      <w:r>
        <w:t>Piperidine是药用化学中最突出的脚手,不过,将Airal N-alkyl替代物纳入管状的有机N-alkyl替代物的方法仍然有限。在这里,我们报告了一个平台,用于合成商业上可买到的和对等初级氨;由此形成的盐成为通过既定减量协议,使N-(α-希拉勒)丙基丙基丙烯的立体营养化的多用途前体。我们发现,Mebisulfite钾是一种反应添加剂,大大提高了形成反应的稳健性。 机械学和计算学研究表明,氨基磺酰胺钾的脱氯酸盐能够使低能极地环化路径通过确定减量协议,形成。</w:t>
      </w:r>
    </w:p>
    <w:p>
      <w:pPr>
        <w:spacing w:before="0" w:after="200" w:lineRule="auto" w:line="276"/>
      </w:pPr>
      <w:r>
        <w:rPr>
          <w:b/>
        </w:rPr>
        <w:t xml:space="preserve">Abstract (EN): </w:t>
      </w:r>
      <w:r>
        <w:t>Piperidines are prominent scaffolds in medicinal chemistry. However, methods that incorporate chiral N-alkyl substituents on piperidine remain limited. Here, we report a platform for the synthesis of enantioenriched N-(α-chiral)alkylpyridinium salts from commercially available pyridines and enantiopure primary amines; the resulting pyridinium salts serve as versatile precursors to stereoenriched N-(α-chiral)alkylpiperidines via established reduction protocols. We discovered potassium metabisulfite as a reaction additive that significantly enhanced the robustness of the pyridinium formation reaction. Mechanistic and computational studies reveal that potassium metabisulfite deconjugates Zincke imines, enabling a lower-energy polar cyclization pathway to pyridinium formation compared to a pericyclic one. We performed high-throughput experimentation that demonstrated a broad scope for both coupling partners, providing a robust, general platform for generating libraries of piperidine precursors relevant to medicinal chemistry.</w:t>
      </w:r>
    </w:p>
    <w:p>
      <w:pPr>
        <w:spacing w:before="120" w:after="120"/>
      </w:pPr>
      <w:r>
        <w:rPr>
          <w:sz w:val="18"/>
        </w:rPr>
        <w:t>——————————————————————————————————————————————————————————————————————</w:t>
      </w:r>
    </w:p>
    <w:p>
      <w:pPr>
        <w:spacing w:before="160" w:after="40" w:line="240" w:lineRule="auto"/>
      </w:pPr>
      <w:r>
        <w:rPr>
          <w:b/>
        </w:rPr>
        <w:t xml:space="preserve">[325] </w:t>
      </w:r>
      <w:hyperlink r:id="rId536">
        <w:r>
          <w:rPr>
            <w:color w:val="1155CC"/>
            <w:u w:val="single"/>
          </w:rPr>
          <w:t>通过整流流边缘断层摄影法进行临床一级自主细胞病理学</w:t>
        </w:r>
      </w:hyperlink>
    </w:p>
    <w:p>
      <w:pPr>
        <w:spacing w:before="0" w:after="80"/>
      </w:pPr>
      <w:r>
        <w:rPr>
          <w:i/>
          <w:sz w:val="20"/>
        </w:rPr>
        <w:t>EN: Clinical-grade autonomous cytopathology through whole-slide edge tomography</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细胞病理学往往缩缩为细胞学,在早期发现宫颈癌、肺癌和膀胱癌等癌症方面发挥着中心作用,因为其速度、简便和侵入性最小,1,2,3,4,4,5,6,7,7,8,8,9.然而,由于主观直观解释10,11,12,13,14,15,16,17,18,19,19,20,21. 虽然许多人工智能(AI)动力系统都是为了提高一致性22,23,24,25,26,但没有一个达到完全自主的临床水平性能,但现有方法仍作为辅助工具,在解释和决策22,23,24,25,26方面仍然依赖人类监督,我们在这里展示了一种临床级自主细胞病理学管道,将高分辨率、真实性结合起来。</w:t>
      </w:r>
    </w:p>
    <w:p>
      <w:pPr>
        <w:spacing w:before="0" w:after="200" w:lineRule="auto" w:line="276"/>
      </w:pPr>
      <w:r>
        <w:rPr>
          <w:b/>
        </w:rPr>
        <w:t xml:space="preserve">Abstract (EN): </w:t>
      </w:r>
      <w:r>
        <w:t>Cytopathology, often abbreviated as cytology, has a central role in the early detection of cancer, such as cervical, lung and bladder cancers, owing to its speed, simplicity and minimally invasive nature1,2,3,4,5,6,7,8,9. However, its effectiveness is limited by variability in diagnostic accuracy stemming from subjective visual interpretation10,11,12,13,14,15,16,17,18,19,20,21. Although many artificial intelligence (AI)-powered systems have been proposed to improve consistency22,23,24,25,26, none have achieved fully autonomous, clinical-grade performance. Existing approaches serve as assistive tools and still rely on human oversight for interpretation and decision-making22,23,24,25,26. Here we present a clinical-grade autonomous cytopathology pipeline that combines high-resolution, real-time optical whole-slide tomography with edge computing to deliver end-to-end automation. The system achieves practical performance in imaging speed, quality and data volume, with localized data compression enabling streamlined storage and accelerated AI-driven analysis. In addition to supporting cell-level classification, the platform enables flow cytometry-like, population-wide morphological profiling for comprehensive interpretation of cellular distributions and patterns. A vision transformer achieved area under the receiver operating characteristic (ROC) curve (AUC) values exceeding 0.99 at the single-cell level for detecting low-grade squamous intraepithelial lesions (LSILs), high-grade squamous intraepithelial lesions (HSILs) and adenocarcinoma. In a multicentre evaluation of 1,124 cervical liquid-based cytology samples across four centres, the AI model achieved slide-level AUC values of 0.86–0.91 for LSIL+ and 0.89–0.97 for HSIL+, with LSIL counts correlating strongly with human papillomavirus positivity and HSIL counts scaling with diagnostic severity. The system enables autonomous triage cytology, offering a foundation for routine, scalable and objective diagnostics.</w:t>
      </w:r>
    </w:p>
    <w:p>
      <w:pPr>
        <w:spacing w:before="120" w:after="120"/>
      </w:pPr>
      <w:r>
        <w:rPr>
          <w:sz w:val="18"/>
        </w:rPr>
        <w:t>——————————————————————————————————————————————————————————————————————</w:t>
      </w:r>
    </w:p>
    <w:p>
      <w:pPr>
        <w:spacing w:before="160" w:after="40" w:line="240" w:lineRule="auto"/>
      </w:pPr>
      <w:r>
        <w:rPr>
          <w:b/>
        </w:rPr>
        <w:t xml:space="preserve">[326] </w:t>
      </w:r>
      <w:hyperlink r:id="rId537">
        <w:r>
          <w:rPr>
            <w:color w:val="1155CC"/>
            <w:u w:val="single"/>
          </w:rPr>
          <w:t>LTR 转式转式转式器作为酵母中子器的古老共同使用</w:t>
        </w:r>
      </w:hyperlink>
    </w:p>
    <w:p>
      <w:pPr>
        <w:spacing w:before="0" w:after="80"/>
      </w:pPr>
      <w:r>
        <w:rPr>
          <w:i/>
          <w:sz w:val="20"/>
        </w:rPr>
        <w:t>EN: Ancient co-option of LTR retrotransposons as yeast centromeres</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中心确保了准确的染色体隔离,然而它们的DNA却迅速演变到整个eukaryote,使得新的丙烯结构的起源变得不明,1,2,3,4,4。酿酒者的酵母沙迦罗密斯(酵母沙迦罗密斯)预示着这一长期的谜题。 其中子祖传地从大型的、重复式的、粘附式特定形式转移到了常规的、基因定义的`点'中子1,5 。 这一转变是如何发生的,至今仍未解决。 我们在这里发现了与进化相关的`propoint'中子,它为中子点的进化起源提供了解决方案。 Protopoint 中子含有一个单一的中子核素,它位于亚特丰富的核心之上,同时对侧脊椎的组织和顺序变化比较宽松。 在两个物种中,</w:t>
      </w:r>
    </w:p>
    <w:p>
      <w:pPr>
        <w:spacing w:before="0" w:after="200" w:lineRule="auto" w:line="276"/>
      </w:pPr>
      <w:r>
        <w:rPr>
          <w:b/>
        </w:rPr>
        <w:t xml:space="preserve">Abstract (EN): </w:t>
      </w:r>
      <w:r>
        <w:t>Centromeres ensure accurate chromosome segregation, yet their DNA evolves rapidly across eukaryotes leaving the origins of new centromere architectures unclear1,2,3,4. The brewer’s yeast Saccharomyces cerevisiae exemplifies this long-standing puzzle. Its centromeres shifted ancestrally from large, repeat-rich, epigenetically specified forms to the compact, genetically defined ‘point’ centromeres1,5. How this transition occurred has remained unresolved6. Here we identify evolutionarily related ‘proto-point’ centromeres that provide a resolution to the evolutionary origins of point centromeres. Proto-point centromeres contain a single centromeric nucleosome positioned over an AT-rich core, accompanied by relaxed organization and sequence variability of flanking cis-elements. In two species, these proto-point centromeres lie within retrotransposon-derived repeat clusters, linking ancestral repeat-rich centromeres to genetically encoded ones. Comparative and phylogenetic analyses indicate that proto-point and point centromeres evolved in an ancestor with retrotransposon-rich centromeres. These results identify long-terminal-repeat retrotransposons, specifically Ty5 sequences, as the genetic substrate for point-centromere evolution and provide a mechanistic route by which an epigenetic centromere can become genetically specified. More broadly, they show how selfish elements can be co-opted to perform essential chromosomal functions.</w:t>
      </w:r>
    </w:p>
    <w:p>
      <w:pPr>
        <w:spacing w:before="120" w:after="120"/>
      </w:pPr>
      <w:r>
        <w:rPr>
          <w:sz w:val="18"/>
        </w:rPr>
        <w:t>——————————————————————————————————————————————————————————————————————</w:t>
      </w:r>
    </w:p>
    <w:p>
      <w:pPr>
        <w:spacing w:before="160" w:after="40" w:line="240" w:lineRule="auto"/>
      </w:pPr>
      <w:r>
        <w:rPr>
          <w:b/>
        </w:rPr>
        <w:t xml:space="preserve">[327] </w:t>
      </w:r>
      <w:hyperlink r:id="rId538">
        <w:r>
          <w:rPr>
            <w:color w:val="1155CC"/>
            <w:u w:val="single"/>
          </w:rPr>
          <w:t>为密集、快速、高效的档案数据储存以玻璃写成的激光激光</w:t>
        </w:r>
      </w:hyperlink>
    </w:p>
    <w:p>
      <w:pPr>
        <w:spacing w:before="0" w:after="80"/>
      </w:pPr>
      <w:r>
        <w:rPr>
          <w:i/>
          <w:sz w:val="20"/>
        </w:rPr>
        <w:t>EN: Laser writing in glass for dense, fast and efficient archival data storage</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长期保存数字信息对于为子孙后代保护人类知识至关重要,保护人类知识至关重要,磁磁带和硬盘驱动器等现有档案存储解决方案因媒体寿命有限而难以用于长期数据保留,1,2,3,3。光学存储方法,特别是玻璃等稳健媒体的激光写作,已成为有潜力延长寿命的有希望的替代方法。以前的工作4,5,6,7,7,8,8,9,9,10,11,12,13,14,14,15.16主要优化了数据密度等个别方面,但没有展示一个端到端系统,包括书写、储存和检索信息。我们在此报告一种光学档案存储技术,其基础是以玻璃形式直接写Femto II激光技术。</w:t>
      </w:r>
    </w:p>
    <w:p>
      <w:pPr>
        <w:spacing w:before="0" w:after="200" w:lineRule="auto" w:line="276"/>
      </w:pPr>
      <w:r>
        <w:rPr>
          <w:b/>
        </w:rPr>
        <w:t xml:space="preserve">Abstract (EN): </w:t>
      </w:r>
      <w:r>
        <w:t>Long-term preservation of digital information is vital for safeguarding the knowledge of humanity for future generations. Existing archival storage solutions, such as magnetic tapes and hard disk drives, suffer from limited media lifespans that render them unsuitable for long-term data retention1,2,3. Optical storage approaches, particularly laser writing in robust media such as glass, have emerged as promising alternatives with the potential for increased longevity. Previous work4,5,6,7,8,9,10,11,12,13,14,15,16 has predominantly optimized individual aspects such as data density but has not demonstrated an end-to-end system, including writing, storing and retrieving information. Here we report an optical archival storage technology based on femtosecond laser direct writing in glass that addresses the practical demands of archival storage, which we call Silica. We achieve a data density of 1.59 Gbit mm−3 in 301 layers for a capacity of 4.8 TB in a 120 mm square, 2 mm thick piece of glass. The demonstrated write regimes enable a write throughput of 25.6 Mbit s−1 per beam, limited by the laser repetition rate, with an energy efficiency of 10.1 nJ per bit. Moreover, we extend the storage ability to borosilicate glass, offering a lower-cost medium and reduced writing and reading complexity. Accelerated ageing tests on written voxels in borosilicate suggest data lifetimes exceeding 10,000 years.</w:t>
      </w:r>
    </w:p>
    <w:p>
      <w:pPr>
        <w:spacing w:before="120" w:after="120"/>
      </w:pPr>
      <w:r>
        <w:rPr>
          <w:sz w:val="18"/>
        </w:rPr>
        <w:t>——————————————————————————————————————————————————————————————————————</w:t>
      </w:r>
    </w:p>
    <w:p>
      <w:pPr>
        <w:spacing w:before="160" w:after="40" w:line="240" w:lineRule="auto"/>
      </w:pPr>
      <w:r>
        <w:rPr>
          <w:b/>
        </w:rPr>
        <w:t xml:space="preserve">[328] </w:t>
      </w:r>
      <w:hyperlink r:id="rId539">
        <w:r>
          <w:rPr>
            <w:color w:val="1155CC"/>
            <w:u w:val="single"/>
          </w:rPr>
          <w:t>大气中不断上升的二氧化碳2 减少了北方森林的氮供应量</w:t>
        </w:r>
      </w:hyperlink>
    </w:p>
    <w:p>
      <w:pPr>
        <w:spacing w:before="0" w:after="80"/>
      </w:pPr>
      <w:r>
        <w:rPr>
          <w:i/>
          <w:sz w:val="20"/>
        </w:rPr>
        <w:t>EN: Rising atmospheric CO2 reduces nitrogen availability in boreal forests</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1 然而,最近的数据集表明,某些生态系统可能正在经历广泛的寡头养殖-减少N的可得性——这表明这是对大气二氧化碳升高(CO2)的一种反应。 2 Plant N同位素(15N)年表曾是寡头养殖的主要证据,但对于N沉积中不断上升的CO2或时间变化是否解释了这些模式3,4,5,6,6。我们在这里使用瑞典从1961年至2018年2,350万公顷森林地区的存档样品建造了1,15N树环日志。研究区域跨越1,500公里的纬度距离,N沉积四倍,但上升的CO2在空间上是统一的。 我们的数据显示,在1,15N的铬值正在下降。</w:t>
      </w:r>
    </w:p>
    <w:p>
      <w:pPr>
        <w:spacing w:before="0" w:after="200" w:lineRule="auto" w:line="276"/>
      </w:pPr>
      <w:r>
        <w:rPr>
          <w:b/>
        </w:rPr>
        <w:t xml:space="preserve">Abstract (EN): </w:t>
      </w:r>
      <w:r>
        <w:t>Anthropogenic nitrogen (N) pollution is a cause of eutrophication globally1. However, recent datasets indicate that some ecosystems may be experiencing widespread oligotrophication—declining N availability—which is suggested to be a response to elevated atmospheric carbon dioxide (CO2)2. Plant N isotope (δ15N) chronologies have served as primary evidence for oligotrophication, but there is wide disagreement whether rising CO2 or temporal changes in N deposition explain these patterns3,4,5,6. Here we construct δ15N tree-ring chronologies using archived samples from Sweden’s 23.5-million-hectare forest area from 1961 to 2018. The study area spans a 1,500-km latitudinal distance where N deposition varies fourfold, but where rising CO2 is spatially uniform. Our data show declining δ15N chronologies throughout Sweden, including forests in the far north where atmospheric N deposition rates are very low. Linear mixed-effects models showed that rising CO2 is the strongest predictor of δ15N values, whereas N deposition variables, temperature and forest basal area had lower explanatory power. Our findings suggest that elevated atmospheric CO2 is causing oligotrophication in boreal forests, which has implications for predicting their future role as sinks in the global carbon cycle7,8,9.</w:t>
      </w:r>
    </w:p>
    <w:p>
      <w:pPr>
        <w:spacing w:before="120" w:after="120"/>
      </w:pPr>
      <w:r>
        <w:rPr>
          <w:sz w:val="18"/>
        </w:rPr>
        <w:t>——————————————————————————————————————————————————————————————————————</w:t>
      </w:r>
    </w:p>
    <w:p>
      <w:pPr>
        <w:spacing w:before="160" w:after="40" w:line="240" w:lineRule="auto"/>
      </w:pPr>
      <w:r>
        <w:rPr>
          <w:b/>
        </w:rPr>
        <w:t xml:space="preserve">[329] </w:t>
      </w:r>
      <w:hyperlink r:id="rId540">
        <w:r>
          <w:rPr>
            <w:color w:val="1155CC"/>
            <w:u w:val="single"/>
          </w:rPr>
          <w:t>全聚合纳米复合体的巨量能源储存和绝电性能</w:t>
        </w:r>
      </w:hyperlink>
    </w:p>
    <w:p>
      <w:pPr>
        <w:spacing w:before="0" w:after="80"/>
      </w:pPr>
      <w:r>
        <w:rPr>
          <w:i/>
          <w:sz w:val="20"/>
        </w:rPr>
        <w:t>EN: Giant energy storage and dielectric performance in all-polymer nanocomposites</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电力能源储存中使用的电离聚合物需要结合各种关键指标,包括高电电常量(K)、低损耗和高分解强度(Eb),所有这些都同时能够以高温1,2,3,4,4,56. 对聚合物-无机合成物的数十年研究在实现这些目标5,77.8方面仅取得有限成功。 我们在这里采用两种双极聚合物的高温、非不强迫混合,通过纳米相分离,自组成三维全聚合物纳米复合物,由此形成的纳米结构引发了卷状形态变化和大相容变化,加上两个聚合物的旋转屏障相对较低和高顶点,产生超高电反应(K &gt; 13),同时保持1</w:t>
      </w:r>
    </w:p>
    <w:p>
      <w:pPr>
        <w:spacing w:before="0" w:after="200" w:lineRule="auto" w:line="276"/>
      </w:pPr>
      <w:r>
        <w:rPr>
          <w:b/>
        </w:rPr>
        <w:t xml:space="preserve">Abstract (EN): </w:t>
      </w:r>
      <w:r>
        <w:t>Dielectric polymers used in electrical energy storage require a combination of key metrics, including a high dielectric constant (K), low loss and high breakdown strength (Eb), all while being capable of operating at high temperatures1,2,3,4,5,6. Decades of research into polymer–inorganic composites have achieved only limited success in reaching these goals5,7,8. Here we introduce high-temperature immiscible blends of two dipolar polymers that, through nanophase separation, self-assemble into three-dimensional all-polymer nanocomposites. The resulting nanostructures induce coiled-chain morphology and large conformation changes, which, combined with relatively low rotational barrier and high dipole moments of both polymers, yield ultrahigh dielectric responses (K &gt; 13) while maintaining a low loss (tanδ approximately 0.002) across a wide temperature range. Simultaneously, the nanostructured interfaces act as barriers for mobile charges, markedly reducing conduction losses at high fields and temperatures. The all-polymer three-dimensional nanocomposites with concurrently high K, high Eb and low loss deliver unprecedented discharged energy densities at elevated temperatures (18.7 J cm−3, 15.1 J cm−3 and 8.6 J cm−3 at 150 °C, 200 °C and 250 °C, respectively). The approach is applicable to other immiscible dipolar blends, demonstrating its universality and tunability. This work addresses the urgent needs in electrical energy storage and provides a new paradigm towards high-energy-density polymer dielectrics over a broad temperature range.</w:t>
      </w:r>
    </w:p>
    <w:p>
      <w:pPr>
        <w:spacing w:before="120" w:after="120"/>
      </w:pPr>
      <w:r>
        <w:rPr>
          <w:sz w:val="18"/>
        </w:rPr>
        <w:t>——————————————————————————————————————————————————————————————————————</w:t>
      </w:r>
    </w:p>
    <w:p>
      <w:pPr>
        <w:spacing w:before="160" w:after="40" w:line="240" w:lineRule="auto"/>
      </w:pPr>
      <w:r>
        <w:rPr>
          <w:b/>
        </w:rPr>
        <w:t xml:space="preserve">[330] </w:t>
      </w:r>
      <w:hyperlink r:id="rId541">
        <w:r>
          <w:rPr>
            <w:color w:val="1155CC"/>
            <w:u w:val="single"/>
          </w:rPr>
          <w:t>作者更正: BCL6 使Ph+ 急性淋巴糖性白血病细胞得以存活BCR-ABL1动脉抑制</w:t>
        </w:r>
      </w:hyperlink>
    </w:p>
    <w:p>
      <w:pPr>
        <w:spacing w:before="0" w:after="80"/>
      </w:pPr>
      <w:r>
        <w:rPr>
          <w:i/>
          <w:sz w:val="20"/>
        </w:rPr>
        <w:t>EN: Author Correction: BCL6 enables Ph+ acute lymphoblastic leukaemia cells to survive BCR–ABL1 kinase inhibition</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[331] </w:t>
      </w:r>
      <w:hyperlink r:id="rId542">
        <w:r>
          <w:rPr>
            <w:color w:val="1155CC"/>
            <w:u w:val="single"/>
          </w:rPr>
          <w:t>大型语言模式道德能力评估路线图</w:t>
        </w:r>
      </w:hyperlink>
    </w:p>
    <w:p>
      <w:pPr>
        <w:spacing w:before="0" w:after="80"/>
      </w:pPr>
      <w:r>
        <w:rPr>
          <w:i/>
          <w:sz w:val="20"/>
        </w:rPr>
        <w:t>EN: A roadmap for evaluating moral competence in large language models</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大型语言模型(LLMs)能否表现出道德能力的问题日益引起人们的兴趣和紧迫性,因为这些系统被部署在同伴和医疗咨询等敏感角色中,将越来越多地承担代表人类作出决定和采取行动的任务。这些趋势要求超越仅仅评估道德表现、产生符合道德要求的产出的能力、评价道德能力、根据道德相关考虑提出符合道德要求的产出的能力。评估道德能力对于预测未来的模范行为、建立适当的公众信任和证明道德归属的正当性至关重要。然而,LMMs的独特结构和道德本身本身的复杂性都取决于LMs的独特结构和道德本身。</w:t>
      </w:r>
    </w:p>
    <w:p>
      <w:pPr>
        <w:spacing w:before="0" w:after="200" w:lineRule="auto" w:line="276"/>
      </w:pPr>
      <w:r>
        <w:rPr>
          <w:b/>
        </w:rPr>
        <w:t xml:space="preserve">Abstract (EN): </w:t>
      </w:r>
      <w:r>
        <w:t>The question of whether large language models (LLMs) can exhibit moral capabilities is of growing interest and urgency, as these systems are deployed in sensitive roles such as companionship and medical advising, and will increasingly be tasked with making decisions and taking actions on behalf of humans. These trends require moving beyond evaluating for mere moral performance, the ability to produce morally appropriate outputs, to evaluating for moral competence, the ability to produce morally appropriate outputs based on morally relevant considerations. Assessing moral competence is critical for predicting future model behaviour, establishing appropriate public trust and justifying moral attributions. However, both the unique architectures of LLMs and the complexity of morality itself introduce fundamental challenges. Here we identify three such challenges: the facsimile problem, whereby models may imitate reasoning without genuine understanding; moral multidimensionality, whereby moral decisions are influenced by a range of context-sensitive relevant moral and non-moral considerations; and moral pluralism, which demands a new standard for globally deployed artificial intelligence. We provide a roadmap for tackling these challenges, advocating for a suite of adversarial and confirmatory evaluations that will enable us to work towards a more scientifically grounded understanding and, in turn, a more responsible attribution of moral competence to LLMs.</w:t>
      </w:r>
    </w:p>
    <w:p>
      <w:pPr>
        <w:spacing w:before="120" w:after="120"/>
      </w:pPr>
      <w:r>
        <w:rPr>
          <w:sz w:val="18"/>
        </w:rPr>
        <w:t>——————————————————————————————————————————————————————————————————————</w:t>
      </w:r>
    </w:p>
    <w:p>
      <w:pPr>
        <w:spacing w:before="160" w:after="40" w:line="240" w:lineRule="auto"/>
      </w:pPr>
      <w:r>
        <w:rPr>
          <w:b/>
        </w:rPr>
        <w:t xml:space="preserve">[332] </w:t>
      </w:r>
      <w:hyperlink r:id="rId543">
        <w:r>
          <w:rPr>
            <w:color w:val="1155CC"/>
            <w:u w:val="single"/>
          </w:rPr>
          <w:t>个人化的 mRNA 疫苗在临时TNBC 获得耐久T细胞豁免。</w:t>
        </w:r>
      </w:hyperlink>
    </w:p>
    <w:p>
      <w:pPr>
        <w:spacing w:before="0" w:after="80"/>
      </w:pPr>
      <w:r>
        <w:rPr>
          <w:i/>
          <w:sz w:val="20"/>
        </w:rPr>
        <w:t>EN: Individualized mRNA vaccines evoke durable T cell immunity in adjuvant TNBC</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我们在此评估了14名TNBC病人在外科手术后和新甲草胺或辅助疗法后,在14名TNBC病人中的个人化新抗原 mRNA疫苗。 在几乎所有病人的外围血液中,检测到高磁度、疫苗引起的、主要是对多种新抗原的破异T细胞反应,这些反应在几年中仍然起作用。个别病人的特征显示,这些T细胞中有很大一部分发展成两个子组:一个晚分辨的苯型,标记为`可行动'细胞毒性T细胞和带有干细胞类似记忆型的T细胞。 11名病人在接种后6年中一直没有复发。</w:t>
      </w:r>
    </w:p>
    <w:p>
      <w:pPr>
        <w:spacing w:before="0" w:after="200" w:lineRule="auto" w:line="276"/>
      </w:pPr>
      <w:r>
        <w:rPr>
          <w:b/>
        </w:rPr>
        <w:t xml:space="preserve">Abstract (EN): </w:t>
      </w:r>
      <w:r>
        <w:t>Triple-negative breast cancer (TNBC) is frequently associated with metastatic relapse, even at an early stage1. Here we assessed an individualized neoantigen mRNA vaccine in 14 patients with TNBC following surgery and after neoadjuvant or adjuvant therapy. In peripheral blood of nearly all patients, high-magnitude, vaccine-induced, mostly de novo T cell responses to multiple neoantigens were detected that remained functional for several years. Characterization of individual patients revealed that a large proportion of these T cells developed into two subsets: a late-differentiated phenotype with markers indicative of ‘ready-to-act’ cytotoxic effector T cells, and T cells with a stem cell-like memory phenotype. Eleven patients remained relapse-free for up to six years post-vaccination. Recurrence occurred in three patients: the individual with the weakest vaccine-induced T cell response relapsed, but achieved complete remission on subsequent anti-PD-1 therapy; another patient had a tumour with low major histocompatibility complex (MHC) class I expression with MHC class I-deficient cells growing out under vaccination; and the third patient was BRCA-positive and had a recurrence from a genetically distinct primary tumour. These findings demonstrate the feasibility of individualized RNA vaccines in TNBC, document persistence of vaccine-induced, functional neoantigen-specific T cells and provide insights into possible immune escape mechanisms that will guide future approaches.</w:t>
      </w:r>
    </w:p>
    <w:p>
      <w:pPr>
        <w:spacing w:before="120" w:after="120"/>
      </w:pPr>
      <w:r>
        <w:rPr>
          <w:sz w:val="18"/>
        </w:rPr>
        <w:t>——————————————————————————————————————————————————————————————————————</w:t>
      </w:r>
    </w:p>
    <w:p>
      <w:pPr>
        <w:spacing w:before="160" w:after="40" w:line="240" w:lineRule="auto"/>
      </w:pPr>
      <w:r>
        <w:rPr>
          <w:b/>
        </w:rPr>
        <w:t xml:space="preserve">[333] </w:t>
      </w:r>
      <w:hyperlink r:id="rId544">
        <w:r>
          <w:rPr>
            <w:color w:val="1155CC"/>
            <w:u w:val="single"/>
          </w:rPr>
          <w:t>对不良植物的长期健康监测</w:t>
        </w:r>
      </w:hyperlink>
    </w:p>
    <w:p>
      <w:pPr>
        <w:spacing w:before="0" w:after="80"/>
      </w:pPr>
      <w:r>
        <w:rPr>
          <w:i/>
          <w:sz w:val="20"/>
        </w:rPr>
        <w:t>EN: Long-term health monitoring of poorly plants</w:t>
      </w:r>
    </w:p>
    <w:p>
      <w:pPr>
        <w:spacing w:before="0" w:after="120"/>
      </w:pPr>
      <w:r>
        <w:rPr>
          <w:b/>
        </w:rPr>
        <w:t xml:space="preserve">Source: </w:t>
      </w:r>
      <w:r>
        <w:t>Nature Electronics</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[334] </w:t>
      </w:r>
      <w:hyperlink r:id="rId545">
        <w:r>
          <w:rPr>
            <w:color w:val="1155CC"/>
            <w:u w:val="single"/>
          </w:rPr>
          <w:t>世系和体貌剖面图显示,肿瘤和脑膜瘤的起源和预发情况。</w:t>
        </w:r>
      </w:hyperlink>
    </w:p>
    <w:p>
      <w:pPr>
        <w:spacing w:before="0" w:after="80"/>
      </w:pPr>
      <w:r>
        <w:rPr>
          <w:i/>
          <w:sz w:val="20"/>
        </w:rPr>
        <w:t>EN: Ancestry and somatic profile indicate acral melanoma origin and prognosis</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拉丁美洲样本在全球癌症基因组研究中代表性严重不足,5 直接影响到这些地区的病人,因为众所周知,癌症风险和发病率可能受到祖先和环境接触的影响6,7,87.8. 为解决这一问题,我们确定了92名墨西哥病人的基因组和病原体,共123个大脑膜瘤肿瘤,这92名墨西哥病人的基因组和病原体是123个大脑膜瘤,这92名墨西哥病人的基因组和病原体是显著的,因为其基因粘合物。 9 与其他对黑瘤的研究相比,我们发现古典驱动基因,如BRAF、NRAS或NF1的突变较少,尽管大多数病人主要是美洲印第安人的遗传基因,Tho。</w:t>
      </w:r>
    </w:p>
    <w:p>
      <w:pPr>
        <w:spacing w:before="0" w:after="200" w:lineRule="auto" w:line="276"/>
      </w:pPr>
      <w:r>
        <w:rPr>
          <w:b/>
        </w:rPr>
        <w:t xml:space="preserve">Abstract (EN): </w:t>
      </w:r>
      <w:r>
        <w:t>Acral melanoma, which is not ultraviolet-associated, is the type of melanoma reported most commonly in several non-European-descent populations1,2,3, including in Mexican people4. Latin American samples are substantially under-represented in global cancer genomics studies5, which directly affects patients in these regions as it is known that cancer risk and incidence may be influenced by ancestry and environmental exposures6,7,8. To address this, we characterized the genome and transcriptome of 123 acral melanoma tumours from 92 Mexican patients—a population notable because of its genetic admixture9. Compared with other studies of melanoma, we found fewer mutations in classical driver genes such as BRAF, NRAS or NF1. Although most patients had predominantly Amerindian genetic ancestry, those with higher European ancestry had increased frequency of BRAF mutations. The tumours with activating BRAF mutations had a transcriptional profile more similar to cutaneous non-volar melanocytes, indicating that acral melanomas in these patients may arise from a distinct cell of origin compared with other tumours arising in these locations. Transcriptional profiling defined three expression clusters; these characteristics were associated with recurrence-free and overall survival. Our study enhances knowledge of this understudied disease and underscores the importance of including samples from diverse ancestries in cancer genomics studies.</w:t>
      </w:r>
    </w:p>
    <w:p>
      <w:pPr>
        <w:spacing w:before="120" w:after="120"/>
      </w:pPr>
      <w:r>
        <w:rPr>
          <w:sz w:val="18"/>
        </w:rPr>
        <w:t>——————————————————————————————————————————————————————————————————————</w:t>
      </w:r>
    </w:p>
    <w:p>
      <w:pPr>
        <w:spacing w:before="160" w:after="40" w:line="240" w:lineRule="auto"/>
      </w:pPr>
      <w:r>
        <w:rPr>
          <w:b/>
        </w:rPr>
        <w:t xml:space="preserve">[335] </w:t>
      </w:r>
      <w:hyperlink r:id="rId546">
        <w:r>
          <w:rPr>
            <w:color w:val="1155CC"/>
            <w:u w:val="single"/>
          </w:rPr>
          <w:t>沿海混合太阳能风力农场:将漂浮光电与近海风风相结合的潜力</w:t>
        </w:r>
      </w:hyperlink>
    </w:p>
    <w:p>
      <w:pPr>
        <w:spacing w:before="0" w:after="80"/>
      </w:pPr>
      <w:r>
        <w:rPr>
          <w:i/>
          <w:sz w:val="20"/>
        </w:rPr>
        <w:t>EN: Hybrid offshore solar-wind farms: the potential of integrating floating photovoltaics with offshore wind</w:t>
      </w:r>
    </w:p>
    <w:p>
      <w:pPr>
        <w:spacing w:before="0" w:after="120"/>
      </w:pPr>
      <w:r>
        <w:rPr>
          <w:b/>
        </w:rPr>
        <w:t xml:space="preserve">Source: </w:t>
      </w:r>
      <w:r>
        <w:t>ScienceDirect Publication: Applied Energy</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[336] </w:t>
      </w:r>
      <w:hyperlink r:id="rId547">
        <w:r>
          <w:rPr>
            <w:color w:val="1155CC"/>
            <w:u w:val="single"/>
          </w:rPr>
          <w:t>可伸缩的水凝水智能窗口,保持水分和低排放,用于可持续建筑</w:t>
        </w:r>
      </w:hyperlink>
    </w:p>
    <w:p>
      <w:pPr>
        <w:spacing w:before="0" w:after="80"/>
      </w:pPr>
      <w:r>
        <w:rPr>
          <w:i/>
          <w:sz w:val="20"/>
        </w:rPr>
        <w:t>EN: Scalable hydrogel smart windows with moisture retention and low-emissivity for sustainable buildings</w:t>
      </w:r>
    </w:p>
    <w:p>
      <w:pPr>
        <w:spacing w:before="0" w:after="120"/>
      </w:pPr>
      <w:r>
        <w:rPr>
          <w:b/>
        </w:rPr>
        <w:t xml:space="preserve">Source: </w:t>
      </w:r>
      <w:r>
        <w:t>ScienceDirect Publication: Applied Energy</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[337] </w:t>
      </w:r>
      <w:hyperlink r:id="rId548">
        <w:r>
          <w:rPr>
            <w:color w:val="1155CC"/>
            <w:u w:val="single"/>
          </w:rPr>
          <w:t>溶性酯交叉组合</w:t>
        </w:r>
      </w:hyperlink>
    </w:p>
    <w:p>
      <w:pPr>
        <w:spacing w:before="0" w:after="80"/>
      </w:pPr>
      <w:r>
        <w:rPr>
          <w:i/>
          <w:sz w:val="20"/>
        </w:rPr>
        <w:t>EN: Stereospecific alkyl–alkyl cross-coupling of boronic esters</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碳酸丙酯的交叉结合是化学分子如何制造分子的基石。 最近,对等浓缩的碳酸酯在模块合成中表现出巨大的前景,作为迅速构建多种分子的多功能构件。 这一领域的一个重大挑战是利用碳酸酯催化构建C(sp3)-C(sp3)-C(sp3)债券,特别是反应场为立体碳中心的那些债券。 应对这一挑战不仅将扩大有机框架模块合成中溴酸酯的效用,而且将证明在天然产品和生物活性分子的合成中更为广泛有益。 1 在这方面,我们开发了一种具有立体特性的C(sp3)-C(sp3)-C(sp3)混合反应的铜催化剂。</w:t>
      </w:r>
    </w:p>
    <w:p>
      <w:pPr>
        <w:spacing w:before="0" w:after="200" w:lineRule="auto" w:line="276"/>
      </w:pPr>
      <w:r>
        <w:rPr>
          <w:b/>
        </w:rPr>
        <w:t xml:space="preserve">Abstract (EN): </w:t>
      </w:r>
      <w:r>
        <w:t>Cross-coupling of aryl boronic esters forms a cornerstone of how chemists make molecules. More recently, enantiomerically enriched boronic esters have shown great promise in modular synthesis as versatile building blocks for the rapid construction of diverse molecules. A significant challenge in this area is to employ boronic esters for the catalytic construction of C(sp3)–C(sp3) bonds, especially those where the reaction site is a stereogenic carbon center. Addressing this challenge would not only expand the utility of boronic esters in the modular synthesis of organic frameworks, but also prove more broadly beneficial in the synthesis of natural products and bioactive molecules.1 In this connection, we have developed a stereospecific C(sp3)–C(sp3) coupling reaction catalyzed by a copper acetylide complex. This reaction operates with four-coordinate boron “ate” complexes while remaining inert to simple functional groups including boronic esters, and thereby enables efficient strategies for modular synthesis of complex molecules. Applications to the synthesis of (–)-spongidepsin and the carbon skeleton of fluvirucinine A1 are described.</w:t>
      </w:r>
    </w:p>
    <w:p>
      <w:pPr>
        <w:spacing w:before="120" w:after="120"/>
      </w:pPr>
      <w:r>
        <w:rPr>
          <w:sz w:val="18"/>
        </w:rPr>
        <w:t>——————————————————————————————————————————————————————————————————————</w:t>
      </w:r>
    </w:p>
    <w:p>
      <w:pPr>
        <w:spacing w:before="160" w:after="40" w:line="240" w:lineRule="auto"/>
      </w:pPr>
      <w:r>
        <w:rPr>
          <w:b/>
        </w:rPr>
        <w:t xml:space="preserve">[338] </w:t>
      </w:r>
      <w:hyperlink r:id="rId549">
        <w:r>
          <w:rPr>
            <w:color w:val="1155CC"/>
            <w:u w:val="single"/>
          </w:rPr>
          <w:t>由正型助燃聚合物的N型固态能产生的实际锂-有机电池</w:t>
        </w:r>
      </w:hyperlink>
    </w:p>
    <w:p>
      <w:pPr>
        <w:spacing w:before="0" w:after="80"/>
      </w:pPr>
      <w:r>
        <w:rPr>
          <w:i/>
          <w:sz w:val="20"/>
        </w:rPr>
        <w:t>EN: Practical lithium–organic batteries enabled by an n-type conducting polymer</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使用丰富的和可再循环的有机电极材料的有机电池,为商业锂离1,2,3,4,4,5,依靠资源有限的矿物衍生无机电极材料,提供了可持续和无害环境的替代方法,1,2,3,4,4,5,商业锂离1,3,3,5,商业锂离1,3,3,4,7,8,7,8.然而,有机电池的实际使用由于有机电极材料的内在绝缘和溶解而严重受阻,9,10. 我们在此报告,使用一种N型的实用有机电池,进行聚合阴极、聚(苯二二二氟磷)(PBFDO),该物质具有极好的混合电离子和电子运输,且低溶性。</w:t>
      </w:r>
    </w:p>
    <w:p>
      <w:pPr>
        <w:spacing w:before="0" w:after="200" w:lineRule="auto" w:line="276"/>
      </w:pPr>
      <w:r>
        <w:rPr>
          <w:b/>
        </w:rPr>
        <w:t xml:space="preserve">Abstract (EN): </w:t>
      </w:r>
      <w:r>
        <w:t>Organic batteries using abundant and recyclable organic electrode materials provide a sustainable and environmentally friendly alternative to commercial lithium-ion batteries1,2,3,4,5, which rely on resource-limited mineral-derived inorganic electrode materials6,7,8. However, the practical use of organic batteries has been severely hindered by the intrinsic insulation and dissolution of organic electrode materials9,10. Here we report practical organic batteries using an n-type conducting polymer cathode, poly(benzodifurandione) (PBFDO), which exhibits excellent mixed ionic and electronic transport and low solubility. The PBFDO cathode maintains its n-doped state throughout the electrochemical processes and exhibits stable and reversible redox characteristics, high electrical conductivities and significant lithium-ion diffusion coefficients, without the need for additional conductive additives. Consequently, ultrahigh-mass-loading polymer cathodes, with mass loadings up to 206 mg cm−2, are realized, delivering a high areal capacity of 42 mAh cm−2 and demonstrating robust cycling stability. Furthermore, practical 2.5 Ah lithium–organic pouch cells were fabricated, achieving an impressive energy density of 255 Wh kg−1. Notably, the conducting polymer cathode operates efficiently over a wide temperature range from −70 °C to 80 °C and demonstrates excellent flexibility and safety, marking considerable potential for applications in extreme conditions and wearable electronics.</w:t>
      </w:r>
    </w:p>
    <w:p>
      <w:pPr>
        <w:spacing w:before="120" w:after="120"/>
      </w:pPr>
      <w:r>
        <w:rPr>
          <w:sz w:val="18"/>
        </w:rPr>
        <w:t>——————————————————————————————————————————————————————————————————————</w:t>
      </w:r>
    </w:p>
    <w:p>
      <w:pPr>
        <w:spacing w:before="160" w:after="40" w:line="240" w:lineRule="auto"/>
      </w:pPr>
      <w:r>
        <w:rPr>
          <w:b/>
        </w:rPr>
        <w:t xml:space="preserve">[339] </w:t>
      </w:r>
      <w:hyperlink r:id="rId550">
        <w:r>
          <w:rPr>
            <w:color w:val="1155CC"/>
            <w:u w:val="single"/>
          </w:rPr>
          <w:t>单细胞和单细胞和具体等形对鼠脑的翻译剖面剖面分析</w:t>
        </w:r>
      </w:hyperlink>
    </w:p>
    <w:p>
      <w:pPr>
        <w:spacing w:before="0" w:after="80"/>
      </w:pPr>
      <w:r>
        <w:rPr>
          <w:i/>
          <w:sz w:val="20"/>
        </w:rPr>
        <w:t>EN: Single-cell and isoform-specific translational profiling of the mouse brain</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大脑展示了最丰富的管理 mRNA 翻译、1、2、3、4、5、6、7、7、8、9、9、10、11等最丰富的处理MRNA 翻译、2、3、4、4、5、6、7、8、9、10、11的处理后处理机制。其中,替代拼图显示驱动了细胞型的特殊性,当被打断时,与神经紊乱有密切联系12、13、14、15、16、16、17. 然而,在单细胞分辨率上,尚未实现对 mRNA 翻译具有等式敏感性的全基因组测量。为了解决这个问题,我们采用了APOBEC-Metive 剖析仪(Ribo-STAMP)对 RBNA 目标进行勘测,同时在大脑中进行了短读和长读单细胞 RNA 排序18。我们在产后25日生成了鼠臀部第一个对单细胞敏感的单细胞切体,发现了3 857 个特定细胞型翻译。</w:t>
      </w:r>
    </w:p>
    <w:p>
      <w:pPr>
        <w:spacing w:before="0" w:after="200" w:lineRule="auto" w:line="276"/>
      </w:pPr>
      <w:r>
        <w:rPr>
          <w:b/>
        </w:rPr>
        <w:t xml:space="preserve">Abstract (EN): </w:t>
      </w:r>
      <w:r>
        <w:t>The brain displays the richest repertoire of post-transcriptional mechanisms regulating mRNA translation1,2,3,4,5,6,7,8,9,10,11. Among these, alternative splicing has been shown to drive cell-type specificity and, when disrupted, is strongly linked to neurological disorders12,13,14,15,16,17. However, genome-wide measurements of mRNA translation with isoform sensitivity at single-cell resolution have not been achieved. To address this, we deployed Surveying Ribosomal Targets by APOBEC-Mediated Profiling (Ribo-STAMP) coupled with short-read and long-read single-cell RNA sequencing in the brain18. We generated the first isoform-sensitive single-cell translatomes of the mouse hippocampus at postnatal day 25, discovering cell-type-specific translation of 3,857 alternative transcripts across 1,641 genes and identifying isoforms of the same genes undergoing differential translation within and across 8 different cell types. We defined high and low translational states in CA1 and CA3 neurons, with synaptic and metabolic genes enriched in high states. We found that CA3 exhibited higher basal translation compared with CA1, as confirmed by metabolic labelling of newly synthesized proteins and immunohistochemistry of translational machinery components. This accessible platform will expand our understanding of how cell-type-specific and isoform-specific translation drives brain physiology and disease.</w:t>
      </w:r>
    </w:p>
    <w:p>
      <w:pPr>
        <w:spacing w:before="120" w:after="120"/>
      </w:pPr>
      <w:r>
        <w:rPr>
          <w:sz w:val="18"/>
        </w:rPr>
        <w:t>——————————————————————————————————————————————————————————————————————</w:t>
      </w:r>
    </w:p>
    <w:p>
      <w:pPr>
        <w:spacing w:before="160" w:after="40" w:line="240" w:lineRule="auto"/>
      </w:pPr>
      <w:r>
        <w:rPr>
          <w:b/>
        </w:rPr>
        <w:t xml:space="preserve">[340] </w:t>
      </w:r>
      <w:hyperlink r:id="rId551">
        <w:r>
          <w:rPr>
            <w:color w:val="1155CC"/>
            <w:u w:val="single"/>
          </w:rPr>
          <w:t>具有可追踪推理的稀有疾病诊断毒剂系统</w:t>
        </w:r>
      </w:hyperlink>
    </w:p>
    <w:p>
      <w:pPr>
        <w:spacing w:before="0" w:after="80"/>
      </w:pPr>
      <w:r>
        <w:rPr>
          <w:i/>
          <w:sz w:val="20"/>
        </w:rPr>
        <w:t>EN: An agentic system for rare disease diagnosis with traceable reasoning</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罕见疾病影响到全世界3亿多人,1,2,3,3,但及时、准确的诊断仍然是一项紧迫的挑战,1,3,4,5,55. 患者经常忍受长达5年以上的 " 诊断性多功能赛 ",其特点是反复转诊、误诊和不必要的干预,导致治疗延迟和严重的情感和经济负担4,5。 我们在这里介绍DeepRare-一种用于稀有疾病区别诊断决定支持的多试剂系统6,7,7,8,8,由大型语言模型驱动,整合了40多个专门工具和最新知识来源。深程进程各种临床投入,包括免费文本描述、结构化人类苯型肿瘤术语和遗传检测结果,以产生具有透明理由的诊断假体。</w:t>
      </w:r>
    </w:p>
    <w:p>
      <w:pPr>
        <w:spacing w:before="0" w:after="200" w:lineRule="auto" w:line="276"/>
      </w:pPr>
      <w:r>
        <w:rPr>
          <w:b/>
        </w:rPr>
        <w:t xml:space="preserve">Abstract (EN): </w:t>
      </w:r>
      <w:r>
        <w:t>Rare diseases affect more than 300 million people worldwide1,2,3, yet timely and accurate diagnosis remains an urgent challenge1,3,4,5. Patients often endure a prolonged ‘diagnostic odyssey’ exceeding 5 years, marked by repeated referrals, misdiagnoses and unnecessary interventions, leading to delayed treatment and substantial emotional and economic burden4,5. Here we present DeepRare—a multi-agent system for rare disease differential diagnosis decision support6,7,8 powered by large language models, integrating more than 40 specialized tools and up-to-date knowledge sources. DeepRare processes heterogeneous clinical inputs, including free-text descriptions, structured human phenotype ontology terms and genetic testing results to generate ranked diagnostic hypotheses with transparent reasoning linked to verifiable medical evidence. Evaluated across nine datasets from literature, case reports and clinical centres across Asia, North America and Europe spanning 14 medical specialties, DeepRare demonstrates exceptional performance on 2,919 diseases. In human-phenotype-ontology-based tasks, it achieves an average Recall@1 of 57.18%, outperforming the next best method by 23.79%; in multi-modal tests, it reaches 69.1% compared with Exomiser’s 55.9% on 168 cases. Expert review achieved 95.4% agreement on its reasoning chains, confirming their validity and traceability. Our work not only advances rare disease diagnosis but also demonstrates how the latest powerful large-language-model-driven agentic systems can reshape current clinical workflows.</w:t>
      </w:r>
    </w:p>
    <w:p>
      <w:pPr>
        <w:spacing w:before="120" w:after="120"/>
      </w:pPr>
      <w:r>
        <w:rPr>
          <w:sz w:val="18"/>
        </w:rPr>
        <w:t>——————————————————————————————————————————————————————————————————————</w:t>
      </w:r>
    </w:p>
    <w:p>
      <w:pPr>
        <w:spacing w:before="160" w:after="40" w:line="240" w:lineRule="auto"/>
      </w:pPr>
      <w:r>
        <w:rPr>
          <w:b/>
        </w:rPr>
        <w:t xml:space="preserve">[341] </w:t>
      </w:r>
      <w:hyperlink r:id="rId552">
        <w:r>
          <w:rPr>
            <w:color w:val="1155CC"/>
            <w:u w:val="single"/>
          </w:rPr>
          <w:t>阿古蒂整合环境提示,以规范父权行为</w:t>
        </w:r>
      </w:hyperlink>
    </w:p>
    <w:p>
      <w:pPr>
        <w:spacing w:before="0" w:after="80"/>
      </w:pPr>
      <w:r>
        <w:rPr>
          <w:i/>
          <w:sz w:val="20"/>
        </w:rPr>
        <w:t>EN: Agouti integrates environmental cues to regulate paternal behaviour</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在哺乳动物中,父子护理很少见,而指导其出现的精神神经机制也鲜为人知。1 我们利用非洲条纹小鼠(Rhabdomys pumilio)的自然父权行为、2、3 和综合的脑部脑部测图、单核RNA测序、病毒介导的基因扰动和环境操纵,以解析男性为父母的自然变异的神经基础。我们在这里发现,社会-环境条件驱使男性同父异母的父异母的个体差异,例如,在社会孤立后,父权照料增加,而生活在密度较高的社会群体增加杀婴行为。这种护理的自然变化与媒体前视领域的神经活动以及跨大脑区域相关活动的变化相对应。</w:t>
      </w:r>
    </w:p>
    <w:p>
      <w:pPr>
        <w:spacing w:before="0" w:after="200" w:lineRule="auto" w:line="276"/>
      </w:pPr>
      <w:r>
        <w:rPr>
          <w:b/>
        </w:rPr>
        <w:t xml:space="preserve">Abstract (EN): </w:t>
      </w:r>
      <w:r>
        <w:t>Paternal care is rare among mammals and the neural mechanisms governing its emergence are poorly understood1. We leveraged the natural paternal behaviour of African striped mice (Rhabdomys pumilio)2,3, and integrated brain-wide cFos mapping, single-nucleus RNA sequencing, virally mediated gene perturbation and environmental manipulation to dissect the neural basis of natural variation in male parenting. Here we find that socio-environmental conditions drive individual variation in male alloparenting such that postweaning social isolation increases paternal care whereas social living in higher density groups increases infanticide. This natural variation in care corresponds to neural activity in the medial preoptic area and changes in correlated activity across brain regions. Within the medial preoptic area, expression of agouti signalling protein (Agouti) in neurons is increased by group housing and is negatively associated with care, and overexpression of Agouti reduces care and enhances infanticide in previously tolerant mice. Naturalistic manipulations further reveal that Agouti integrates long-term housing conditions rather than food availability or hunger. Our findings reveal that variation in male paternal care reflects context-dependent regulation of conserved hypothalamic and melanocortin signalling mechanisms rather than the presence or absence of paternal capacity.</w:t>
      </w:r>
    </w:p>
    <w:p>
      <w:pPr>
        <w:spacing w:before="120" w:after="120"/>
      </w:pPr>
      <w:r>
        <w:rPr>
          <w:sz w:val="18"/>
        </w:rPr>
        <w:t>——————————————————————————————————————————————————————————————————————</w:t>
      </w:r>
    </w:p>
    <w:p>
      <w:pPr>
        <w:spacing w:before="160" w:after="40" w:line="240" w:lineRule="auto"/>
      </w:pPr>
      <w:r>
        <w:rPr>
          <w:b/>
        </w:rPr>
        <w:t xml:space="preserve">[342] </w:t>
      </w:r>
      <w:hyperlink r:id="rId553">
        <w:r>
          <w:rPr>
            <w:color w:val="1155CC"/>
            <w:u w:val="single"/>
          </w:rPr>
          <w:t>古代生态祖先后代的氧代谢</w:t>
        </w:r>
      </w:hyperlink>
    </w:p>
    <w:p>
      <w:pPr>
        <w:spacing w:before="0" w:after="80"/>
      </w:pPr>
      <w:r>
        <w:rPr>
          <w:i/>
          <w:sz w:val="20"/>
        </w:rPr>
        <w:t>EN: Oxygen metabolism in descendants of the archaeal-eukaryotic ancestor</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Asgard Armaea是复杂细胞生命起源的关键。 Heimdallarlarchaeia(Heimdallarchaeia(Asgardararchaeota的植物类)被推断为是eukaryotes的最近亲属。这些考古类的抽样有限限制了我们对其生态和进化的理解,2,3 包括它们在产卵过程中的作用。在这里,我们利用海洋沉积物的大量DNA排序来获取404个Asgardararchateta 元基因组,包括136个新的Heimdallarchaeia和若干新颖的基因组。对这些基因组的全球分布的分析表明,这些基因组分布在海洋环境中很普遍,许多分布丰富于可变氧的沿海沉积物中。详细的代谢重建和结构预测表明,Heimdalchaeia 形态不同于其他代谢类。</w:t>
      </w:r>
    </w:p>
    <w:p>
      <w:pPr>
        <w:spacing w:before="0" w:after="200" w:lineRule="auto" w:line="276"/>
      </w:pPr>
      <w:r>
        <w:rPr>
          <w:b/>
        </w:rPr>
        <w:t xml:space="preserve">Abstract (EN): </w:t>
      </w:r>
      <w:r>
        <w:t>Asgard archaea were pivotal in the origin of complex cellular life1. Heimdallarchaeia (a class within the phylum Asgardarchaeota) are inferred to be the closest relatives of eukaryotes. Limited sampling of these archaea constrains our understanding of their ecology and evolution2,3, including their role in eukaryogenesis. Here we use massive DNA sequencing of marine sediments to obtain 404 Asgardarchaeota metagenome-assembled genomes, including 136 new Heimdallarchaeia and several novel lineages. Analyses of their global distribution revealed they are widespread in marine environments, and many are enriched in variably oxygenated coastal sediments. Detailed metabolic reconstructions and structural predictions suggest that Heimdallarchaeia form metabolic guilds that are distinct from other Asgardarchaeota. These archaea encode hallmark proteins of an aerobic lifestyle, including electron transport chain complex (IV), haem biosynthesis and reactive oxygen species detoxification. Heimdallarchaeia also encode novel clades of respiratory membrane-bound hydrogenases with additional Complex I-like subunits, which potentially increase proton-motive force generation and ATP synthesis. Thus, we propose an updated Heimdallarchaeia-centric model of eukaryogenesis in which hydrogen production and aerobic respiration may have been present in the Asgard-eukaryotic ancestor. This expanded catalogue of Asgard archaeal genomic diversity suggests that bioenergetic factors influenced eukaryogenesis and constitutes a valuable resource for investigations into the origins and evolution of cellular complexity.</w:t>
      </w:r>
    </w:p>
    <w:p>
      <w:pPr>
        <w:spacing w:before="120" w:after="120"/>
      </w:pPr>
      <w:r>
        <w:rPr>
          <w:sz w:val="18"/>
        </w:rPr>
        <w:t>——————————————————————————————————————————————————————————————————————</w:t>
      </w:r>
    </w:p>
    <w:p>
      <w:pPr>
        <w:spacing w:before="160" w:after="40" w:line="240" w:lineRule="auto"/>
      </w:pPr>
      <w:r>
        <w:rPr>
          <w:b/>
        </w:rPr>
        <w:t xml:space="preserve">[343] </w:t>
      </w:r>
      <w:hyperlink r:id="rId554">
        <w:r>
          <w:rPr>
            <w:color w:val="1155CC"/>
            <w:u w:val="single"/>
          </w:rPr>
          <w:t>核糖核酸信号协调细菌免疫的激活和抑制。</w:t>
        </w:r>
      </w:hyperlink>
    </w:p>
    <w:p>
      <w:pPr>
        <w:spacing w:before="0" w:after="80"/>
      </w:pPr>
      <w:r>
        <w:rPr>
          <w:i/>
          <w:sz w:val="20"/>
        </w:rPr>
        <w:t>EN: Nucleotide signals coordinate activation and inhibition of bacterial immunity</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细胞核糖化物池是宿主对病毒感染的免疫反应的一个主要中心点。干扰核糖化物池的免疫效应蛋白能够使动物和细菌细胞广泛限制多种病毒,但减少核糖化的供应量会诱发细胞毒性并限制宿主健康,1,2,3,4,5。 我们在这里确认了Clover,一个细菌抗药防御系统,它通过对一种对一种脱氧核糖核对立的三重磷氢裂酶酶(CloA)进行编码来克服这一平衡,它能动态地对一种激活的细胞提示和一种由合伙监管酶(CloB)产生的抑制性核糖化核酸免疫信号作出反应。 分析细胞中的氯酸限制和体外合成酶功能的重组表明CloA是一种对病毒酶作出反应的dGTPase。</w:t>
      </w:r>
    </w:p>
    <w:p>
      <w:pPr>
        <w:spacing w:before="0" w:after="200" w:lineRule="auto" w:line="276"/>
      </w:pPr>
      <w:r>
        <w:rPr>
          <w:b/>
        </w:rPr>
        <w:t xml:space="preserve">Abstract (EN): </w:t>
      </w:r>
      <w:r>
        <w:t>The cellular nucleotide pool is a major focal point of the host immune response to viral infection. Immune effector proteins that disrupt the nucleotide pool enable animal and bacterial cells to broadly restrict diverse viruses, but reduced nucleotide availability induces cellular toxicity and can limit host fitness1,2,3,4,5. Here we identify Clover, a bacterial anti-phage defence system that overcomes this trade-off by encoding a deoxynucleoside triphosphohydrolase enzyme (CloA) that dynamically responds to both an activating phage cue and an inhibitory nucleotide immune signal produced by a partnering regulatory enzyme (CloB). Analysis of phage restriction by Clover in cells and reconstitution of enzymatic function in vitro demonstrate that CloA is a dGTPase that responds to viral enzymes that increase cellular levels of dTTP. To restrain CloA activation in the absence of infection, we show that CloB synthesizes a dTTP-related inhibitory nucleotide signal, p3diT (5′-triphosphothymidyl-3′5′-thymidine), that binds to CloA and suppresses activation. Cryo-electron microscopy structures of CloA in activated and suppressed states reveal how dTTP and p3diT control distinct allosteric sites and regulate effector function. Our results define how nucleotide signals coordinate both activation and inhibition of antiviral immunity and explain how cells balance defence and immune-mediated toxicity.</w:t>
      </w:r>
    </w:p>
    <w:p>
      <w:pPr>
        <w:spacing w:before="120" w:after="120"/>
      </w:pPr>
      <w:r>
        <w:rPr>
          <w:sz w:val="18"/>
        </w:rPr>
        <w:t>——————————————————————————————————————————————————————————————————————</w:t>
      </w:r>
    </w:p>
    <w:p>
      <w:pPr>
        <w:spacing w:before="160" w:after="40" w:line="240" w:lineRule="auto"/>
      </w:pPr>
      <w:r>
        <w:rPr>
          <w:b/>
        </w:rPr>
        <w:t xml:space="preserve">[344] </w:t>
      </w:r>
      <w:hyperlink r:id="rId555">
        <w:r>
          <w:rPr>
            <w:color w:val="1155CC"/>
            <w:u w:val="single"/>
          </w:rPr>
          <w:t>清除阴道菌道菌疫苗</w:t>
        </w:r>
      </w:hyperlink>
    </w:p>
    <w:p>
      <w:pPr>
        <w:spacing w:before="0" w:after="80"/>
      </w:pPr>
      <w:r>
        <w:rPr>
          <w:i/>
          <w:sz w:val="20"/>
        </w:rPr>
        <w:t>EN: Mucosal vaccination clears Clostridioides difficile colonization</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这些疫苗是环球注射的,它诱发一种系统的免疫反应,而不是在感染的原发地结肠的肌肉反应。在这里,我们比较了混合性(生殖性)和邻产性(诱带性)管理途径之间的保护和殖民性负担。</w:t>
      </w:r>
    </w:p>
    <w:p>
      <w:pPr>
        <w:spacing w:before="0" w:after="200" w:lineRule="auto" w:line="276"/>
      </w:pPr>
      <w:r>
        <w:rPr>
          <w:b/>
        </w:rPr>
        <w:t xml:space="preserve">Abstract (EN): </w:t>
      </w:r>
      <w:r>
        <w:t>Clostridioides difficile infection (CDI) is the leading cause of healthcare- and antibiotic-associated infection and has a 30% recurrence rate1,2,3,4,5. Previous vaccine strategies against CDI failed to reduce pathogen burden, a prerequisite for preventing C. difficile transmission and recurrence6,7,8,9,10,11. These vaccines were administered parenterally, which induced a systemic immune response, rather than a mucosal response in the colon, the site of infection. Here we compare protection and colonization burden between mucosal (rectal) and parenteral (intraperitoneal) administration routes of a multivalent, adjuvanted vaccine combining inactivated C. difficile toxins and novel surface antigens. We found that mucosal immunization, but not parenteral, clears C. difficile from the host. Unique correlates of decolonization included faecal IgG responses to vegetative surface antigens and a colonic, T helper type 17 (TH17)-skewed tissue-resident memory T cell response against spore antigen. Importantly, mucosal vaccination protected against morbidity, mortality, tissue damage and recurrence. Our results demarcate notable differences in correlates of protection and pathogen clearance between vaccine administration routes and highlight a mucosal immunization regimen that elicits sterilizing immunity against CDI.</w:t>
      </w:r>
    </w:p>
    <w:p>
      <w:pPr>
        <w:spacing w:before="120" w:after="120"/>
      </w:pPr>
      <w:r>
        <w:rPr>
          <w:sz w:val="18"/>
        </w:rPr>
        <w:t>——————————————————————————————————————————————————————————————————————</w:t>
      </w:r>
    </w:p>
    <w:p>
      <w:pPr>
        <w:spacing w:before="160" w:after="40" w:line="240" w:lineRule="auto"/>
      </w:pPr>
      <w:r>
        <w:rPr>
          <w:b/>
        </w:rPr>
        <w:t xml:space="preserve">[345] </w:t>
      </w:r>
      <w:hyperlink r:id="rId556">
        <w:r>
          <w:rPr>
            <w:color w:val="1155CC"/>
            <w:u w:val="single"/>
          </w:rPr>
          <w:t>准确预测与STARLINLING结合的无序蛋白蛋白化合物的准确预测</w:t>
        </w:r>
      </w:hyperlink>
    </w:p>
    <w:p>
      <w:pPr>
        <w:spacing w:before="0" w:after="80"/>
      </w:pPr>
      <w:r>
        <w:rPr>
          <w:i/>
          <w:sz w:val="20"/>
        </w:rPr>
        <w:t>EN: Accurate predictions of disordered protein ensembles with STARLING</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自然无序蛋白和地区(统称IDRs)遍及所有的生命王国,在几乎所有电子细胞过程中都具有关键作用。1 IDR存在于结构上不同的多种异质中,这种结构性可促进多种分子的识别和功能2,3,4。我们在这里将基于物理的力量领域的进步与多模式深层次深层次学习开发Staring的力量结合起来,Starling是快速生成准确的IDR组合和从序列中联想表达的框架。STARLing支持环境调节跨离离子力,并证明基因模型超越其培训领域的内在能力的概念证明。此外,我们还能够使共构件改进 u。</w:t>
      </w:r>
    </w:p>
    <w:p>
      <w:pPr>
        <w:spacing w:before="0" w:after="200" w:lineRule="auto" w:line="276"/>
      </w:pPr>
      <w:r>
        <w:rPr>
          <w:b/>
        </w:rPr>
        <w:t xml:space="preserve">Abstract (EN): </w:t>
      </w:r>
      <w:r>
        <w:t>Intrinsically disordered proteins and regions (collectively IDRs) are found across all kingdoms of life and have critical roles in virtually every eukaryotic cellular process1. IDRs exist in a broad ensemble of structurally distinct conformations. This structural plasticity facilitates diverse molecular recognition and function2,3,4. Here we combine advances in physics-based force fields with the power of multi-modal generative deep learning to develop STARLING, a framework for rapid generation of accurate IDR ensembles and ensemble-aware representations from sequence. STARLING supports environmental conditioning across ionic strengths and demonstrates proof of concept for the interpolative ability of generative models beyond their training domain. Moreover, we enable ensemble refinement under experimental constraints using a Bayesian maximum-entropy reweighting scheme. Beyond ensemble characterization, STARLING sequence representations can be used in multiple ways. We showcase two examples: first, STARLING lets us perform ensemble-based search for ‘biophysical look-alikes’. Second, we demonstrate how these latent representations can be used to accelerate ensemble-first sequence design from weeks or hours per candidate to seconds, enabling library-scale designs. Together, STARLING dramatically lowers the barrier to the computational interrogation of IDR function through the lens of emergent biophysical properties, complementing bioinformatic protein sequence analysis. We evaluate the accuracy of STARLING against extant experimental data and offer a series of vignettes illustrating how STARLING can enable rapid hypothesis generation for IDR function and aid the interpretation of experimental data.</w:t>
      </w:r>
    </w:p>
    <w:p>
      <w:pPr>
        <w:spacing w:before="120" w:after="120"/>
      </w:pPr>
      <w:r>
        <w:rPr>
          <w:sz w:val="18"/>
        </w:rPr>
        <w:t>——————————————————————————————————————————————————————————————————————</w:t>
      </w:r>
    </w:p>
    <w:p>
      <w:pPr>
        <w:spacing w:before="160" w:after="40" w:line="240" w:lineRule="auto"/>
      </w:pPr>
      <w:r>
        <w:rPr>
          <w:b/>
        </w:rPr>
        <w:t xml:space="preserve">[346] </w:t>
      </w:r>
      <w:hyperlink r:id="rId557">
        <w:r>
          <w:rPr>
            <w:color w:val="1155CC"/>
            <w:u w:val="single"/>
          </w:rPr>
          <w:t>微型图泡和LIS1在牙科运输机械组装中的作用</w:t>
        </w:r>
      </w:hyperlink>
    </w:p>
    <w:p>
      <w:pPr>
        <w:spacing w:before="0" w:after="80"/>
      </w:pPr>
      <w:r>
        <w:rPr>
          <w:i/>
          <w:sz w:val="20"/>
        </w:rPr>
        <w:t>EN: Roles of microtubules and LIS1 in dynein transport machinery assembly</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Cytoplasmic dynein-1(LIS1), 一种以微管(MT)为基础的运动蛋白, 需要显性素和粘合油调节器, 才能形成一个过程性苯ynin- ynactin- adaptor(DDD) 复合体, 1, 2 2 。 在DDA组装中, MT 和 苯调节器LIS1 (LIS1) 的作用仍然难以捉摸。 在这里, 我们使用冷冻- 电子显微镜来确定 MT 和 LIS1 调解的DDDA 组装的结构基础。 我们显示,在MT 上,一个适应器独立自成型的Dynein- dynactin 复合体, 以高效的方式以2:1 个内在的异异异异体测量法形式在MT 捆绑上平行的Dynein尾的同步结合驱动下, 。 适应器可以在组装的MT- 受Dynin- dynactin- dynactin 复合体内部旋转和由dynein 推进这些</w:t>
      </w:r>
    </w:p>
    <w:p>
      <w:pPr>
        <w:spacing w:before="0" w:after="200" w:lineRule="auto" w:line="276"/>
      </w:pPr>
      <w:r>
        <w:rPr>
          <w:b/>
        </w:rPr>
        <w:t xml:space="preserve">Abstract (EN): </w:t>
      </w:r>
      <w:r>
        <w:t>Cytoplasmic dynein-1, a microtubule (MT)-based motor protein, requires dynactin and a coiled-coil adaptor to form the processive dynein–dynactin–adaptor (DDA) complex1,2. The roles of MTs and dynein regulator lissencephaly-1 (LIS1) in DDA assembly have remained elusive. Here we use cryo-electron microscopy to determine the structural basis of MT- and LIS1-mediated DDA assembly. We show that an adaptor-independent dynein–dynactin complex spontaneously forms on MTs with an intrinsic 2:1 stoichiometry in a highly efficient manner, driven by parallel alignment of dynein tails upon MT binding. Adaptors can wedge into and exchange within the assembled MT-bound dynein–dynactin complex; these processes are enabled by relative rotations between dynein and dynactin and facilitated by the dynein light-intermediate chains that assist the adaptor ‘search’ mechanism. Although LIS1 is dispensable for efficient DD(A)–MT assembly, its presence expands the conformational landscape of DD(A) assemblies on MTs. Cryo-electron microscopy reveals that LIS1 bridges dynactin p150glued and dynein in both the closed Phi-like and open prepowerstroke states, stabilizing low-MT-affinity intermediates that tether dynein molecules in proximity to MTs and prime them for subsequent DD(A) assembly through alternative pathways. These findings demonstrate the dynamic adaptability of the dynein transport machinery and the coordinated roles of MTs and LIS1 in DDA assembly.</w:t>
      </w:r>
    </w:p>
    <w:p>
      <w:pPr>
        <w:spacing w:before="120" w:after="120"/>
      </w:pPr>
      <w:r>
        <w:rPr>
          <w:sz w:val="18"/>
        </w:rPr>
        <w:t>——————————————————————————————————————————————————————————————————————</w:t>
      </w:r>
    </w:p>
    <w:p>
      <w:pPr>
        <w:spacing w:before="160" w:after="40" w:line="240" w:lineRule="auto"/>
      </w:pPr>
      <w:r>
        <w:rPr>
          <w:b/>
        </w:rPr>
        <w:t xml:space="preserve">[347] </w:t>
      </w:r>
      <w:hyperlink r:id="rId558">
        <w:r>
          <w:rPr>
            <w:color w:val="1155CC"/>
            <w:u w:val="single"/>
          </w:rPr>
          <w:t>对小鼠Chd3救援行为异常的Chd3进行活体基本编辑</w:t>
        </w:r>
      </w:hyperlink>
    </w:p>
    <w:p>
      <w:pPr>
        <w:spacing w:before="0" w:after="80"/>
      </w:pPr>
      <w:r>
        <w:rPr>
          <w:i/>
          <w:sz w:val="20"/>
        </w:rPr>
        <w:t>EN: In vivo base editing of Chd3 rescues behavioural abnormalities in mice</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染色体改良基因中新突变引起的神经发育紊乱,缺乏有针对性的治疗。 Snijders Blok-Campeau综合症(SNIBCPS)1 是由CDH3病原变体造成的1 Snijdders Blok-Campeau综合症(SNIBCPS)1,该综合症是由CHD3中的病原体变异体造成的,有智力残疾、自闭行为和运动缺陷的特征。2 体外基因矫正是否能逆转这种体外型在体内的这种苯型,目前还不得而知。 我们在这里显示,在人性化鼠模型(Cd3hR1025W/+)中反复出现的CHD3变体p.R1025W, 重新概括了SNIBBPS的关键特征,包括CHD3蛋白质水平下降和社会交流、认知和运动协调中的异常现象。我们设计了TADA编织的肾基编辑(TeABE),并用一种双亚病毒系统在全脑范围内交付,实现了效率。</w:t>
      </w:r>
    </w:p>
    <w:p>
      <w:pPr>
        <w:spacing w:before="0" w:after="200" w:lineRule="auto" w:line="276"/>
      </w:pPr>
      <w:r>
        <w:rPr>
          <w:b/>
        </w:rPr>
        <w:t xml:space="preserve">Abstract (EN): </w:t>
      </w:r>
      <w:r>
        <w:t>Neurodevelopmental disorders that arise from de novo mutations in chromatin-remodelling genes lack targeted treatments. Snijders Blok–Campeau syndrome (SNIBCPS)1, which is caused by pathogenic variants in CHD3, manifests with intellectual disability, autistic-like behaviours and motor deficits2. Whether somatic gene correction can reverse such phenotypes in vivo remains unknown. Here we show that modelling the recurrent CHD3 variant p.R1025W in a humanized mouse model (Chd3hR1025W/+) recapitulates key features of SNIBCPS, including reduced CHD3 protein levels and abnormalities in social communication, cognition and motor coordination. We engineered a TadA-embedded adenine base editor (TeABE) and delivered it brain-wide using a dual adeno-associated virus (AAV) system and achieved efficient on-target A•T-to-G•C correction across multiple cortical and hippocampal regions with minimal bystander activity. This intervention restored CHD3 levels and ameliorated behavioural abnormalities in vivo. Furthermore, intrathecal dual AAV delivery in nonhuman primates resulted in widespread neuronal transduction and efficient TeABE reconstitution, a result that supports its translational feasibility. These findings establish in vivo base editing as a viable therapeutic approach for CHD3-related neurodevelopmental disease. More broadly, they demonstrate that precise single-base correction in the postnatal brain can restore protein dosage and function, thereby offering a framework for the treatment of monogenic neurodevelopmental disorders.</w:t>
      </w:r>
    </w:p>
    <w:p>
      <w:pPr>
        <w:spacing w:before="120" w:after="120"/>
      </w:pPr>
      <w:r>
        <w:rPr>
          <w:sz w:val="18"/>
        </w:rPr>
        <w:t>——————————————————————————————————————————————————————————————————————</w:t>
      </w:r>
    </w:p>
    <w:p>
      <w:pPr>
        <w:spacing w:before="160" w:after="40" w:line="240" w:lineRule="auto"/>
      </w:pPr>
      <w:r>
        <w:rPr>
          <w:b/>
        </w:rPr>
        <w:t xml:space="preserve">[348] </w:t>
      </w:r>
      <w:hyperlink r:id="rId559">
        <w:r>
          <w:rPr>
            <w:color w:val="1155CC"/>
            <w:u w:val="single"/>
          </w:rPr>
          <w:t>红甲体细胞中减少的环环D3表达式防疟疾</w:t>
        </w:r>
      </w:hyperlink>
    </w:p>
    <w:p>
      <w:pPr>
        <w:spacing w:before="0" w:after="80"/>
      </w:pPr>
      <w:r>
        <w:rPr>
          <w:i/>
          <w:sz w:val="20"/>
        </w:rPr>
        <w:t>EN: Reduced cyclin D3 expression in erythroid cells protects against malaria</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由于红血球细胞在疟疾生物学中起着关键作用,因此与这些细胞的发育有关的遗传变异可通报确定疾病严重程度的机制。这里我们调查变异值r112233623-T与红细胞特性的联系的机械基础,并研究其在调控疟疾严重性方面的作用。这一变异与血红蛋白A2的浓度增加、红细胞尺寸增加和红细胞数量减少1,2相关联。</w:t>
      </w:r>
    </w:p>
    <w:p>
      <w:pPr>
        <w:spacing w:before="0" w:after="200" w:lineRule="auto" w:line="276"/>
      </w:pPr>
      <w:r>
        <w:rPr>
          <w:b/>
        </w:rPr>
        <w:t xml:space="preserve">Abstract (EN): </w:t>
      </w:r>
      <w:r>
        <w:t>The severity of malaria varies substantially between individuals, but the mechanisms that underlie these differences remain unclear. Because erythrocytes have a key role in malaria biology, genetic variants associated with the development of these cells could inform the mechanisms that determine disease severity. Here we investigate the mechanistic basis of the association of the variant rs112233623-T with erythrocyte properties, and examine its role in modulating malaria severity. This variant is associated with increased levels of haemoglobin A2, increased erythrocyte size and reduced erythrocyte number1,2. It is found in an erythroid enhancer of CCND3, which encodes cyclin D3—a cell-division activator that enhances the pentose phosphate pathway and thereby helps to counteract reactive oxygen species (ROS)3. We show that rs112233623-T disrupts a binding site for the transcription factor SMAD3, weakens enhancer activity and, in erythrocyte precursors (erythroblasts), is associated with reduced CCND3 expression and inhibition of the G1–S cell-cycle transition, concomitant with a reduction in the number of erythrocytes and an increase in their size. Using population genetic methods, we observe signatures of positive selection for rs112233623-T in the genetic history of Sardinia, a region in which malaria was once prevalent. Furthermore, we show that parasite growth is impaired in cultured Plasmodium falciparum-infected erythrocytes from rs112233623-T carriers, and that this impairment correlates with ROS levels. This mirrors our observations in erythrocytes from individuals who are deficient in the pentose-phosphate-pathway enzyme G6PD—a trait associated with protection against malaria in some settings—and highlights a common ROS-based mechanism of malaria resistance. Our results suggest that a reduction in CCND3 in erythroblasts constitutes a mechanism of resistance to malaria, and could enable therapeutic interventions.</w:t>
      </w:r>
    </w:p>
    <w:p>
      <w:pPr>
        <w:spacing w:before="120" w:after="120"/>
      </w:pPr>
      <w:r>
        <w:rPr>
          <w:sz w:val="18"/>
        </w:rPr>
        <w:t>——————————————————————————————————————————————————————————————————————</w:t>
      </w:r>
    </w:p>
    <w:p>
      <w:pPr>
        <w:spacing w:before="160" w:after="40" w:line="240" w:lineRule="auto"/>
      </w:pPr>
      <w:r>
        <w:rPr>
          <w:b/>
        </w:rPr>
        <w:t xml:space="preserve">[349] </w:t>
      </w:r>
      <w:hyperlink r:id="rId560">
        <w:r>
          <w:rPr>
            <w:color w:val="1155CC"/>
            <w:u w:val="single"/>
          </w:rPr>
          <w:t>将Integrase病毒性RNA锁定在HIV-1盖盖的内地</w:t>
        </w:r>
      </w:hyperlink>
    </w:p>
    <w:p>
      <w:pPr>
        <w:spacing w:before="0" w:after="80"/>
      </w:pPr>
      <w:r>
        <w:rPr>
          <w:i/>
          <w:sz w:val="20"/>
        </w:rPr>
        <w:t>EN: Integrase anchors viral RNA to the HIV-1 capsid interior</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HIV-1 Integrase(IN)促进将病毒基因基因组RNA封装到成熟的病毒核心中,这一功能是正在进行的抗逆转录病毒药物开发工作的目标1,2,3。 我们在这里确定了与RNA一起综合体的原始扁扁扁豆结构的低温电子显微显微镜(cryo-EM)结构,揭示了由八溴二苯醚重复单位组成的线性丝丝,每单位由一对非对称同质重体组成。通过IN-RNA相互作用稳定了该结构,主要涉及C-终点域和RNA主干。 In纤维重复单元的间距和方向与成熟CALatice内连续的capsid(CA)六相近。我们利用本地净化HIV-1核心的Ceolo-EM图像,改进了IN纤维结构,随着其传播而不断改进。</w:t>
      </w:r>
    </w:p>
    <w:p>
      <w:pPr>
        <w:spacing w:before="0" w:after="200" w:lineRule="auto" w:line="276"/>
      </w:pPr>
      <w:r>
        <w:rPr>
          <w:b/>
        </w:rPr>
        <w:t xml:space="preserve">Abstract (EN): </w:t>
      </w:r>
      <w:r>
        <w:t>HIV-1 integrase (IN) promotes encapsulation of viral genomic RNA into mature viral cores, and this function is a target for ongoing antiretroviral drug development efforts1,2,3. Here we determined the cryogenic electron microscopy (cryo-EM) structure of a primate lentiviral IN in a complex with RNA, revealing a linear filament made of IN octamer repeat units, each comprising a pair of asymmetric homotetramers. The assembly is stabilized through IN–RNA interactions involving mainly the IN C-terminal domains and RNA backbone. The spacing and orientation of the IN filament repeat units closely matched those of consecutive capsid (CA) hexamers within the mature CA lattice. Using cryo-EM images of native purified HIV-1 cores, we refined the structure of the IN filament as it propagates along the luminal side of the CA lattice. Each IN tetramer within the filament nestled in a CA hexamer, engaging closely with the major homology regions. Substitutions of residues involved in IN–CA contacts yielded eccentric virions with RNA nucleoids located outside of the cores. Collectively, our results establish the structural basis for the HIV-1 IN–RNA interaction and reveal that IN forms an RNA-binding module on the luminal side of the mature CA lattice.</w:t>
      </w:r>
    </w:p>
    <w:p>
      <w:pPr>
        <w:spacing w:before="120" w:after="120"/>
      </w:pPr>
      <w:r>
        <w:rPr>
          <w:sz w:val="18"/>
        </w:rPr>
        <w:t>——————————————————————————————————————————————————————————————————————</w:t>
      </w:r>
    </w:p>
    <w:p>
      <w:pPr>
        <w:spacing w:before="160" w:after="40" w:line="240" w:lineRule="auto"/>
      </w:pPr>
      <w:r>
        <w:rPr>
          <w:b/>
        </w:rPr>
        <w:t xml:space="preserve">[350] </w:t>
      </w:r>
      <w:hyperlink r:id="rId561">
        <w:r>
          <w:rPr>
            <w:color w:val="1155CC"/>
            <w:u w:val="single"/>
          </w:rPr>
          <w:t>RYK是GPNMMB 驱动MASH的受体</w:t>
        </w:r>
      </w:hyperlink>
    </w:p>
    <w:p>
      <w:pPr>
        <w:spacing w:before="0" w:after="80"/>
      </w:pPr>
      <w:r>
        <w:rPr>
          <w:i/>
          <w:sz w:val="20"/>
        </w:rPr>
        <w:t>EN: RYK is a GPNMB receptor that drives MASH</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在全球范围,代谢机能相关沙司肝炎(MASH)的流行率正在上升,但有效的治疗仍然有限。 我们在这里发现,基因编码Glycoprotein非转移性黑素蛋白蛋白B(Gpnmb)是一种顶顶端管制基因,在MAS保护的老鼠中,这种基因编码是非转移性黑素蛋白蛋白B(Gpnmb),这种基因编码是顶级的,保护性松鼠不受饮食诱发的MASH的污染。值得注意的是,甲基苯丙胺(G-ECD)是具体由秘密的GPNMB ectodomain(G-ECD)而不是完全长的GPNMB。血清G-ECD水平显示,与人类病人的甲基苯丙胺严重程度有着强烈的正相关关系。 我们利用细胞表面分散的转基因蛋白蛋白质图书馆的不偏倚视屏,确定了与受体性激素激素(RYK)相关的受体性感应器,作为G-ECD的功能受体。</w:t>
      </w:r>
    </w:p>
    <w:p>
      <w:pPr>
        <w:spacing w:before="0" w:after="200" w:lineRule="auto" w:line="276"/>
      </w:pPr>
      <w:r>
        <w:rPr>
          <w:b/>
        </w:rPr>
        <w:t xml:space="preserve">Abstract (EN): </w:t>
      </w:r>
      <w:r>
        <w:t>The prevalence of metabolic-dysfunction-associated steatohepatitis (MASH) is rising globally, yet effective treatments remain limited1. Here we found that systemic or hepatocyte-specific ablation of the gene encoding glycoprotein non-metastatic melanoma protein B (Gpnmb)—a top upregulated gene in MASH—protected mice from diet-induced MASH. Notably, MASH progression was driven specifically by the secreted GPNMB ectodomain (G-ECD), rather than full-length GPNMB. Serum G-ECD levels showed a strong positive correlation with MASH severity in human patients. Using an unbiased screen of a cell-surface-displayed transmembrane protein library, we identified related to receptor tyrosine kinase (RYK) as a functional receptor for G-ECD. Hepatocyte-specific Ryk ablation protected mice against MASH and abolished the pathogenic effects of G-ECD. Mechanistically, G-ECD binding to RYK activated ERK1/2 signaling, resulting in transcriptional activation of PPARγ-CD36 and SREBP1C pathways that promote hepatic lipid uptake and lipogenesis. Multiple therapeutic strategies targeting the GPNMB–RYK axis—including vaccination, short hairpin RNA, neutralizing antibody and N-acetylgalactosamine small interfering RNA—effectively prevented and treated MASH in preclinical models. Our findings identify the GPNMB–RYK axis as a new pathogenic ligand–receptor pathway and a promising therapeutic target for MASH.</w:t>
      </w:r>
    </w:p>
    <w:p>
      <w:pPr>
        <w:spacing w:before="120" w:after="120"/>
      </w:pPr>
      <w:r>
        <w:rPr>
          <w:sz w:val="18"/>
        </w:rPr>
        <w:t>——————————————————————————————————————————————————————————————————————</w:t>
      </w:r>
    </w:p>
    <w:p>
      <w:pPr>
        <w:spacing w:before="160" w:after="40" w:line="240" w:lineRule="auto"/>
      </w:pPr>
      <w:r>
        <w:rPr>
          <w:b/>
        </w:rPr>
        <w:t xml:space="preserve">[351] </w:t>
      </w:r>
      <w:hyperlink r:id="rId562">
        <w:r>
          <w:rPr>
            <w:color w:val="1155CC"/>
            <w:u w:val="single"/>
          </w:rPr>
          <w:t>高度动态的脊椎鼻腔 支持脑膜免疫</w:t>
        </w:r>
      </w:hyperlink>
    </w:p>
    <w:p>
      <w:pPr>
        <w:spacing w:before="0" w:after="80"/>
      </w:pPr>
      <w:r>
        <w:rPr>
          <w:i/>
          <w:sz w:val="20"/>
        </w:rPr>
        <w:t>EN: Highly dynamic dural sinuses support meningeal immunity</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中央神经系统周围环绕着三个互相连接的膜,称为膜膜,它们拥有一个多样化的免疫网络,1,2,3,3。 在头骨交接的光膜内,大血管是毒鼻,大血管传统上被视为大脑和头骨的被动血液排出处,4,5。 然而,这些结构也构成一个重要的神经免疫界面,6,77.8。 我们在这里使用生命内显微镜,以获得对这一界面的机械学洞察,并揭示壁鼻鼻炎及其内和间皮细胞形成一个高度动态的表面,不断调整,以调节血液流动、流体运动和免疫监测。我们表明,鼻炎不是被动的管道,而是通过光滑的肌肉、再组装的艺术媒介进行依靠RAMP1的收缩和放大。</w:t>
      </w:r>
    </w:p>
    <w:p>
      <w:pPr>
        <w:spacing w:before="0" w:after="200" w:lineRule="auto" w:line="276"/>
      </w:pPr>
      <w:r>
        <w:rPr>
          <w:b/>
        </w:rPr>
        <w:t xml:space="preserve">Abstract (EN): </w:t>
      </w:r>
      <w:r>
        <w:t>The central nervous system is surrounded by three interconnected membranes referred to as the meninges, which host a diverse immune network1,2,3. Within the skull-interfacing dura mater are venous sinuses, large veins that are traditionally viewed as passive blood drains for the brain and skull4,5. However, these structures also constitute an important neuroimmune interface6,7,8. Here we used intravital microscopy to gain mechanistic insight into this interface and reveal that dural sinuses and their endothelial cells form a highly dynamic surface that continually restructures to regulate blood flow, fluid movement and immune surveillance. We show that sinuses are not passive conduits, but instead undergo RAMP1-dependent constriction and dilation mediated by smooth muscle, resembling arterial behaviour. Moreover, the superior sagittal sinus in mice is bifurcated into upper and lower chambers that contribute to intracranial pressure regulation. Both chambers are lined by specialized, highly fenestrated sinus endothelial cells (SECs) that permit movement of fluids, macromolecules and microorganisms between the sinus lumen and leukocyte-rich perisinus space. To safeguard this permeable interface, SECs dynamically open and close intercellular boundaries in a RAMP2-dependent manner. Transcranial RAMP2 antagonism impaired SEC boundary dynamics and reduced immune cell trafficking along the sinus wall during homeostasis and systemic viral infection. Disruption of SEC dynamics during infection compromised local antiviral immunity and promoted pathogen entry into the meninges. Together, these findings establish dural sinuses as dynamic venous structures that regulate fluid exchange and support immune surveillance and antiviral defence.</w:t>
      </w:r>
    </w:p>
    <w:p>
      <w:pPr>
        <w:spacing w:before="120" w:after="120"/>
      </w:pPr>
      <w:r>
        <w:rPr>
          <w:sz w:val="18"/>
        </w:rPr>
        <w:t>——————————————————————————————————————————————————————————————————————</w:t>
      </w:r>
    </w:p>
    <w:p>
      <w:pPr>
        <w:spacing w:before="160" w:after="40" w:line="240" w:lineRule="auto"/>
      </w:pPr>
      <w:r>
        <w:rPr>
          <w:b/>
        </w:rPr>
        <w:t xml:space="preserve">[352] </w:t>
      </w:r>
      <w:hyperlink r:id="rId563">
        <w:r>
          <w:rPr>
            <w:color w:val="1155CC"/>
            <w:u w:val="single"/>
          </w:rPr>
          <w:t>能够进行超宽宽带纤维-无线通信的综合光电综合光电仪</w:t>
        </w:r>
      </w:hyperlink>
    </w:p>
    <w:p>
      <w:pPr>
        <w:spacing w:before="0" w:after="80"/>
      </w:pPr>
      <w:r>
        <w:rPr>
          <w:i/>
          <w:sz w:val="20"/>
        </w:rPr>
        <w:t>EN: Integrated photonics enabling ultra-wideband fibre–wireless communication</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电信系统正在向超广域带宽和低延迟度发展,支持有线和无线连接及其无阻互连。 1 然而,纤维通信与其无线对口之间长期的带宽错配源于信号结构和硬件限制的根本差异,2,3 防止两个领域高速、兼容的高速传输。 这一挑战使统一系统设计更加复杂,并阻碍实现宽带接入情景下的高通量密度、无拥堵、无线的无线连接。 4 在这里,我们提出了一个超广域(UWB)综合光纤计划(UWB),为共享带宽基础设施的纤维无线通信提供便利。</w:t>
      </w:r>
    </w:p>
    <w:p>
      <w:pPr>
        <w:spacing w:before="0" w:after="200" w:lineRule="auto" w:line="276"/>
      </w:pPr>
      <w:r>
        <w:rPr>
          <w:b/>
        </w:rPr>
        <w:t xml:space="preserve">Abstract (EN): </w:t>
      </w:r>
      <w:r>
        <w:t>Telecommunication systems are evolving towards ultrawide bandwidth and low latency, supporting wired and wireless links and their non-blocking interconnection1. However, a long-standing bandwidth mismatch between fibre communication and its wireless counterpart arises from fundamental disparities in signal architectures and hardware constraints2,3, which prevent high-speed and compatible transmission across the two domains. This challenge further complicates unified system design and hinders the realization of high-throughput-density, congestion-free fibre–wireless links under wideband-access scenarios4. Here we present an ultra-wideband (UWB) integrated photonics scheme that facilitates fibre–wireless communication over a shared-bandwidth infrastructure. Built on electro–optic (EO) and optic–electro (OE) conversions featuring 3-dB operational bandwidths exceeding 250 GHz and cross-architecture adaptability, our system demonstrates unprecedented data transmission capabilities in both wired and wireless links. Using the same set of devices and powered by the proposed complex bidirectional gated recurrent unit (complex-biGRU) algorithm, ultrahigh single-lane data rates of 512 Gbps for short-reach fibre and, for the first time to the authors’ knowledge, 400-Gbps high-speed wireless transmission have been achieved. Furthermore, high-density access is enabled by an all-optically assisted ultra-broadband wireless scheme. Real-time multichannel 8K video transmission is successfully demonstrated across 86 channels, seamlessly using a spectral range from 138 to 223 GHz. These findings in unified telecommunication development show the potential for the development of high-speed, densified and low-latency communication networks.</w:t>
      </w:r>
    </w:p>
    <w:p>
      <w:pPr>
        <w:spacing w:before="120" w:after="120"/>
      </w:pPr>
      <w:r>
        <w:rPr>
          <w:sz w:val="18"/>
        </w:rPr>
        <w:t>——————————————————————————————————————————————————————————————————————</w:t>
      </w:r>
    </w:p>
    <w:p>
      <w:pPr>
        <w:spacing w:before="160" w:after="40" w:line="240" w:lineRule="auto"/>
      </w:pPr>
      <w:r>
        <w:rPr>
          <w:b/>
        </w:rPr>
        <w:t xml:space="preserve">[353] </w:t>
      </w:r>
      <w:hyperlink r:id="rId564">
        <w:r>
          <w:rPr>
            <w:color w:val="1155CC"/>
            <w:u w:val="single"/>
          </w:rPr>
          <w:t>摩铁金属散状体积的较高维的火化学</w:t>
        </w:r>
      </w:hyperlink>
    </w:p>
    <w:p>
      <w:pPr>
        <w:spacing w:before="0" w:after="80"/>
      </w:pPr>
      <w:r>
        <w:rPr>
          <w:i/>
          <w:sz w:val="20"/>
        </w:rPr>
        <w:t>EN: Higher-dimensional Fermiology in bulk moiré metals</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在过去的十年中,摩尔材料革命了我们如何设计和控制物质量子阶段,1,2物质阶段,2 摩尔材料革命了我们是如何设计和控制物质量子阶段的。它们是高度关联的电子现象的多用途平台,34 并支持新的电电5,6、磁7和超导状态。 在非复合材料中,9 摩尔材料是周期性复合晶体,10,11 其长波超纬度能够使金枪鱼特性不对其层进行化学改变。迄今为止,几乎所有关于摩尔材料的报告都调查了远离热力平衡的范德华尔斯肝脏结构(T1,2,我们在这里采用了一种概念上全新的方法,在热力平衡中合成高流动性的摩尔材料。我们报告了一个新品种的花状超拉特质材料(Sr6TAS8)1(TAS2)。</w:t>
      </w:r>
    </w:p>
    <w:p>
      <w:pPr>
        <w:spacing w:before="0" w:after="200" w:lineRule="auto" w:line="276"/>
      </w:pPr>
      <w:r>
        <w:rPr>
          <w:b/>
        </w:rPr>
        <w:t xml:space="preserve">Abstract (EN): </w:t>
      </w:r>
      <w:r>
        <w:t>In the past decade, moiré materials have revolutionized how we engineer and control quantum phases of matter1,2. They are versatile platforms for strongly correlated electronic phenomena3,4 and support new ferroelectric5,6, magnetic7 and superconducting states8. Among incommensurate materials9, moiré materials are aperiodic composite crystals10,11 whose long-wavelength superlattices enable tunable properties without chemically modifying their layers. So far, nearly all reports of moiré materials have investigated van der Waals heterostructures assembled far from thermodynamic equilibrium (T 1,2. Here we introduce a conceptually new approach to synthesizing high-mobility moiré materials in thermodynamic equilibrium. We report a new family of foliated superlattice materials (Sr6TaS8)1+δ(TaS2)8 that are exfoliatable, incommensurate-lattice, van der Waals crystals. Lattice mismatches between alternating layers generate moiré superlattices, analogous to 2D moiré heterobilayer superlattices, which are coherent throughout these crystals and tunable through synthesis conditions without altering their chemical composition. Quantum oscillation measurements map the complex Fermiology of these moiré metals12,13,14, showing that the Fermi surface of the structurally simplest moiré metal comprises more than 40 distinct cross-sectional areas. This is naturally understood by proposing that these bulk moiré metals encode electronic properties of higher-dimensional superspace crystals in ways paralleling well-established crystallographic methods for incommensurate lattices15,16. More broadly, our work demonstrates a scalable synthesis approach potentially capable of producing large-area moiré materials for electronics applications and evidences a new material design concept for accessing phenomena proposed in higher dimensions17,18,19,20,21.</w:t>
      </w:r>
    </w:p>
    <w:p>
      <w:pPr>
        <w:spacing w:before="120" w:after="120"/>
      </w:pPr>
      <w:r>
        <w:rPr>
          <w:sz w:val="18"/>
        </w:rPr>
        <w:t>——————————————————————————————————————————————————————————————————————</w:t>
      </w:r>
    </w:p>
    <w:p>
      <w:pPr>
        <w:spacing w:before="160" w:after="40" w:line="240" w:lineRule="auto"/>
      </w:pPr>
      <w:r>
        <w:rPr>
          <w:b/>
        </w:rPr>
        <w:t xml:space="preserve">[354] </w:t>
      </w:r>
      <w:hyperlink r:id="rId565">
        <w:r>
          <w:rPr>
            <w:color w:val="1155CC"/>
            <w:u w:val="single"/>
          </w:rPr>
          <w:t>牡蛎礁的自然结构 最大限度地增加生还</w:t>
        </w:r>
      </w:hyperlink>
    </w:p>
    <w:p>
      <w:pPr>
        <w:spacing w:before="0" w:after="80"/>
      </w:pPr>
      <w:r>
        <w:rPr>
          <w:i/>
          <w:sz w:val="20"/>
        </w:rPr>
        <w:t>EN: The natural architecture of oyster reefs maximizes recruit survival</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自然生境的三维结构是物种生物多样性、可收获生物量和抵御扰动的复原力的关键决定因素,1 2. 事实上,有些物种,包括树木、珊瑚和牡蛎,通过其自身的三维结构改变资源可用性,并通过其自身的三维结构改变生物和非生物压力,从而加强其自身的生存能力34. 然而,这些生态系统工程师的三维结构的哪些方面塑造了生态系统动态和物种生存,这些经验性研究很少研究这些生态系统工程的许多更广泛的生态和养护影响没有得到充分探讨4,56.6。 我们在这里表明,牡蛎珊瑚礁综合了几何变量,最大限度地吸收了生存能力,这是影响牡蛎的一个关键因素。</w:t>
      </w:r>
    </w:p>
    <w:p>
      <w:pPr>
        <w:spacing w:before="0" w:after="200" w:lineRule="auto" w:line="276"/>
      </w:pPr>
      <w:r>
        <w:rPr>
          <w:b/>
        </w:rPr>
        <w:t xml:space="preserve">Abstract (EN): </w:t>
      </w:r>
      <w:r>
        <w:t>The three-dimensional architecture of natural habitats is a key determinant of species biodiversity, harvestable biomass and resilience to disturbance1,2. Indeed, some species, including trees, corals and oysters, alter resource availability and modify biotic and abiotic pressures through their own three-dimensional structures—thereby enhancing their own survival3,4. However, which aspects of the three-dimensional architecture of these ecosystem engineers shape ecosystem dynamics and species survival are rarely examined by empirical studies, leaving much of the broader ecological and conservation impact of ecosystem engineering underexplored4,5,6. Here we show that oyster reefs have combinations of geometric variables that maximize recruit survival, which is a key factor influencing oyster reef growth and persistence. Using three-dimensional habitat designs that capture the full spectrum of natural oyster reef architectures, as well as a geometric theory7 that links habitat surface area, fractal dimension and height, we show that oyster settlement and survival are greatest at particular combinations of fractal dimension and height that minimize predation. Our study provides a template for understanding optimal three-dimensional habitat configurations for habitat restoration projects that are proliferating globally, without targeting key architectural features of habitat space that maximize restoration success8,9.</w:t>
      </w:r>
    </w:p>
    <w:p>
      <w:pPr>
        <w:spacing w:before="120" w:after="120"/>
      </w:pPr>
      <w:r>
        <w:rPr>
          <w:sz w:val="18"/>
        </w:rPr>
        <w:t>——————————————————————————————————————————————————————————————————————</w:t>
      </w:r>
    </w:p>
    <w:p>
      <w:pPr>
        <w:spacing w:before="160" w:after="40" w:line="240" w:lineRule="auto"/>
      </w:pPr>
      <w:r>
        <w:rPr>
          <w:b/>
        </w:rPr>
        <w:t xml:space="preserve">[355] </w:t>
      </w:r>
      <w:hyperlink r:id="rId566">
        <w:r>
          <w:rPr>
            <w:color w:val="1155CC"/>
            <w:u w:val="single"/>
          </w:rPr>
          <w:t>X进料算法的政治效果</w:t>
        </w:r>
      </w:hyperlink>
    </w:p>
    <w:p>
      <w:pPr>
        <w:spacing w:before="0" w:after="80"/>
      </w:pPr>
      <w:r>
        <w:rPr>
          <w:i/>
          <w:sz w:val="20"/>
        </w:rPr>
        <w:t>EN: The political effects of X’s feed algorithm</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人们广泛怀疑进料算法会影响政治态度。然而,以前在梅塔平台上取消算法的证据没有发现任何政治效果。 我们在这里展示了2023年在埃隆·穆斯克平台上进行的实地实验的结果。 我们随机地将活跃的美国用户分配到算法或按时间顺序排列的7周中,以衡量政治态度和在线行为。 从按时间顺序排列转向按时间顺序排列的接触增加,政治观点转向更保守的立场,特别是在政策优先事项、对唐纳德·特朗普的刑事调查观点以及乌克兰战争观点方面。 相反,从算法转换到按时间顺序排列的反馈都没有计算结果。</w:t>
      </w:r>
    </w:p>
    <w:p>
      <w:pPr>
        <w:spacing w:before="0" w:after="200" w:lineRule="auto" w:line="276"/>
      </w:pPr>
      <w:r>
        <w:rPr>
          <w:b/>
        </w:rPr>
        <w:t xml:space="preserve">Abstract (EN): </w:t>
      </w:r>
      <w:r>
        <w:t>Feed algorithms are widely suspected to influence political attitudes. However, previous evidence from switching off the algorithm on Meta platforms found no political effects1. Here we present results from a 2023 field experiment on Elon Musk’s platform X shedding light on this puzzle. We assigned active US-based users randomly to either an algorithmic or a chronological feed for 7 weeks, measuring political attitudes and online behaviour. Switching from a chronological to an algorithmic feed increased engagement and shifted political opinion towards more conservative positions, particularly regarding policy priorities, perceptions of criminal investigations into Donald Trump and views on the war in Ukraine. In contrast, switching from the algorithmic to the chronological feed had no comparable effects. Neither switching the algorithm on nor switching it off significantly affected affective polarization or self-reported partisanship. To investigate the mechanism, we analysed users’ feed content and behaviour. We found that the algorithm promotes conservative content and demotes posts by traditional media. Exposure to algorithmic content leads users to follow conservative political activist accounts, which they continue to follow even after switching off the algorithm, helping explain the asymmetry in effects. These results suggest that initial exposure to X’s algorithm has persistent effects on users’ current political attitudes and account-following behaviour, even in the absence of a detectable effect on partisanship.</w:t>
      </w:r>
    </w:p>
    <w:p>
      <w:pPr>
        <w:spacing w:before="120" w:after="120"/>
      </w:pPr>
      <w:r>
        <w:rPr>
          <w:sz w:val="18"/>
        </w:rPr>
        <w:t>——————————————————————————————————————————————————————————————————————</w:t>
      </w:r>
    </w:p>
    <w:p>
      <w:pPr>
        <w:spacing w:before="160" w:after="40" w:line="240" w:lineRule="auto"/>
      </w:pPr>
      <w:r>
        <w:rPr>
          <w:b/>
        </w:rPr>
        <w:t xml:space="preserve">[356] </w:t>
      </w:r>
      <w:hyperlink r:id="rId567">
        <w:r>
          <w:rPr>
            <w:color w:val="1155CC"/>
            <w:u w:val="single"/>
          </w:rPr>
          <w:t>高抗性渗透性活性渗透性纳米晶体的冷喷射合成</w:t>
        </w:r>
      </w:hyperlink>
    </w:p>
    <w:p>
      <w:pPr>
        <w:spacing w:before="0" w:after="80"/>
      </w:pPr>
      <w:r>
        <w:rPr>
          <w:i/>
          <w:sz w:val="20"/>
        </w:rPr>
        <w:t>EN: Cold-injection synthesis of highly emissive perovskite nanocrystals</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长期以来,一直使用热注射法和室温液液再降法作为突出的技术1,2。 然而,这两种方法都对工业规模生产构成挑战3,4,5:热注射法需要高温、惰性气体环境和快速冷却,这引起安全关切,而液压和辅助再降水在规模上可显示出有限的生产力。 我们在此展示了一种基于假乳的冷注射法,使PENCs与接近统一光发量的产量(PLQY,~100%)进行可伸缩的合成,并通过注射4°C以下的前体溶液增强稳定性。 在冷注射法中,PENCs通过完全协调的羽球组合增长。</w:t>
      </w:r>
    </w:p>
    <w:p>
      <w:pPr>
        <w:spacing w:before="0" w:after="200" w:lineRule="auto" w:line="276"/>
      </w:pPr>
      <w:r>
        <w:rPr>
          <w:b/>
        </w:rPr>
        <w:t xml:space="preserve">Abstract (EN): </w:t>
      </w:r>
      <w:r>
        <w:t>Colloidal perovskite nanocrystal (PeNC) has long been synthesized using the hot-injection method and room-temperature ligand-assisted reprecipitation as the prominent techniques1,2. However, both methods have challenges for industrial-scale production3,4,5: the hot-injection method requires high temperatures, an inert gas environment and rapid cooling, which raise safety concerns, whereas ligand-assisted reprecipitation can exhibit limited productivity on scale-up. Here we present a cold-injection method based on pseudo-emulsion, enabling scalable synthesis of PeNCs with near-unity photoluminescence quantum yield (PLQY, ~100%) and enhanced stability by injecting precursor solution below 4 °C. In the cold-injection method, PeNCs grow through the assembly of fully coordinated plumbates out of the pseudo-emulsion with the assistance of a demulsifier. We discovered that slow assembly of polybromide plumbates, assisted by cold temperature, is essential for defect suppression, resulting in reproducible, stable and pure-green-emitting PeNCs with near-unity PLQY. Furthermore, this method enables efficient large-scale production, achieving 20-l-scale synthesis with remarkable batch weight while maintaining near-unity PLQY. Our findings represent a substantial advancement in synthesis of high-quality PeNCs, offering potential for broad applications in display and lighting industries.</w:t>
      </w:r>
    </w:p>
    <w:p>
      <w:pPr>
        <w:spacing w:before="120" w:after="120"/>
      </w:pPr>
      <w:r>
        <w:rPr>
          <w:sz w:val="18"/>
        </w:rPr>
        <w:t>——————————————————————————————————————————————————————————————————————</w:t>
      </w:r>
    </w:p>
    <w:p>
      <w:pPr>
        <w:spacing w:before="160" w:after="40" w:line="240" w:lineRule="auto"/>
      </w:pPr>
      <w:r>
        <w:rPr>
          <w:b/>
        </w:rPr>
        <w:t xml:space="preserve">[357] </w:t>
      </w:r>
      <w:hyperlink r:id="rId568">
        <w:r>
          <w:rPr>
            <w:color w:val="1155CC"/>
            <w:u w:val="single"/>
          </w:rPr>
          <w:t>综合应激反应促进通过脂脂素2进行免疫规避</w:t>
        </w:r>
      </w:hyperlink>
    </w:p>
    <w:p>
      <w:pPr>
        <w:spacing w:before="0" w:after="80"/>
      </w:pPr>
      <w:r>
        <w:rPr>
          <w:i/>
          <w:sz w:val="20"/>
        </w:rPr>
        <w:t>EN: The integrated stress response promotes immune evasion through lipocalin 2</w:t>
      </w:r>
    </w:p>
    <w:p>
      <w:pPr>
        <w:spacing w:before="0" w:after="120"/>
      </w:pPr>
      <w:r>
        <w:rPr>
          <w:b/>
        </w:rPr>
        <w:t xml:space="preserve">Source: </w:t>
      </w:r>
      <w:r>
        <w:t>Nature</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癌症综合反应细胞(ISR)启动综合应激反应(ISR)以适应压力和抵制疗法。 ISR信号集中在激活转录因子4(ATF4)上,该因子4(ATF4)控制控制了参与代谢适应、存活和生长的细胞内分泌转录程序,2,3。 然而,ISR-ATF4轴是否影响抗脉冲免疫反应,仍大为未知。 我们在这里表明,ATF4的丧失通过强化细胞依赖抗癌免疫反应,大大降低了免疫功能强小鼠的肿瘤发展,但不会降低免疫功能混杂小鼠的肿瘤发展。 ATF4(ATF4)受管制基因的不带偏见基因屏将LCN2(LCN2)确定为主要ATF4独立作用,通过鼓励免疫抑制性间肌肉的渗透而损害抗脉冲免疫免疫免疫免疫免疫免疫力。</w:t>
      </w:r>
    </w:p>
    <w:p>
      <w:pPr>
        <w:spacing w:before="0" w:after="200" w:lineRule="auto" w:line="276"/>
      </w:pPr>
      <w:r>
        <w:rPr>
          <w:b/>
        </w:rPr>
        <w:t xml:space="preserve">Abstract (EN): </w:t>
      </w:r>
      <w:r>
        <w:t>Cancer cells activate the integrated stress response (ISR) to adapt to stress and resist therapy1. ISR signals converge on activating transcription factor 4 (ATF4), which controls cell-intrinsic transcriptional programs that are involved in metabolic adaptation, survival and growth2,3. However, whether the ISR–ATF4 axis influences anti-tumour immune responses remains mostly unknown. Here we show that loss of ATF4 decreases tumour progression considerably in immunocompetent mice, but not in immunocompromised ones, by enhancing T cell-dependent anti-cancer immune responses. An unbiased genetic screen of ATF4-regulated genes identifies lipocalin 2 (LCN2) as the principal ATF4-dependent effector that impairs anti-tumour immunity by favouring infiltration with immunosuppressive interstitial macrophages. Furthermore, we find that LCN2 promotes T cell exclusion and immune evasion in preclinical mouse models, and correlates with decreased T cell infiltration in patients with lung and pancreatic adenocarcinomas. Anti-LCN2 antibodies promote robust anti-tumour T cell responses in mouse models of aggressive solid tumours. Our study shows that the ATF4–LCN2 axis has a cell-extrinsic role in suppressing anti-cancer immunity, and could pave the way for an immunotherapy approach that targets LCN2.</w:t>
      </w:r>
    </w:p>
    <w:p>
      <w:pPr>
        <w:spacing w:before="120" w:after="120"/>
      </w:pPr>
      <w:r>
        <w:rPr>
          <w:sz w:val="18"/>
        </w:rPr>
        <w:t>——————————————————————————————————————————————————————————————————————</w:t>
      </w:r>
    </w:p>
    <w:p>
      <w:pPr>
        <w:spacing w:before="160" w:after="40" w:line="240" w:lineRule="auto"/>
      </w:pPr>
      <w:r>
        <w:rPr>
          <w:b/>
        </w:rPr>
        <w:t xml:space="preserve">[358] </w:t>
      </w:r>
      <w:hyperlink r:id="rId569">
        <w:r>
          <w:rPr>
            <w:color w:val="1155CC"/>
            <w:u w:val="single"/>
          </w:rPr>
          <w:t>从南极冰原下提取的最深岩岩芯</w:t>
        </w:r>
      </w:hyperlink>
    </w:p>
    <w:p>
      <w:pPr>
        <w:spacing w:before="0" w:after="80"/>
      </w:pPr>
      <w:r>
        <w:rPr>
          <w:i/>
          <w:sz w:val="20"/>
        </w:rPr>
        <w:t>EN: Deepest-ever rock core extracted from under Antarctic ice sheet</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[359] </w:t>
      </w:r>
      <w:hyperlink r:id="rId570">
        <w:r>
          <w:rPr>
            <w:color w:val="1155CC"/>
            <w:u w:val="single"/>
          </w:rPr>
          <w:t>未来锂金属电池非水溶液电解解液溶液纳米工程设计</w:t>
        </w:r>
      </w:hyperlink>
    </w:p>
    <w:p>
      <w:pPr>
        <w:spacing w:before="0" w:after="80"/>
      </w:pPr>
      <w:r>
        <w:rPr>
          <w:i/>
          <w:sz w:val="20"/>
        </w:rPr>
        <w:t>EN: Nanoengineering of non-aqueous liquid electrolyte solutions for future lithium metal batteries</w:t>
      </w:r>
    </w:p>
    <w:p>
      <w:pPr>
        <w:spacing w:before="0" w:after="120"/>
      </w:pPr>
      <w:r>
        <w:rPr>
          <w:b/>
        </w:rPr>
        <w:t xml:space="preserve">Source: </w:t>
      </w:r>
      <w:r>
        <w:t>Nature Nanotechnology</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非水解电解电解解溶液的研发对于切实推进高能锂金属电池生产(LMB)生产至关重要。理想的LMB电解解溶液应能够高效、统一和长长的锂金属电镀和剥离,维护电极电电(化学)机机学特性,确保与所有电池部件的兼容性。然而,尽管进行了广泛的研究努力,科学家们尚未实现能同时满足这些要求的电解设计。在这里,通过审查各种非水解电解溶液设计的纳米工程方面,我们阐明了对LMB主要受TH控制的纳米规模物理化学和电化学过程的理解。</w:t>
      </w:r>
    </w:p>
    <w:p>
      <w:pPr>
        <w:spacing w:before="0" w:after="200" w:lineRule="auto" w:line="276"/>
      </w:pPr>
      <w:r>
        <w:rPr>
          <w:b/>
        </w:rPr>
        <w:t xml:space="preserve">Abstract (EN): </w:t>
      </w:r>
      <w:r>
        <w:t>Research and development of non-aqueous electrolyte solutions are essential for practical advancement towards the production of high-energy lithium metal batteries (LMBs). An ideal LMB electrolyte solution should enable highly efficient, uniform and prolonged lithium metal plating and stripping, preserve the electrodes’ electro(chemo)mechanical properties and ensure compatibility with all cell components. However, despite extensive research efforts, scientists have yet to achieve an electrolyte design that meets these requirements simultaneously. Here, by examining the nanoengineering aspects of various non-aqueous electrolyte solution designs, we elucidate the understanding of the nanoscale physicochemical and electrochemical processes taking place in LMBs, which are mainly governed by the thermodynamic and kinetic properties of the electrolyte system. We also explore emerging research directions and propose an accelerated, iterative framework that integrates nanoengineering principles with machine learning, high-throughput computation and experimentation to facilitate the development of next-generation non-aqueous electrolyte solutions for practical LMBs.</w:t>
      </w:r>
    </w:p>
    <w:p>
      <w:pPr>
        <w:spacing w:before="120" w:after="120"/>
      </w:pPr>
      <w:r>
        <w:rPr>
          <w:sz w:val="18"/>
        </w:rPr>
        <w:t>——————————————————————————————————————————————————————————————————————</w:t>
      </w:r>
    </w:p>
    <w:p>
      <w:pPr>
        <w:spacing w:before="160" w:after="40" w:line="240" w:lineRule="auto"/>
      </w:pPr>
      <w:r>
        <w:rPr>
          <w:b/>
        </w:rPr>
        <w:t xml:space="preserve">[360] </w:t>
      </w:r>
      <w:hyperlink r:id="rId571">
        <w:r>
          <w:rPr>
            <w:color w:val="1155CC"/>
            <w:u w:val="single"/>
          </w:rPr>
          <w:t>开启“为你”的“为你”对X变换政治观点的反馈,但将其关闭并没有</w:t>
        </w:r>
      </w:hyperlink>
    </w:p>
    <w:p>
      <w:pPr>
        <w:spacing w:before="0" w:after="80"/>
      </w:pPr>
      <w:r>
        <w:rPr>
          <w:i/>
          <w:sz w:val="20"/>
        </w:rPr>
        <w:t>EN: Turning on the ‘for you’ feed on X shifted political opinions, but turning it off did not</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[361] </w:t>
      </w:r>
      <w:hyperlink r:id="rId572">
        <w:r>
          <w:rPr>
            <w:color w:val="1155CC"/>
            <w:u w:val="single"/>
          </w:rPr>
          <w:t>芯片级装置有效增强光信号</w:t>
        </w:r>
      </w:hyperlink>
    </w:p>
    <w:p>
      <w:pPr>
        <w:spacing w:before="0" w:after="80"/>
      </w:pPr>
      <w:r>
        <w:rPr>
          <w:i/>
          <w:sz w:val="20"/>
        </w:rPr>
        <w:t>EN: Chip-scale device efficiently boosts light signals</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[362] </w:t>
      </w:r>
      <w:hyperlink r:id="rId573">
        <w:r>
          <w:rPr>
            <w:color w:val="1155CC"/>
            <w:u w:val="single"/>
          </w:rPr>
          <w:t>牡蛎造珊瑚礁,具有最佳的几何形状</w:t>
        </w:r>
      </w:hyperlink>
    </w:p>
    <w:p>
      <w:pPr>
        <w:spacing w:before="0" w:after="80"/>
      </w:pPr>
      <w:r>
        <w:rPr>
          <w:i/>
          <w:sz w:val="20"/>
        </w:rPr>
        <w:t>EN: Oysters build reefs with optimal geometries</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[363] </w:t>
      </w:r>
      <w:hyperlink r:id="rId574">
        <w:r>
          <w:rPr>
            <w:color w:val="1155CC"/>
            <w:u w:val="single"/>
          </w:rPr>
          <w:t>个人化的 mRNA 疫苗在难以治疗的乳腺癌中产生强大、持久的免疫力</w:t>
        </w:r>
      </w:hyperlink>
    </w:p>
    <w:p>
      <w:pPr>
        <w:spacing w:before="0" w:after="80"/>
      </w:pPr>
      <w:r>
        <w:rPr>
          <w:i/>
          <w:sz w:val="20"/>
        </w:rPr>
        <w:t>EN: Personalized mRNA vaccine induces strong, durable immunity in hard-to-treat breast cancer</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[364] </w:t>
      </w:r>
      <w:hyperlink r:id="rId575">
        <w:r>
          <w:rPr>
            <w:color w:val="1155CC"/>
            <w:u w:val="single"/>
          </w:rPr>
          <w:t>自闭症患者的年龄如何? 这对他们的健康意味着什么?</w:t>
        </w:r>
      </w:hyperlink>
    </w:p>
    <w:p>
      <w:pPr>
        <w:spacing w:before="0" w:after="80"/>
      </w:pPr>
      <w:r>
        <w:rPr>
          <w:i/>
          <w:sz w:val="20"/>
        </w:rPr>
        <w:t>EN: How do autistic people age — and what does it mean for their health?</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[365] </w:t>
      </w:r>
      <w:hyperlink r:id="rId576">
        <w:r>
          <w:rPr>
            <w:color w:val="1155CC"/>
            <w:u w:val="single"/>
          </w:rPr>
          <w:t>自我驾驶的“机器人实验室”将取代生物学家吗?</w:t>
        </w:r>
      </w:hyperlink>
    </w:p>
    <w:p>
      <w:pPr>
        <w:spacing w:before="0" w:after="80"/>
      </w:pPr>
      <w:r>
        <w:rPr>
          <w:i/>
          <w:sz w:val="20"/>
        </w:rPr>
        <w:t>EN: Will self-driving ‘robot labs’ replace biologists? Paper sparks debate</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[366] </w:t>
      </w:r>
      <w:hyperlink r:id="rId577">
        <w:r>
          <w:rPr>
            <w:color w:val="1155CC"/>
            <w:u w:val="single"/>
          </w:rPr>
          <w:t>为何中国与欧洲应该合作, 让世界碳“去化”</w:t>
        </w:r>
      </w:hyperlink>
    </w:p>
    <w:p>
      <w:pPr>
        <w:spacing w:before="0" w:after="80"/>
      </w:pPr>
      <w:r>
        <w:rPr>
          <w:i/>
          <w:sz w:val="20"/>
        </w:rPr>
        <w:t>EN: Why China and Europe should collaborate to ‘defossilize’ the world’s carbon</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[367] </w:t>
      </w:r>
      <w:hyperlink r:id="rId578">
        <w:r>
          <w:rPr>
            <w:color w:val="1155CC"/>
            <w:u w:val="single"/>
          </w:rPr>
          <w:t>基因编辑处理一个神经发育紊乱的鼠标模型</w:t>
        </w:r>
      </w:hyperlink>
    </w:p>
    <w:p>
      <w:pPr>
        <w:spacing w:before="0" w:after="80"/>
      </w:pPr>
      <w:r>
        <w:rPr>
          <w:i/>
          <w:sz w:val="20"/>
        </w:rPr>
        <w:t>EN: Gene editing treats a mouse model of a neurodevelopmental disorder</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579">
        <w:r>
          <w:rPr>
            <w:color w:val="1155CC"/>
            <w:u w:val="single"/>
          </w:rPr>
          <w:t>人工智能成功诊断了稀有疾病</w:t>
        </w:r>
      </w:hyperlink>
    </w:p>
    <w:p>
      <w:pPr>
        <w:spacing w:before="0" w:after="80"/>
      </w:pPr>
      <w:r>
        <w:rPr>
          <w:i/>
          <w:sz w:val="20"/>
        </w:rPr>
        <w:t>EN: AI succeeds in diagnosing rare diseases</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580">
        <w:r>
          <w:rPr>
            <w:color w:val="1155CC"/>
            <w:u w:val="single"/>
          </w:rPr>
          <w:t>抑制细胞循环蛋白质抑制疟疾</w:t>
        </w:r>
      </w:hyperlink>
    </w:p>
    <w:p>
      <w:pPr>
        <w:spacing w:before="0" w:after="80"/>
      </w:pPr>
      <w:r>
        <w:rPr>
          <w:i/>
          <w:sz w:val="20"/>
        </w:rPr>
        <w:t>EN: Malaria is hindered by repression of a cell-cycle protein</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[370] </w:t>
      </w:r>
      <w:hyperlink r:id="rId581">
        <w:r>
          <w:rPr>
            <w:color w:val="1155CC"/>
            <w:u w:val="single"/>
          </w:rPr>
          <w:t>AIT为模拟和评估临床细胞样本提供了途径</w:t>
        </w:r>
      </w:hyperlink>
    </w:p>
    <w:p>
      <w:pPr>
        <w:spacing w:before="0" w:after="80"/>
      </w:pPr>
      <w:r>
        <w:rPr>
          <w:i/>
          <w:sz w:val="20"/>
        </w:rPr>
        <w:t>EN: AI offers way to image and assess clinical cell samples</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582">
        <w:r>
          <w:rPr>
            <w:color w:val="1155CC"/>
            <w:u w:val="single"/>
          </w:rPr>
          <w:t>随着CO2排放量的增加,森林土壤的养分不足。</w:t>
        </w:r>
      </w:hyperlink>
    </w:p>
    <w:p>
      <w:pPr>
        <w:spacing w:before="0" w:after="80"/>
      </w:pPr>
      <w:r>
        <w:rPr>
          <w:i/>
          <w:sz w:val="20"/>
        </w:rPr>
        <w:t>EN: Forest soils are running short of nutrients as CO2 emissions rise</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583">
        <w:r>
          <w:rPr>
            <w:color w:val="1155CC"/>
            <w:u w:val="single"/>
          </w:rPr>
          <w:t>激光写式玻璃片片片能够保存数千年的数据</w:t>
        </w:r>
      </w:hyperlink>
    </w:p>
    <w:p>
      <w:pPr>
        <w:spacing w:before="0" w:after="80"/>
      </w:pPr>
      <w:r>
        <w:rPr>
          <w:i/>
          <w:sz w:val="20"/>
        </w:rPr>
        <w:t>EN: Laser-written glass tablets can preserve data for millennia</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[373] </w:t>
      </w:r>
      <w:hyperlink r:id="rId584">
        <w:r>
          <w:rPr>
            <w:color w:val="1155CC"/>
            <w:u w:val="single"/>
          </w:rPr>
          <w:t>中周期更新</w:t>
        </w:r>
      </w:hyperlink>
    </w:p>
    <w:p>
      <w:pPr>
        <w:spacing w:before="0" w:after="80"/>
      </w:pPr>
      <w:r>
        <w:rPr>
          <w:i/>
          <w:sz w:val="20"/>
        </w:rPr>
        <w:t>EN: Mid-cycle update</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[374] </w:t>
      </w:r>
      <w:hyperlink r:id="rId585">
        <w:r>
          <w:rPr>
            <w:color w:val="1155CC"/>
            <w:u w:val="single"/>
          </w:rPr>
          <w:t>2D 高效Agstrom-封闭流光催化</w:t>
        </w:r>
      </w:hyperlink>
    </w:p>
    <w:p>
      <w:pPr>
        <w:spacing w:before="0" w:after="80"/>
      </w:pPr>
      <w:r>
        <w:rPr>
          <w:i/>
          <w:sz w:val="20"/>
        </w:rPr>
        <w:t>EN: 2D titanium oxide membranes for efficient angstrom-confined flow photocatalysis</w:t>
      </w:r>
    </w:p>
    <w:p>
      <w:pPr>
        <w:spacing w:before="0" w:after="120"/>
      </w:pPr>
      <w:r>
        <w:rPr>
          <w:b/>
        </w:rPr>
        <w:t xml:space="preserve">Source: </w:t>
      </w:r>
      <w:r>
        <w:t>Matter</w:t>
      </w:r>
      <w:r>
        <w:t xml:space="preserve">    </w:t>
      </w:r>
      <w:r>
        <w:rPr>
          <w:b/>
        </w:rPr>
        <w:t xml:space="preserve">Pub date: </w:t>
      </w:r>
      <w:r>
        <w:t>2026-02-18 00:00:00+00:00</w:t>
      </w:r>
    </w:p>
    <w:p>
      <w:pPr>
        <w:spacing w:before="0" w:after="120"/>
      </w:pPr>
      <w:r>
        <w:rPr>
          <w:b/>
        </w:rPr>
        <w:t xml:space="preserve">Notes: </w:t>
      </w:r>
      <w:r>
        <w:t>abstract_source=rss_cell</w:t>
      </w:r>
    </w:p>
    <w:p>
      <w:pPr>
        <w:spacing w:before="0" w:after="80" w:lineRule="auto" w:line="276"/>
      </w:pPr>
      <w:r>
        <w:rPr>
          <w:b/>
        </w:rPr>
        <w:t xml:space="preserve">摘要（ZH）: </w:t>
      </w:r>
      <w:r>
        <w:t>我们报告了在定向流动下光催化苯基胺结合反应的多层氧化钛膜。通过调节层间间隔、事件光强度和膜厚度,在室温7秒内达到99.2%转换和99.3%选择性的最佳性能。机制研究阐明,膜的形成提高了电荷分离和转移的效率。空间封闭和金属空缺的影响也极大地促进了反应吸附,并减少了反应能量屏障。</w:t>
      </w:r>
    </w:p>
    <w:p>
      <w:pPr>
        <w:spacing w:before="0" w:after="200" w:lineRule="auto" w:line="276"/>
      </w:pPr>
      <w:r>
        <w:rPr>
          <w:b/>
        </w:rPr>
        <w:t xml:space="preserve">Abstract (EN): </w:t>
      </w:r>
      <w:r>
        <w:t>We report multilayer titanium oxide membranes for the photocatalytic benzylamine coupling reaction under directional flow. By modulating interlayer spacing, incident light intensity, and membrane thickness, optimal performance was achieved to reach 99.2% conversion and 99.3% selectivity within 7 s at room temperature. Mechanism studies elucidate that the formation of the membranes enhances the efficiency of charge separation and transfer. The effect of spatial confinement and metal vacancies also greatly promotes the reactant adsorption and reduces the reaction energy barrier.</w:t>
      </w:r>
    </w:p>
    <w:p>
      <w:pPr>
        <w:spacing w:before="120" w:after="120"/>
      </w:pPr>
      <w:r>
        <w:rPr>
          <w:sz w:val="18"/>
        </w:rPr>
        <w:t>——————————————————————————————————————————————————————————————————————</w:t>
      </w:r>
    </w:p>
    <w:p>
      <w:pPr>
        <w:spacing w:before="160" w:after="40" w:line="240" w:lineRule="auto"/>
      </w:pPr>
      <w:r>
        <w:rPr>
          <w:b/>
        </w:rPr>
        <w:t xml:space="preserve">[375] </w:t>
      </w:r>
      <w:hyperlink r:id="rId586">
        <w:r>
          <w:rPr>
            <w:color w:val="1155CC"/>
            <w:u w:val="single"/>
          </w:rPr>
          <w:t>激进转移的连系使超充电纤维素纤维能够与保存的用于水补救的纳米结构相容</w:t>
        </w:r>
      </w:hyperlink>
    </w:p>
    <w:p>
      <w:pPr>
        <w:spacing w:before="0" w:after="80"/>
      </w:pPr>
      <w:r>
        <w:rPr>
          <w:i/>
          <w:sz w:val="20"/>
        </w:rPr>
        <w:t>EN: Radical transfer grafting enables supercharged cellulose fibers with preserved nanostructure for water remediation</w:t>
      </w:r>
    </w:p>
    <w:p>
      <w:pPr>
        <w:spacing w:before="0" w:after="120"/>
      </w:pPr>
      <w:r>
        <w:rPr>
          <w:b/>
        </w:rPr>
        <w:t xml:space="preserve">Source: </w:t>
      </w:r>
      <w:r>
        <w:t>Matter</w:t>
      </w:r>
      <w:r>
        <w:t xml:space="preserve">    </w:t>
      </w:r>
      <w:r>
        <w:rPr>
          <w:b/>
        </w:rPr>
        <w:t xml:space="preserve">Pub date: </w:t>
      </w:r>
      <w:r>
        <w:t>2026-02-18 00:00:00+00:00</w:t>
      </w:r>
    </w:p>
    <w:p>
      <w:pPr>
        <w:spacing w:before="0" w:after="120"/>
      </w:pPr>
      <w:r>
        <w:rPr>
          <w:b/>
        </w:rPr>
        <w:t xml:space="preserve">Notes: </w:t>
      </w:r>
      <w:r>
        <w:t>abstract_source=rss_cell</w:t>
      </w:r>
    </w:p>
    <w:p>
      <w:pPr>
        <w:spacing w:before="0" w:after="80" w:lineRule="auto" w:line="276"/>
      </w:pPr>
      <w:r>
        <w:rPr>
          <w:b/>
        </w:rPr>
        <w:t xml:space="preserve">摘要（ZH）: </w:t>
      </w:r>
      <w:r>
        <w:t>细胞素纤维很少在不造成结构性损失的情况下达到高电荷密度。 我们提出了一个完全水态的激进转移-移植战略,在保存本地结构的同时,从硫化纤维中培养出短聚(丙烯酸)寡头动物,最高可达6.7毫摩尔/克。 由此形成的超充电纤维表现出特殊的吸附性能,可以水解回收,为高性能生物基材料提供一个可缩放、可金枪鱼易碎和可再循环的化学平台。</w:t>
      </w:r>
    </w:p>
    <w:p>
      <w:pPr>
        <w:spacing w:before="0" w:after="200" w:lineRule="auto" w:line="276"/>
      </w:pPr>
      <w:r>
        <w:rPr>
          <w:b/>
        </w:rPr>
        <w:t xml:space="preserve">Abstract (EN): </w:t>
      </w:r>
      <w:r>
        <w:t>Cellulose fibers rarely reach high charge densities without structural loss. We present a fully aqueous radical transfer-grafting strategy that grows short poly(acrylic acid) oligomers from thiolated fibers, reaching up to 6.7 mmol/g while preserving the native structure. The resulting supercharged fibers show exceptional adsorption performance and can be hydrolytically recovered, providing a scalable, tunable, and recyclable chemical platform for high-performance bio-based materials.</w:t>
      </w:r>
    </w:p>
    <w:p>
      <w:pPr>
        <w:spacing w:before="120" w:after="120"/>
      </w:pPr>
      <w:r>
        <w:rPr>
          <w:sz w:val="18"/>
        </w:rPr>
        <w:t>——————————————————————————————————————————————————————————————————————</w:t>
      </w:r>
    </w:p>
    <w:p>
      <w:pPr>
        <w:spacing w:before="160" w:after="40" w:line="240" w:lineRule="auto"/>
      </w:pPr>
      <w:r>
        <w:rPr>
          <w:b/>
        </w:rPr>
        <w:t xml:space="preserve">[376] </w:t>
      </w:r>
      <w:hyperlink r:id="rId587">
        <w:r>
          <w:rPr>
            <w:color w:val="1155CC"/>
            <w:u w:val="single"/>
          </w:rPr>
          <w:t>通过三重状态对复杂的氮异环循环进行激进-极性交叉处理</w:t>
        </w:r>
      </w:hyperlink>
    </w:p>
    <w:p>
      <w:pPr>
        <w:spacing w:before="0" w:after="80"/>
      </w:pPr>
      <w:r>
        <w:rPr>
          <w:i/>
          <w:sz w:val="20"/>
        </w:rPr>
        <w:t>EN: A radical–polar crossover approach to complex nitrogen heterocycles via the triplet state</w:t>
      </w:r>
    </w:p>
    <w:p>
      <w:pPr>
        <w:spacing w:before="0" w:after="120"/>
      </w:pPr>
      <w:r>
        <w:rPr>
          <w:b/>
        </w:rPr>
        <w:t xml:space="preserve">Source: </w:t>
      </w:r>
      <w:r>
        <w:t>Chem</w:t>
      </w:r>
      <w:r>
        <w:t xml:space="preserve">    </w:t>
      </w:r>
      <w:r>
        <w:rPr>
          <w:b/>
        </w:rPr>
        <w:t xml:space="preserve">Pub date: </w:t>
      </w:r>
      <w:r>
        <w:t>2026-02-18 00:00:00+00:00</w:t>
      </w:r>
    </w:p>
    <w:p>
      <w:pPr>
        <w:spacing w:before="0" w:after="120"/>
      </w:pPr>
      <w:r>
        <w:rPr>
          <w:b/>
        </w:rPr>
        <w:t xml:space="preserve">Notes: </w:t>
      </w:r>
      <w:r>
        <w:t>abstract_source=rss_cell</w:t>
      </w:r>
    </w:p>
    <w:p>
      <w:pPr>
        <w:spacing w:before="0" w:after="80" w:lineRule="auto" w:line="276"/>
      </w:pPr>
      <w:r>
        <w:rPr>
          <w:b/>
        </w:rPr>
        <w:t xml:space="preserve">摘要（ZH）: </w:t>
      </w:r>
      <w:r>
        <w:t>精确定位一个离子组已被证明将某些烷光环从异构化(这种反应的通常结果)转移到盐形成中。 将这种离子中间体与核糖核素连接起来,可以迅速组合结构复杂和化学上多样化的含氮环系统。</w:t>
      </w:r>
    </w:p>
    <w:p>
      <w:pPr>
        <w:spacing w:before="0" w:after="200" w:lineRule="auto" w:line="276"/>
      </w:pPr>
      <w:r>
        <w:rPr>
          <w:b/>
        </w:rPr>
        <w:t xml:space="preserve">Abstract (EN): </w:t>
      </w:r>
      <w:r>
        <w:t>Precisely positioning a leaving group has been shown to divert certain alkene photocyclizations from isomerization—the usual result of this type of reaction—to iminium salt formation. Trapping this ionic intermediate with nucleophiles enables the rapid assembly of structurally complex and chemically diverse nitrogen-containing ring systems.</w:t>
      </w:r>
    </w:p>
    <w:p>
      <w:pPr>
        <w:spacing w:before="120" w:after="120"/>
      </w:pPr>
      <w:r>
        <w:rPr>
          <w:sz w:val="18"/>
        </w:rPr>
        <w:t>——————————————————————————————————————————————————————————————————————</w:t>
      </w:r>
    </w:p>
    <w:p>
      <w:pPr>
        <w:spacing w:before="160" w:after="40" w:line="240" w:lineRule="auto"/>
      </w:pPr>
      <w:r>
        <w:rPr>
          <w:b/>
        </w:rPr>
        <w:t xml:space="preserve">[377] </w:t>
      </w:r>
      <w:hyperlink r:id="rId588">
        <w:r>
          <w:rPr>
            <w:color w:val="1155CC"/>
            <w:u w:val="single"/>
          </w:rPr>
          <w:t>12英寸电子电子计算12英寸电离异异异异异异丙烯</w:t>
        </w:r>
      </w:hyperlink>
    </w:p>
    <w:p>
      <w:pPr>
        <w:spacing w:before="0" w:after="80"/>
      </w:pPr>
      <w:r>
        <w:rPr>
          <w:i/>
          <w:sz w:val="20"/>
        </w:rPr>
        <w:t>EN: Twelve-inch electrically anisotropic boridene for optoelectronic computing</w:t>
      </w:r>
    </w:p>
    <w:p>
      <w:pPr>
        <w:spacing w:before="0" w:after="120"/>
      </w:pPr>
      <w:r>
        <w:rPr>
          <w:b/>
        </w:rPr>
        <w:t xml:space="preserve">Source: </w:t>
      </w:r>
      <w:r>
        <w:t>Nature Nanotechnology</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能够产生双极反应的opto电子计算装置为简化处理复杂任务的结构提供了一条通向简化结构的路径,然而,将这类系统推进为大规模、感测或内部计算,却因难以将神经形态-光电子阵列与外围电路统一结合而受到限制,主要原因是材料生长温度高和复杂设备堆叠的不统一性性性能。这里我们报告M4/3B2Tz(Tz = O, O, O, Oh, F)是神经形态光学电子的一个低热预算平台,使12英寸沉积在150°C以下,并具有极好的瓦氏度统一性。</w:t>
      </w:r>
    </w:p>
    <w:p>
      <w:pPr>
        <w:spacing w:before="0" w:after="200" w:lineRule="auto" w:line="276"/>
      </w:pPr>
      <w:r>
        <w:rPr>
          <w:b/>
        </w:rPr>
        <w:t xml:space="preserve">Abstract (EN): </w:t>
      </w:r>
      <w:r>
        <w:t>Optoelectronic computing devices capable of bipolar responses offer a route to simplified architectures for processing complex tasks. However, advancing such systems towards large-scale, in-sensor computing has been constrained by the difficulty of monolithically integrating neuromorphic optoelectronic arrays with peripheral circuits, largely due to high material growth temperatures and the non-uniform performance of complex device stacks. Here we report Mo4/3B2Tz (Tz = O, OH, F) boridene as a low-thermal-budget platform for neuromorphic optoelectronics, enabling twelve-inch deposition below 150 °C with excellent wafer-scale uniformity. Ordered metal vacancies and interlayer registry variations generate an unusual electrical anisotropy in which through-plane conduction dominates over in-plane transport. This anisotropy enables a simplified three-terminal device architecture that exhibits intrinsic bipolar and highly linear programmable photoresponses. Correlative conductive atomic force microscopy and first-principles simulations reveal that vacancy-mediated interlayer charge transfer governs the observed behaviour. We further fabricate a 54 × 54-pixel2 optoelectronic computing array with a 99.48% yield and 16 fully separable states. Using a 3k-pixel system prototype, we demonstrate the diagnosis of ophthalmic disorders. Our work establishes Mo4/3B2Tz boridene as a scalable nanomaterial platform that brings neuromorphic optoelectronic computing closer to practical implementations.</w:t>
      </w:r>
    </w:p>
    <w:p>
      <w:pPr>
        <w:spacing w:before="120" w:after="120"/>
      </w:pPr>
      <w:r>
        <w:rPr>
          <w:sz w:val="18"/>
        </w:rPr>
        <w:t>——————————————————————————————————————————————————————————————————————</w:t>
      </w:r>
    </w:p>
    <w:p>
      <w:pPr>
        <w:spacing w:before="160" w:after="40" w:line="240" w:lineRule="auto"/>
      </w:pPr>
      <w:r>
        <w:rPr>
          <w:b/>
        </w:rPr>
        <w:t xml:space="preserve">[378] </w:t>
      </w:r>
      <w:hyperlink r:id="rId589">
        <w:r>
          <w:rPr>
            <w:color w:val="1155CC"/>
            <w:u w:val="single"/>
          </w:rPr>
          <w:t>通过定制干涉锂浓度而能够在石墨阳极中电镀的被压制的锂</w:t>
        </w:r>
      </w:hyperlink>
    </w:p>
    <w:p>
      <w:pPr>
        <w:spacing w:before="0" w:after="80"/>
      </w:pPr>
      <w:r>
        <w:rPr>
          <w:i/>
          <w:sz w:val="20"/>
        </w:rPr>
        <w:t>EN: Suppressed lithium plating in graphite anodes enabled by tailoring the interfacial lithium concentration</w:t>
      </w:r>
    </w:p>
    <w:p>
      <w:pPr>
        <w:spacing w:before="0" w:after="120"/>
      </w:pPr>
      <w:r>
        <w:rPr>
          <w:b/>
        </w:rPr>
        <w:t xml:space="preserve">Source: </w:t>
      </w:r>
      <w:r>
        <w:t>Joule</w:t>
      </w:r>
      <w:r>
        <w:t xml:space="preserve">    </w:t>
      </w:r>
      <w:r>
        <w:rPr>
          <w:b/>
        </w:rPr>
        <w:t xml:space="preserve">Pub date: </w:t>
      </w:r>
      <w:r>
        <w:t>2026-02-18 00:00:00+00:00</w:t>
      </w:r>
    </w:p>
    <w:p>
      <w:pPr>
        <w:spacing w:before="0" w:after="120"/>
      </w:pPr>
      <w:r>
        <w:rPr>
          <w:b/>
        </w:rPr>
        <w:t xml:space="preserve">Notes: </w:t>
      </w:r>
      <w:r>
        <w:t>abstract_source=rss_cell</w:t>
      </w:r>
    </w:p>
    <w:p>
      <w:pPr>
        <w:spacing w:before="0" w:after="80" w:lineRule="auto" w:line="276"/>
      </w:pPr>
      <w:r>
        <w:rPr>
          <w:b/>
        </w:rPr>
        <w:t xml:space="preserve">摘要（ZH）: </w:t>
      </w:r>
      <w:r>
        <w:t>在当前高密度下电镀锂会妨碍石墨阳极的稳定性。 在这里,石墨上的硫化聚丙烯酸涂层(SPAN)在光化时形成一个含锂含量丰富的中间层,使锂浓度梯度从表面向散状倾斜,浓度梯度加速石墨内的锂固体扩散,从而抑制锂电镀。</w:t>
      </w:r>
    </w:p>
    <w:p>
      <w:pPr>
        <w:spacing w:before="0" w:after="200" w:lineRule="auto" w:line="276"/>
      </w:pPr>
      <w:r>
        <w:rPr>
          <w:b/>
        </w:rPr>
        <w:t xml:space="preserve">Abstract (EN): </w:t>
      </w:r>
      <w:r>
        <w:t>Lithium plating at high current density impedes the stability of graphite anodes. Here, a sulfurized polyacrylonitrile (SPAN) coating on graphite creates a lithium-rich interfacial layer upon lithiation, which steepens the lithium concentration gradient from surface to bulk. The concentration gradient accelerates lithium solid diffusion within graphite and thereby suppresses lithium plating.</w:t>
      </w:r>
    </w:p>
    <w:p>
      <w:pPr>
        <w:spacing w:before="120" w:after="120"/>
      </w:pPr>
      <w:r>
        <w:rPr>
          <w:sz w:val="18"/>
        </w:rPr>
        <w:t>——————————————————————————————————————————————————————————————————————</w:t>
      </w:r>
    </w:p>
    <w:p>
      <w:pPr>
        <w:spacing w:before="160" w:after="40" w:line="240" w:lineRule="auto"/>
      </w:pPr>
      <w:r>
        <w:rPr>
          <w:b/>
        </w:rPr>
        <w:t xml:space="preserve">[379] </w:t>
      </w:r>
      <w:hyperlink r:id="rId590">
        <w:r>
          <w:rPr>
            <w:color w:val="1155CC"/>
            <w:u w:val="single"/>
          </w:rPr>
          <w:t>通过同步调节孔浓度和热导导性,CuI增强Gete的热电性能</w:t>
        </w:r>
      </w:hyperlink>
    </w:p>
    <w:p>
      <w:pPr>
        <w:spacing w:before="0" w:after="80"/>
      </w:pPr>
      <w:r>
        <w:rPr>
          <w:i/>
          <w:sz w:val="20"/>
        </w:rPr>
        <w:t>EN: CuI-enhanced thermoelectric performance in GeTe by synchronous modulation of hole concentration and thermal conductivity</w:t>
      </w:r>
    </w:p>
    <w:p>
      <w:pPr>
        <w:spacing w:before="0" w:after="120"/>
      </w:pPr>
      <w:r>
        <w:rPr>
          <w:b/>
        </w:rPr>
        <w:t xml:space="preserve">Source: </w:t>
      </w:r>
      <w:r>
        <w:t>Matter</w:t>
      </w:r>
      <w:r>
        <w:t xml:space="preserve">    </w:t>
      </w:r>
      <w:r>
        <w:rPr>
          <w:b/>
        </w:rPr>
        <w:t xml:space="preserve">Pub date: </w:t>
      </w:r>
      <w:r>
        <w:t>2026-02-18 00:00:00+00:00</w:t>
      </w:r>
    </w:p>
    <w:p>
      <w:pPr>
        <w:spacing w:before="0" w:after="120"/>
      </w:pPr>
      <w:r>
        <w:rPr>
          <w:b/>
        </w:rPr>
        <w:t xml:space="preserve">Notes: </w:t>
      </w:r>
      <w:r>
        <w:t>abstract_source=rss_cell</w:t>
      </w:r>
    </w:p>
    <w:p>
      <w:pPr>
        <w:spacing w:before="0" w:after="80" w:lineRule="auto" w:line="276"/>
      </w:pPr>
      <w:r>
        <w:rPr>
          <w:b/>
        </w:rPr>
        <w:t xml:space="preserve">摘要（ZH）: </w:t>
      </w:r>
      <w:r>
        <w:t>热电材料将热转换成电力,但热电材料的效率往往受到材料固有特性的限制。 (GeTe)是一个有希望的候选者,但其性能却受到过度孔诱导的低渗漏系数和高热导能的阻碍。 我们发现添加简单的铜碘化盐可以缓解这种不平衡。 这一关键修改使得GeTe可以保持令人满意的电气特性,同时更好地阻隔热流,从而导致热电效率的大幅提高。 这一发现为优化先进能源回收和冷却应用的材料提供了一个总体战略。</w:t>
      </w:r>
    </w:p>
    <w:p>
      <w:pPr>
        <w:spacing w:before="0" w:after="200" w:lineRule="auto" w:line="276"/>
      </w:pPr>
      <w:r>
        <w:rPr>
          <w:b/>
        </w:rPr>
        <w:t xml:space="preserve">Abstract (EN): </w:t>
      </w:r>
      <w:r>
        <w:t>Thermoelectric materials convert heat into electricity, but their efficiency is often limited by a material’s inherent properties. Germanium telluride (GeTe) is a promising candidate, but its performance is hampered by excessive-hole-induced low Seebeck coefficient and high thermal conductivity. We discovered that adding a simple copper iodide salt mitigates this imbalance. This key modification allows GeTe to maintain satisfactory electrical properties while better blocking heat flow, resulting in a dramatic boost in thermoelectric efficiency. This finding provides a general strategy for optimizing materials for advanced energy recovery and cooling applications.</w:t>
      </w:r>
    </w:p>
    <w:p>
      <w:pPr>
        <w:spacing w:before="120" w:after="120"/>
      </w:pPr>
      <w:r>
        <w:rPr>
          <w:sz w:val="18"/>
        </w:rPr>
        <w:t>——————————————————————————————————————————————————————————————————————</w:t>
      </w:r>
    </w:p>
    <w:p>
      <w:pPr>
        <w:spacing w:before="160" w:after="40" w:line="240" w:lineRule="auto"/>
      </w:pPr>
      <w:r>
        <w:rPr>
          <w:b/>
        </w:rPr>
        <w:t xml:space="preserve">[380] </w:t>
      </w:r>
      <w:hyperlink r:id="rId591">
        <w:r>
          <w:rPr>
            <w:color w:val="1155CC"/>
            <w:u w:val="single"/>
          </w:rPr>
          <w:t>如何让大脑免于损坏和病原体,</w:t>
        </w:r>
      </w:hyperlink>
    </w:p>
    <w:p>
      <w:pPr>
        <w:spacing w:before="0" w:after="80"/>
      </w:pPr>
      <w:r>
        <w:rPr>
          <w:i/>
          <w:sz w:val="20"/>
        </w:rPr>
        <w:t>EN: How ‘skull drains’ keep the brain safe from damage and pathogens</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[381] </w:t>
      </w:r>
      <w:hyperlink r:id="rId592">
        <w:r>
          <w:rPr>
            <w:color w:val="1155CC"/>
            <w:u w:val="single"/>
          </w:rPr>
          <w:t>微软团队创建“革命”数据存储系统 持续数千年</w:t>
        </w:r>
      </w:hyperlink>
    </w:p>
    <w:p>
      <w:pPr>
        <w:spacing w:before="0" w:after="80"/>
      </w:pPr>
      <w:r>
        <w:rPr>
          <w:i/>
          <w:sz w:val="20"/>
        </w:rPr>
        <w:t>EN: Microsoft team creates 'revolutionary' data storage system that lasts for millennia</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[382] </w:t>
      </w:r>
      <w:hyperlink r:id="rId593">
        <w:r>
          <w:rPr>
            <w:color w:val="1155CC"/>
            <w:u w:val="single"/>
          </w:rPr>
          <w:t>地球地壳中隐藏的压力稳定化铅蓄水层</w:t>
        </w:r>
      </w:hyperlink>
    </w:p>
    <w:p>
      <w:pPr>
        <w:spacing w:before="0" w:after="80"/>
      </w:pPr>
      <w:r>
        <w:rPr>
          <w:i/>
          <w:sz w:val="20"/>
        </w:rPr>
        <w:t>EN: Hidden pressure-stabilized lead reservoirs in Earth’s mantle</w:t>
      </w:r>
    </w:p>
    <w:p>
      <w:pPr>
        <w:spacing w:before="0" w:after="120"/>
      </w:pPr>
      <w:r>
        <w:rPr>
          <w:b/>
        </w:rPr>
        <w:t xml:space="preserve">Source: </w:t>
      </w:r>
      <w:r>
        <w:t>Nature Communications</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虽然先前的模型在核心中援引的固存作用,但能够将铅与硅酸性地球中的放射性父母分离出来的机制仍然不确定。 我们在这里表明,利用第一原则的结构预测和熔点计算,高压Pb-S阶段可以在人造板内深处刺入非辐射性Pb。PbS晶晶体早早早并仍然固存到核心线边界条件下,在富硫条件下,PbS可能会形成长寿命库,从U和T分离出来。 在富硫条件下,PbS可能会对形成聚硫化物阶段、PbS2和PbS3作出反应,其对比的融化行为可以促进储存和有限的向上三。</w:t>
      </w:r>
    </w:p>
    <w:p>
      <w:pPr>
        <w:spacing w:before="0" w:after="200" w:lineRule="auto" w:line="276"/>
      </w:pPr>
      <w:r>
        <w:rPr>
          <w:b/>
        </w:rPr>
        <w:t xml:space="preserve">Abstract (EN): </w:t>
      </w:r>
      <w:r>
        <w:t>The isotopic imbalance between the accessible silicate Earth and chondritic meteorites implies a missing reservoir of unradiogenic lead. While prior models invoked sequestration in the core, the mechanisms capable of isolating lead from its radiogenic parents within the silicate Earth remain uncertain. Here we show, using first-principles structural prediction and melting-point calculations, that high-pressure Pb-S phases could stably host unradiogenic Pb deep within the mantle. PbS crystallises early and remains solid to core-mantle boundary conditions, potentially forming a long-lived reservoir isolated from U and Th. Under sulfur-rich conditions, PbS may react to form polysulfide phases, PbS2 and PbS3, whose contrasting melting behaviours could promote both storage and limited upward transport of Pb. These findings provide a plausible physical mechanism for the preservation and episodic release of ancient lead, which could account for unradiogenic signatures in the upper mantle. The results suggest a link between mantle redox and sulfur cycling to the isotopic evolution of the silicate Earth.</w:t>
      </w:r>
    </w:p>
    <w:p>
      <w:pPr>
        <w:spacing w:before="120" w:after="120"/>
      </w:pPr>
      <w:r>
        <w:rPr>
          <w:sz w:val="18"/>
        </w:rPr>
        <w:t>——————————————————————————————————————————————————————————————————————</w:t>
      </w:r>
    </w:p>
    <w:p>
      <w:pPr>
        <w:spacing w:before="160" w:after="40" w:line="240" w:lineRule="auto"/>
      </w:pPr>
      <w:r>
        <w:rPr>
          <w:b/>
        </w:rPr>
        <w:t xml:space="preserve">[383] </w:t>
      </w:r>
      <w:hyperlink r:id="rId594">
        <w:r>
          <w:rPr>
            <w:color w:val="1155CC"/>
            <w:u w:val="single"/>
          </w:rPr>
          <w:t>3D3D三维多规模结构小型三维力传感器</w:t>
        </w:r>
      </w:hyperlink>
    </w:p>
    <w:p>
      <w:pPr>
        <w:spacing w:before="0" w:after="80"/>
      </w:pPr>
      <w:r>
        <w:rPr>
          <w:i/>
          <w:sz w:val="20"/>
        </w:rPr>
        <w:t>EN: Multiscale-structured miniaturized 3D force sensors</w:t>
      </w:r>
    </w:p>
    <w:p>
      <w:pPr>
        <w:spacing w:before="0" w:after="120"/>
      </w:pPr>
      <w:r>
        <w:rPr>
          <w:b/>
        </w:rPr>
        <w:t xml:space="preserve">Source: </w:t>
      </w:r>
      <w:r>
        <w:t>Nature Materials</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灵活的触觉感应器对于推进神经修复学、人体机器互动和智能机器人至关重要。 然而,实现高度敏感的触觉感应,以区分正常和近距离的力量,特别是模仿高分辨率的人体手指多层面高清晰度机动,这仍然是一个挑战。 我们在这里建议用石墨-液-金属合成合成物制成三轴力微传感器阵列。 我们利用具有金字塔地理特征的微粒复合体中的厌食性粒子网络,通过多尺度结构化实现正常-离心力脱钩。 我们的方法提供了超过500千帕线性范围的110千帕-1的异常灵敏度(R2 &gt; 0.998),以及</w:t>
      </w:r>
    </w:p>
    <w:p>
      <w:pPr>
        <w:spacing w:before="0" w:after="200" w:lineRule="auto" w:line="276"/>
      </w:pPr>
      <w:r>
        <w:rPr>
          <w:b/>
        </w:rPr>
        <w:t xml:space="preserve">Abstract (EN): </w:t>
      </w:r>
      <w:r>
        <w:t>Flexible tactile sensors are pivotal for advancing neuroprosthetics, human–machine interactions and intelligent robotics. However, achieving highly sensitive tactile sensing to differentiate normal and tangential forces, particularly in mimicking the high-resolution multidimensional haptics of human fingers, remains a challenge. Here we propose a triaxial force microsensor array made from graphene–liquid-metal composites. Using anisotropic particle networks in microporous composites with pyramid geometries, we achieve normal–tangential force decoupling through multiscale structuring. Our approach offers exceptional sensitivity of 110 kPa−1 over a 500 kPa linear range (R2 &gt; 0.998), with</w:t>
      </w:r>
    </w:p>
    <w:p>
      <w:pPr>
        <w:spacing w:before="120" w:after="120"/>
      </w:pPr>
      <w:r>
        <w:rPr>
          <w:sz w:val="18"/>
        </w:rPr>
        <w:t>——————————————————————————————————————————————————————————————————————</w:t>
      </w:r>
    </w:p>
    <w:p>
      <w:pPr>
        <w:spacing w:before="160" w:after="40" w:line="240" w:lineRule="auto"/>
      </w:pPr>
      <w:r>
        <w:rPr>
          <w:b/>
        </w:rPr>
        <w:t xml:space="preserve">[384] </w:t>
      </w:r>
      <w:hyperlink r:id="rId595">
        <w:r>
          <w:rPr>
            <w:color w:val="1155CC"/>
            <w:u w:val="single"/>
          </w:rPr>
          <w:t>将离子热电推向电力供应应用:来源、进步、挑战和未来方向</w:t>
        </w:r>
      </w:hyperlink>
    </w:p>
    <w:p>
      <w:pPr>
        <w:spacing w:before="0" w:after="80"/>
      </w:pPr>
      <w:r>
        <w:rPr>
          <w:i/>
          <w:sz w:val="20"/>
        </w:rPr>
        <w:t>EN: Pushing ionic thermoelectrics toward power supply applications: origins, advances, challenges, and future directions</w:t>
      </w:r>
    </w:p>
    <w:p>
      <w:pPr>
        <w:spacing w:before="0" w:after="120"/>
      </w:pPr>
      <w:r>
        <w:rPr>
          <w:b/>
        </w:rPr>
        <w:t xml:space="preserve">Source: </w:t>
      </w:r>
      <w:r>
        <w:t>RSC - Chem. Soc. Rev. latest articles</w:t>
      </w:r>
      <w:r>
        <w:t xml:space="preserve">    </w:t>
      </w:r>
      <w:r>
        <w:rPr>
          <w:b/>
        </w:rPr>
        <w:t xml:space="preserve">Pub date: </w:t>
      </w:r>
      <w:r>
        <w:t>2026-02-18 00:00:00+00:00</w:t>
      </w:r>
    </w:p>
    <w:p>
      <w:pPr>
        <w:spacing w:before="0" w:after="120"/>
      </w:pPr>
      <w:r>
        <w:rPr>
          <w:b/>
        </w:rPr>
        <w:t xml:space="preserve">Notes: </w:t>
      </w:r>
      <w:r>
        <w:t>abstract_source=rsc_html</w:t>
      </w:r>
    </w:p>
    <w:p>
      <w:pPr>
        <w:spacing w:before="0" w:after="80" w:lineRule="auto" w:line="276"/>
      </w:pPr>
      <w:r>
        <w:rPr>
          <w:b/>
        </w:rPr>
        <w:t xml:space="preserve">摘要（ZH）: </w:t>
      </w:r>
      <w:r>
        <w:t>新兴的离子热电(i-TE)由于其超高热能、机械灵活性、环境兼容性和低成本,被定位为极低级热收集的迫不得已的候选者,因为其超高热能、机械灵活性、环境兼容性和低成本。过去五年来,i-TE迅速发展,然而,i-TE本身无法通过外部电路运输离子,从根本上限制了持续和稳定的电力输出,这为实际应用提供了关键的瓶颈。探寻路途和推进i-TE向持续发电前进的道路十分紧迫。本审查的目的是系统地分清i-TE沿 " 可持续发电 " 这一中心主题在四个有代表性的模式 -- -- 热融、热压、对夫妇之间取得的进展。</w:t>
      </w:r>
    </w:p>
    <w:p>
      <w:pPr>
        <w:spacing w:before="0" w:after="200" w:lineRule="auto" w:line="276"/>
      </w:pPr>
      <w:r>
        <w:rPr>
          <w:b/>
        </w:rPr>
        <w:t xml:space="preserve">Abstract (EN): </w:t>
      </w:r>
      <w:r>
        <w:t>The emerging ionic thermoelectrics (i-TEs) have been positioned as compelling candidates for low-grade heat harvesting owing to their ultrahigh thermopower, mechanical flexibility, environmental compatibility, and low cost. The past five years have witnessed the rapid advancement of i-TEs, yet their inherent inability to transport ions through an external circuit fundamentally limits sustained and stable power output, presenting the key bottleneck for practical applications. Figuring out the road traveled and the road forward for pushing i-TEs toward continuous power generation is urgent. This review aims to systematically sort out the advancement of i-TEs along the central theme of “sustainable power generation”, across four representative paradigms—thermodiffusion, thermogalvanic, coupled thermodiffusion–thermogalvanic, and ion–electron hybrid systems. Their basic theories, operating mechanisms, material compositions, and advances in material design strategies and device engineering approaches, which collectively govern energy conversion performance and output stability/sustainability, are comprehensively and deeply discussed. Particular emphasis is placed on the development of i-TEs capable of generating continuous and reliable power output, tackling key scientific and technological challenges toward sustainable operation. Furthermore, this review highlights recent advances and emerging opportunities in the applications of i-TE-generated electrical energy, including power supply, self-powered sensing, biomedical monitoring, and therapy. Finally, this review outlines critical challenges, design principles, and interdisciplinary directions for guiding the rational development of durable, efficient, and practical ionic thermoelectric technologies.</w:t>
      </w:r>
    </w:p>
    <w:p>
      <w:pPr>
        <w:spacing w:before="120" w:after="120"/>
      </w:pPr>
      <w:r>
        <w:rPr>
          <w:sz w:val="18"/>
        </w:rPr>
        <w:t>——————————————————————————————————————————————————————————————————————</w:t>
      </w:r>
    </w:p>
    <w:p>
      <w:pPr>
        <w:spacing w:before="160" w:after="40" w:line="240" w:lineRule="auto"/>
      </w:pPr>
      <w:r>
        <w:rPr>
          <w:b/>
        </w:rPr>
        <w:t xml:space="preserve">[385] </w:t>
      </w:r>
      <w:hyperlink r:id="rId596">
        <w:r>
          <w:rPr>
            <w:color w:val="1155CC"/>
            <w:u w:val="single"/>
          </w:rPr>
          <w:t>将五人组成的异血层数学与新出现的合成方法综合起来的创新办法</w:t>
        </w:r>
      </w:hyperlink>
    </w:p>
    <w:p>
      <w:pPr>
        <w:spacing w:before="0" w:after="80"/>
      </w:pPr>
      <w:r>
        <w:rPr>
          <w:i/>
          <w:sz w:val="20"/>
        </w:rPr>
        <w:t>EN: Innovative approaches to the synthesis of five-membered heteroaromatics with emerging synthetic methodologies</w:t>
      </w:r>
    </w:p>
    <w:p>
      <w:pPr>
        <w:spacing w:before="0" w:after="120"/>
      </w:pPr>
      <w:r>
        <w:rPr>
          <w:b/>
        </w:rPr>
        <w:t xml:space="preserve">Source: </w:t>
      </w:r>
      <w:r>
        <w:t>RSC - Chem. Soc. Rev. latest articles</w:t>
      </w:r>
      <w:r>
        <w:t xml:space="preserve">    </w:t>
      </w:r>
      <w:r>
        <w:rPr>
          <w:b/>
        </w:rPr>
        <w:t xml:space="preserve">Pub date: </w:t>
      </w:r>
      <w:r>
        <w:t>2026-02-18 00:00:00+00:00</w:t>
      </w:r>
    </w:p>
    <w:p>
      <w:pPr>
        <w:spacing w:before="0" w:after="120"/>
      </w:pPr>
      <w:r>
        <w:rPr>
          <w:b/>
        </w:rPr>
        <w:t xml:space="preserve">Notes: </w:t>
      </w:r>
      <w:r>
        <w:t>abstract_source=rsc_html</w:t>
      </w:r>
    </w:p>
    <w:p>
      <w:pPr>
        <w:spacing w:before="0" w:after="80" w:lineRule="auto" w:line="276"/>
      </w:pPr>
      <w:r>
        <w:rPr>
          <w:b/>
        </w:rPr>
        <w:t xml:space="preserve">摘要（ZH）: </w:t>
      </w:r>
      <w:r>
        <w:t>根据统计,市场上70%以上的毒品都含有异环体,其中五种含有氮、氧和硫磺的异氧气分解器是各种药品中发现的最重要的结构元素。新兴工具箱,如光催化、生物催化、电催化和骨骼编辑,展示了前所未有的获取途径。事实上,近十年来,通过使用新兴工具箱,记录了300份关于五种异体综合专题的出版物,清楚地表明了该领域的重要性。本研究中提出了概念概述和讨论,以展示该领域的进展。此外,还获得了相关药物和生物活性化合物。</w:t>
      </w:r>
    </w:p>
    <w:p>
      <w:pPr>
        <w:spacing w:before="0" w:after="200" w:lineRule="auto" w:line="276"/>
      </w:pPr>
      <w:r>
        <w:rPr>
          <w:b/>
        </w:rPr>
        <w:t xml:space="preserve">Abstract (EN): </w:t>
      </w:r>
      <w:r>
        <w:t>According to statistics, more than 70% of drugs that are available on the market contain heterocyclic units. Among them, five-membered heteroaromatics bearing nitrogen, oxygen, and sulfur have served as the most important structural motifs found in diverse pharmaceuticals. Emerging toolboxes, such as photocatalysis, biocatalysis, electrocatalysis and skeletal editing have showcased unprecedented avenues to access them. In fact, &gt;300 publications on the topic of synthesis of five-membered heteroaromatics by using emerging toolboxes have been recorded in the last ten years, clearly indicating the significance of this field. In this study, a conceptual overview and discussions are presented to showcase the advancement of this field. Moreover, the related drugs and bioactive compounds obtained by these approaches are highlighted.</w:t>
      </w:r>
    </w:p>
    <w:p>
      <w:pPr>
        <w:spacing w:before="120" w:after="120"/>
      </w:pPr>
      <w:r>
        <w:rPr>
          <w:sz w:val="18"/>
        </w:rPr>
        <w:t>——————————————————————————————————————————————————————————————————————</w:t>
      </w:r>
    </w:p>
    <w:p>
      <w:pPr>
        <w:spacing w:before="160" w:after="40" w:line="240" w:lineRule="auto"/>
      </w:pPr>
      <w:r>
        <w:rPr>
          <w:b/>
        </w:rPr>
        <w:t xml:space="preserve">[386] </w:t>
      </w:r>
      <w:hyperlink r:id="rId597">
        <w:r>
          <w:rPr>
            <w:color w:val="1155CC"/>
            <w:u w:val="single"/>
          </w:rPr>
          <w:t>出版商校正:自组装分子与氢气瓶网络结合,使高效的全渗透式太阳能电池连成一体</w:t>
        </w:r>
      </w:hyperlink>
    </w:p>
    <w:p>
      <w:pPr>
        <w:spacing w:before="0" w:after="80"/>
      </w:pPr>
      <w:r>
        <w:rPr>
          <w:i/>
          <w:sz w:val="20"/>
        </w:rPr>
        <w:t>EN: Publisher Correction: Self-assembled molecules with hydrogen-bond networks enable efficient all-perovskite tandem solar cells</w:t>
      </w:r>
    </w:p>
    <w:p>
      <w:pPr>
        <w:spacing w:before="0" w:after="120"/>
      </w:pPr>
      <w:r>
        <w:rPr>
          <w:b/>
        </w:rPr>
        <w:t xml:space="preserve">Source: </w:t>
      </w:r>
      <w:r>
        <w:t>Nature Energy</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[387] </w:t>
      </w:r>
      <w:hyperlink r:id="rId598">
        <w:r>
          <w:rPr>
            <w:color w:val="1155CC"/>
            <w:u w:val="single"/>
          </w:rPr>
          <w:t>重新定义干电极建筑</w:t>
        </w:r>
      </w:hyperlink>
    </w:p>
    <w:p>
      <w:pPr>
        <w:spacing w:before="0" w:after="80"/>
      </w:pPr>
      <w:r>
        <w:rPr>
          <w:i/>
          <w:sz w:val="20"/>
        </w:rPr>
        <w:t>EN: Redefining dry electrode architecture</w:t>
      </w:r>
    </w:p>
    <w:p>
      <w:pPr>
        <w:spacing w:before="0" w:after="120"/>
      </w:pPr>
      <w:r>
        <w:rPr>
          <w:b/>
        </w:rPr>
        <w:t xml:space="preserve">Source: </w:t>
      </w:r>
      <w:r>
        <w:t>Nature Energy</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[388] </w:t>
      </w:r>
      <w:hyperlink r:id="rId599">
        <w:r>
          <w:rPr>
            <w:color w:val="1155CC"/>
            <w:u w:val="single"/>
          </w:rPr>
          <w:t>设计干电极结构结构设计,以推推出细胞一级的能量密度限值</w:t>
        </w:r>
      </w:hyperlink>
    </w:p>
    <w:p>
      <w:pPr>
        <w:spacing w:before="0" w:after="80"/>
      </w:pPr>
      <w:r>
        <w:rPr>
          <w:i/>
          <w:sz w:val="20"/>
        </w:rPr>
        <w:t>EN: Dry electrode architecture design to push energy density limits at the cell level</w:t>
      </w:r>
    </w:p>
    <w:p>
      <w:pPr>
        <w:spacing w:before="0" w:after="120"/>
      </w:pPr>
      <w:r>
        <w:rPr>
          <w:b/>
        </w:rPr>
        <w:t xml:space="preserve">Source: </w:t>
      </w:r>
      <w:r>
        <w:t>Nature Energy</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高能锂电池需要电极结构,能够使高地心容量、高活性物质含量和稳定的高压操作——由于低效率电子渗透、寄生虫反应和有限的加工-建筑结构的可预测性,传统泥浆基电极难以满足的电极结构要求。在这里,我们设计和验证一个干处理电极结构,利用纤维碳和粘合器之间的分子级联动,促进有效的电子操控,同时抑制高压间裂变。这一结构实现的是大于5毫阿赫-厘米的装载大于99瓦特%的活性材料,支持稳定运行,最高可达4.70瓦且无损速率能力。4.55 V NMC811光谱袋电池保留78 %</w:t>
      </w:r>
    </w:p>
    <w:p>
      <w:pPr>
        <w:spacing w:before="0" w:after="200" w:lineRule="auto" w:line="276"/>
      </w:pPr>
      <w:r>
        <w:rPr>
          <w:b/>
        </w:rPr>
        <w:t xml:space="preserve">Abstract (EN): </w:t>
      </w:r>
      <w:r>
        <w:t>High-energy lithium batteries require electrode architectures that enable high areal capacity, high active material content, and stable high-voltage operation—requirements that conventional slurry-based electrodes struggle to meet due to inefficient electron percolation, parasitic reactions, and limited processing-architecture predictability. Here we design and validate a dry-processed electrode architecture that leverages molecular-level coupling between fibrous carbon and binder to promote efficient electronic conduction while suppressing high-voltage interfacial degradation. This architecture achieves areal loadings &gt;5 mAh cm−2 with &gt;99 wt% active material and supports stable operation up to 4.70 V without compromising rate capability. The 4.55 V NMC811||graphite pouch cells retain 78% capacity after 1,000 cycles at C/3-rate, with average Coulombic efficiency exceeding 99.9%. These results are achieved without material-level modifications or specialized electrolyte additives, highlighting the potential of electrode engineering alone to unlock the intrinsic performance of active materials even under demanding conditions of high areal loading and maximum active material content.</w:t>
      </w:r>
    </w:p>
    <w:p>
      <w:pPr>
        <w:spacing w:before="120" w:after="120"/>
      </w:pPr>
      <w:r>
        <w:rPr>
          <w:sz w:val="18"/>
        </w:rPr>
        <w:t>——————————————————————————————————————————————————————————————————————</w:t>
      </w:r>
    </w:p>
    <w:p>
      <w:pPr>
        <w:spacing w:before="160" w:after="40" w:line="240" w:lineRule="auto"/>
      </w:pPr>
      <w:r>
        <w:rPr>
          <w:b/>
        </w:rPr>
        <w:t xml:space="preserve">[389] </w:t>
      </w:r>
      <w:hyperlink r:id="rId600">
        <w:r>
          <w:rPr>
            <w:color w:val="1155CC"/>
            <w:u w:val="single"/>
          </w:rPr>
          <w:t>控制电池中氧化氧化物阴极的化学因素</w:t>
        </w:r>
      </w:hyperlink>
    </w:p>
    <w:p>
      <w:pPr>
        <w:spacing w:before="0" w:after="80"/>
      </w:pPr>
      <w:r>
        <w:rPr>
          <w:i/>
          <w:sz w:val="20"/>
        </w:rPr>
        <w:t>EN: Chemical factors controlling the behaviour of oxide cathodes in batteries</w:t>
      </w:r>
    </w:p>
    <w:p>
      <w:pPr>
        <w:spacing w:before="0" w:after="120"/>
      </w:pPr>
      <w:r>
        <w:rPr>
          <w:b/>
        </w:rPr>
        <w:t xml:space="preserve">Source: </w:t>
      </w:r>
      <w:r>
        <w:t>Nature Energy</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氧化催化阴极使高能锂离和钠离电池得以产生,其性能基本上受三个相互关联的化学因素 -- -- 电子配置、化学结合和化学再活性 -- -- 的制约。这里我们举例说明这些因素如何决定分氧化能、结构稳定性、电离和电子运输,以及分层氧化物和多环氧化物阴极中的循环行为。我们讨论了水晶场效应和八面稳定剂点稳定能如何影响氯化迁移,以及电传效应如何调和联结的常价和运行的电压。我们还解释了化学结合如何调节热稳定性、气体进化和第一周期能力丧失,以及过渡性金属再氧化剂带与氧2p波段的配合如何决定Ele。</w:t>
      </w:r>
    </w:p>
    <w:p>
      <w:pPr>
        <w:spacing w:before="0" w:after="200" w:lineRule="auto" w:line="276"/>
      </w:pPr>
      <w:r>
        <w:rPr>
          <w:b/>
        </w:rPr>
        <w:t xml:space="preserve">Abstract (EN): </w:t>
      </w:r>
      <w:r>
        <w:t>Oxide cathodes enable high-energy lithium-ion and sodium-ion batteries, with their performances fundamentally governed by three interrelated chemical factors: electronic configuration, chemical bonding and chemical reactivity. Here we illustrate how these factors dictate the redox energy, structural stability, ionic and electronic transport, and interfacial behaviour in both layered oxide and polyanion oxide cathodes. We discuss how crystal field effects and octahedral-site stabilization energies influence cation migration, and how inductive effects tune bond covalency and operating voltages. We also explain how chemical bonding governs thermal stability, gas evolution and first-cycle capacity loss, and how alignment of the transition metal redox band with the oxygen 2p band determines electrolyte reactivity. A comparison between lithium and sodium layered oxides further reveals how differences in Li–O and Na–O bond ionicity affect chemical reactivity. Finally, we outline strategies, including compositional tuning, surface doping and electrolyte optimization, for the development of new materials with improved performance, and emphasize how high-throughput, data-driven approaches can offer guidance for the design of next-generation oxide cathodes.</w:t>
      </w:r>
    </w:p>
    <w:p>
      <w:pPr>
        <w:spacing w:before="120" w:after="120"/>
      </w:pPr>
      <w:r>
        <w:rPr>
          <w:sz w:val="18"/>
        </w:rPr>
        <w:t>——————————————————————————————————————————————————————————————————————</w:t>
      </w:r>
    </w:p>
    <w:p>
      <w:pPr>
        <w:spacing w:before="160" w:after="40" w:line="240" w:lineRule="auto"/>
      </w:pPr>
      <w:r>
        <w:rPr>
          <w:b/>
        </w:rPr>
        <w:t xml:space="preserve">[390] </w:t>
      </w:r>
      <w:hyperlink r:id="rId601">
        <w:r>
          <w:rPr>
            <w:color w:val="1155CC"/>
            <w:u w:val="single"/>
          </w:rPr>
          <w:t>TWIST1 驱动内皮利耳到甲环球球的过渡,以稳定无神胶质斑块</w:t>
        </w:r>
      </w:hyperlink>
    </w:p>
    <w:p>
      <w:pPr>
        <w:spacing w:before="0" w:after="80"/>
      </w:pPr>
      <w:r>
        <w:rPr>
          <w:i/>
          <w:sz w:val="20"/>
        </w:rPr>
        <w:t>EN: TWIST1 drives endothelial-to-mesenchymal-transition to stabilize atherosclerotic plaques</w:t>
      </w:r>
    </w:p>
    <w:p>
      <w:pPr>
        <w:spacing w:before="0" w:after="120"/>
      </w:pPr>
      <w:r>
        <w:rPr>
          <w:b/>
        </w:rPr>
        <w:t xml:space="preserve">Source: </w:t>
      </w:r>
      <w:r>
        <w:t>Nature Communications</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不稳定的神乐透性斑块的突变是死亡的一个主要原因。 与先进的神乐透性斑块有内向脑突变联系的内皮- 脑突变与先进的神乐透性斑块有联系,并且有助于塑料的进化。 我们研究了Twist1 的作用,这是驱动内皮- 间皮- 脑突变的转录因子,它通过在超球分子小鼠(Twist1ECKO Apo-----)中从内皮细胞中从内皮细胞中导除引而出,从而在红外发性突变过程中推动内皮- 脑- 脑突变。 历史分析表明,内皮突变1 推动红外皮生长和红花稳定性标志(collagen, ACTA2- 阳性细胞),并减少不稳定性特征(Necrocles, 宏观ac) 。</w:t>
      </w:r>
    </w:p>
    <w:p>
      <w:pPr>
        <w:spacing w:before="0" w:after="200" w:lineRule="auto" w:line="276"/>
      </w:pPr>
      <w:r>
        <w:rPr>
          <w:b/>
        </w:rPr>
        <w:t xml:space="preserve">Abstract (EN): </w:t>
      </w:r>
      <w:r>
        <w:t>Rupture of unstable atherosclerotic plaques is a major cause of mortality. Endothelial-to-mesenchymal transition associates with advanced atherosclerotic plaques and contributes to plaque progression. We examined the role of Twist1, a transcription factor that drives endothelial-to-mesenchymal transition, in plaque progression by inducible deletion from endothelial cells in hypercholesterolemic mice (Twist1ECKO Apo-/-). Single-cell RNA sequencing coupled to endothelial cell-tracking reveals that Twist1 promotes endothelial-to-mesenchymal transition in advanced atherosclerotic plaques. Histological analyses demonstrate that endothelial Twist1 promotes plaque growth and hallmarks of plaque stability (collagen, ACTA2-positive cells) and reduces features of instability (necrosis, macrophage accumulation). Analysis of cultured human aortic endothelial cells shows that TWIST1 contributes to endothelial-to-mesenchymal transition by promoting migration and proliferation through the transcriptional coactivator PELP1. Additionally, TWIST1 promotes endothelial cell proliferation via AEBP1-dependent upregulation of COL4A1. These findings challenge the prevailing view that endothelial-to-mesenchymal transition uniquely destabilizes plaques, by suggesting that TWIST1-driven endothelial-to-mesenchymal transition can promote plaque stability, offering new insights into atherosclerosis pathophysiology and therapeutic potential.</w:t>
      </w:r>
    </w:p>
    <w:p>
      <w:pPr>
        <w:spacing w:before="120" w:after="120"/>
      </w:pPr>
      <w:r>
        <w:rPr>
          <w:sz w:val="18"/>
        </w:rPr>
        <w:t>——————————————————————————————————————————————————————————————————————</w:t>
      </w:r>
    </w:p>
    <w:p>
      <w:pPr>
        <w:spacing w:before="160" w:after="40" w:line="240" w:lineRule="auto"/>
      </w:pPr>
      <w:r>
        <w:rPr>
          <w:b/>
        </w:rPr>
        <w:t xml:space="preserve">[391] </w:t>
      </w:r>
      <w:hyperlink r:id="rId602">
        <w:r>
          <w:rPr>
            <w:color w:val="1155CC"/>
            <w:u w:val="single"/>
          </w:rPr>
          <w:t>通过静离电池电解法进行能力补偿的普遍战略</w:t>
        </w:r>
      </w:hyperlink>
    </w:p>
    <w:p>
      <w:pPr>
        <w:spacing w:before="0" w:after="80"/>
      </w:pPr>
      <w:r>
        <w:rPr>
          <w:i/>
          <w:sz w:val="20"/>
        </w:rPr>
        <w:t>EN: Universal strategy of capacity-compensation via electrolyte for Li-ion batteries</w:t>
      </w:r>
    </w:p>
    <w:p>
      <w:pPr>
        <w:spacing w:before="0" w:after="120"/>
      </w:pPr>
      <w:r>
        <w:rPr>
          <w:b/>
        </w:rPr>
        <w:t xml:space="preserve">Source: </w:t>
      </w:r>
      <w:r>
        <w:t>RSC - Energy Environ. Sci. latest articles</w:t>
      </w:r>
      <w:r>
        <w:t xml:space="preserve">    </w:t>
      </w:r>
      <w:r>
        <w:rPr>
          <w:b/>
        </w:rPr>
        <w:t xml:space="preserve">Pub date: </w:t>
      </w:r>
      <w:r>
        <w:t>2026-02-18 00:00:00+00:00</w:t>
      </w:r>
    </w:p>
    <w:p>
      <w:pPr>
        <w:spacing w:before="0" w:after="120"/>
      </w:pPr>
      <w:r>
        <w:rPr>
          <w:b/>
        </w:rPr>
        <w:t xml:space="preserve">Notes: </w:t>
      </w:r>
      <w:r>
        <w:t>abstract_source=rsc_html</w:t>
      </w:r>
    </w:p>
    <w:p>
      <w:pPr>
        <w:spacing w:before="0" w:after="80" w:lineRule="auto" w:line="276"/>
      </w:pPr>
      <w:r>
        <w:rPr>
          <w:b/>
        </w:rPr>
        <w:t xml:space="preserve">摘要（ZH）: </w:t>
      </w:r>
      <w:r>
        <w:t>在第一个充电过程中,最初的不可逆能力损失(ICL)大大降低了商业利离电池(LIBs)负担得起的能源和电密度。虽然已经开发了各种固相前置添加剂,但很难适应现有的电极生产线。在这里,我们阐明,ICL的根本原因是电子损失,因此,最可持续和经济的能力补偿方法是通过电解法补偿电子,而不是传统的先发制人。因此,我们提出了普遍能力补偿战略,并为开发可溶性能力补偿试剂制定了一般指导原则。作为概念的证明,对锂聚磷化物(LixPPs)进行了合成和评估。</w:t>
      </w:r>
    </w:p>
    <w:p>
      <w:pPr>
        <w:spacing w:before="0" w:after="200" w:lineRule="auto" w:line="276"/>
      </w:pPr>
      <w:r>
        <w:rPr>
          <w:b/>
        </w:rPr>
        <w:t xml:space="preserve">Abstract (EN): </w:t>
      </w:r>
      <w:r>
        <w:t>The initial irreversible capacity loss (ICL) during the first charging process greatly reduces the affordable energy and power densities of commercial Li-ion batteries (LIBs). Though various solid-phase prelithiation additives have been developed, they can hardly be adapted to the existing electrode production lines. Herein, we elucidate that the root cause of ICL is electron loss, therefore, the most sustainable and economical capacity-compensation method is to compensate for electrons rather than conventional prelithiation. Accordingly, we propose a universal capacity-compensation strategy via electrolyte, and establish general guiding principles for developing soluble capacity-compensation reagents. As a proof of concept, lithium polyphosphides (LixPPs) was synthesized and evaluated. LixPPs feature desirable solubility in various commercial electrolytes and undergo preferential oxidation at the cathode side, thereby not only compensating for ICL but also contributing to the construction of a stable cathode-electrolyte interphase (CEI). The feasibility of this capacity-compensation electrolyte has been successfully validated in multiple mainstream battery systems, including NCM811||graphite, LiFePO4||graphite, and LiCoO2||graphite full cells, highlighting both its great adaptability to the existing battery manufacturing processes and its potential to enhance the energy density of LIBs and beyond.</w:t>
      </w:r>
    </w:p>
    <w:p>
      <w:pPr>
        <w:spacing w:before="120" w:after="120"/>
      </w:pPr>
      <w:r>
        <w:rPr>
          <w:sz w:val="18"/>
        </w:rPr>
        <w:t>——————————————————————————————————————————————————————————————————————</w:t>
      </w:r>
    </w:p>
    <w:p>
      <w:pPr>
        <w:spacing w:before="160" w:after="40" w:line="240" w:lineRule="auto"/>
      </w:pPr>
      <w:r>
        <w:rPr>
          <w:b/>
        </w:rPr>
        <w:t xml:space="preserve">[392] </w:t>
      </w:r>
      <w:hyperlink r:id="rId603">
        <w:r>
          <w:rPr>
            <w:color w:val="1155CC"/>
            <w:u w:val="single"/>
          </w:rPr>
          <w:t>这个巨大的病毒 劫持细胞蛋白质制造机制 来疯狂地繁殖</w:t>
        </w:r>
      </w:hyperlink>
    </w:p>
    <w:p>
      <w:pPr>
        <w:spacing w:before="0" w:after="80"/>
      </w:pPr>
      <w:r>
        <w:rPr>
          <w:i/>
          <w:sz w:val="20"/>
        </w:rPr>
        <w:t>EN: This giant virus hijacks cells’ protein-making machinery to multiply wildly</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[393] </w:t>
      </w:r>
      <w:hyperlink r:id="rId604">
        <w:r>
          <w:rPr>
            <w:color w:val="1155CC"/>
            <w:u w:val="single"/>
          </w:rPr>
          <w:t>成本-成本-竞争高的水泥材料和氢</w:t>
        </w:r>
      </w:hyperlink>
    </w:p>
    <w:p>
      <w:pPr>
        <w:spacing w:before="0" w:after="80"/>
      </w:pPr>
      <w:r>
        <w:rPr>
          <w:i/>
          <w:sz w:val="20"/>
        </w:rPr>
        <w:t>EN: Looping-accelerated CO2 Mineralization for Cost-competitive Cementitious Materials and Hydrogen</w:t>
      </w:r>
    </w:p>
    <w:p>
      <w:pPr>
        <w:spacing w:before="0" w:after="120"/>
      </w:pPr>
      <w:r>
        <w:rPr>
          <w:b/>
        </w:rPr>
        <w:t xml:space="preserve">Source: </w:t>
      </w:r>
      <w:r>
        <w:t>RSC - Energy Environ. Sci. latest articles</w:t>
      </w:r>
      <w:r>
        <w:t xml:space="preserve">    </w:t>
      </w:r>
      <w:r>
        <w:rPr>
          <w:b/>
        </w:rPr>
        <w:t xml:space="preserve">Pub date: </w:t>
      </w:r>
      <w:r>
        <w:t>2026-02-18 00:00:00+00:00</w:t>
      </w:r>
    </w:p>
    <w:p>
      <w:pPr>
        <w:spacing w:before="0" w:after="120"/>
      </w:pPr>
      <w:r>
        <w:rPr>
          <w:b/>
        </w:rPr>
        <w:t xml:space="preserve">Notes: </w:t>
      </w:r>
      <w:r>
        <w:t>abstract_source=rsc_html</w:t>
      </w:r>
    </w:p>
    <w:p>
      <w:pPr>
        <w:spacing w:before="0" w:after="80" w:lineRule="auto" w:line="276"/>
      </w:pPr>
      <w:r>
        <w:rPr>
          <w:b/>
        </w:rPr>
        <w:t xml:space="preserve">摘要（ZH）: </w:t>
      </w:r>
      <w:r>
        <w:t>推进净负负碳经济需要高效、成本效益高的CO2捕获和利用方法。 在这里, 我们引入了一种新的碳酸钠循环工艺, 加速碳酸钠( Na2CO3)循环工艺, 通过钢炉等硅质原料加速二氧化碳捕获和矿化, 生产碳酸富含碳酸盐产品, 将不固定的硅作为水泥材料。 与常规的直接或酸辅助矿化不同, 我们的化学循环方法首先使用Na2CO3溶液将硅酸盐碳化。 同样的解决方案随后被动捕获CO2并沉淀高纯度, (次) 微缩规模的硅化,同时再生纳2CO3。 在钢炉上演示的工艺分别实现了59%和35%的点源捕获和空气CO2, 矿物化到高达2。</w:t>
      </w:r>
    </w:p>
    <w:p>
      <w:pPr>
        <w:spacing w:before="0" w:after="200" w:lineRule="auto" w:line="276"/>
      </w:pPr>
      <w:r>
        <w:rPr>
          <w:b/>
        </w:rPr>
        <w:t xml:space="preserve">Abstract (EN): </w:t>
      </w:r>
      <w:r>
        <w:t>Advancing a net-negative carbon economy requires efficient and cost-effective CO2 capture and utilization methods. Here, we introduce a novel sodium carbonate (Na2CO3) looping process that accelerates CO2 capture and mineralization by silicate feedstocks such as steel slags, producing a carbonate-rich product and amorphous silica as cementitious materials. Unlike conventional direct or acid-assisted mineralization, our chemical looping approach first carbonates the silicate using a Na2CO3 solution. The same solution then reactively captures CO2 and precipitates high-purity, (sub)micron-sized amorphous silica, while simultaneously regenerating the Na2CO3. Demonstrated on steel slags, the process achieved 59% and 35% capture for point-source and air CO2, respectively, mineralizing to up to 2.79 mmol-C g-1 slag. Compared to traditional slag-water CO2 mineralization, Na2CO3 looping captured and mineralized 4 to 9 times more CO2. Mechanistically, Na2CO3 looping accelerates mineralization by rapidly removing Ca via carbonate precipitation, thereby sustaining a strong thermodynamic driving force for continued Ca–silicate dissolution, which governs the overall carbonation rate. The process offers several key advantages and novelties: (1) no net chemical consumption due to complete Na2CO3 regeneration; (2) CO2 capture and mineralization occur at room temperature and 1 atm; (3) the CO2 source can be either point source or ambient air; (4) both the carbonation and reactive capture steps are exothermic, lowering system energy demand and eliminating external heat input; and (5) two cementitious products—carbonate-rich solids and amorphous silica—are generated separately, enabling flexible blending in downstream applications. Additionally, utilization of slag waste heat enables reaction with steam to produce up to 1.01 mmol-H2 g-1 slag. Without product revenues, levelized costs are only $252 and $50 per ton of CO2 for air and point-source capture, respectively; considering product revenues, the payback periods are only 1.9 and 0.8 for air and point-source CO2.</w:t>
      </w:r>
    </w:p>
    <w:p>
      <w:pPr>
        <w:spacing w:before="120" w:after="120"/>
      </w:pPr>
      <w:r>
        <w:rPr>
          <w:sz w:val="18"/>
        </w:rPr>
        <w:t>——————————————————————————————————————————————————————————————————————</w:t>
      </w:r>
    </w:p>
    <w:p>
      <w:pPr>
        <w:spacing w:before="160" w:after="40" w:line="240" w:lineRule="auto"/>
      </w:pPr>
      <w:r>
        <w:rPr>
          <w:b/>
        </w:rPr>
        <w:t xml:space="preserve">[394] </w:t>
      </w:r>
      <w:hyperlink r:id="rId605">
        <w:r>
          <w:rPr>
            <w:color w:val="1155CC"/>
            <w:u w:val="single"/>
          </w:rPr>
          <w:t>用于高能全固态有机电池的硫化电解解液液中的催化阴离子红氧化物</w:t>
        </w:r>
      </w:hyperlink>
    </w:p>
    <w:p>
      <w:pPr>
        <w:spacing w:before="0" w:after="80"/>
      </w:pPr>
      <w:r>
        <w:rPr>
          <w:i/>
          <w:sz w:val="20"/>
        </w:rPr>
        <w:t>EN: Catalyzed anionic redox in sulfide electrolytes for high-energy all-solid-state organic batteries</w:t>
      </w:r>
    </w:p>
    <w:p>
      <w:pPr>
        <w:spacing w:before="0" w:after="120"/>
      </w:pPr>
      <w:r>
        <w:rPr>
          <w:b/>
        </w:rPr>
        <w:t xml:space="preserve">Source: </w:t>
      </w:r>
      <w:r>
        <w:t>Joule</w:t>
      </w:r>
      <w:r>
        <w:t xml:space="preserve">    </w:t>
      </w:r>
      <w:r>
        <w:rPr>
          <w:b/>
        </w:rPr>
        <w:t xml:space="preserve">Pub date: </w:t>
      </w:r>
      <w:r>
        <w:t>2026-02-18 00:00:00+00:00</w:t>
      </w:r>
    </w:p>
    <w:p>
      <w:pPr>
        <w:spacing w:before="0" w:after="120"/>
      </w:pPr>
      <w:r>
        <w:rPr>
          <w:b/>
        </w:rPr>
        <w:t xml:space="preserve">Notes: </w:t>
      </w:r>
      <w:r>
        <w:t>abstract_source=rss_cell</w:t>
      </w:r>
    </w:p>
    <w:p>
      <w:pPr>
        <w:spacing w:before="0" w:after="80" w:lineRule="auto" w:line="276"/>
      </w:pPr>
      <w:r>
        <w:rPr>
          <w:b/>
        </w:rPr>
        <w:t xml:space="preserve">摘要（ZH）: </w:t>
      </w:r>
      <w:r>
        <w:t>固体-固体界面的化学反应通常被认为有害于所有固体电池,这项研究表明,如果仔细控制,这种反应反而可以催化硫化物电解解管中可逆硫磷阴离子红氧化物,大大提高所有固体电池中有机电极材料的容量和稳定性。通过确定允许这一外孔通道的分子和结构标准,这项工作确立了一种新的设计原则,利用跨子化学来提高可持续固体电池技术的能量密度。</w:t>
      </w:r>
    </w:p>
    <w:p>
      <w:pPr>
        <w:spacing w:before="0" w:after="200" w:lineRule="auto" w:line="276"/>
      </w:pPr>
      <w:r>
        <w:rPr>
          <w:b/>
        </w:rPr>
        <w:t xml:space="preserve">Abstract (EN): </w:t>
      </w:r>
      <w:r>
        <w:t>Chemical reactivity at solid-solid interfaces is typically viewed as detrimental in all-solid-state batteries. This study shows that, when carefully controlled, such reactions can instead catalyze reversible sulfur anionic redox in sulfide electrolytes, dramatically increasing capacity and stability of organic electrode materials in all-solid-state batteries. By identifying the molecular and structural criteria that enable this outer-sphere pathway, the work establishes a new design principle for leveraging interfacial chemistry to enhance the energy density of sustainable all-solid-state battery technologies.</w:t>
      </w:r>
    </w:p>
    <w:p>
      <w:pPr>
        <w:spacing w:before="120" w:after="120"/>
      </w:pPr>
      <w:r>
        <w:rPr>
          <w:sz w:val="18"/>
        </w:rPr>
        <w:t>——————————————————————————————————————————————————————————————————————</w:t>
      </w:r>
    </w:p>
    <w:p>
      <w:pPr>
        <w:spacing w:before="160" w:after="40" w:line="240" w:lineRule="auto"/>
      </w:pPr>
      <w:r>
        <w:rPr>
          <w:b/>
        </w:rPr>
        <w:t xml:space="preserve">[395] </w:t>
      </w:r>
      <w:hyperlink r:id="rId606">
        <w:r>
          <w:rPr>
            <w:color w:val="1155CC"/>
            <w:u w:val="single"/>
          </w:rPr>
          <w:t>这块玻璃可以储存两百万本书 一万年</w:t>
        </w:r>
      </w:hyperlink>
    </w:p>
    <w:p>
      <w:pPr>
        <w:spacing w:before="0" w:after="80"/>
      </w:pPr>
      <w:r>
        <w:rPr>
          <w:i/>
          <w:sz w:val="20"/>
        </w:rPr>
        <w:t>EN: This chunk of glass could store two million books for 10,000 years</w:t>
      </w:r>
    </w:p>
    <w:p>
      <w:pPr>
        <w:spacing w:before="0" w:after="120"/>
      </w:pPr>
      <w:r>
        <w:rPr>
          <w:b/>
        </w:rPr>
        <w:t xml:space="preserve">Source: </w:t>
      </w:r>
      <w:r>
        <w:t>Nature</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[396] </w:t>
      </w:r>
      <w:hyperlink r:id="rId607">
        <w:r>
          <w:rPr>
            <w:color w:val="1155CC"/>
            <w:u w:val="single"/>
          </w:rPr>
          <w:t>20.70%高效层层逐层有机太阳能电池</w:t>
        </w:r>
      </w:hyperlink>
    </w:p>
    <w:p>
      <w:pPr>
        <w:spacing w:before="0" w:after="80"/>
      </w:pPr>
      <w:r>
        <w:rPr>
          <w:i/>
          <w:sz w:val="20"/>
        </w:rPr>
        <w:t>EN: Two-Step Templating Strategy Enabled 20.70% Efficiency Layer-by-Layer Organic Solar Cells</w:t>
      </w:r>
    </w:p>
    <w:p>
      <w:pPr>
        <w:spacing w:before="0" w:after="120"/>
      </w:pPr>
      <w:r>
        <w:rPr>
          <w:b/>
        </w:rPr>
        <w:t xml:space="preserve">Source: </w:t>
      </w:r>
      <w:r>
        <w:t>RSC - Energy Environ. Sci. latest articles</w:t>
      </w:r>
      <w:r>
        <w:t xml:space="preserve">    </w:t>
      </w:r>
      <w:r>
        <w:rPr>
          <w:b/>
        </w:rPr>
        <w:t xml:space="preserve">Pub date: </w:t>
      </w:r>
      <w:r>
        <w:t>2026-02-18 00:00:00+00:00</w:t>
      </w:r>
    </w:p>
    <w:p>
      <w:pPr>
        <w:spacing w:before="0" w:after="120"/>
      </w:pPr>
      <w:r>
        <w:rPr>
          <w:b/>
        </w:rPr>
        <w:t xml:space="preserve">Notes: </w:t>
      </w:r>
      <w:r>
        <w:t>abstract_source=rsc_html</w:t>
      </w:r>
    </w:p>
    <w:p>
      <w:pPr>
        <w:spacing w:before="0" w:after="80" w:lineRule="auto" w:line="276"/>
      </w:pPr>
      <w:r>
        <w:rPr>
          <w:b/>
        </w:rPr>
        <w:t xml:space="preserve">摘要（ZH）: </w:t>
      </w:r>
      <w:r>
        <w:t>层层有机太阳能电池(LBL OSCs)层层顶层的不可控制扩散动态,往往导致不可取的阶段分离形态,限制光伏性能。在这里,我们创新地提出了一个两步制试战略,以系统规范底层叠叠行为和顶层沉积动态,优化活跃层形态。第一步(塑料战略)采用设计好的聚合聚苯乙烯塑胶催化PBTP-BDD来调节D18的链堆叠行为,从而创建了一个原始模版,延长L8-BO的沉积动态,促进其订购的自组化,实现19.95%的功率转换效率。第二步(喷洒战略)使用氯仿溶剂进行选择。</w:t>
      </w:r>
    </w:p>
    <w:p>
      <w:pPr>
        <w:spacing w:before="0" w:after="200" w:lineRule="auto" w:line="276"/>
      </w:pPr>
      <w:r>
        <w:rPr>
          <w:b/>
        </w:rPr>
        <w:t xml:space="preserve">Abstract (EN): </w:t>
      </w:r>
      <w:r>
        <w:t>The uncontrollable diffusion dynamics of the top layer in layer-by-layer organic solar cells (LBL OSCs) often lead to the undesirable phase separation morphology, limiting photovoltaic performance. Herein, we innovatively presented a two-step templating (TST) strategy to systematically regulate the stacking behavior of bottom layer and deposition dynamics of top layer to optimize the active layer morphology. The first step (plasticizating strategy) employed a designed polymer plasticizer PBTP-BDD to modulate chain stacking behavior of D18, which created a primed template that prolonged the deposition dynamics of L8-BO and promoted its ordered self-assembly, achieving a power conversion efficiency (PCE) of 19.95%. The second step (rinsing strategy), using chloroform solvent to selectively rinse plasticized layer, reconstructed this initial template into a thermodynamically stable and structurally ordered state, guiding L8-BO to adopt a more favorable crystal orientation and further boosting the PCE to 20.70%, significantly superior than the control devices (18.53%) and rinsing-only devices (18.94%), demonstrating the notable advantages of TST strategy. Moreover, the TST strategy exhibited exceptional generality, thus achieving an excellent PCE of 18.08% in 300 nm thick-film OSCs. This work provided important foundation and process guidance for the fabrication of high-performance LBL OSCs through synergistic regulation of deposition dynamics.</w:t>
      </w:r>
    </w:p>
    <w:p>
      <w:pPr>
        <w:spacing w:before="120" w:after="120"/>
      </w:pPr>
      <w:r>
        <w:rPr>
          <w:sz w:val="18"/>
        </w:rPr>
        <w:t>——————————————————————————————————————————————————————————————————————</w:t>
      </w:r>
    </w:p>
    <w:p>
      <w:pPr>
        <w:spacing w:before="160" w:after="40" w:line="240" w:lineRule="auto"/>
      </w:pPr>
      <w:r>
        <w:rPr>
          <w:b/>
        </w:rPr>
        <w:t xml:space="preserve">[397] </w:t>
      </w:r>
      <w:hyperlink r:id="rId608">
        <w:r>
          <w:rPr>
            <w:color w:val="1155CC"/>
            <w:u w:val="single"/>
          </w:rPr>
          <w:t>可缩缩缩半透明有机太阳能电池,对建筑集成光伏电池的胶片厚度耐久度强</w:t>
        </w:r>
      </w:hyperlink>
    </w:p>
    <w:p>
      <w:pPr>
        <w:spacing w:before="0" w:after="80"/>
      </w:pPr>
      <w:r>
        <w:rPr>
          <w:i/>
          <w:sz w:val="20"/>
        </w:rPr>
        <w:t>EN: Scalable semitransparent organic solar cells with robust film thickness tolerance for building-integrated photovoltaics</w:t>
      </w:r>
    </w:p>
    <w:p>
      <w:pPr>
        <w:spacing w:before="0" w:after="120"/>
      </w:pPr>
      <w:r>
        <w:rPr>
          <w:b/>
        </w:rPr>
        <w:t xml:space="preserve">Source: </w:t>
      </w:r>
      <w:r>
        <w:t>Nature Communications</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建筑综合光伏发电(BIPV)是半透明有机太阳能电池(ST-OSC)的一个很有希望的应用,然而,传统超薄(2个捐助方稀释的ST-OSC, 活性层厚度为119和301纳米)的常规超薄(2个捐助方稀释的ST-OSC, 活性层厚度分别为119和301纳米)的光利用效率高,分别为4.04%和3.02%。 值得注意的是,一个100厘米模块的CTM比例为~85%,LUE为3.32%,因为它的胶片厚度高,为大面积半透明模块设定了新的基准。 此外,我们还展示了BIPV在发电、能源储存和温度控制方面的可行性,通过一个600厘米发电窗口的降级模型,这些结果揭示了在现实世界应用中ST-OSC的希望前景。</w:t>
      </w:r>
    </w:p>
    <w:p>
      <w:pPr>
        <w:spacing w:before="0" w:after="200" w:lineRule="auto" w:line="276"/>
      </w:pPr>
      <w:r>
        <w:rPr>
          <w:b/>
        </w:rPr>
        <w:t xml:space="preserve">Abstract (EN): </w:t>
      </w:r>
      <w:r>
        <w:t>Building-integrated photovoltaics (BIPVs) is a promising application for semitransparent organic solar cells (ST-OSCs). However, conventional ultra-thin (2 donor-diluted ST-OSCs with active layer thicknesses of 119 and 301 nm exhibit high light utilization efficiencies (LUEs) of 4.04% and 3.02%, respectively. Notably, a 100 cm2 module demonstrates a CTM ratio of ~85% and a LUE of 3.32%, owing to its high film thickness tolerance, setting a new benchmark for large-area semitransparent modules. Furthermore, we demonstrate the feasibility of BIPVs in terms of power generation, energy storage, and temperature control through a scale-down model with a 600 cm2 power-generating window. These results reveal promising prospects for ST-OSCs in real-world applications.</w:t>
      </w:r>
    </w:p>
    <w:p>
      <w:pPr>
        <w:spacing w:before="120" w:after="120"/>
      </w:pPr>
      <w:r>
        <w:rPr>
          <w:sz w:val="18"/>
        </w:rPr>
        <w:t>——————————————————————————————————————————————————————————————————————</w:t>
      </w:r>
    </w:p>
    <w:p>
      <w:pPr>
        <w:spacing w:before="160" w:after="40" w:line="240" w:lineRule="auto"/>
      </w:pPr>
      <w:r>
        <w:rPr>
          <w:b/>
        </w:rPr>
        <w:t xml:space="preserve">[398] </w:t>
      </w:r>
      <w:hyperlink r:id="rId609">
        <w:r>
          <w:rPr>
            <w:color w:val="1155CC"/>
            <w:u w:val="single"/>
          </w:rPr>
          <w:t>氨基-β纤维纤维状体的结构缺陷驱动二级核循环</w:t>
        </w:r>
      </w:hyperlink>
    </w:p>
    <w:p>
      <w:pPr>
        <w:spacing w:before="0" w:after="80"/>
      </w:pPr>
      <w:r>
        <w:rPr>
          <w:i/>
          <w:sz w:val="20"/>
        </w:rPr>
        <w:t>EN: Structural defects in amyloid-β fibrils drive secondary nucleation</w:t>
      </w:r>
    </w:p>
    <w:p>
      <w:pPr>
        <w:spacing w:before="0" w:after="120"/>
      </w:pPr>
      <w:r>
        <w:rPr>
          <w:b/>
        </w:rPr>
        <w:t xml:space="preserve">Source: </w:t>
      </w:r>
      <w:r>
        <w:t>Nature Communications</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新的氨基甲状腺纤维纤维和寡头动物从现有纤维纤维表面的单一蛋白质中形成,这是许多疾病,如阿尔茨海默氏氏病和帕金森病的重要驱动因素。然而,这一二级核核过程的结构基础却鲜为人知。在这里,我们问二级核核点是否主要在罕见生长缺陷中发现:在最初组装过程中结合的纤维核心结构中存在异常现象。我们首先用二级核核素(Brichos)的具体抑制剂来证明,由Aβ40和Aβ42peptides组成的阿尔茨海默氏病相关纤维的二级核化点与它们所含蛋白分子的数量相比是罕见的。我们然后在设计用来消除大多数微粒的条件下种植Aβ40纤维。</w:t>
      </w:r>
    </w:p>
    <w:p>
      <w:pPr>
        <w:spacing w:before="0" w:after="200" w:lineRule="auto" w:line="276"/>
      </w:pPr>
      <w:r>
        <w:rPr>
          <w:b/>
        </w:rPr>
        <w:t xml:space="preserve">Abstract (EN): </w:t>
      </w:r>
      <w:r>
        <w:t>Formation of new amyloid fibrils and oligomers from monomeric protein on the surfaces of existing fibrils is an important driver of many disorders such as Alzheimer’s and Parkinson’s diseases. The structural basis of this secondary nucleation process, however, is poorly understood. Here, we ask whether secondary nucleation sites are found predominantly at rare growth defects: irregularities in the fibril core structure incorporated during their original assembly. We first demonstrate using the specific inhibitor of secondary nucleation, Brichos, that secondary nucleation sites on Alzheimer’s disease-associated fibrils composed of Aβ40 and Aβ42 peptides are rare compared to the number of protein molecules they contain. We then grow Aβ40 fibrils under conditions designed to eliminate most growth defects while leaving the regular fibril morphology unchanged, and confirm the latter using cryo-electron microscopy. We measure both the ability of these annealed fibrils to promote secondary nucleation and the stoichiometry of their secondary nucleation sites, finding that both are greatly reduced as predicted. Re-analysis of published data for other proteins suggests that fibril growth defects may also drive secondary nucleation generally across most amyloids. These findings could unlock structure-based drug design of therapeutics that aim to halt amyloid disorders by inhibiting secondary nucleation sites.</w:t>
      </w:r>
    </w:p>
    <w:p>
      <w:pPr>
        <w:spacing w:before="120" w:after="120"/>
      </w:pPr>
      <w:r>
        <w:rPr>
          <w:sz w:val="18"/>
        </w:rPr>
        <w:t>——————————————————————————————————————————————————————————————————————</w:t>
      </w:r>
    </w:p>
    <w:p>
      <w:pPr>
        <w:spacing w:before="160" w:after="40" w:line="240" w:lineRule="auto"/>
      </w:pPr>
      <w:r>
        <w:rPr>
          <w:b/>
        </w:rPr>
        <w:t xml:space="preserve">[399] </w:t>
      </w:r>
      <w:hyperlink r:id="rId610">
        <w:r>
          <w:rPr>
            <w:color w:val="1155CC"/>
            <w:u w:val="single"/>
          </w:rPr>
          <w:t>金属原子驱动酸氧进化反应</w:t>
        </w:r>
      </w:hyperlink>
    </w:p>
    <w:p>
      <w:pPr>
        <w:spacing w:before="0" w:after="80"/>
      </w:pPr>
      <w:r>
        <w:rPr>
          <w:i/>
          <w:sz w:val="20"/>
        </w:rPr>
        <w:t>EN: High-spin transition metal atoms drive acidic oxygen evolution reactions</w:t>
      </w:r>
    </w:p>
    <w:p>
      <w:pPr>
        <w:spacing w:before="0" w:after="120"/>
      </w:pPr>
      <w:r>
        <w:rPr>
          <w:b/>
        </w:rPr>
        <w:t xml:space="preserve">Source: </w:t>
      </w:r>
      <w:r>
        <w:t>Nature Communications</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合成过渡性金属催化剂,以取代诸如IrO2和RuO2等贵金属催化剂,实现高效的酸氧进化反应,同时平衡内在活动、稳定性和成本效益,这一直是科学家和工业家追求的梦想,但仍然是一个挑战。 在这里,我们展示了由石墨基因高螺旋引起的高螺旋状氧化钴(HSS-CoOx/GDY)形成的高效催化系统,用于加强酸氧进化反应的活动和稳定性。实验和理论结果显示,富电子质螺旋化碳和原子的结合引发了CO6八赫德拉的Jahn-Teller效应,该效应调节了原子的占用轨道,并产生了高脊椎CO3+。这种旋转占用断裂 t。</w:t>
      </w:r>
    </w:p>
    <w:p>
      <w:pPr>
        <w:spacing w:before="0" w:after="200" w:lineRule="auto" w:line="276"/>
      </w:pPr>
      <w:r>
        <w:rPr>
          <w:b/>
        </w:rPr>
        <w:t xml:space="preserve">Abstract (EN): </w:t>
      </w:r>
      <w:r>
        <w:t>Synthesizing transition metal catalysts to replace precious metal ones such as IrO2 and RuO2, achieving efficient acidic oxygen evolution reaction while balancing intrinsic activity, stability, and cost-effectiveness always been a dream pursued by scientists and industrialists, but still remains a challenge. Here, we present an efficient catalytic system formed by graphdiyne-induced high-spin state cobalt-based oxide (HSS-CoOx/GDY) for enhancing the activity and stability of the acidic oxygen evolution reaction. Experimental and theoretical results demonstrate that the bonding of electron-rich sp-hybridized carbon and Co atoms initiates the Jahn-Teller effect of CoO6 octahedra, which regulates the occupied d-orbital of Co atoms and generates the high-spin Co3+. Such spin occupancy breaks the spin-forbidden effect and optimizes the adsorption/desorption ability of HSS-CoOx/GDY toward key reaction intermediates, thereby promoting the coupling of O-O bonds and the evolution of oxygen gas. The proton exchange membrane water electrolyzers constructed based on this catalyst achieve a current density of 1.0 A cm−2 at a low cell voltage of 1.80 V. This research indicates that graphdiyne has the ability to manipulate the electronic spin states of electrocatalysts.</w:t>
      </w:r>
    </w:p>
    <w:p>
      <w:pPr>
        <w:spacing w:before="120" w:after="120"/>
      </w:pPr>
      <w:r>
        <w:rPr>
          <w:sz w:val="18"/>
        </w:rPr>
        <w:t>——————————————————————————————————————————————————————————————————————</w:t>
      </w:r>
    </w:p>
    <w:p>
      <w:pPr>
        <w:spacing w:before="160" w:after="40" w:line="240" w:lineRule="auto"/>
      </w:pPr>
      <w:r>
        <w:rPr>
          <w:b/>
        </w:rPr>
        <w:t xml:space="preserve">[400] </w:t>
      </w:r>
      <w:hyperlink r:id="rId611">
        <w:r>
          <w:rPr>
            <w:color w:val="1155CC"/>
            <w:u w:val="single"/>
          </w:rPr>
          <w:t>受养生物传感器通过气相化学还原仪对异同质G蛋白进行描述。</w:t>
        </w:r>
      </w:hyperlink>
    </w:p>
    <w:p>
      <w:pPr>
        <w:spacing w:before="0" w:after="80"/>
      </w:pPr>
      <w:r>
        <w:rPr>
          <w:i/>
          <w:sz w:val="20"/>
        </w:rPr>
        <w:t>EN: Conformational biosensors delineate endosomal G protein regulation by GPCRs</w:t>
      </w:r>
    </w:p>
    <w:p>
      <w:pPr>
        <w:spacing w:before="0" w:after="120"/>
      </w:pPr>
      <w:r>
        <w:rPr>
          <w:b/>
        </w:rPr>
        <w:t xml:space="preserve">Source: </w:t>
      </w:r>
      <w:r>
        <w:t>Nature Communications</w:t>
      </w:r>
      <w:r>
        <w:t xml:space="preserve">    </w:t>
      </w:r>
      <w:r>
        <w:rPr>
          <w:b/>
        </w:rPr>
        <w:t xml:space="preserve">Pub date: </w:t>
      </w:r>
      <w:r>
        <w:t>2026-02-18 00:00:00+00:00</w:t>
      </w:r>
    </w:p>
    <w:p>
      <w:pPr>
        <w:spacing w:before="0" w:after="120"/>
      </w:pPr>
      <w:r>
        <w:rPr>
          <w:b/>
        </w:rPr>
        <w:t xml:space="preserve">Notes: </w:t>
      </w:r>
      <w:r>
        <w:t>abstract_source=nature_html</w:t>
      </w:r>
    </w:p>
    <w:p>
      <w:pPr>
        <w:spacing w:before="0" w:after="80" w:lineRule="auto" w:line="276"/>
      </w:pPr>
      <w:r>
        <w:rPr>
          <w:b/>
        </w:rPr>
        <w:t xml:space="preserve">摘要（ZH）: </w:t>
      </w:r>
      <w:r>
        <w:t>许多气相化学还原器在从等离子膜发出信号后,触发了来自内分泌物的G蛋白共聚信号的第二阶段,从内分泌物中发出G蛋白混合信号,需要气相化学还原器来增加内分泌膜中活性状态G蛋白的浓度。如何实现这一点还不清楚。在这里,我们显示三个Gs相混合的气相化学共聚物—— β2- adrenergggy受体、 VIP-1 受体和 adenosine 2B 受体 - 感应器触发Gα从等离子膜到内分泌物中的净再分配,而无需受体内化。我们随后表明,在内分泌物中,活性状态GATs的生产是取决于内化的。我们进一步发现Gs和Gq在内分泌物与等离子膜相比的Gs和Gq之间选择式气相联的定位偏差。我们提议,内分泌Gs。</w:t>
      </w:r>
    </w:p>
    <w:p>
      <w:pPr>
        <w:spacing w:before="0" w:after="200" w:lineRule="auto" w:line="276"/>
      </w:pPr>
      <w:r>
        <w:rPr>
          <w:b/>
        </w:rPr>
        <w:t xml:space="preserve">Abstract (EN): </w:t>
      </w:r>
      <w:r>
        <w:t>Many GPCRs trigger a second phase of G protein-coupled signaling from endosomes after signaling from the plasma membrane, necessitating GPCRs to increase the concentration of active-state G proteins on the endosome membrane. How this is achieved remains unclear. Here, we show that three Gs-coupled GPCRs–the β2-adrenergic receptor, VIP-1 receptor, and adenosine 2B receptor–each trigger a net redistribution of Gαs from the plasma membrane to endosomes at native expression levels and without requiring receptor internalization. We then show that active-state Gαs production on endosomes, in contrast, is GPCR internalization-dependent. We further identify location bias in the selectivity of GPCR coupling between Gs and Gq on endosomes relative to the plasma membrane. We propose that endosomal Gs regulation involves discrete GPCR-G protein coupling reactions, one at the plasma membrane controlling Gs concentration and another at endosomes controlling Gs activity, and that GPCR endocytosis can switch signaling selectivity between G protein classes.</w:t>
      </w:r>
    </w:p>
    <w:p>
      <w:pPr>
        <w:spacing w:before="120" w:after="120"/>
      </w:pPr>
      <w:r>
        <w:rPr>
          <w:sz w:val="18"/>
        </w:rPr>
        <w:t>——————————————————————————————————————————————————————————————————————</w:t>
      </w:r>
    </w:p>
    <w:p>
      <w:pPr>
        <w:spacing w:before="160" w:after="40" w:line="240" w:lineRule="auto"/>
      </w:pPr>
      <w:r>
        <w:rPr>
          <w:b/>
        </w:rPr>
        <w:t xml:space="preserve">[401] </w:t>
      </w:r>
      <w:hyperlink r:id="rId612">
        <w:r>
          <w:rPr>
            <w:color w:val="1155CC"/>
            <w:u w:val="single"/>
          </w:rPr>
          <w:t>校正:非洲大象对2020年大规模死亡事件的基因组洞察</w:t>
        </w:r>
      </w:hyperlink>
    </w:p>
    <w:p>
      <w:pPr>
        <w:spacing w:before="0" w:after="80"/>
      </w:pPr>
      <w:r>
        <w:rPr>
          <w:i/>
          <w:sz w:val="20"/>
        </w:rPr>
        <w:t>EN: Author Correction: Genomic insights into the 2020 mass die-off event among African elephants</w:t>
      </w:r>
    </w:p>
    <w:p>
      <w:pPr>
        <w:spacing w:before="0" w:after="120"/>
      </w:pPr>
      <w:r>
        <w:rPr>
          <w:b/>
        </w:rPr>
        <w:t xml:space="preserve">Source: </w:t>
      </w:r>
      <w:r>
        <w:t>Nature Communications</w:t>
      </w:r>
      <w:r>
        <w:t xml:space="preserve">    </w:t>
      </w:r>
      <w:r>
        <w:rPr>
          <w:b/>
        </w:rPr>
        <w:t xml:space="preserve">Pub date: </w:t>
      </w:r>
      <w:r>
        <w:t>2026-02-18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[402] </w:t>
      </w:r>
      <w:hyperlink r:id="rId613">
        <w:r>
          <w:rPr>
            <w:color w:val="1155CC"/>
            <w:u w:val="single"/>
          </w:rPr>
          <w:t>光诱发产生(boryl)Silil和(Chrolo)Sylyl激进组织:获得三代硅和氯</w:t>
        </w:r>
      </w:hyperlink>
    </w:p>
    <w:p>
      <w:pPr>
        <w:spacing w:before="0" w:after="80"/>
      </w:pPr>
      <w:r>
        <w:rPr>
          <w:i/>
          <w:sz w:val="20"/>
        </w:rPr>
        <w:t>EN: Photoinduced Generation of (Boryl)Silyl and (Chloro)Silyl Radicals: Access to Trisubstituted Silylboranes and Chlorosilanes</w:t>
      </w:r>
    </w:p>
    <w:p>
      <w:pPr>
        <w:spacing w:before="0" w:after="120"/>
      </w:pPr>
      <w:r>
        <w:rPr>
          <w:b/>
        </w:rPr>
        <w:t xml:space="preserve">Source: </w:t>
      </w:r>
      <w:r>
        <w:t>Wiley: Angewandte Chemie International Edition: Table of Contents</w:t>
      </w:r>
      <w:r>
        <w:t xml:space="preserve">    </w:t>
      </w:r>
      <w:r>
        <w:rPr>
          <w:b/>
        </w:rPr>
        <w:t xml:space="preserve">Pub date: </w:t>
      </w:r>
      <w:r>
        <w:t>2026-02-18 05:12:41+00:00</w:t>
      </w:r>
      <w:r>
        <w:t xml:space="preserve">    </w:t>
      </w:r>
      <w:r>
        <w:rPr>
          <w:b/>
        </w:rPr>
        <w:t xml:space="preserve">DOI: </w:t>
      </w:r>
      <w:hyperlink r:id="rId614">
        <w:r>
          <w:rPr>
            <w:color w:val="1155CC"/>
            <w:u w:val="single"/>
          </w:rPr>
          <w:t>10.1002/anie.6372902</w:t>
        </w:r>
      </w:hyperlink>
    </w:p>
    <w:p>
      <w:pPr>
        <w:spacing w:before="0" w:after="120"/>
      </w:pPr>
      <w:r>
        <w:rPr>
          <w:b/>
        </w:rPr>
        <w:t xml:space="preserve">Notes: </w:t>
      </w:r>
      <w:r>
        <w:t>abstract_source=crossref</w:t>
      </w:r>
    </w:p>
    <w:p>
      <w:pPr>
        <w:spacing w:before="0" w:after="80" w:lineRule="auto" w:line="276"/>
      </w:pPr>
      <w:r>
        <w:rPr>
          <w:b/>
        </w:rPr>
        <w:t xml:space="preserve">摘要（ZH）: </w:t>
      </w:r>
      <w:r>
        <w:t>ABSTACT三类替代硅醇和氯硅烷对四类替代有机有机物精确合成的需求很高,然而,常规合成方法往往需要苛刻的条件,而且功能性集团容忍度较低,限制了它们的化学多样性。在本研究中,我们展示了一种多光光光光诱水体(boryl)液化(boryl)和氢(clos)融化,以制造三类替代硅醇和氯硅烷。这种方法利用(bory)硅基(pinB)(i)或(clos)硅基(R 2 ClSi )等新型硅基,通过高选择性方法从氢硅烷或氢氟(r 2 ClSi ) 到氢氟基(R 2 ClSi ) 或氯硅基(R 2 ClSi ) 或氯硅基(R 2 ClSi )</w:t>
      </w:r>
    </w:p>
    <w:p>
      <w:pPr>
        <w:spacing w:before="0" w:after="200" w:lineRule="auto" w:line="276"/>
      </w:pPr>
      <w:r>
        <w:rPr>
          <w:b/>
        </w:rPr>
        <w:t xml:space="preserve">Abstract (EN): </w:t>
      </w:r>
      <w:r>
        <w:t>Trisubstituted silylboranes and chlorosilanes are in high demand for the precise synthesis of tetrasubstituted organosilicons. However, conventional synthetic methods often require harsh conditions and exhibit low functional‐group tolerance, limiting their chemical diversity. In this study, we present a versatile photoinduced hydro(boryl)silylation and hydro(chloro)silylation of alkenes to construct trisubstituted silylboranes and chlorosilanes. This method employs the in situ generation of novel silyl radicals, such as (boryl)silyl radicals (R</w:t>
      </w:r>
      <w:r>
        <w:rPr>
          <w:vertAlign w:val="subscript"/>
        </w:rPr>
        <w:t>2</w:t>
      </w:r>
      <w:r>
        <w:t>(pinB)Si•) or (chloro)silyl radicals (R</w:t>
      </w:r>
      <w:r>
        <w:rPr>
          <w:vertAlign w:val="subscript"/>
        </w:rPr>
        <w:t>2</w:t>
      </w:r>
      <w:r>
        <w:t>ClSi•), from hydroborylsilanes or hydrochlorosilanes through highly selective hydrogen‐atom transfer. The unprecedented silylboranes and chlorosilanes obtained using this method enable the direct synthesis of highly complex tetrasubstituted organosilicons. Mechanistic studies reveal a photoactivation pathway in which a sulfur radical generated from a combination of (</w:t>
      </w:r>
      <w:r>
        <w:t xml:space="preserve"> </w:t>
      </w:r>
      <w:r>
        <w:t>t</w:t>
      </w:r>
      <w:r>
        <w:t xml:space="preserve"> </w:t>
      </w:r>
      <w:r>
        <w:t>BuO)</w:t>
      </w:r>
      <w:r>
        <w:rPr>
          <w:vertAlign w:val="subscript"/>
        </w:rPr>
        <w:t>2</w:t>
      </w:r>
      <w:r>
        <w:t>and</w:t>
      </w:r>
      <w:r>
        <w:t xml:space="preserve"> </w:t>
      </w:r>
      <w:r>
        <w:t>i</w:t>
      </w:r>
      <w:r>
        <w:t xml:space="preserve"> </w:t>
      </w:r>
      <w:r>
        <w:t>Pr</w:t>
      </w:r>
      <w:r>
        <w:rPr>
          <w:vertAlign w:val="subscript"/>
        </w:rPr>
        <w:t>3</w:t>
      </w:r>
      <w:r>
        <w:t>SiSH directly facilitates Si─H bond cleavage without inducing any redox events at the Si─B/Si─Cl bonds, enabling radical hydrosilylation with a broad scope of alkenes.</w:t>
      </w:r>
    </w:p>
    <w:p>
      <w:pPr>
        <w:spacing w:before="120" w:after="120"/>
      </w:pPr>
      <w:r>
        <w:rPr>
          <w:sz w:val="18"/>
        </w:rPr>
        <w:t>——————————————————————————————————————————————————————————————————————</w:t>
      </w:r>
    </w:p>
    <w:p>
      <w:pPr>
        <w:spacing w:before="160" w:after="40" w:line="240" w:lineRule="auto"/>
      </w:pPr>
      <w:r>
        <w:rPr>
          <w:b/>
        </w:rPr>
        <w:t xml:space="preserve">[403] </w:t>
      </w:r>
      <w:hyperlink r:id="rId615">
        <w:r>
          <w:rPr>
            <w:color w:val="1155CC"/>
            <w:u w:val="single"/>
          </w:rPr>
          <w:t>通过Enantomic选择性催化分析C(sp3)-H氧化,使马拉尼诺单酯和马拉尼酸分解</w:t>
        </w:r>
      </w:hyperlink>
    </w:p>
    <w:p>
      <w:pPr>
        <w:spacing w:before="0" w:after="80"/>
      </w:pPr>
      <w:r>
        <w:rPr>
          <w:i/>
          <w:sz w:val="20"/>
        </w:rPr>
        <w:t>EN: Desymmetrization of Malonic Monoesters and Malonic Acids via Enantioselective Catalytic C(sp3)─H Oxidation</w:t>
      </w:r>
    </w:p>
    <w:p>
      <w:pPr>
        <w:spacing w:before="0" w:after="120"/>
      </w:pPr>
      <w:r>
        <w:rPr>
          <w:b/>
        </w:rPr>
        <w:t xml:space="preserve">Source: </w:t>
      </w:r>
      <w:r>
        <w:t>Wiley: Angewandte Chemie International Edition: Table of Contents</w:t>
      </w:r>
      <w:r>
        <w:t xml:space="preserve">    </w:t>
      </w:r>
      <w:r>
        <w:rPr>
          <w:b/>
        </w:rPr>
        <w:t xml:space="preserve">Pub date: </w:t>
      </w:r>
      <w:r>
        <w:t>2026-02-18 05:14:41+00:00</w:t>
      </w:r>
      <w:r>
        <w:t xml:space="preserve">    </w:t>
      </w:r>
      <w:r>
        <w:rPr>
          <w:b/>
        </w:rPr>
        <w:t xml:space="preserve">DOI: </w:t>
      </w:r>
      <w:hyperlink r:id="rId616">
        <w:r>
          <w:rPr>
            <w:color w:val="1155CC"/>
            <w:u w:val="single"/>
          </w:rPr>
          <w:t>10.1002/anie.1030779</w:t>
        </w:r>
      </w:hyperlink>
    </w:p>
    <w:p>
      <w:pPr>
        <w:spacing w:before="0" w:after="120"/>
      </w:pPr>
      <w:r>
        <w:rPr>
          <w:b/>
        </w:rPr>
        <w:t xml:space="preserve">Notes: </w:t>
      </w:r>
      <w:r>
        <w:t>abstract_source=crossref</w:t>
      </w:r>
    </w:p>
    <w:p>
      <w:pPr>
        <w:spacing w:before="0" w:after="80" w:lineRule="auto" w:line="276"/>
      </w:pPr>
      <w:r>
        <w:rPr>
          <w:b/>
        </w:rPr>
        <w:t xml:space="preserve">摘要（ZH）: </w:t>
      </w:r>
      <w:r>
        <w:t>马拉诺酸衍生物是生物活性化合物合成中广泛广泛使用的起始材料,我们在此报告一项通过对应选择性C(sp 3)-H债券的功能化直接淡化恶性酸的新型催化议定书。高度对应选择性(至 &amp; gt;99% ee) γ 和  C-H 债券,即使用锰催化剂和氢过氧化物作为氧化物,实现随时可得的恶性酸单酯和恶性酸的脱氧化。由于恶性酸衍生物合成的容易和多功能性,加上可能的氧化后演练,这种方法得以实现。</w:t>
      </w:r>
    </w:p>
    <w:p>
      <w:pPr>
        <w:spacing w:before="0" w:after="200" w:lineRule="auto" w:line="276"/>
      </w:pPr>
      <w:r>
        <w:rPr>
          <w:b/>
        </w:rPr>
        <w:t xml:space="preserve">Abstract (EN): </w:t>
      </w:r>
      <w:r>
        <w:t>Malonate derivatives are readily available starting materials widely employed in the synthesis of bioactive compounds. Herein, we report a novel catalytic protocol for the direct desymmetrization of malonic acids via enantioselective C(sp</w:t>
      </w:r>
      <w:r>
        <w:rPr>
          <w:vertAlign w:val="subscript"/>
        </w:rPr>
        <w:t>3</w:t>
      </w:r>
      <w:r>
        <w:t>)─H bond functionalization. Highly enantioselective (up to &amp;gt;99% ee)</w:t>
      </w:r>
      <w:r>
        <w:t xml:space="preserve"> </w:t>
      </w:r>
      <w:r>
        <w:t>γ</w:t>
      </w:r>
      <w:r>
        <w:t xml:space="preserve"> </w:t>
      </w:r>
      <w:r>
        <w:t>‐ and</w:t>
      </w:r>
      <w:r>
        <w:t xml:space="preserve"> </w:t>
      </w:r>
      <w:r>
        <w:t>δ</w:t>
      </w:r>
      <w:r>
        <w:t xml:space="preserve"> </w:t>
      </w:r>
      <w:r>
        <w:t>‐ C─H bond lactonization of readily available malonic acid monoesters and malonic acids is achieved, using manganese catalysts and hydrogen peroxide as the oxidant. Owing to the ease and versatility of malonic acid derivative synthesis, combined with the potential post‐oxidation elaboration, this methodology overcomes the inherent lack of reactivity of the electron‐poor C(sp</w:t>
      </w:r>
      <w:r>
        <w:rPr>
          <w:vertAlign w:val="subscript"/>
        </w:rPr>
        <w:t>3</w:t>
      </w:r>
      <w:r>
        <w:t>)─H bonds of this class of substrates against electrophilic oxidants to provide straightforward access to a broad range of quaternary stereocenters that can be orthogonally manipulated.</w:t>
      </w:r>
    </w:p>
    <w:p>
      <w:pPr>
        <w:spacing w:before="120" w:after="120"/>
      </w:pPr>
      <w:r>
        <w:rPr>
          <w:sz w:val="18"/>
        </w:rPr>
        <w:t>——————————————————————————————————————————————————————————————————————</w:t>
      </w:r>
    </w:p>
    <w:p>
      <w:pPr>
        <w:spacing w:before="160" w:after="40" w:line="240" w:lineRule="auto"/>
      </w:pPr>
      <w:r>
        <w:rPr>
          <w:b/>
        </w:rPr>
        <w:t xml:space="preserve">[404] </w:t>
      </w:r>
      <w:hyperlink r:id="rId617">
        <w:r>
          <w:rPr>
            <w:color w:val="1155CC"/>
            <w:u w:val="single"/>
          </w:rPr>
          <w:t>单分子多分子成像和跟踪蛋白质、RNA和活细胞中的DNA的单分子成像和跟踪放大标记</w:t>
        </w:r>
      </w:hyperlink>
    </w:p>
    <w:p>
      <w:pPr>
        <w:spacing w:before="0" w:after="80"/>
      </w:pPr>
      <w:r>
        <w:rPr>
          <w:i/>
          <w:sz w:val="20"/>
        </w:rPr>
        <w:t>EN: Fluorescence Amplification Tags for Single‐Molecule Imaging and Tracking of Proteins, RNA, and DNA in Live Cells</w:t>
      </w:r>
    </w:p>
    <w:p>
      <w:pPr>
        <w:spacing w:before="0" w:after="120"/>
      </w:pPr>
      <w:r>
        <w:rPr>
          <w:b/>
        </w:rPr>
        <w:t xml:space="preserve">Source: </w:t>
      </w:r>
      <w:r>
        <w:t>Wiley: Angewandte Chemie International Edition: Table of Contents</w:t>
      </w:r>
      <w:r>
        <w:t xml:space="preserve">    </w:t>
      </w:r>
      <w:r>
        <w:rPr>
          <w:b/>
        </w:rPr>
        <w:t xml:space="preserve">Pub date: </w:t>
      </w:r>
      <w:r>
        <w:t>2026-02-18 05:16:05+00:00</w:t>
      </w:r>
      <w:r>
        <w:t xml:space="preserve">    </w:t>
      </w:r>
      <w:r>
        <w:rPr>
          <w:b/>
        </w:rPr>
        <w:t xml:space="preserve">DOI: </w:t>
      </w:r>
      <w:hyperlink r:id="rId618">
        <w:r>
          <w:rPr>
            <w:color w:val="1155CC"/>
            <w:u w:val="single"/>
          </w:rPr>
          <w:t>10.1002/anie.202520273</w:t>
        </w:r>
      </w:hyperlink>
    </w:p>
    <w:p>
      <w:pPr>
        <w:spacing w:before="0" w:after="120"/>
      </w:pPr>
      <w:r>
        <w:rPr>
          <w:b/>
        </w:rPr>
        <w:t xml:space="preserve">Notes: </w:t>
      </w:r>
      <w:r>
        <w:t>abstract_source=crossref</w:t>
      </w:r>
    </w:p>
    <w:p>
      <w:pPr>
        <w:spacing w:before="0" w:after="80" w:lineRule="auto" w:line="276"/>
      </w:pPr>
      <w:r>
        <w:rPr>
          <w:b/>
        </w:rPr>
        <w:t xml:space="preserve">摘要（ZH）: </w:t>
      </w:r>
      <w:r>
        <w:t>ABSTACT 单分子成像和DNA、RNA和蛋白质的追踪使分子和细胞生物学发生革命性的变化,将重点从人口层分析转向直接观察个别分子事件,然而,传统的荧光标志战略,用单一氟磷标标注生物分子,往往受到低亮度、亚最佳信号对噪音比率(SNR)和快速脱光、限制本地化精确度和跟踪持续时间的阻碍。为了克服单分子层成像中的这些挑战,已开发了荧光放大标记(FATs),以便能够与多个荧光记者对单个大型分子进行多重标记,提高信号强度和光度。</w:t>
      </w:r>
    </w:p>
    <w:p>
      <w:pPr>
        <w:spacing w:before="0" w:after="200" w:lineRule="auto" w:line="276"/>
      </w:pPr>
      <w:r>
        <w:rPr>
          <w:b/>
        </w:rPr>
        <w:t xml:space="preserve">Abstract (EN): </w:t>
      </w:r>
      <w:r>
        <w:t>Single‐molecule imaging and tracking of DNA, RNA, and proteins have revolutionized molecular and cellular biology by shifting the focus from population‐level analyses to the direct observation of individual molecular events. However, conventional fluorescent labeling strategies, which tag biomolecules with a single fluorophore, are often hindered by low brightness, suboptimal signal‐to‐noise ratio (SNR), and rapid photobleaching, limiting localization precision and tracking duration. To overcome these challenges in single‐molecule imaging, fluorescence amplification tags (FATs) have been developed to enable the multiplexed labeling of individual macromolecules with multiple fluorescent reporters, enhancing signal intensity and photostability. This review presents a comprehensive overview of FAT design principles, working mechanisms, and their applications in labeling DNA, RNA, and proteins. We highlight their impact on elucidating dynamic genetic processes, including chromatin remodeling, gene expression regulation, mRNA translation, and protein interactions. Finally, we discuss existing challenges and propose future directions to further optimize FATs for single‐molecule imaging and tracking.</w:t>
      </w:r>
    </w:p>
    <w:p>
      <w:pPr>
        <w:spacing w:before="120" w:after="120"/>
      </w:pPr>
      <w:r>
        <w:rPr>
          <w:sz w:val="18"/>
        </w:rPr>
        <w:t>——————————————————————————————————————————————————————————————————————</w:t>
      </w:r>
    </w:p>
    <w:p>
      <w:pPr>
        <w:spacing w:before="160" w:after="40" w:line="240" w:lineRule="auto"/>
      </w:pPr>
      <w:r>
        <w:rPr>
          <w:b/>
        </w:rPr>
        <w:t xml:space="preserve">[405] </w:t>
      </w:r>
      <w:hyperlink r:id="rId619">
        <w:r>
          <w:rPr>
            <w:color w:val="1155CC"/>
            <w:u w:val="single"/>
          </w:rPr>
          <w:t>使用地表下氧气控制异基因催化</w:t>
        </w:r>
      </w:hyperlink>
    </w:p>
    <w:p>
      <w:pPr>
        <w:spacing w:before="0" w:after="80"/>
      </w:pPr>
      <w:r>
        <w:rPr>
          <w:i/>
          <w:sz w:val="20"/>
        </w:rPr>
        <w:t>EN: Controlling Heterogeneous Catalysis With Subsurface Oxygen</w:t>
      </w:r>
    </w:p>
    <w:p>
      <w:pPr>
        <w:spacing w:before="0" w:after="120"/>
      </w:pPr>
      <w:r>
        <w:rPr>
          <w:b/>
        </w:rPr>
        <w:t xml:space="preserve">Source: </w:t>
      </w:r>
      <w:r>
        <w:t>Wiley: Angewandte Chemie International Edition: Table of Contents</w:t>
      </w:r>
      <w:r>
        <w:t xml:space="preserve">    </w:t>
      </w:r>
      <w:r>
        <w:rPr>
          <w:b/>
        </w:rPr>
        <w:t xml:space="preserve">Pub date: </w:t>
      </w:r>
      <w:r>
        <w:t>2026-02-18 05:17:23+00:00</w:t>
      </w:r>
      <w:r>
        <w:t xml:space="preserve">    </w:t>
      </w:r>
      <w:r>
        <w:rPr>
          <w:b/>
        </w:rPr>
        <w:t xml:space="preserve">DOI: </w:t>
      </w:r>
      <w:hyperlink r:id="rId620">
        <w:r>
          <w:rPr>
            <w:color w:val="1155CC"/>
            <w:u w:val="single"/>
          </w:rPr>
          <w:t>10.1002/anie.202524699</w:t>
        </w:r>
      </w:hyperlink>
    </w:p>
    <w:p>
      <w:pPr>
        <w:spacing w:before="0" w:after="120"/>
      </w:pPr>
      <w:r>
        <w:rPr>
          <w:b/>
        </w:rPr>
        <w:t xml:space="preserve">Notes: </w:t>
      </w:r>
      <w:r>
        <w:t>abstract_source=crossref</w:t>
      </w:r>
    </w:p>
    <w:p>
      <w:pPr>
        <w:spacing w:before="0" w:after="80" w:lineRule="auto" w:line="276"/>
      </w:pPr>
      <w:r>
        <w:rPr>
          <w:b/>
        </w:rPr>
        <w:t xml:space="preserve">摘要（ZH）: </w:t>
      </w:r>
      <w:r>
        <w:t>Rhodium 表面在多元催化中发挥着关键作用,推动对其反应活动进行广泛的研究。特别是,CO氧化具有极大的意义,因为地表不同的氧种会影响催化活动。在某些情况下,还可能存在地表下氧种,从而进一步影响反应动态。在这项工作中,我们结合分子束表面散射、离子成像和超高真空技术,以调查水下氧对单晶体Rh表面氧化作用的影响。当二氧化碳在表层(21)氧化时,我们观测到无地表氧的CO2的超热速度分布,并标明符号。</w:t>
      </w:r>
    </w:p>
    <w:p>
      <w:pPr>
        <w:spacing w:before="0" w:after="200" w:lineRule="auto" w:line="276"/>
      </w:pPr>
      <w:r>
        <w:rPr>
          <w:b/>
        </w:rPr>
        <w:t xml:space="preserve">Abstract (EN): </w:t>
      </w:r>
      <w:r>
        <w:t>Rhodium surfaces play a crucial role in heterogeneous catalysis, driving extensive research on their reactivity. In particular, CO oxidation is of great interest, where different oxygen species at the surface can influence catalytic activity. Under certain conditions, rhodium can also host sub‐surface oxygen species, further affecting reaction dynamics. In this work, we combine molecular beam surface scattering, ion imaging, and ultra‐high vacuum techniques to investigate the impact of subsurface oxygen on CO oxidation on single‐crystal Rh surfaces. When oxidizing CO at the (2  1)‐O adlayer without subsurface oxygen, we observe hyperthermal velocity distributions of desorbing CO</w:t>
      </w:r>
      <w:r>
        <w:rPr>
          <w:vertAlign w:val="subscript"/>
        </w:rPr>
        <w:t>2</w:t>
      </w:r>
      <w:r>
        <w:t>, indicating significant energy release along the translational coordinate directly from the transition state. In contrast, subsurface oxygen induces thermal velocity distributions. DFT calculations indicate the formation of a chemisorption state in presence of subsurface oxygen that is energetically favored and transiently traps product CO</w:t>
      </w:r>
      <w:r>
        <w:rPr>
          <w:vertAlign w:val="subscript"/>
        </w:rPr>
        <w:t>2</w:t>
      </w:r>
      <w:r>
        <w:t>long enough for thermalization.</w:t>
      </w:r>
    </w:p>
    <w:p>
      <w:pPr>
        <w:spacing w:before="120" w:after="120"/>
      </w:pPr>
      <w:r>
        <w:rPr>
          <w:sz w:val="18"/>
        </w:rPr>
        <w:t>——————————————————————————————————————————————————————————————————————</w:t>
      </w:r>
    </w:p>
    <w:p>
      <w:pPr>
        <w:spacing w:before="160" w:after="40" w:line="240" w:lineRule="auto"/>
      </w:pPr>
      <w:r>
        <w:rPr>
          <w:b/>
        </w:rPr>
        <w:t xml:space="preserve">[406] </w:t>
      </w:r>
      <w:hyperlink r:id="rId621">
        <w:r>
          <w:rPr>
            <w:color w:val="1155CC"/>
            <w:u w:val="single"/>
          </w:rPr>
          <w:t>Tandem 催化作用的受控活性三极聚积聚积点</w:t>
        </w:r>
      </w:hyperlink>
    </w:p>
    <w:p>
      <w:pPr>
        <w:spacing w:before="0" w:after="80"/>
      </w:pPr>
      <w:r>
        <w:rPr>
          <w:i/>
          <w:sz w:val="20"/>
        </w:rPr>
        <w:t>EN: Sequence‐Modulated Active Tripeptide Condensates for Tandem Catalysis</w:t>
      </w:r>
    </w:p>
    <w:p>
      <w:pPr>
        <w:spacing w:before="0" w:after="120"/>
      </w:pPr>
      <w:r>
        <w:rPr>
          <w:b/>
        </w:rPr>
        <w:t xml:space="preserve">Source: </w:t>
      </w:r>
      <w:r>
        <w:t>Wiley: Angewandte Chemie International Edition: Table of Contents</w:t>
      </w:r>
      <w:r>
        <w:t xml:space="preserve">    </w:t>
      </w:r>
      <w:r>
        <w:rPr>
          <w:b/>
        </w:rPr>
        <w:t xml:space="preserve">Pub date: </w:t>
      </w:r>
      <w:r>
        <w:t>2026-02-18 05:18:46+00:00</w:t>
      </w:r>
      <w:r>
        <w:t xml:space="preserve">    </w:t>
      </w:r>
      <w:r>
        <w:rPr>
          <w:b/>
        </w:rPr>
        <w:t xml:space="preserve">DOI: </w:t>
      </w:r>
      <w:hyperlink r:id="rId622">
        <w:r>
          <w:rPr>
            <w:color w:val="1155CC"/>
            <w:u w:val="single"/>
          </w:rPr>
          <w:t>10.1002/anie.202517620</w:t>
        </w:r>
      </w:hyperlink>
    </w:p>
    <w:p>
      <w:pPr>
        <w:spacing w:before="0" w:after="120"/>
      </w:pPr>
      <w:r>
        <w:rPr>
          <w:b/>
        </w:rPr>
        <w:t xml:space="preserve">Notes: </w:t>
      </w:r>
      <w:r>
        <w:t>abstract_source=crossref</w:t>
      </w:r>
    </w:p>
    <w:p>
      <w:pPr>
        <w:spacing w:before="0" w:after="80" w:lineRule="auto" w:line="276"/>
      </w:pPr>
      <w:r>
        <w:rPr>
          <w:b/>
        </w:rPr>
        <w:t xml:space="preserve">摘要（ZH）: </w:t>
      </w:r>
      <w:r>
        <w:t>通过液态液态分解功能形成的生物分子凝聚物,作为对调节细胞活动至关重要的动态有机物,对类似生物分子凝聚物的关键特性具有吸引力,但作为适应性有机物的应用受到结构复杂性和对相位分离有限控制的阻碍。在这里,我们展示了受成分和peptide序列制约的、具有金枪鱼分相作用的短期三相聚物,大大减少了分子复杂性。这些三相相凝聚物展示了酶调节相位分离,密切模仿了生物分子凝聚物的动态性质。</w:t>
      </w:r>
    </w:p>
    <w:p>
      <w:pPr>
        <w:spacing w:before="0" w:after="200" w:lineRule="auto" w:line="276"/>
      </w:pPr>
      <w:r>
        <w:rPr>
          <w:b/>
        </w:rPr>
        <w:t xml:space="preserve">Abstract (EN): </w:t>
      </w:r>
      <w:r>
        <w:t>Biomolecular condensates formed via liquid‐liquid phase separation function as dynamic organelles that are vital to regulating cellular activities. Peptide‐based coacervates have emerged as appealing candidates to resemble key properties of biomolecular condensates. However, their application as adaptive organelles has been hindered by structural complexity and limited control over phase‐separation. Here, we present short tripeptide coacervates with tunable phase‐separation behaviors governed by composition and peptide sequence, significantly reducing molecular complexity. These tripeptide condensates exhibit enzyme‐regulated phase‐separation, closely mimicking the dynamic nature of biomolecular condensates. A key attractive feature of the tripeptide coacervates is their capability to sequester both hydrophobic active species and hydrophilic enzymes. This unique property enables the execution of confined tandem reactions in aqueous conditions. When incorporated into membrane‐bound artificial cells, this tripeptide coacervates serve as adaptive sub‐organelles, orchestrating compartmentalized catalytic cascades. This work highlights the potential of minimalistic peptide systems as functional microreactors with biomimetic and catalytic capabilities.</w:t>
      </w:r>
    </w:p>
    <w:p>
      <w:pPr>
        <w:spacing w:before="120" w:after="120"/>
      </w:pPr>
      <w:r>
        <w:rPr>
          <w:sz w:val="18"/>
        </w:rPr>
        <w:t>——————————————————————————————————————————————————————————————————————</w:t>
      </w:r>
    </w:p>
    <w:p>
      <w:pPr>
        <w:spacing w:before="160" w:after="40" w:line="240" w:lineRule="auto"/>
      </w:pPr>
      <w:r>
        <w:rPr>
          <w:b/>
        </w:rPr>
        <w:t xml:space="preserve">[407] </w:t>
      </w:r>
      <w:hyperlink r:id="rId623">
        <w:r>
          <w:rPr>
            <w:color w:val="1155CC"/>
            <w:u w:val="single"/>
          </w:rPr>
          <w:t>获得奇拉尔·阿里拉·阿米诺·埃斯特斯的赫梅涅尼特雷内转移酶和测序活动景观调查的切莫选择性和定型陈规定型平台</w:t>
        </w:r>
      </w:hyperlink>
    </w:p>
    <w:p>
      <w:pPr>
        <w:spacing w:before="0" w:after="80"/>
      </w:pPr>
      <w:r>
        <w:rPr>
          <w:i/>
          <w:sz w:val="20"/>
        </w:rPr>
        <w:t>EN: A Chemoselective and Stereodivergent Platform of Heme‐Nitrene Transferases to Access Chiral Aryl‐β‐Amino Esters and An Investigation of the Sequence‐Activity Landscape</w:t>
      </w:r>
    </w:p>
    <w:p>
      <w:pPr>
        <w:spacing w:before="0" w:after="120"/>
      </w:pPr>
      <w:r>
        <w:rPr>
          <w:b/>
        </w:rPr>
        <w:t xml:space="preserve">Source: </w:t>
      </w:r>
      <w:r>
        <w:t>Wiley: Angewandte Chemie International Edition: Table of Contents</w:t>
      </w:r>
      <w:r>
        <w:t xml:space="preserve">    </w:t>
      </w:r>
      <w:r>
        <w:rPr>
          <w:b/>
        </w:rPr>
        <w:t xml:space="preserve">Pub date: </w:t>
      </w:r>
      <w:r>
        <w:t>2026-02-18 05:19:29+00:00</w:t>
      </w:r>
      <w:r>
        <w:t xml:space="preserve">    </w:t>
      </w:r>
      <w:r>
        <w:rPr>
          <w:b/>
        </w:rPr>
        <w:t xml:space="preserve">DOI: </w:t>
      </w:r>
      <w:hyperlink r:id="rId624">
        <w:r>
          <w:rPr>
            <w:color w:val="1155CC"/>
            <w:u w:val="single"/>
          </w:rPr>
          <w:t>10.1002/anie.202525505</w:t>
        </w:r>
      </w:hyperlink>
    </w:p>
    <w:p>
      <w:pPr>
        <w:spacing w:before="0" w:after="120"/>
      </w:pPr>
      <w:r>
        <w:rPr>
          <w:b/>
        </w:rPr>
        <w:t xml:space="preserve">Notes: </w:t>
      </w:r>
      <w:r>
        <w:t>abstract_source=crossref</w:t>
      </w:r>
    </w:p>
    <w:p>
      <w:pPr>
        <w:spacing w:before="0" w:after="80" w:lineRule="auto" w:line="276"/>
      </w:pPr>
      <w:r>
        <w:rPr>
          <w:b/>
        </w:rPr>
        <w:t xml:space="preserve">摘要（ZH）: </w:t>
      </w:r>
      <w:r>
        <w:t>工程生物催化剂可以利用硝酸前体获得对子浓缩的杀菌产品,然而,这些前体尚未用于生产有价值的、对应的、具有对应效应的富含非丙胺酯 氨基酯。目前合成氨基酸的方法依赖于预先氧化的前体和涉及各种保护团体的多步骤合成方法。我们设计了一个热酶平台,用于对随时可得的碳-H联系衍生物进行立体选择性C-H联系测试,以安装主要氨。一个定向进化运动,加上1000多个变异的顺序,使我们能够开发出使用O 基羟丁基三氟酸(PONT)或氢氧基丁酸(PONT)的工程变异体。</w:t>
      </w:r>
    </w:p>
    <w:p>
      <w:pPr>
        <w:spacing w:before="0" w:after="200" w:lineRule="auto" w:line="276"/>
      </w:pPr>
      <w:r>
        <w:rPr>
          <w:b/>
        </w:rPr>
        <w:t xml:space="preserve">Abstract (EN): </w:t>
      </w:r>
      <w:r>
        <w:t>Engineered biocatalysts can utilize nitrene precursors to access enantioenriched amination products, yet they have not been applied to produce valuable, enantiomerically enriched noncanonical β‐amino esters. Current approaches to synthesizing β‐amino acids rely on pre‐oxidized precursors and multistep synthetic approaches involving various protecting groups. We engineered a platform of heme enzymes for stereoselective C–H bond amination of readily available carboxylic ester derivatives to install primary amines. A directed evolution campaign coupled with sequencing of over 1000 variants enabled us to develop engineered variants that use either</w:t>
      </w:r>
      <w:r>
        <w:t xml:space="preserve"> </w:t>
      </w:r>
      <w:r>
        <w:t>O</w:t>
      </w:r>
      <w:r>
        <w:t xml:space="preserve"> </w:t>
      </w:r>
      <w:r>
        <w:t>‐pivaloylhydroxylamine triflic acid (PONT) or hydroxylamine hydrochloride (H</w:t>
      </w:r>
      <w:r>
        <w:rPr>
          <w:vertAlign w:val="subscript"/>
        </w:rPr>
        <w:t>2</w:t>
      </w:r>
      <w:r>
        <w:t>NOH∙HCl) as aminating reagents. An analysis of the resulting sequence–activity dataset revealed additional improvements that could be made to the final variant, highlighting the utility of sequencing data to guide future steps in directed evolution campaigns. The evolved nitrene transferases expand the scope of accessible chiral β‐amino acid building blocks for peptidomimetic applications and provide new starting points for the design and synthesis of enantioenriched β‐amino acid motifs.</w:t>
      </w:r>
    </w:p>
    <w:p>
      <w:pPr>
        <w:spacing w:before="120" w:after="120"/>
      </w:pPr>
      <w:r>
        <w:rPr>
          <w:sz w:val="18"/>
        </w:rPr>
        <w:t>——————————————————————————————————————————————————————————————————————</w:t>
      </w:r>
    </w:p>
    <w:p>
      <w:pPr>
        <w:spacing w:before="160" w:after="40" w:line="240" w:lineRule="auto"/>
      </w:pPr>
      <w:r>
        <w:rPr>
          <w:b/>
        </w:rPr>
        <w:t xml:space="preserve">[408] </w:t>
      </w:r>
      <w:hyperlink r:id="rId625">
        <w:r>
          <w:rPr>
            <w:color w:val="1155CC"/>
            <w:u w:val="single"/>
          </w:rPr>
          <w:t>在三联能源转让时将第三级丁二丁二丁二丁二丁二丁二丁二丁二三硝胺化物的光化电化学环球化</w:t>
        </w:r>
      </w:hyperlink>
    </w:p>
    <w:p>
      <w:pPr>
        <w:spacing w:before="0" w:after="80"/>
      </w:pPr>
      <w:r>
        <w:rPr>
          <w:i/>
          <w:sz w:val="20"/>
        </w:rPr>
        <w:t>EN: Photochemical Cyclization of Tertiary Buta‐2,3‐dienamides to β‐Lactams Upon Triplet Energy Transfer</w:t>
      </w:r>
    </w:p>
    <w:p>
      <w:pPr>
        <w:spacing w:before="0" w:after="120"/>
      </w:pPr>
      <w:r>
        <w:rPr>
          <w:b/>
        </w:rPr>
        <w:t xml:space="preserve">Source: </w:t>
      </w:r>
      <w:r>
        <w:t>Wiley: Angewandte Chemie International Edition: Table of Contents</w:t>
      </w:r>
      <w:r>
        <w:t xml:space="preserve">    </w:t>
      </w:r>
      <w:r>
        <w:rPr>
          <w:b/>
        </w:rPr>
        <w:t xml:space="preserve">Pub date: </w:t>
      </w:r>
      <w:r>
        <w:t>2026-02-18 05:20:51+00:00</w:t>
      </w:r>
      <w:r>
        <w:t xml:space="preserve">    </w:t>
      </w:r>
      <w:r>
        <w:rPr>
          <w:b/>
        </w:rPr>
        <w:t xml:space="preserve">DOI: </w:t>
      </w:r>
      <w:hyperlink r:id="rId626">
        <w:r>
          <w:rPr>
            <w:color w:val="1155CC"/>
            <w:u w:val="single"/>
          </w:rPr>
          <w:t>10.1002/anie.202525347</w:t>
        </w:r>
      </w:hyperlink>
    </w:p>
    <w:p>
      <w:pPr>
        <w:spacing w:before="0" w:after="120"/>
      </w:pPr>
      <w:r>
        <w:rPr>
          <w:b/>
        </w:rPr>
        <w:t xml:space="preserve">Notes: </w:t>
      </w:r>
      <w:r>
        <w:t>abstract_source=crossref</w:t>
      </w:r>
    </w:p>
    <w:p>
      <w:pPr>
        <w:spacing w:before="0" w:after="80" w:lineRule="auto" w:line="276"/>
      </w:pPr>
      <w:r>
        <w:rPr>
          <w:b/>
        </w:rPr>
        <w:t xml:space="preserve">摘要（ZH）: </w:t>
      </w:r>
      <w:r>
        <w:t>ABSTACT 由 3 丁诺酸制成的N系列N,N 替代丁a2,3-dienamides从3 丁基酸制成,在光诱发的光光化中作为基质进行探测,发现Xanthen9one(10 毫升%)推动对在= = 350 nm的乙硝基乙酰作为溶剂进行试验时的3 苯基乙基丁酮(lactams)的预期反应。</w:t>
      </w:r>
    </w:p>
    <w:p>
      <w:pPr>
        <w:spacing w:before="0" w:after="200" w:lineRule="auto" w:line="276"/>
      </w:pPr>
      <w:r>
        <w:rPr>
          <w:b/>
        </w:rPr>
        <w:t xml:space="preserve">Abstract (EN): </w:t>
      </w:r>
      <w:r>
        <w:t>A series of</w:t>
      </w:r>
      <w:r>
        <w:t xml:space="preserve"> </w:t>
      </w:r>
      <w:r>
        <w:t>N</w:t>
      </w:r>
      <w:r>
        <w:t xml:space="preserve"> </w:t>
      </w:r>
      <w:r>
        <w:t>,</w:t>
      </w:r>
      <w:r>
        <w:t xml:space="preserve"> </w:t>
      </w:r>
      <w:r>
        <w:t>N</w:t>
      </w:r>
      <w:r>
        <w:t xml:space="preserve"> </w:t>
      </w:r>
      <w:r>
        <w:t>‐disubstituted buta‐2,3‐dienamides was prepared from 3‐butynoic acid and probed as substrates in a light‐induced photocyclization. It was found that xanthen‐9‐one (10 mol%) promotes the desired reaction to 3‐vinyl‐substituted 2‐azetidinones (β‐lactams) when performed at</w:t>
      </w:r>
      <w:r>
        <w:t xml:space="preserve"> </w:t>
      </w:r>
      <w:r>
        <w:t>λ</w:t>
      </w:r>
      <w:r>
        <w:t xml:space="preserve"> </w:t>
      </w:r>
      <w:r>
        <w:t>= 350 nm in acetonitrile as the solvent. Evidence was collected by transient absorption spectroscopy that the catalyst promotes excitation of the allene amide to its triplet state by Dexter energy transfer. Upon intramolecular hydrogen atom transfer from one of the nitrogen substituents, the ensuing 1,4‐diradical undergoes C─C bond formation to the lactam product. If the substituent at the nitrogen atom is a primary benzyl group, the product displays a stereogenic center in 4‐position and is formed exclusively as the</w:t>
      </w:r>
      <w:r>
        <w:t xml:space="preserve"> </w:t>
      </w:r>
      <w:r>
        <w:t>trans</w:t>
      </w:r>
      <w:r>
        <w:t xml:space="preserve"> </w:t>
      </w:r>
      <w:r>
        <w:t>‐product (eleven examples, 18%–73% yield). If the substituent is secondary, 4,4‐disubstituted products are formed. If the buta‐2,3‐dienamide is substituted at the terminal carbon atom, the substituent at C3 in the 2‐azetidinone is an (</w:t>
      </w:r>
      <w:r>
        <w:t xml:space="preserve"> </w:t>
      </w:r>
      <w:r>
        <w:t>E</w:t>
      </w:r>
      <w:r>
        <w:t xml:space="preserve"> </w:t>
      </w:r>
      <w:r>
        <w:t>)‐configured alkenyl group. Two alternative reaction pathways were observed, i.e. an intramolecular</w:t>
      </w:r>
      <w:r>
        <w:t xml:space="preserve"> </w:t>
      </w:r>
      <w:r>
        <w:t>para</w:t>
      </w:r>
      <w:r>
        <w:t xml:space="preserve"> </w:t>
      </w:r>
      <w:r>
        <w:t>photocycloaddition for</w:t>
      </w:r>
      <w:r>
        <w:t xml:space="preserve"> </w:t>
      </w:r>
      <w:r>
        <w:t>N</w:t>
      </w:r>
      <w:r>
        <w:t xml:space="preserve"> </w:t>
      </w:r>
      <w:r>
        <w:t>‐phenyl substituted substrates and an elimination from the 1,4‐diradical intermediate. The vinyl group at C3 can serve as useful handle for consecutive transformations.</w:t>
      </w:r>
    </w:p>
    <w:p>
      <w:pPr>
        <w:spacing w:before="120" w:after="120"/>
      </w:pPr>
      <w:r>
        <w:rPr>
          <w:sz w:val="18"/>
        </w:rPr>
        <w:t>——————————————————————————————————————————————————————————————————————</w:t>
      </w:r>
    </w:p>
    <w:p>
      <w:pPr>
        <w:spacing w:before="160" w:after="40" w:line="240" w:lineRule="auto"/>
      </w:pPr>
      <w:r>
        <w:rPr>
          <w:b/>
        </w:rPr>
        <w:t xml:space="preserve">[409] </w:t>
      </w:r>
      <w:hyperlink r:id="rId627">
        <w:r>
          <w:rPr>
            <w:color w:val="1155CC"/>
            <w:u w:val="single"/>
          </w:rPr>
          <w:t>用于补充金属氧化氧化物半导体半导体综合成像器的红外红外红外线光谱探测器,该成像器由双子接收器nType聚合器启用</w:t>
        </w:r>
      </w:hyperlink>
    </w:p>
    <w:p>
      <w:pPr>
        <w:spacing w:before="0" w:after="80"/>
      </w:pPr>
      <w:r>
        <w:rPr>
          <w:i/>
          <w:sz w:val="20"/>
        </w:rPr>
        <w:t>EN: Highly Sensitive All‐Polymer Short‐Wavelength Infrared Photodetectors for Complementary Metal Oxide Semiconductor Integrated Imaging Enabled by Dual‐Acceptor n‐Type Polymers</w:t>
      </w:r>
    </w:p>
    <w:p>
      <w:pPr>
        <w:spacing w:before="0" w:after="120"/>
      </w:pPr>
      <w:r>
        <w:rPr>
          <w:b/>
        </w:rPr>
        <w:t xml:space="preserve">Source: </w:t>
      </w:r>
      <w:r>
        <w:t>Wiley: Angewandte Chemie International Edition: Table of Contents</w:t>
      </w:r>
      <w:r>
        <w:t xml:space="preserve">    </w:t>
      </w:r>
      <w:r>
        <w:rPr>
          <w:b/>
        </w:rPr>
        <w:t xml:space="preserve">Pub date: </w:t>
      </w:r>
      <w:r>
        <w:t>2026-02-18 05:22:55+00:00</w:t>
      </w:r>
      <w:r>
        <w:t xml:space="preserve">    </w:t>
      </w:r>
      <w:r>
        <w:rPr>
          <w:b/>
        </w:rPr>
        <w:t xml:space="preserve">DOI: </w:t>
      </w:r>
      <w:hyperlink r:id="rId628">
        <w:r>
          <w:rPr>
            <w:color w:val="1155CC"/>
            <w:u w:val="single"/>
          </w:rPr>
          <w:t>10.1002/anie.202525467</w:t>
        </w:r>
      </w:hyperlink>
    </w:p>
    <w:p>
      <w:pPr>
        <w:spacing w:before="0" w:after="120"/>
      </w:pPr>
      <w:r>
        <w:rPr>
          <w:b/>
        </w:rPr>
        <w:t xml:space="preserve">Notes: </w:t>
      </w:r>
      <w:r>
        <w:t>abstract_source=crossref</w:t>
      </w:r>
    </w:p>
    <w:p>
      <w:pPr>
        <w:spacing w:before="0" w:after="80" w:lineRule="auto" w:line="276"/>
      </w:pPr>
      <w:r>
        <w:rPr>
          <w:b/>
        </w:rPr>
        <w:t xml:space="preserve">摘要（ZH）: </w:t>
      </w:r>
      <w:r>
        <w:t>短波长红外线(SWIR) 有机光学检测器,特别是所有聚合物,在重要监测和成像方面有很大的商业希望,然而,由于缺乏高性能的超低频带宽度聚合物半导体,所有聚合物SWIR OPD的开发受到限制,因此,我们报告有两种双接收器聚合物(THDPPP CNBTz和TDPPP CNBSz),其中二相苯二氮二氮二氮二氮二甲醇/苯并二氮二二二硅烷为强接收器,二双氧基双氧基双氧双酚为次接受器,硫苯并用作捐赠的分子。两种聚合物都拥有超低光谱带和深HOM/LUMO/LUMO,因此它们对所有聚合物SWIR OPD都是理想的接受材料。由于更高效的电荷生成和运输,因此以TDPP CNBTzü为基。</w:t>
      </w:r>
    </w:p>
    <w:p>
      <w:pPr>
        <w:spacing w:before="0" w:after="200" w:lineRule="auto" w:line="276"/>
      </w:pPr>
      <w:r>
        <w:rPr>
          <w:b/>
        </w:rPr>
        <w:t xml:space="preserve">Abstract (EN): </w:t>
      </w:r>
      <w:r>
        <w:t>Short‐wavelength infrared (SWIR) organic photodetectors (OPDs), particularly all‐polymer ones, hold substantial commercial promise in vital monitoring and imaging. However, the development of all‐polymer SWIR OPDs has been limited by the lack of high‐performance n‐type ultralow‐bandgap polymer semiconductors. Herein, we report two dual‐acceptor polymers (ThDPP‐CNBTz and ThDPP‐CNBSz), with dicyano‐benzothiadiazole/benzoselenidazole as strong acceptor units, diketopyrrolopyrrole as a sub‐strong acceptor unit, and thiophene as a donor moiety. Both polymers possess ultralow optical bandgaps and deep HOMO/LUMO, making them ideal acceptor materials for all‐polymer SWIR OPDs. Owing to more efficient charge generation and transport, ThDPP‐CNBTz‐based all‐polymer OPDs show superior responsivity ≥0.150 A W</w:t>
      </w:r>
      <w:r>
        <w:t xml:space="preserve"> </w:t>
      </w:r>
      <w:r>
        <w:t>−1</w:t>
      </w:r>
      <w:r>
        <w:t xml:space="preserve"> </w:t>
      </w:r>
      <w:r>
        <w:t>from 780 to 1060 nm. The ThDPP‐CNBSz‐based OPDs show lower noise currents, attributed to the larger thermal activation energy of dark current and lower trap density. As a result, ThDPP‐CNBTz‐ and ThDPP‐CNBSz‐based OPDs deliver similar specific detectivity, exceeding 10</w:t>
      </w:r>
      <w:r>
        <w:rPr>
          <w:vertAlign w:val="subscript"/>
        </w:rPr>
        <w:t>12</w:t>
      </w:r>
      <w:r>
        <w:t>Jones in the spectral range of 780–1140 nm and 350–1240 nm, respectively. Furthermore, ThDPP‐CNBTz‐based stretchable OPDs show a small performance attenuation after 1000 cycles of stretching at 20% strain, heralding potential application in wearable vital monitoring. By monolithically integrating PDPP‐3T:ThDPP‐CNBTz‐based OPDs with silicon‐based readout integrated circuits, high‐resolution imaging has also been demonstrated for infrared penetration and material discrimination.</w:t>
      </w:r>
    </w:p>
    <w:p>
      <w:pPr>
        <w:spacing w:before="120" w:after="120"/>
      </w:pPr>
      <w:r>
        <w:rPr>
          <w:sz w:val="18"/>
        </w:rPr>
        <w:t>——————————————————————————————————————————————————————————————————————</w:t>
      </w:r>
    </w:p>
    <w:p>
      <w:pPr>
        <w:spacing w:before="160" w:after="40" w:line="240" w:lineRule="auto"/>
      </w:pPr>
      <w:r>
        <w:rPr>
          <w:b/>
        </w:rPr>
        <w:t xml:space="preserve">[410] </w:t>
      </w:r>
      <w:hyperlink r:id="rId629">
        <w:r>
          <w:rPr>
            <w:color w:val="1155CC"/>
            <w:u w:val="single"/>
          </w:rPr>
          <w:t>用于活性光动光动治疗的重力、原子、自由、高高效可交付的自可交付摄影敏化器</w:t>
        </w:r>
      </w:hyperlink>
    </w:p>
    <w:p>
      <w:pPr>
        <w:spacing w:before="0" w:after="80"/>
      </w:pPr>
      <w:r>
        <w:rPr>
          <w:i/>
          <w:sz w:val="20"/>
        </w:rPr>
        <w:t>EN: Supramolecular Assembly of a Heavy‐Atom‐Free Highly Efficient Self‐Deliverable Photosensitizer for Activable Photodynamic Therapy</w:t>
      </w:r>
    </w:p>
    <w:p>
      <w:pPr>
        <w:spacing w:before="0" w:after="120"/>
      </w:pPr>
      <w:r>
        <w:rPr>
          <w:b/>
        </w:rPr>
        <w:t xml:space="preserve">Source: </w:t>
      </w:r>
      <w:r>
        <w:t>Wiley: Angewandte Chemie International Edition: Table of Contents</w:t>
      </w:r>
      <w:r>
        <w:t xml:space="preserve">    </w:t>
      </w:r>
      <w:r>
        <w:rPr>
          <w:b/>
        </w:rPr>
        <w:t xml:space="preserve">Pub date: </w:t>
      </w:r>
      <w:r>
        <w:t>2026-02-18 05:24:20+00:00</w:t>
      </w:r>
      <w:r>
        <w:t xml:space="preserve">    </w:t>
      </w:r>
      <w:r>
        <w:rPr>
          <w:b/>
        </w:rPr>
        <w:t xml:space="preserve">DOI: </w:t>
      </w:r>
      <w:hyperlink r:id="rId630">
        <w:r>
          <w:rPr>
            <w:color w:val="1155CC"/>
            <w:u w:val="single"/>
          </w:rPr>
          <w:t>10.1002/anie.202525481</w:t>
        </w:r>
      </w:hyperlink>
    </w:p>
    <w:p>
      <w:pPr>
        <w:spacing w:before="0" w:after="120"/>
      </w:pPr>
      <w:r>
        <w:rPr>
          <w:b/>
        </w:rPr>
        <w:t xml:space="preserve">Notes: </w:t>
      </w:r>
      <w:r>
        <w:t>abstract_source=crossref</w:t>
      </w:r>
    </w:p>
    <w:p>
      <w:pPr>
        <w:spacing w:before="0" w:after="80" w:lineRule="auto" w:line="276"/>
      </w:pPr>
      <w:r>
        <w:rPr>
          <w:b/>
        </w:rPr>
        <w:t xml:space="preserve">摘要（ZH）: </w:t>
      </w:r>
      <w:r>
        <w:t>本条引入了一种无重原子、可接受、捐赠者接受或混合有机光敏化物(ADA__S),展示出一种特殊的单氧(1O 2)量产量() 1. ASADA结构结合了两种对硫二氯化萘的接受物和一种中央硫苯捐献物的细胞。为了阐明扩大的共聚物对光敏化效率的影响,控制分子,例如一种较不相同的类似物(ADQS)、一种只接收的单位(NMISBR)或一种非硫衍生物(ADAD_O)进行了研究。通过1,3-二苯并苯并呋喃(DPBF)的试验,很明显,ADS大大超越了该物质的所有控制。</w:t>
      </w:r>
    </w:p>
    <w:p>
      <w:pPr>
        <w:spacing w:before="0" w:after="200" w:lineRule="auto" w:line="276"/>
      </w:pPr>
      <w:r>
        <w:rPr>
          <w:b/>
        </w:rPr>
        <w:t xml:space="preserve">Abstract (EN): </w:t>
      </w:r>
      <w:r>
        <w:t>This article introduces a heavy‐atom‐free, acceptor‐donor‐acceptor conjugated organic photosensitizer (ADA‐S), exhibiting an exceptional singlet oxygen (</w:t>
      </w:r>
      <w:r>
        <w:rPr>
          <w:vertAlign w:val="subscript"/>
        </w:rPr>
        <w:t>1</w:t>
      </w:r>
      <w:r>
        <w:t>O</w:t>
      </w:r>
      <w:r>
        <w:rPr>
          <w:vertAlign w:val="subscript"/>
        </w:rPr>
        <w:t>2</w:t>
      </w:r>
      <w:r>
        <w:t>) quantum yield (Φ∆) ∼1. The ADA‐S structure integrates two thionated naphthalene‐monoamide acceptors with a central thiophene donor moiety. To elucidate the impact of the extended conjugation on the photosensitizing efficiency, control molecules such as a less conjugated analogue (AD‐S), an acceptor‐only unit (NMIS‐Br) or an un‐thionated derivative (ADA‐O) were studied. Through the 1,3‐diphenylisobenzofuran (DPBF) assay, it was evident that ADA‐S significantly outperforms all controls in the</w:t>
      </w:r>
      <w:r>
        <w:rPr>
          <w:vertAlign w:val="subscript"/>
        </w:rPr>
        <w:t>1</w:t>
      </w:r>
      <w:r>
        <w:t>O</w:t>
      </w:r>
      <w:r>
        <w:rPr>
          <w:vertAlign w:val="subscript"/>
        </w:rPr>
        <w:t>2</w:t>
      </w:r>
      <w:r>
        <w:t>generation upon photoirradiation. Transient absorption spectroscopy studies, ranging from femtosecond‐to‐microsecond timescales revealed that extended conjugation is crucial for enhancing the triplet state longevity, which directly correlates with the observed enhancement in the</w:t>
      </w:r>
      <w:r>
        <w:rPr>
          <w:vertAlign w:val="subscript"/>
        </w:rPr>
        <w:t>1</w:t>
      </w:r>
      <w:r>
        <w:t>O</w:t>
      </w:r>
      <w:r>
        <w:rPr>
          <w:vertAlign w:val="subscript"/>
        </w:rPr>
        <w:t>2</w:t>
      </w:r>
      <w:r>
        <w:t>production. In sharp contrast, similar ADA‐type conjugated chromophore (ADA‐O), lacking thionation of the carbonyl groups, failed to produce any detectable</w:t>
      </w:r>
      <w:r>
        <w:rPr>
          <w:vertAlign w:val="subscript"/>
        </w:rPr>
        <w:t>1</w:t>
      </w:r>
      <w:r>
        <w:t>O</w:t>
      </w:r>
      <w:r>
        <w:rPr>
          <w:vertAlign w:val="subscript"/>
        </w:rPr>
        <w:t>2</w:t>
      </w:r>
      <w:r>
        <w:t>, indicating a remarkable impact of the sulphur atoms on the enhanced spin–orbit coupling, facilitating much faster intersystem crossing. Time‐dependent density functional theory calculations further supported these experimental findings, establishing ADA‐S as an outstanding new organic photosensitizer. Furthermore, an amphiphilic derivative of ADA‐S was prepared, which showed spontaneous self‐assembly in water producing nanoparticles, in which the photosensitizer remained in the dormant state due to π‐stacking. Such organic nanoparticles showed excellent cellular uptake and intra‐cellular swelling/ disassembly probed by FRET, facilitating reactivation of the photosensitization ability of the ADA‐S chromophore. Consequently, highly efficient light‐triggered cell death was noticed by reactive oxygen species.</w:t>
      </w:r>
    </w:p>
    <w:p>
      <w:pPr>
        <w:spacing w:before="120" w:after="120"/>
      </w:pPr>
      <w:r>
        <w:rPr>
          <w:sz w:val="18"/>
        </w:rPr>
        <w:t>——————————————————————————————————————————————————————————————————————</w:t>
      </w:r>
    </w:p>
    <w:p>
      <w:pPr>
        <w:spacing w:before="160" w:after="40" w:line="240" w:lineRule="auto"/>
      </w:pPr>
      <w:r>
        <w:rPr>
          <w:b/>
        </w:rPr>
        <w:t xml:space="preserve">[411] </w:t>
      </w:r>
      <w:hyperlink r:id="rId631">
        <w:r>
          <w:rPr>
            <w:color w:val="1155CC"/>
            <w:u w:val="single"/>
          </w:rPr>
          <w:t>Mg3BI1.4Sb0.6+以温电为基础的热电</w:t>
        </w:r>
      </w:hyperlink>
    </w:p>
    <w:p>
      <w:pPr>
        <w:spacing w:before="0" w:after="80"/>
      </w:pPr>
      <w:r>
        <w:rPr>
          <w:i/>
          <w:sz w:val="20"/>
        </w:rPr>
        <w:t>EN: Chemical Fluctuations and In‐Situ Structural Order Unlock High‐Performance Mg3Bi1.4Sb0.6‐Based Thermoelectrics</w:t>
      </w:r>
    </w:p>
    <w:p>
      <w:pPr>
        <w:spacing w:before="0" w:after="120"/>
      </w:pPr>
      <w:r>
        <w:rPr>
          <w:b/>
        </w:rPr>
        <w:t xml:space="preserve">Source: </w:t>
      </w:r>
      <w:r>
        <w:t>Wiley: Angewandte Chemie International Edition: Table of Contents</w:t>
      </w:r>
      <w:r>
        <w:t xml:space="preserve">    </w:t>
      </w:r>
      <w:r>
        <w:rPr>
          <w:b/>
        </w:rPr>
        <w:t xml:space="preserve">Pub date: </w:t>
      </w:r>
      <w:r>
        <w:t>2026-02-18 05:25:11+00:00</w:t>
      </w:r>
      <w:r>
        <w:t xml:space="preserve">    </w:t>
      </w:r>
      <w:r>
        <w:rPr>
          <w:b/>
        </w:rPr>
        <w:t xml:space="preserve">DOI: </w:t>
      </w:r>
      <w:hyperlink r:id="rId632">
        <w:r>
          <w:rPr>
            <w:color w:val="1155CC"/>
            <w:u w:val="single"/>
          </w:rPr>
          <w:t>10.1002/anie.7549299</w:t>
        </w:r>
      </w:hyperlink>
    </w:p>
    <w:p>
      <w:pPr>
        <w:spacing w:before="0" w:after="120"/>
      </w:pPr>
      <w:r>
        <w:rPr>
          <w:b/>
        </w:rPr>
        <w:t xml:space="preserve">Notes: </w:t>
      </w:r>
      <w:r>
        <w:t>abstract_source=crossref</w:t>
      </w:r>
    </w:p>
    <w:p>
      <w:pPr>
        <w:spacing w:before="0" w:after="80" w:lineRule="auto" w:line="276"/>
      </w:pPr>
      <w:r>
        <w:rPr>
          <w:b/>
        </w:rPr>
        <w:t xml:space="preserve">摘要（ZH）: </w:t>
      </w:r>
      <w:r>
        <w:t>承运人流动性(微克H)条例是作为开发高性能热电材料的一项核心战略而确立的,然而,长期存在的一项挑战在于,如何通过微H优化提高Mg 3 B 2 基合金的总体TE性能,同时保持多级缺陷对烟雾散射和强度传导的有利影响。</w:t>
      </w:r>
    </w:p>
    <w:p>
      <w:pPr>
        <w:spacing w:before="0" w:after="200" w:lineRule="auto" w:line="276"/>
      </w:pPr>
      <w:r>
        <w:rPr>
          <w:b/>
        </w:rPr>
        <w:t xml:space="preserve">Abstract (EN): </w:t>
      </w:r>
      <w:r>
        <w:t>Carrier mobility (</w:t>
      </w:r>
      <w:r>
        <w:t xml:space="preserve"> </w:t>
      </w:r>
      <w:r>
        <w:t>µ</w:t>
      </w:r>
      <w:r>
        <w:t xml:space="preserve"> </w:t>
      </w:r>
      <w:r>
        <w:t>H</w:t>
      </w:r>
      <w:r>
        <w:t xml:space="preserve"> </w:t>
      </w:r>
      <w:r>
        <w:t>) regulation is established as a core strategy for developing high‐performance thermoelectric (TE) materials. However, a long‐standing challenge lies in enhancing the overall TE performance for Mg</w:t>
      </w:r>
      <w:r>
        <w:rPr>
          <w:vertAlign w:val="subscript"/>
        </w:rPr>
        <w:t>3</w:t>
      </w:r>
      <w:r>
        <w:t>Bi</w:t>
      </w:r>
      <w:r>
        <w:rPr>
          <w:vertAlign w:val="subscript"/>
        </w:rPr>
        <w:t>2</w:t>
      </w:r>
      <w:r>
        <w:t>‐based alloys through</w:t>
      </w:r>
      <w:r>
        <w:t xml:space="preserve"> </w:t>
      </w:r>
      <w:r>
        <w:t>µ</w:t>
      </w:r>
      <w:r>
        <w:t xml:space="preserve"> </w:t>
      </w:r>
      <w:r>
        <w:t>H</w:t>
      </w:r>
      <w:r>
        <w:t xml:space="preserve"> </w:t>
      </w:r>
      <w:r>
        <w:t>optimization while retaining the favorable effects of multi‐scale defects on phonon scattering and strength‐ductility. Herein, we achieve the dual enhancement of TE and mechanical performance of Mg</w:t>
      </w:r>
      <w:r>
        <w:t xml:space="preserve"> </w:t>
      </w:r>
      <w:r>
        <w:t>3.2‐</w:t>
      </w:r>
      <w:r>
        <w:t xml:space="preserve"> </w:t>
      </w:r>
      <w:r>
        <w:t>x</w:t>
      </w:r>
      <w:r>
        <w:t xml:space="preserve"> </w:t>
      </w:r>
      <w:r>
        <w:t>Q</w:t>
      </w:r>
      <w:r>
        <w:t xml:space="preserve"> </w:t>
      </w:r>
      <w:r>
        <w:t>x</w:t>
      </w:r>
      <w:r>
        <w:t xml:space="preserve"> </w:t>
      </w:r>
      <w:r>
        <w:t>(Bi</w:t>
      </w:r>
      <w:r>
        <w:t xml:space="preserve"> </w:t>
      </w:r>
      <w:r>
        <w:t>0.7</w:t>
      </w:r>
      <w:r>
        <w:t xml:space="preserve"> </w:t>
      </w:r>
      <w:r>
        <w:t>Sb</w:t>
      </w:r>
      <w:r>
        <w:t xml:space="preserve"> </w:t>
      </w:r>
      <w:r>
        <w:t>0.3</w:t>
      </w:r>
      <w:r>
        <w:t xml:space="preserve"> </w:t>
      </w:r>
      <w:r>
        <w:t>)</w:t>
      </w:r>
      <w:r>
        <w:t xml:space="preserve"> </w:t>
      </w:r>
      <w:r>
        <w:t>1.99</w:t>
      </w:r>
      <w:r>
        <w:t xml:space="preserve"> </w:t>
      </w:r>
      <w:r>
        <w:t>Te</w:t>
      </w:r>
      <w:r>
        <w:t xml:space="preserve"> </w:t>
      </w:r>
      <w:r>
        <w:t>0.01</w:t>
      </w:r>
      <w:r>
        <w:t xml:space="preserve"> </w:t>
      </w:r>
      <w:r>
        <w:t>(Q = Cu or Ag) through chemical fluctuations and structural order. Specifically, Cu/Ag doping shifts the Fermi level deeper into the conduction band and narrows the bandgap, boosting the electrical conductivity. In‐situ synchrotron X‐ray pair distribution function and atomic probe tomography characterizations demonstrate that interstitial Cu/Ag atoms induce chemical fluctuations and structural order, thus effectively improving</w:t>
      </w:r>
      <w:r>
        <w:t xml:space="preserve"> </w:t>
      </w:r>
      <w:r>
        <w:t>µ</w:t>
      </w:r>
      <w:r>
        <w:t xml:space="preserve"> </w:t>
      </w:r>
      <w:r>
        <w:t>H</w:t>
      </w:r>
      <w:r>
        <w:t xml:space="preserve"> </w:t>
      </w:r>
      <w:r>
        <w:t>while preserving strong phonon scattering. Meanwhile, multi‐scale defects not only scatter multi‐frequency phonons but also trigger multiple strengthening mechanisms, which concurrently reduce lattice thermal conductivity and improve mechanical properties. Ultimately, Mg</w:t>
      </w:r>
      <w:r>
        <w:t xml:space="preserve"> </w:t>
      </w:r>
      <w:r>
        <w:t>3.17</w:t>
      </w:r>
      <w:r>
        <w:t xml:space="preserve"> </w:t>
      </w:r>
      <w:r>
        <w:t>Cu</w:t>
      </w:r>
      <w:r>
        <w:t xml:space="preserve"> </w:t>
      </w:r>
      <w:r>
        <w:t>0.03</w:t>
      </w:r>
      <w:r>
        <w:t xml:space="preserve"> </w:t>
      </w:r>
      <w:r>
        <w:t>(Bi</w:t>
      </w:r>
      <w:r>
        <w:t xml:space="preserve"> </w:t>
      </w:r>
      <w:r>
        <w:t>0.7</w:t>
      </w:r>
      <w:r>
        <w:t xml:space="preserve"> </w:t>
      </w:r>
      <w:r>
        <w:t>Sb</w:t>
      </w:r>
      <w:r>
        <w:t xml:space="preserve"> </w:t>
      </w:r>
      <w:r>
        <w:t>0.3</w:t>
      </w:r>
      <w:r>
        <w:t xml:space="preserve"> </w:t>
      </w:r>
      <w:r>
        <w:t>)</w:t>
      </w:r>
      <w:r>
        <w:t xml:space="preserve"> </w:t>
      </w:r>
      <w:r>
        <w:t>1.99</w:t>
      </w:r>
      <w:r>
        <w:t xml:space="preserve"> </w:t>
      </w:r>
      <w:r>
        <w:t>Te</w:t>
      </w:r>
      <w:r>
        <w:t xml:space="preserve"> </w:t>
      </w:r>
      <w:r>
        <w:t>0.01</w:t>
      </w:r>
      <w:r>
        <w:t xml:space="preserve"> </w:t>
      </w:r>
      <w:r>
        <w:t>and Mg</w:t>
      </w:r>
      <w:r>
        <w:t xml:space="preserve"> </w:t>
      </w:r>
      <w:r>
        <w:t>3.17</w:t>
      </w:r>
      <w:r>
        <w:t xml:space="preserve"> </w:t>
      </w:r>
      <w:r>
        <w:t>Ag</w:t>
      </w:r>
      <w:r>
        <w:t xml:space="preserve"> </w:t>
      </w:r>
      <w:r>
        <w:t>0.03</w:t>
      </w:r>
      <w:r>
        <w:t xml:space="preserve"> </w:t>
      </w:r>
      <w:r>
        <w:t>(Bi</w:t>
      </w:r>
      <w:r>
        <w:t xml:space="preserve"> </w:t>
      </w:r>
      <w:r>
        <w:t>0.7</w:t>
      </w:r>
      <w:r>
        <w:t xml:space="preserve"> </w:t>
      </w:r>
      <w:r>
        <w:t>Sb</w:t>
      </w:r>
      <w:r>
        <w:t xml:space="preserve"> </w:t>
      </w:r>
      <w:r>
        <w:t>0.3</w:t>
      </w:r>
      <w:r>
        <w:t xml:space="preserve"> </w:t>
      </w:r>
      <w:r>
        <w:t>)</w:t>
      </w:r>
      <w:r>
        <w:t xml:space="preserve"> </w:t>
      </w:r>
      <w:r>
        <w:t>1.99</w:t>
      </w:r>
      <w:r>
        <w:t xml:space="preserve"> </w:t>
      </w:r>
      <w:r>
        <w:t>Te</w:t>
      </w:r>
      <w:r>
        <w:t xml:space="preserve"> </w:t>
      </w:r>
      <w:r>
        <w:t>0.01</w:t>
      </w:r>
      <w:r>
        <w:t xml:space="preserve"> </w:t>
      </w:r>
      <w:r>
        <w:t>demonstrate remarkable average</w:t>
      </w:r>
      <w:r>
        <w:t xml:space="preserve"> </w:t>
      </w:r>
      <w:r>
        <w:t>zT</w:t>
      </w:r>
      <w:r>
        <w:t xml:space="preserve"> </w:t>
      </w:r>
      <w:r>
        <w:t>values of 1.11 and 1.06 between 323 and 573 K, respectively, along with excellent compressive strengths of 402.3 and 386.9 MPa. This work demonstrates that chemical fluctuations and structural order establish a novel paradigm for the simultaneous optimization of</w:t>
      </w:r>
      <w:r>
        <w:t xml:space="preserve"> </w:t>
      </w:r>
      <w:r>
        <w:t>zT</w:t>
      </w:r>
      <w:r>
        <w:t xml:space="preserve"> </w:t>
      </w:r>
      <w:r>
        <w:t>ave</w:t>
      </w:r>
      <w:r>
        <w:t xml:space="preserve"> </w:t>
      </w:r>
      <w:r>
        <w:t>and mechanical reliability of TE materials.</w:t>
      </w:r>
    </w:p>
    <w:p>
      <w:pPr>
        <w:spacing w:before="120" w:after="120"/>
      </w:pPr>
      <w:r>
        <w:rPr>
          <w:sz w:val="18"/>
        </w:rPr>
        <w:t>——————————————————————————————————————————————————————————————————————</w:t>
      </w:r>
    </w:p>
    <w:p>
      <w:pPr>
        <w:spacing w:before="160" w:after="40" w:line="240" w:lineRule="auto"/>
      </w:pPr>
      <w:r>
        <w:rPr>
          <w:b/>
        </w:rPr>
        <w:t xml:space="preserve">[412] </w:t>
      </w:r>
      <w:hyperlink r:id="rId633">
        <w:r>
          <w:rPr>
            <w:color w:val="1155CC"/>
            <w:u w:val="single"/>
          </w:rPr>
          <w:t>基于氢、卤素、卤素、氯卤素和丙基激素债券的非对价债券分类的好处</w:t>
        </w:r>
      </w:hyperlink>
    </w:p>
    <w:p>
      <w:pPr>
        <w:spacing w:before="0" w:after="80"/>
      </w:pPr>
      <w:r>
        <w:rPr>
          <w:i/>
          <w:sz w:val="20"/>
        </w:rPr>
        <w:t>EN: Benefits of Categorizing Noncovalent Bonds Based on Hydrogen, Halogen, Chalcogen, and Pnictogen Bonds</w:t>
      </w:r>
    </w:p>
    <w:p>
      <w:pPr>
        <w:spacing w:before="0" w:after="120"/>
      </w:pPr>
      <w:r>
        <w:rPr>
          <w:b/>
        </w:rPr>
        <w:t xml:space="preserve">Source: </w:t>
      </w:r>
      <w:r>
        <w:t>Wiley: Angewandte Chemie International Edition: Table of Contents</w:t>
      </w:r>
      <w:r>
        <w:t xml:space="preserve">    </w:t>
      </w:r>
      <w:r>
        <w:rPr>
          <w:b/>
        </w:rPr>
        <w:t xml:space="preserve">Pub date: </w:t>
      </w:r>
      <w:r>
        <w:t>2026-02-18 05:27:51+00:00</w:t>
      </w:r>
      <w:r>
        <w:t xml:space="preserve">    </w:t>
      </w:r>
      <w:r>
        <w:rPr>
          <w:b/>
        </w:rPr>
        <w:t xml:space="preserve">DOI: </w:t>
      </w:r>
      <w:hyperlink r:id="rId634">
        <w:r>
          <w:rPr>
            <w:color w:val="1155CC"/>
            <w:u w:val="single"/>
          </w:rPr>
          <w:t>10.1002/anie.6901593</w:t>
        </w:r>
      </w:hyperlink>
    </w:p>
    <w:p>
      <w:pPr>
        <w:spacing w:before="0" w:after="120"/>
      </w:pPr>
      <w:r>
        <w:rPr>
          <w:b/>
        </w:rPr>
        <w:t xml:space="preserve">Notes: </w:t>
      </w:r>
      <w:r>
        <w:t>abstract_source=crossref</w:t>
      </w:r>
    </w:p>
    <w:p>
      <w:pPr>
        <w:spacing w:before="0" w:after="80" w:lineRule="auto" w:line="276"/>
      </w:pPr>
      <w:r>
        <w:rPr>
          <w:b/>
        </w:rPr>
        <w:t xml:space="preserve">摘要（ZH）: </w:t>
      </w:r>
      <w:r>
        <w:t>阿拉伯医学联合会最近的建议将卤素结合、卤素结合和营养素结合定义为周期表第17、16和15组的核嗜血场所和电死元素之间的相互作用。 在最近的一篇论文中,罗宾·泰勒说,这三个术语的使用应该 " 提前 ",他对此杂志科学角度提出的用这三个术语以及氢结合作为化学相互作用分类的核心的建议表示关切,其中名称指电击团体/原子。 在这里,我们展示泰勒的立场不仅与化学家团体的权威地位冲突,而且与化学家团体的通常做法冲突。</w:t>
      </w:r>
    </w:p>
    <w:p>
      <w:pPr>
        <w:spacing w:before="0" w:after="200" w:lineRule="auto" w:line="276"/>
      </w:pPr>
      <w:r>
        <w:rPr>
          <w:b/>
        </w:rPr>
        <w:t xml:space="preserve">Abstract (EN): </w:t>
      </w:r>
      <w:r>
        <w:t>Recent IUPAC recommendations define the halogen bond, the chalcogen bond, and the pnictogen bond as the interactions between nucleophilic sites and electrophilic elements of groups 17, 16, and 15 of the periodic table. In a recent paper Robin Taylor states that, the use of these three terms should be “deprecated” and he raises concern about the proposal that we made in a scientific perspective on this journal to use these three terms, along with the hydrogen bond one, as the core of a taxonomy of chemical interactions, wherein names refer to the electrophile group/atom. Here, we show how Taylor's position conflicts not only with the authoritative position of IUPAC, but also with the common practices of the chemists’ community. Our proposed naming scheme which refers to the electrophile group/atom far from concealing key information, as assumed by Taylor, enables for a precise language whose terminological richness is instrumental in communication efficiency. Our naming scheme presents the advantage to be invariant with respect to the evolving understanding of the nature of chemical interactions and to be tailored to automated database mining, ontology construction, and AI‐driven structure–property prediction.</w:t>
      </w:r>
    </w:p>
    <w:p>
      <w:pPr>
        <w:spacing w:before="120" w:after="120"/>
      </w:pPr>
      <w:r>
        <w:rPr>
          <w:sz w:val="18"/>
        </w:rPr>
        <w:t>——————————————————————————————————————————————————————————————————————</w:t>
      </w:r>
    </w:p>
    <w:p>
      <w:pPr>
        <w:spacing w:before="160" w:after="40" w:line="240" w:lineRule="auto"/>
      </w:pPr>
      <w:r>
        <w:rPr>
          <w:b/>
        </w:rPr>
        <w:t xml:space="preserve">[413] </w:t>
      </w:r>
      <w:hyperlink r:id="rId635">
        <w:r>
          <w:rPr>
            <w:color w:val="1155CC"/>
            <w:u w:val="single"/>
          </w:rPr>
          <w:t>大型分子凝聚器,作为生物启发硅混合体的金枪鱼碎片</w:t>
        </w:r>
      </w:hyperlink>
    </w:p>
    <w:p>
      <w:pPr>
        <w:spacing w:before="0" w:after="80"/>
      </w:pPr>
      <w:r>
        <w:rPr>
          <w:i/>
          <w:sz w:val="20"/>
        </w:rPr>
        <w:t>EN: Macromolecular Condensates as Tunable Scaffolds for Bio‐Inspired Silica Hybrids</w:t>
      </w:r>
    </w:p>
    <w:p>
      <w:pPr>
        <w:spacing w:before="0" w:after="120"/>
      </w:pPr>
      <w:r>
        <w:rPr>
          <w:b/>
        </w:rPr>
        <w:t xml:space="preserve">Source: </w:t>
      </w:r>
      <w:r>
        <w:t>Wiley: Angewandte Chemie International Edition: Table of Contents</w:t>
      </w:r>
      <w:r>
        <w:t xml:space="preserve">    </w:t>
      </w:r>
      <w:r>
        <w:rPr>
          <w:b/>
        </w:rPr>
        <w:t xml:space="preserve">Pub date: </w:t>
      </w:r>
      <w:r>
        <w:t>2026-02-18 05:29:49+00:00</w:t>
      </w:r>
      <w:r>
        <w:t xml:space="preserve">    </w:t>
      </w:r>
      <w:r>
        <w:rPr>
          <w:b/>
        </w:rPr>
        <w:t xml:space="preserve">DOI: </w:t>
      </w:r>
      <w:hyperlink r:id="rId636">
        <w:r>
          <w:rPr>
            <w:color w:val="1155CC"/>
            <w:u w:val="single"/>
          </w:rPr>
          <w:t>10.1002/anie.202522966</w:t>
        </w:r>
      </w:hyperlink>
    </w:p>
    <w:p>
      <w:pPr>
        <w:spacing w:before="0" w:after="120"/>
      </w:pPr>
      <w:r>
        <w:rPr>
          <w:b/>
        </w:rPr>
        <w:t xml:space="preserve">Notes: </w:t>
      </w:r>
      <w:r>
        <w:t>abstract_source=crossref</w:t>
      </w:r>
    </w:p>
    <w:p>
      <w:pPr>
        <w:spacing w:before="0" w:after="80" w:lineRule="auto" w:line="276"/>
      </w:pPr>
      <w:r>
        <w:rPr>
          <w:b/>
        </w:rPr>
        <w:t xml:space="preserve">摘要（ZH）: </w:t>
      </w:r>
      <w:r>
        <w:t>Silica基材料具有巨大的功能,因为其生产具有多种特性,能够容纳多种特性,然而,任何合成系统都无法复制生物在环境条件下和从稀释溶解前体中沉淀密密硅的能力,使我们对硅化学的认识存在巨大差距。人们普遍认为,生物化的一个关键特征是矿物质富含大型分子的活动,但它们在硅合成中的生物模拟用途目前未能再生生物过程。在这里,我们从生物过程的某些特性中汲取灵感,并证明相分离的多聚胺凝聚物会驱动硅材料的混合形成。我们进一步表明,pH值的pH值低于pH值。</w:t>
      </w:r>
    </w:p>
    <w:p>
      <w:pPr>
        <w:spacing w:before="0" w:after="200" w:lineRule="auto" w:line="276"/>
      </w:pPr>
      <w:r>
        <w:rPr>
          <w:b/>
        </w:rPr>
        <w:t xml:space="preserve">Abstract (EN): </w:t>
      </w:r>
      <w:r>
        <w:t>Silica‐based materials are of immense functionality as their production is versatile and can accommodate a wide range of properties. Nevertheless, no synthetic system can reproduce the ability of organisms to precipitate dense silica under ambient conditions and from dilute soluble precursors, leaving a substantial gap in our understanding of silica chemistry. It is widely accepted that a key feature of biosilicification is the activity of amine‐rich macromolecules, but their biomimetic use in silica synthesis currently fails to reproduce biological processes. Here, we take inspiration from some properties of biological processes and demonstrate that phase separated polyamine condensates drive the formation of hybrid silica materials. We further show that the pH of the reaction is a regulator that allows to control the architecture and composition of the silica material. These results point to the fundamental role of condensates in driving silicification from dilute aqueous environments that characterize physiological conditions. Applying these sets of rules to synthetic systems may open the road for the production of a new class of dense and biocompatible silica hybrids.</w:t>
      </w:r>
    </w:p>
    <w:p>
      <w:pPr>
        <w:spacing w:before="120" w:after="120"/>
      </w:pPr>
      <w:r>
        <w:rPr>
          <w:sz w:val="18"/>
        </w:rPr>
        <w:t>——————————————————————————————————————————————————————————————————————</w:t>
      </w:r>
    </w:p>
    <w:p>
      <w:pPr>
        <w:spacing w:before="160" w:after="40" w:line="240" w:lineRule="auto"/>
      </w:pPr>
      <w:r>
        <w:rPr>
          <w:b/>
        </w:rPr>
        <w:t xml:space="preserve">[414] </w:t>
      </w:r>
      <w:hyperlink r:id="rId637">
        <w:r>
          <w:rPr>
            <w:color w:val="1155CC"/>
            <w:u w:val="single"/>
          </w:rPr>
          <w:t>Fast Decay Cu-I 能够高分辨率X射线成像和 3D 成像和3D 成像的链阻燃器</w:t>
        </w:r>
      </w:hyperlink>
    </w:p>
    <w:p>
      <w:pPr>
        <w:spacing w:before="0" w:after="80"/>
      </w:pPr>
      <w:r>
        <w:rPr>
          <w:i/>
          <w:sz w:val="20"/>
        </w:rPr>
        <w:t>EN: Ligand Confinement for Fast‐Decay Cu─I Chain Scintillators Enabling High‐Resolution X‐ray Imaging and 3D Tomography</w:t>
      </w:r>
    </w:p>
    <w:p>
      <w:pPr>
        <w:spacing w:before="0" w:after="120"/>
      </w:pPr>
      <w:r>
        <w:rPr>
          <w:b/>
        </w:rPr>
        <w:t xml:space="preserve">Source: </w:t>
      </w:r>
      <w:r>
        <w:t>Wiley: Angewandte Chemie International Edition: Table of Contents</w:t>
      </w:r>
      <w:r>
        <w:t xml:space="preserve">    </w:t>
      </w:r>
      <w:r>
        <w:rPr>
          <w:b/>
        </w:rPr>
        <w:t xml:space="preserve">Pub date: </w:t>
      </w:r>
      <w:r>
        <w:t>2026-02-18 05:32:37+00:00</w:t>
      </w:r>
      <w:r>
        <w:t xml:space="preserve">    </w:t>
      </w:r>
      <w:r>
        <w:rPr>
          <w:b/>
        </w:rPr>
        <w:t xml:space="preserve">DOI: </w:t>
      </w:r>
      <w:hyperlink r:id="rId638">
        <w:r>
          <w:rPr>
            <w:color w:val="1155CC"/>
            <w:u w:val="single"/>
          </w:rPr>
          <w:t>10.1002/anie.9375909</w:t>
        </w:r>
      </w:hyperlink>
    </w:p>
    <w:p>
      <w:pPr>
        <w:spacing w:before="0" w:after="120"/>
      </w:pPr>
      <w:r>
        <w:rPr>
          <w:b/>
        </w:rPr>
        <w:t xml:space="preserve">Notes: </w:t>
      </w:r>
      <w:r>
        <w:t>abstract_source=crossref</w:t>
      </w:r>
    </w:p>
    <w:p>
      <w:pPr>
        <w:spacing w:before="0" w:after="80" w:lineRule="auto" w:line="276"/>
      </w:pPr>
      <w:r>
        <w:rPr>
          <w:b/>
        </w:rPr>
        <w:t xml:space="preserve">摘要（ZH）: </w:t>
      </w:r>
      <w:r>
        <w:t>类似ABSTRACT链条的单维维(1D)碘化铜(I)碘化金属集聚体综合体,由于其强化的X射线吸收、稳健的框架和极佳的光容性,它们都是充满希望的焚化物候选体。然而,它们的排放效率仍然大大低于零维模拟的排放量效率。在此,我们建议采用电磁阻力、电子调导的火利米丁基桥接线条,同时推进X射线刺激光(XEL)和加速1D Cu-I集束焚化炉的腐蚀动力。硬性、紧凑的牵引线条增加了结构僵硬性,同时减少了用于强化X光吸收的有机成分。同时,不对称的子体会诱发空间和EL。</w:t>
      </w:r>
    </w:p>
    <w:p>
      <w:pPr>
        <w:spacing w:before="0" w:after="200" w:lineRule="auto" w:line="276"/>
      </w:pPr>
      <w:r>
        <w:rPr>
          <w:b/>
        </w:rPr>
        <w:t xml:space="preserve">Abstract (EN): </w:t>
      </w:r>
      <w:r>
        <w:t>Chain‐like one‐dimensional (1D) copper(I) iodide cluster complexes are promising scintillator candidates due to their enhanced x‐ray absorption, robust frameworks, and excellent photostability. However, their emission efficiencies remain significantly lower than those of zero‐dimensional analogues. Herein, we propose a ligand‐confinement strategy that employs sterically hindered, electronically tuned pyrimidine‐based bridging ligands to simultaneously boost x‐ray excited luminescence (XEL) and accelerate decay dynamics in 1D Cu–I cluster scintillators. Rigid, compact bidentate ligands increase structural rigidity while reducing the organic fraction for enhanced x‐ray absorption. Meanwhile, asymmetric substituents induce coupled spatial and electronic confinement, giving rise to quantum‐wire‐like electronic states that promote radiative transitions. As a result,</w:t>
      </w:r>
      <w:r>
        <w:t xml:space="preserve"> </w:t>
      </w:r>
      <w:r>
        <w:t>CuI(4‐Mepym)</w:t>
      </w:r>
      <w:r>
        <w:t xml:space="preserve"> </w:t>
      </w:r>
      <w:r>
        <w:t>exhibits a six‐fold enhancement in photoluminescence quantum yield compared to</w:t>
      </w:r>
      <w:r>
        <w:t xml:space="preserve"> </w:t>
      </w:r>
      <w:r>
        <w:t>CuI(2‐Mepym)</w:t>
      </w:r>
      <w:r>
        <w:t xml:space="preserve"> </w:t>
      </w:r>
      <w:r>
        <w:t>, together with a fast decay lifetime of 1.28 µs, surpassing most reported copper(I) iodide cluster complexes. Combined with high stability, good solution processability, and a light yield comparable to commercial LuAG:Ce (∼25 000 ph MeV</w:t>
      </w:r>
      <w:r>
        <w:t xml:space="preserve"> </w:t>
      </w:r>
      <w:r>
        <w:t>−1</w:t>
      </w:r>
      <w:r>
        <w:t xml:space="preserve"> </w:t>
      </w:r>
      <w:r>
        <w:t>),</w:t>
      </w:r>
      <w:r>
        <w:t xml:space="preserve"> </w:t>
      </w:r>
      <w:r>
        <w:t>CuI(4‐Mepym)</w:t>
      </w:r>
      <w:r>
        <w:t xml:space="preserve"> </w:t>
      </w:r>
      <w:r>
        <w:t>breaks the conventional brightness–speed trade‐off and enables high‐resolution static imaging (&amp;gt;20 lp mm</w:t>
      </w:r>
      <w:r>
        <w:t xml:space="preserve"> </w:t>
      </w:r>
      <w:r>
        <w:t>−1</w:t>
      </w:r>
      <w:r>
        <w:t xml:space="preserve"> </w:t>
      </w:r>
      <w:r>
        <w:t>), artifact‐free dynamic x‐ray imaging, and high‐fidelity 3D tomography. This work establishes ligand confinement as an effective design principle for developing high‐brightness, fast‐decay 1D Cu–I cluster scintillators for advanced x‐ray imaging applications.</w:t>
      </w:r>
    </w:p>
    <w:p>
      <w:pPr>
        <w:spacing w:before="120" w:after="120"/>
      </w:pPr>
      <w:r>
        <w:rPr>
          <w:sz w:val="18"/>
        </w:rPr>
        <w:t>——————————————————————————————————————————————————————————————————————</w:t>
      </w:r>
    </w:p>
    <w:p>
      <w:pPr>
        <w:spacing w:before="160" w:after="40" w:line="240" w:lineRule="auto"/>
      </w:pPr>
      <w:r>
        <w:rPr>
          <w:b/>
        </w:rPr>
        <w:t xml:space="preserve">[415] </w:t>
      </w:r>
      <w:hyperlink r:id="rId639">
        <w:r>
          <w:rPr>
            <w:color w:val="1155CC"/>
            <w:u w:val="single"/>
          </w:rPr>
          <w:t>1H=15N 1D NMR 光谱学解锁 Atom溶解低复合蛋白区动态</w:t>
        </w:r>
      </w:hyperlink>
    </w:p>
    <w:p>
      <w:pPr>
        <w:spacing w:before="0" w:after="80"/>
      </w:pPr>
      <w:r>
        <w:rPr>
          <w:i/>
          <w:sz w:val="20"/>
        </w:rPr>
        <w:t>EN: Fast Ultra‐Selective 1H‐15N 1D NMR Spectroscopy Unlocks Atom‐Resolved Dynamics of Low‐Complexity Protein Regions</w:t>
      </w:r>
    </w:p>
    <w:p>
      <w:pPr>
        <w:spacing w:before="0" w:after="120"/>
      </w:pPr>
      <w:r>
        <w:rPr>
          <w:b/>
        </w:rPr>
        <w:t xml:space="preserve">Source: </w:t>
      </w:r>
      <w:r>
        <w:t>Wiley: Angewandte Chemie International Edition: Table of Contents</w:t>
      </w:r>
      <w:r>
        <w:t xml:space="preserve">    </w:t>
      </w:r>
      <w:r>
        <w:rPr>
          <w:b/>
        </w:rPr>
        <w:t xml:space="preserve">Pub date: </w:t>
      </w:r>
      <w:r>
        <w:t>2026-02-18 05:33:29+00:00</w:t>
      </w:r>
      <w:r>
        <w:t xml:space="preserve">    </w:t>
      </w:r>
      <w:r>
        <w:rPr>
          <w:b/>
        </w:rPr>
        <w:t xml:space="preserve">DOI: </w:t>
      </w:r>
      <w:hyperlink r:id="rId640">
        <w:r>
          <w:rPr>
            <w:color w:val="1155CC"/>
            <w:u w:val="single"/>
          </w:rPr>
          <w:t>10.1002/anie.202519206</w:t>
        </w:r>
      </w:hyperlink>
    </w:p>
    <w:p>
      <w:pPr>
        <w:spacing w:before="0" w:after="120"/>
      </w:pPr>
      <w:r>
        <w:rPr>
          <w:b/>
        </w:rPr>
        <w:t xml:space="preserve">Notes: </w:t>
      </w:r>
      <w:r>
        <w:t>abstract_source=crossref</w:t>
      </w:r>
    </w:p>
    <w:p>
      <w:pPr>
        <w:spacing w:before="0" w:after="80" w:lineRule="auto" w:line="276"/>
      </w:pPr>
      <w:r>
        <w:rPr>
          <w:b/>
        </w:rPr>
        <w:t xml:space="preserve">摘要（ZH）: </w:t>
      </w:r>
      <w:r>
        <w:t>洞察蛋白质的相容动态对于在分子一级了解蛋白质的功能至关重要。 蛋白质中单个原子所经历的动作可以通过NMR放松率精确量化,但测量需要清晰解析的光谱反应。 两维一HQ 15N相关光谱是解决蛋白NMR中沉积信号的标准方法,但是在光谱由于15N化学转移分布有限而严重凝结的实验时间里成本过高。 这一限制往往阻碍对内在动力的描述。</w:t>
      </w:r>
    </w:p>
    <w:p>
      <w:pPr>
        <w:spacing w:before="0" w:after="200" w:lineRule="auto" w:line="276"/>
      </w:pPr>
      <w:r>
        <w:rPr>
          <w:b/>
        </w:rPr>
        <w:t xml:space="preserve">Abstract (EN): </w:t>
      </w:r>
      <w:r>
        <w:t>Insight into the conformational dynamics of proteins is essential toward understanding their function at a molecular level. The motions experienced by individual atoms in the protein can be precisely quantified through NMR relaxation rates, but their measurement requires well‐resolved spectral responses. Two‐dimensional</w:t>
      </w:r>
      <w:r>
        <w:rPr>
          <w:vertAlign w:val="subscript"/>
        </w:rPr>
        <w:t>1</w:t>
      </w:r>
      <w:r>
        <w:t>H‐</w:t>
      </w:r>
      <w:r>
        <w:rPr>
          <w:vertAlign w:val="subscript"/>
        </w:rPr>
        <w:t>15</w:t>
      </w:r>
      <w:r>
        <w:t>N correlation spectra are the standard approach to resolve amide signals in protein NMR, but come with an excessive cost in experimental time when spectra are heavily congested due to limited</w:t>
      </w:r>
      <w:r>
        <w:rPr>
          <w:vertAlign w:val="subscript"/>
        </w:rPr>
        <w:t>15</w:t>
      </w:r>
      <w:r>
        <w:t>N chemical shift dispersions. This limitation often thwarts the characterization of dynamics for intrinsically disordered proteins, especially when they feature low‐complexity or homopolymer regions, or short sample life‐times. Here, we introduce a fast, ultra‐selective</w:t>
      </w:r>
      <w:r>
        <w:rPr>
          <w:vertAlign w:val="subscript"/>
        </w:rPr>
        <w:t>1</w:t>
      </w:r>
      <w:r>
        <w:t>H‐</w:t>
      </w:r>
      <w:r>
        <w:rPr>
          <w:vertAlign w:val="subscript"/>
        </w:rPr>
        <w:t>15</w:t>
      </w:r>
      <w:r>
        <w:t>N 1D NMR method that allows high‐quality measurement of individual</w:t>
      </w:r>
      <w:r>
        <w:rPr>
          <w:vertAlign w:val="subscript"/>
        </w:rPr>
        <w:t>15</w:t>
      </w:r>
      <w:r>
        <w:t>N spin‐relaxation constants, even when</w:t>
      </w:r>
      <w:r>
        <w:rPr>
          <w:vertAlign w:val="subscript"/>
        </w:rPr>
        <w:t>15</w:t>
      </w:r>
      <w:r>
        <w:t>N resonances are merely 6–8 Hz apart. We demonstrate the new experiment by characterizing, for the first time, pico‐ to nanosecond dynamics along a 16‐residue polyglutamine stretch within the protein huntingtin, the causal agent of Huntington's disease, as well as millisecond conformational exchange in the SH3GL3 protein. The new experiment will find wide application in the study of conformational dynamics of intrinsically disordered proteins or any other biomacromolecule that features highly dense</w:t>
      </w:r>
      <w:r>
        <w:rPr>
          <w:vertAlign w:val="subscript"/>
        </w:rPr>
        <w:t>1</w:t>
      </w:r>
      <w:r>
        <w:t>H‐</w:t>
      </w:r>
      <w:r>
        <w:rPr>
          <w:vertAlign w:val="subscript"/>
        </w:rPr>
        <w:t>15</w:t>
      </w:r>
      <w:r>
        <w:t>N 2D spectra.</w:t>
      </w:r>
    </w:p>
    <w:p>
      <w:pPr>
        <w:spacing w:before="120" w:after="120"/>
      </w:pPr>
      <w:r>
        <w:rPr>
          <w:sz w:val="18"/>
        </w:rPr>
        <w:t>——————————————————————————————————————————————————————————————————————</w:t>
      </w:r>
    </w:p>
    <w:p>
      <w:pPr>
        <w:spacing w:before="160" w:after="40" w:line="240" w:lineRule="auto"/>
      </w:pPr>
      <w:r>
        <w:rPr>
          <w:b/>
        </w:rPr>
        <w:t xml:space="preserve">[416] </w:t>
      </w:r>
      <w:hyperlink r:id="rId641">
        <w:r>
          <w:rPr>
            <w:color w:val="1155CC"/>
            <w:u w:val="single"/>
          </w:rPr>
          <w:t>通过Cs2NATbCl6中的单热多色切换,通过单热多色切换实现的波长多解多波长的 PUF: Eu3+双 Perovskites</w:t>
        </w:r>
      </w:hyperlink>
    </w:p>
    <w:p>
      <w:pPr>
        <w:spacing w:before="0" w:after="80"/>
      </w:pPr>
      <w:r>
        <w:rPr>
          <w:i/>
          <w:sz w:val="20"/>
        </w:rPr>
        <w:t>EN: Wavelength‐Multiplexed PUFs Through Single‐Host Multicolor Switching in Cs2NaTbCl6: Eu3+ Double Perovskites</w:t>
      </w:r>
    </w:p>
    <w:p>
      <w:pPr>
        <w:spacing w:before="0" w:after="120"/>
      </w:pPr>
      <w:r>
        <w:rPr>
          <w:b/>
        </w:rPr>
        <w:t xml:space="preserve">Source: </w:t>
      </w:r>
      <w:r>
        <w:t>Wiley: Advanced Materials: Table of Contents</w:t>
      </w:r>
      <w:r>
        <w:t xml:space="preserve">    </w:t>
      </w:r>
      <w:r>
        <w:rPr>
          <w:b/>
        </w:rPr>
        <w:t xml:space="preserve">Pub date: </w:t>
      </w:r>
      <w:r>
        <w:t>2026-02-18 05:36:50+00:00</w:t>
      </w:r>
      <w:r>
        <w:t xml:space="preserve">    </w:t>
      </w:r>
      <w:r>
        <w:rPr>
          <w:b/>
        </w:rPr>
        <w:t xml:space="preserve">DOI: </w:t>
      </w:r>
      <w:hyperlink r:id="rId642">
        <w:r>
          <w:rPr>
            <w:color w:val="1155CC"/>
            <w:u w:val="single"/>
          </w:rPr>
          <w:t>10.1002/adma.202515271</w:t>
        </w:r>
      </w:hyperlink>
    </w:p>
    <w:p>
      <w:pPr>
        <w:spacing w:before="0" w:after="120"/>
      </w:pPr>
      <w:r>
        <w:rPr>
          <w:b/>
        </w:rPr>
        <w:t xml:space="preserve">Notes: </w:t>
      </w:r>
      <w:r>
        <w:t>abstract_source=crossref</w:t>
      </w:r>
    </w:p>
    <w:p>
      <w:pPr>
        <w:spacing w:before="0" w:after="80" w:lineRule="auto" w:line="276"/>
      </w:pPr>
      <w:r>
        <w:rPr>
          <w:b/>
        </w:rPr>
        <w:t xml:space="preserve">摘要（ZH）: </w:t>
      </w:r>
      <w:r>
        <w:t>ABSTACT 基于多波长排放的物理不可调和功能(PUFs)为利用内在物理随机性推进高容量硬件安全带来了重要前景。 然而,在单一矩阵中实现光谱隔离多通道排放仍是一项艰巨的挑战。 在此,我们展示了一个单一的矩阵平台,使用Cs 2 NaTbCl 6: Eu 3+双倍百草枯,能够通过Tb 3+和Eu 3+中心的正方位光学激活,通过Outogrobram多色转换。</w:t>
      </w:r>
    </w:p>
    <w:p>
      <w:pPr>
        <w:spacing w:before="0" w:after="200" w:lineRule="auto" w:line="276"/>
      </w:pPr>
      <w:r>
        <w:rPr>
          <w:b/>
        </w:rPr>
        <w:t xml:space="preserve">Abstract (EN): </w:t>
      </w:r>
      <w:r>
        <w:t>Physical unclonable functions (PUFs) based on multi‐wavelength emission hold significant promise for advancing high‐capacity hardware security by harnessing intrinsic physical randomness. However, achieving spectrally isolated multi‐channel emission within a single matrix remains a daunting challenge. Herein, we demonstrate a single matrix platform using Cs</w:t>
      </w:r>
      <w:r>
        <w:rPr>
          <w:vertAlign w:val="subscript"/>
        </w:rPr>
        <w:t>2</w:t>
      </w:r>
      <w:r>
        <w:t>NaTbCl</w:t>
      </w:r>
      <w:r>
        <w:rPr>
          <w:vertAlign w:val="subscript"/>
        </w:rPr>
        <w:t>6</w:t>
      </w:r>
      <w:r>
        <w:t>: Eu</w:t>
      </w:r>
      <w:r>
        <w:t xml:space="preserve"> </w:t>
      </w:r>
      <w:r>
        <w:t>3+</w:t>
      </w:r>
      <w:r>
        <w:t xml:space="preserve"> </w:t>
      </w:r>
      <w:r>
        <w:t>double perovskite that enables excitation‐programmable multicolor switching through orthogonal optical activation of Tb</w:t>
      </w:r>
      <w:r>
        <w:t xml:space="preserve"> </w:t>
      </w:r>
      <w:r>
        <w:t>3+</w:t>
      </w:r>
      <w:r>
        <w:t xml:space="preserve"> </w:t>
      </w:r>
      <w:r>
        <w:t>and Eu</w:t>
      </w:r>
      <w:r>
        <w:t xml:space="preserve"> </w:t>
      </w:r>
      <w:r>
        <w:t>3+</w:t>
      </w:r>
      <w:r>
        <w:t xml:space="preserve"> </w:t>
      </w:r>
      <w:r>
        <w:t>centers. This monolithic system exhibits dominant green emission (Tb</w:t>
      </w:r>
      <w:r>
        <w:t xml:space="preserve"> </w:t>
      </w:r>
      <w:r>
        <w:t>3+</w:t>
      </w:r>
      <w:r>
        <w:t xml:space="preserve"> </w:t>
      </w:r>
      <w:r>
        <w:t>:</w:t>
      </w:r>
      <w:r>
        <w:rPr>
          <w:vertAlign w:val="subscript"/>
        </w:rPr>
        <w:t>5</w:t>
      </w:r>
      <w:r>
        <w:t>D</w:t>
      </w:r>
      <w:r>
        <w:rPr>
          <w:vertAlign w:val="subscript"/>
        </w:rPr>
        <w:t>4</w:t>
      </w:r>
      <w:r>
        <w:t>→</w:t>
      </w:r>
      <w:r>
        <w:rPr>
          <w:vertAlign w:val="subscript"/>
        </w:rPr>
        <w:t>7</w:t>
      </w:r>
      <w:r>
        <w:t>F</w:t>
      </w:r>
      <w:r>
        <w:t xml:space="preserve"> </w:t>
      </w:r>
      <w:r>
        <w:t>5, 6</w:t>
      </w:r>
      <w:r>
        <w:t xml:space="preserve"> </w:t>
      </w:r>
      <w:r>
        <w:t>) under 275 nm excitation, while selective red emission (Eu</w:t>
      </w:r>
      <w:r>
        <w:t xml:space="preserve"> </w:t>
      </w:r>
      <w:r>
        <w:t>3+</w:t>
      </w:r>
      <w:r>
        <w:t xml:space="preserve"> </w:t>
      </w:r>
      <w:r>
        <w:t>:</w:t>
      </w:r>
      <w:r>
        <w:rPr>
          <w:vertAlign w:val="subscript"/>
        </w:rPr>
        <w:t>5</w:t>
      </w:r>
      <w:r>
        <w:t>D</w:t>
      </w:r>
      <w:r>
        <w:rPr>
          <w:vertAlign w:val="subscript"/>
        </w:rPr>
        <w:t>0</w:t>
      </w:r>
      <w:r>
        <w:t>→</w:t>
      </w:r>
      <w:r>
        <w:rPr>
          <w:vertAlign w:val="subscript"/>
        </w:rPr>
        <w:t>7</w:t>
      </w:r>
      <w:r>
        <w:t>F</w:t>
      </w:r>
      <w:r>
        <w:t xml:space="preserve"> </w:t>
      </w:r>
      <w:r>
        <w:t>1, 2</w:t>
      </w:r>
      <w:r>
        <w:t xml:space="preserve"> </w:t>
      </w:r>
      <w:r>
        <w:t>) under 310 nm excitation, and distinct yellow emission under 275/310 nm co‐stimulation. This unique behavior arises from well‐separated excitation pathways, weak interionic interactions, and suppressed concentration quenching via the large Spacing of rare earth ions and low phonon energy. Leveraging this unique single‐host multiplexing capability, we develop a wavelength‐division multiplexing PUF (WDM‐PUF) featuring simplified information carriers, unprecedented encoding dimensions, and a near‐zero false negative rate through RGY/octal spectral‐channel encoding. Its flexible encoding method and operational simplicity enable its application in color image encryption and programmable information transmission, along with smartphone‐compatible authentication functionality. Our work establishes a new paradigm in optical encryption with wavelength‐multiplexed capacity in a single emissive platform, opening avenues for ultra‐secure anti‐counterfeiting technologies.</w:t>
      </w:r>
    </w:p>
    <w:p>
      <w:pPr>
        <w:spacing w:before="120" w:after="120"/>
      </w:pPr>
      <w:r>
        <w:rPr>
          <w:sz w:val="18"/>
        </w:rPr>
        <w:t>——————————————————————————————————————————————————————————————————————</w:t>
      </w:r>
    </w:p>
    <w:p>
      <w:pPr>
        <w:spacing w:before="160" w:after="40" w:line="240" w:lineRule="auto"/>
      </w:pPr>
      <w:r>
        <w:rPr>
          <w:b/>
        </w:rPr>
        <w:t xml:space="preserve">[417] </w:t>
      </w:r>
      <w:hyperlink r:id="rId643">
        <w:r>
          <w:rPr>
            <w:color w:val="1155CC"/>
            <w:u w:val="single"/>
          </w:rPr>
          <w:t>超越氢封存:气相阶段的箱状酸聚集板制导自控</w:t>
        </w:r>
      </w:hyperlink>
    </w:p>
    <w:p>
      <w:pPr>
        <w:spacing w:before="0" w:after="80"/>
      </w:pPr>
      <w:r>
        <w:rPr>
          <w:i/>
          <w:sz w:val="20"/>
        </w:rPr>
        <w:t>EN: Beyond Hydrogen Bonding: π···π Stacking Directed Self‐Assembly of Carboxylic Acid Clusters in the Gas Phase</w:t>
      </w:r>
    </w:p>
    <w:p>
      <w:pPr>
        <w:spacing w:before="0" w:after="120"/>
      </w:pPr>
      <w:r>
        <w:rPr>
          <w:b/>
        </w:rPr>
        <w:t xml:space="preserve">Source: </w:t>
      </w:r>
      <w:r>
        <w:t>Wiley: Angewandte Chemie International Edition: Table of Contents</w:t>
      </w:r>
      <w:r>
        <w:t xml:space="preserve">    </w:t>
      </w:r>
      <w:r>
        <w:rPr>
          <w:b/>
        </w:rPr>
        <w:t xml:space="preserve">Pub date: </w:t>
      </w:r>
      <w:r>
        <w:t>2026-02-18 05:42:24+00:00</w:t>
      </w:r>
      <w:r>
        <w:t xml:space="preserve">    </w:t>
      </w:r>
      <w:r>
        <w:rPr>
          <w:b/>
        </w:rPr>
        <w:t xml:space="preserve">DOI: </w:t>
      </w:r>
      <w:hyperlink r:id="rId644">
        <w:r>
          <w:rPr>
            <w:color w:val="1155CC"/>
            <w:u w:val="single"/>
          </w:rPr>
          <w:t>10.1002/anie.202523854</w:t>
        </w:r>
      </w:hyperlink>
    </w:p>
    <w:p>
      <w:pPr>
        <w:spacing w:before="0" w:after="120"/>
      </w:pPr>
      <w:r>
        <w:rPr>
          <w:b/>
        </w:rPr>
        <w:t xml:space="preserve">Notes: </w:t>
      </w:r>
      <w:r>
        <w:t>abstract_source=crossref</w:t>
      </w:r>
    </w:p>
    <w:p>
      <w:pPr>
        <w:spacing w:before="0" w:after="80" w:lineRule="auto" w:line="276"/>
      </w:pPr>
      <w:r>
        <w:rPr>
          <w:b/>
        </w:rPr>
        <w:t xml:space="preserve">摘要（ZH）: </w:t>
      </w:r>
      <w:r>
        <w:t>化学盒状酸对大气化学产生关键影响,调制酸性、新粒子形成和气溶胶增长。-COOH组的氢化能力驱动着结构多样化气相组群与大气物种的组装。尽管数据很重要,但关于较大箱状酸的实验数据仍然有限,对其全球最低结构的计算预测也缺乏共识。在这里,我们使用高分辨率微波光谱来确定丙酸和丙酸组的几何特征,确定三个三基体和两个四基体。对总共34个分层进行了分析,以有力地证实集群结构。</w:t>
      </w:r>
    </w:p>
    <w:p>
      <w:pPr>
        <w:spacing w:before="0" w:after="200" w:lineRule="auto" w:line="276"/>
      </w:pPr>
      <w:r>
        <w:rPr>
          <w:b/>
        </w:rPr>
        <w:t xml:space="preserve">Abstract (EN): </w:t>
      </w:r>
      <w:r>
        <w:t>Carboxylic acids critically influence atmospheric chemistry by modulating acidity, new particle formation, and aerosol growth. The hydrogen‐bonding capability of the −COOH group drives the assembly of structurally diverse gas‐phase clusters with atmospheric species. Despite their importance, experimental data on larger carboxylic acid clusters remain limited, and computational predictions of their global minimum structures lack consensus. Here, we employ high‐resolution microwave spectroscopy to determine the geometries of formic acid and propiolic acid clusters, identifying three trimers and two tetramers. A total of 34 isotopologues were analyzed to robustly confirm the cluster structures. Symmetry‐adapted perturbation theory and many‐body expansion analyses demonstrate a fundamental transition in stabilization mechanisms: trimers rely on conventional hydrogen bonds, whereas tetramers exhibit cooperative π–π stacking interactions that drive a structural transformation from single‐layer to double‐layer architectures. These findings resolve long‐standing ambiguities in cluster configurations and establish essential benchmarks for modeling carboxylic acid‐driven atmospheric nucleation processes.</w:t>
      </w:r>
    </w:p>
    <w:p>
      <w:pPr>
        <w:spacing w:before="120" w:after="120"/>
      </w:pPr>
      <w:r>
        <w:rPr>
          <w:sz w:val="18"/>
        </w:rPr>
        <w:t>——————————————————————————————————————————————————————————————————————</w:t>
      </w:r>
    </w:p>
    <w:p>
      <w:pPr>
        <w:spacing w:before="160" w:after="40" w:line="240" w:lineRule="auto"/>
      </w:pPr>
      <w:r>
        <w:rPr>
          <w:b/>
        </w:rPr>
        <w:t xml:space="preserve">[418] </w:t>
      </w:r>
      <w:hyperlink r:id="rId645">
        <w:r>
          <w:rPr>
            <w:color w:val="1155CC"/>
            <w:u w:val="single"/>
          </w:rPr>
          <w:t>最佳选择云冷凝核心的替代物,减少气溶胶-球状气候力的不确定性</w:t>
        </w:r>
      </w:hyperlink>
    </w:p>
    <w:p>
      <w:pPr>
        <w:spacing w:before="0" w:after="80"/>
      </w:pPr>
      <w:r>
        <w:rPr>
          <w:i/>
          <w:sz w:val="20"/>
        </w:rPr>
        <w:t>EN: Optimal choice of proxy for cloud condensation nuclei reduces uncertainty in aerosol-cloud-climate forcing</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46">
        <w:r>
          <w:rPr>
            <w:color w:val="1155CC"/>
            <w:u w:val="single"/>
          </w:rPr>
          <w:t>10.1126/sciadv.aea4828</w:t>
        </w:r>
      </w:hyperlink>
    </w:p>
    <w:p>
      <w:pPr>
        <w:spacing w:before="0" w:after="120"/>
      </w:pPr>
      <w:r>
        <w:rPr>
          <w:b/>
        </w:rPr>
        <w:t xml:space="preserve">Notes: </w:t>
      </w:r>
      <w:r>
        <w:t>abstract_source=crossref</w:t>
      </w:r>
    </w:p>
    <w:p>
      <w:pPr>
        <w:spacing w:before="0" w:after="80" w:lineRule="auto" w:line="276"/>
      </w:pPr>
      <w:r>
        <w:rPr>
          <w:b/>
        </w:rPr>
        <w:t xml:space="preserve">摘要（ZH）: </w:t>
      </w:r>
      <w:r>
        <w:t>气溶胶-球球相互作用(ACI)仍然是人为气候强制力的最大不确定因素。基于观测的对来自ACI(RF aci;Twome效应)的即时辐射力的观测估计值(ACI;RF aci;Twome 效应)依赖于将气溶胶数量选择为云凝聚核心浓度的替代物,而云凝聚核心(CCN)浓度在代表云基CCN的能力和数据准确性方面有差异。我们使用不同的观测和气溶胶-气候模型,用两种独立的方法评估不同代理人的效用。两种方法都表明,表CCN在预测RFaci(+5%)方面表现出最小的偏差,其次是气溶胶指数、表硫酸盐和CCN柱,其偏差为+25%,而气溶胶光学则呈现最小的偏差。</w:t>
      </w:r>
    </w:p>
    <w:p>
      <w:pPr>
        <w:spacing w:before="0" w:after="200" w:lineRule="auto" w:line="276"/>
      </w:pPr>
      <w:r>
        <w:rPr>
          <w:b/>
        </w:rPr>
        <w:t xml:space="preserve">Abstract (EN): </w:t>
      </w:r>
      <w:r>
        <w:t>Aerosol-cloud interactions (ACI) remain the largest uncertainty in anthropogenic climate forcings. Observation-based estimates of instantaneous radiative forcing from ACI (RF</w:t>
      </w:r>
      <w:r>
        <w:t xml:space="preserve"> </w:t>
      </w:r>
      <w:r>
        <w:t>aci</w:t>
      </w:r>
      <w:r>
        <w:t xml:space="preserve"> </w:t>
      </w:r>
      <w:r>
        <w:t>; the Twomey effect) rely on the choice of aerosol quantities as proxies for cloud condensation nuclei (CCN) concentrations, which differ in their ability to represent cloud-base CCN and data accuracy. Using diverse observations and aerosol-climate models, we evaluate the utility of different proxies with two independent approaches. Both approaches reveal that surface CCN exhibits the smallest bias in predicting RF</w:t>
      </w:r>
      <w:r>
        <w:t xml:space="preserve"> </w:t>
      </w:r>
      <w:r>
        <w:t>aci</w:t>
      </w:r>
      <w:r>
        <w:t xml:space="preserve"> </w:t>
      </w:r>
      <w:r>
        <w:t>(+5%), followed by aerosol index, surface sulfate and column CCN with similar biases of +25%, while aerosol optical depth and column sulfate show the largest biases (−60% and +92%). Constraining RF</w:t>
      </w:r>
      <w:r>
        <w:t xml:space="preserve"> </w:t>
      </w:r>
      <w:r>
        <w:t>aci</w:t>
      </w:r>
      <w:r>
        <w:t xml:space="preserve"> </w:t>
      </w:r>
      <w:r>
        <w:t>with the optimal proxy reduces uncertainty from 66 to 43%, yielding a less negative RF</w:t>
      </w:r>
      <w:r>
        <w:t xml:space="preserve"> </w:t>
      </w:r>
      <w:r>
        <w:t>aci</w:t>
      </w:r>
      <w:r>
        <w:t xml:space="preserve"> </w:t>
      </w:r>
      <w:r>
        <w:t>(−1.0 W m</w:t>
      </w:r>
      <w:r>
        <w:t xml:space="preserve"> </w:t>
      </w:r>
      <w:r>
        <w:t>−2</w:t>
      </w:r>
      <w:r>
        <w:t xml:space="preserve"> </w:t>
      </w:r>
      <w:r>
        <w:t>) than the unconstrained case (−1.2 W m</w:t>
      </w:r>
      <w:r>
        <w:t xml:space="preserve"> </w:t>
      </w:r>
      <w:r>
        <w:t>−2</w:t>
      </w:r>
      <w:r>
        <w:t xml:space="preserve"> </w:t>
      </w:r>
      <w:r>
        <w:t>). Our findings highlight the crucial role of proxy constraint in reconciling and improving RF</w:t>
      </w:r>
      <w:r>
        <w:t xml:space="preserve"> </w:t>
      </w:r>
      <w:r>
        <w:t>aci</w:t>
      </w:r>
      <w:r>
        <w:t xml:space="preserve"> </w:t>
      </w:r>
      <w:r>
        <w:t>estimates.</w:t>
      </w:r>
    </w:p>
    <w:p>
      <w:pPr>
        <w:spacing w:before="120" w:after="120"/>
      </w:pPr>
      <w:r>
        <w:rPr>
          <w:sz w:val="18"/>
        </w:rPr>
        <w:t>——————————————————————————————————————————————————————————————————————</w:t>
      </w:r>
    </w:p>
    <w:p>
      <w:pPr>
        <w:spacing w:before="160" w:after="40" w:line="240" w:lineRule="auto"/>
      </w:pPr>
      <w:r>
        <w:rPr>
          <w:b/>
        </w:rPr>
        <w:t xml:space="preserve">[419] </w:t>
      </w:r>
      <w:hyperlink r:id="rId647">
        <w:r>
          <w:rPr>
            <w:color w:val="1155CC"/>
            <w:u w:val="single"/>
          </w:rPr>
          <w:t>REXO4-RNaseH1 - 中介内分流和外分裂混合模式的REXO4-RNaseH1路环处理可防止基因组不稳定和抗突触免疫</w:t>
        </w:r>
      </w:hyperlink>
    </w:p>
    <w:p>
      <w:pPr>
        <w:spacing w:before="0" w:after="80"/>
      </w:pPr>
      <w:r>
        <w:rPr>
          <w:i/>
          <w:sz w:val="20"/>
        </w:rPr>
        <w:t>EN: R-loop processing via REXO4-RNaseH1–mediated endo- and exo-cleavage coupling mode prevents genome instability and antitumor immunity</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48">
        <w:r>
          <w:rPr>
            <w:color w:val="1155CC"/>
            <w:u w:val="single"/>
          </w:rPr>
          <w:t>10.1126/sciadv.aeb4937</w:t>
        </w:r>
      </w:hyperlink>
    </w:p>
    <w:p>
      <w:pPr>
        <w:spacing w:before="0" w:after="120"/>
      </w:pPr>
      <w:r>
        <w:rPr>
          <w:b/>
        </w:rPr>
        <w:t xml:space="preserve">Notes: </w:t>
      </w:r>
      <w:r>
        <w:t>abstract_source=crossref</w:t>
      </w:r>
    </w:p>
    <w:p>
      <w:pPr>
        <w:spacing w:before="0" w:after="80" w:lineRule="auto" w:line="276"/>
      </w:pPr>
      <w:r>
        <w:rPr>
          <w:b/>
        </w:rPr>
        <w:t xml:space="preserve">摘要（ZH）: </w:t>
      </w:r>
      <w:r>
        <w:t>R-loop新陈代谢与基因组稳定性和肿瘤密切相关。在这里,我们确定了一个Exonuclease REXO4,它与RNaseH1 内分泌线以“内分泌/外分泌结合”的方式合作降解R-loops。具体地说,REXO4通过它的3'-5'exonuclease 活动,直接降解R-nicks的RNA线端或内分泌线,刺激RNaseH1 内分泌活动。REXO4 管制的全基因组R-loop区域与RNaseH1 和REXO4 过度表态控制的区域高度重叠,对抗RNaseH1 缺陷造成的整个基因组的R-loop累积。此外,REXO4-deficient肿瘤显示高R-loop突变负担,REXO4 酶区域由肿瘤引起的突变,所有这些都妨碍REXO4 内分泌活动。此外,我们确定了一个折合体。</w:t>
      </w:r>
    </w:p>
    <w:p>
      <w:pPr>
        <w:spacing w:before="0" w:after="200" w:lineRule="auto" w:line="276"/>
      </w:pPr>
      <w:r>
        <w:rPr>
          <w:b/>
        </w:rPr>
        <w:t xml:space="preserve">Abstract (EN): </w:t>
      </w:r>
      <w:r>
        <w:t>R-loop metabolism is closely associated with genome stability and tumors. Here, we identify an exonuclease REXO4, which collaborates with RNaseH1 endonuclease to degrade R-loops in an “endo/exo-cleavage coupling” manner. Specifically, REXO4 directly degrades the RNA strand in R-loops from the end or internal nick through its 3′-5′ exonuclease activity and stimulates RNaseH1 endonuclease activity. The genome-wide R-loop regions regulated by REXO4 highly overlap with those regulated by RNaseH1, and REXO4 overexpression counteracts genome-wide R-loop accumulation caused by RNaseH1 deficiency. Furthermore, REXO4-deficient tumors display elevated R-loop mutation burden, and tumor patient-derived mutations in REXO4 enzymatic region all impair R-loop cleavage activity. Besides, we identify a compound 17 (named REXO4-IN-17) capable of inhibiting REXO4 nuclease activity. Interfering with REXO4 increases the sensitivity of tumor cells to alkylating and G4 stabilizing chemotherapeutic drugs and activates cGAS-mediated antitumor immunity. Therefore, our study proposes an endo/exo-cleavage coupling the R-loop processing model, which provides additional insights into the link between R-loop–associated genome instability, antitumor immunity, and tumors.</w:t>
      </w:r>
    </w:p>
    <w:p>
      <w:pPr>
        <w:spacing w:before="120" w:after="120"/>
      </w:pPr>
      <w:r>
        <w:rPr>
          <w:sz w:val="18"/>
        </w:rPr>
        <w:t>——————————————————————————————————————————————————————————————————————</w:t>
      </w:r>
    </w:p>
    <w:p>
      <w:pPr>
        <w:spacing w:before="160" w:after="40" w:line="240" w:lineRule="auto"/>
      </w:pPr>
      <w:r>
        <w:rPr>
          <w:b/>
        </w:rPr>
        <w:t xml:space="preserve">[420] </w:t>
      </w:r>
      <w:hyperlink r:id="rId649">
        <w:r>
          <w:rPr>
            <w:color w:val="1155CC"/>
            <w:u w:val="single"/>
          </w:rPr>
          <w:t>转基因蛋白质介质介质 -- -- 巴萨复合复合组装和在疟疾寄生虫中个别女儿细胞形成</w:t>
        </w:r>
      </w:hyperlink>
    </w:p>
    <w:p>
      <w:pPr>
        <w:spacing w:before="0" w:after="80"/>
      </w:pPr>
      <w:r>
        <w:rPr>
          <w:i/>
          <w:sz w:val="20"/>
        </w:rPr>
        <w:t>EN: Transmembrane proteins mediate basal complex assembly and individual daughter cell formation in malaria parasites</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50">
        <w:r>
          <w:rPr>
            <w:color w:val="1155CC"/>
            <w:u w:val="single"/>
          </w:rPr>
          <w:t>10.1126/sciadv.aeb5163</w:t>
        </w:r>
      </w:hyperlink>
    </w:p>
    <w:p>
      <w:pPr>
        <w:spacing w:before="0" w:after="120"/>
      </w:pPr>
      <w:r>
        <w:rPr>
          <w:b/>
        </w:rPr>
        <w:t xml:space="preserve">Notes: </w:t>
      </w:r>
      <w:r>
        <w:t>abstract_source=crossref</w:t>
      </w:r>
    </w:p>
    <w:p>
      <w:pPr>
        <w:spacing w:before="0" w:after="80" w:lineRule="auto" w:line="276"/>
      </w:pPr>
      <w:r>
        <w:rPr>
          <w:b/>
        </w:rPr>
        <w:t xml:space="preserve">摘要（ZH）: </w:t>
      </w:r>
      <w:r>
        <w:t>疟疾寄生虫的性生殖需要玄武综合体,相当于一个乳胶粘结环。尽管它具有中心作用,但玄武复杂的生物起源仍基本上不为人所知。在这里,我们使用放大显微镜和DNA积聚点进行纳米地形成像,以调查Falciparum-Basal复合转基因蛋白1(BTP1)、BTP2和Bassosoparal扩展边界1(BBB)中的三种转基因复合蛋白质。缺乏BTP2的寄生虫仍然被薄膜包住,但无法相互分离,导致多机体变异体。我们在岩层复杂发育过程中将缺陷隔离到一个具体的步骤,并证明合同能力保持不变。通过重新审视BLB, ww。</w:t>
      </w:r>
    </w:p>
    <w:p>
      <w:pPr>
        <w:spacing w:before="0" w:after="200" w:lineRule="auto" w:line="276"/>
      </w:pPr>
      <w:r>
        <w:rPr>
          <w:b/>
        </w:rPr>
        <w:t xml:space="preserve">Abstract (EN): </w:t>
      </w:r>
      <w:r>
        <w:t>Asexual reproduction of malaria parasites requires the basal complex, the equivalent of a eukaryotic contractile ring. Despite its central role, basal complex biogenesis remains largely unknown. Here, we use expansion microscopy and DNA points accumulation for imaging in nanoscale topography to investigate three transmembrane basal complex proteins in</w:t>
      </w:r>
      <w:r>
        <w:t xml:space="preserve"> </w:t>
      </w:r>
      <w:r>
        <w:t>Plasmodium falciparum</w:t>
      </w:r>
      <w:r>
        <w:t xml:space="preserve"> </w:t>
      </w:r>
      <w:r>
        <w:t>—basal complex transmembrane protein 1 (BTP1), BTP2, and basolateral expansion boundary (BLEB). Parasites lacking BTP2 are still enveloped by membranes but fail to separate from each other, resulting in multiorganellar mutants. We isolate the defect to a specific step during basal complex development and demonstrate that the contractile ability remains intact. By revisiting BLEB, we identify a distinct plasma membrane region that is excluded from daughter cells and associated with the basal complex. Integrating these findings, we propose a three-step model for basal complex biogenesis that highlights the specific role of BTP2 and suggests a role for the BLEB-associated membrane. This study offers a mechanistic framework for how multiple daughter cells are formed simultaneously and highlights the importance of transmembrane proteins for cell division.</w:t>
      </w:r>
    </w:p>
    <w:p>
      <w:pPr>
        <w:spacing w:before="120" w:after="120"/>
      </w:pPr>
      <w:r>
        <w:rPr>
          <w:sz w:val="18"/>
        </w:rPr>
        <w:t>——————————————————————————————————————————————————————————————————————</w:t>
      </w:r>
    </w:p>
    <w:p>
      <w:pPr>
        <w:spacing w:before="160" w:after="40" w:line="240" w:lineRule="auto"/>
      </w:pPr>
      <w:r>
        <w:rPr>
          <w:b/>
        </w:rPr>
        <w:t xml:space="preserve">[421] </w:t>
      </w:r>
      <w:hyperlink r:id="rId651">
        <w:r>
          <w:rPr>
            <w:color w:val="1155CC"/>
            <w:u w:val="single"/>
          </w:rPr>
          <w:t>强富简介</w:t>
        </w:r>
      </w:hyperlink>
    </w:p>
    <w:p>
      <w:pPr>
        <w:spacing w:before="0" w:after="80"/>
      </w:pPr>
      <w:r>
        <w:rPr>
          <w:i/>
          <w:sz w:val="20"/>
        </w:rPr>
        <w:t>EN: Profile of Qiang Fu</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52">
        <w:r>
          <w:rPr>
            <w:color w:val="1155CC"/>
            <w:u w:val="single"/>
          </w:rPr>
          <w:t>10.1073/pnas.2601483123</w:t>
        </w:r>
      </w:hyperlink>
    </w:p>
    <w:p>
      <w:pPr>
        <w:spacing w:before="0" w:after="120"/>
      </w:pPr>
      <w:r>
        <w:rPr>
          <w:b/>
        </w:rPr>
        <w:t xml:space="preserve">Notes: </w:t>
      </w:r>
      <w:r>
        <w:t>abstract_source=crossref</w:t>
      </w:r>
    </w:p>
    <w:p>
      <w:pPr>
        <w:spacing w:before="0" w:after="80" w:lineRule="auto" w:line="276"/>
      </w:pPr>
      <w:r>
        <w:rPr>
          <w:b/>
        </w:rPr>
        <w:t xml:space="preserve">摘要（ZH）: </w:t>
      </w:r>
      <w:r>
        <w:t>大气科学家强富利用卫星观测、数字模拟和理论分析来调查大气不同层的变化及其循环如何与气候变化相关联。富富在其职业生涯初期就提高了对地球大气辐射转移的理解和建模。他最近关于平流层大气物质和化学物种的人类圈交流的研究中心。 在2024年当选国家科学院的创始文章Fu中,他利用卫星观测来跟踪平流层的甲烷损失,并表明模型低估了这种温室气体的损失。</w:t>
      </w:r>
    </w:p>
    <w:p>
      <w:pPr>
        <w:spacing w:before="0" w:after="200" w:lineRule="auto" w:line="276"/>
      </w:pPr>
      <w:r>
        <w:rPr>
          <w:b/>
        </w:rPr>
        <w:t xml:space="preserve">Abstract (EN): </w:t>
      </w:r>
      <w:r>
        <w:t>Atmospheric scientist Qiang Fu uses satellite observations, numerical simulations, and theoretical analysis to investigate how changes across different layers of the atmosphere—and their circulation—are linked to climate change. Early in his career, Fu advanced the understanding and modeling of radiative transfer in Earth’s atmosphere. His recent research centers on stratosphere–troposphere exchanges of air masses and chemical species. In his Inaugural Article Fu, elected to the National Academy of Sciences in 2024, uses satellite observations to track methane loss from the stratosphere and shows that models underestimate the loss of this greenhouse gas.</w:t>
      </w:r>
    </w:p>
    <w:p>
      <w:pPr>
        <w:spacing w:before="120" w:after="120"/>
      </w:pPr>
      <w:r>
        <w:rPr>
          <w:sz w:val="18"/>
        </w:rPr>
        <w:t>——————————————————————————————————————————————————————————————————————</w:t>
      </w:r>
    </w:p>
    <w:p>
      <w:pPr>
        <w:spacing w:before="160" w:after="40" w:line="240" w:lineRule="auto"/>
      </w:pPr>
      <w:r>
        <w:rPr>
          <w:b/>
        </w:rPr>
        <w:t xml:space="preserve">[422] </w:t>
      </w:r>
      <w:hyperlink r:id="rId653">
        <w:r>
          <w:rPr>
            <w:color w:val="1155CC"/>
            <w:u w:val="single"/>
          </w:rPr>
          <w:t>通过树木看到森林:协调与感染有关的慢性病研究</w:t>
        </w:r>
      </w:hyperlink>
    </w:p>
    <w:p>
      <w:pPr>
        <w:spacing w:before="0" w:after="80"/>
      </w:pPr>
      <w:r>
        <w:rPr>
          <w:i/>
          <w:sz w:val="20"/>
        </w:rPr>
        <w:t>EN: Seeing the forest through the trees: Harmonizing infection-associated chronic illnesses research</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54">
        <w:r>
          <w:rPr>
            <w:color w:val="1155CC"/>
            <w:u w:val="single"/>
          </w:rPr>
          <w:t>10.1073/pnas.2600628123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[423] </w:t>
      </w:r>
      <w:hyperlink r:id="rId655">
        <w:r>
          <w:rPr>
            <w:color w:val="1155CC"/>
            <w:u w:val="single"/>
          </w:rPr>
          <w:t>通过振动和振动光子成像“直接”测量离地分子振动波函数的“直接”测量</w:t>
        </w:r>
      </w:hyperlink>
    </w:p>
    <w:p>
      <w:pPr>
        <w:spacing w:before="0" w:after="80"/>
      </w:pPr>
      <w:r>
        <w:rPr>
          <w:i/>
          <w:sz w:val="20"/>
        </w:rPr>
        <w:t>EN: “Direct” measurement of delocalized molecular excitonic wave functions through excitonic and vibronic photon imaging</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56">
        <w:r>
          <w:rPr>
            <w:color w:val="1155CC"/>
            <w:u w:val="single"/>
          </w:rPr>
          <w:t>10.1126/sciadv.aeb6389</w:t>
        </w:r>
      </w:hyperlink>
    </w:p>
    <w:p>
      <w:pPr>
        <w:spacing w:before="0" w:after="120"/>
      </w:pPr>
      <w:r>
        <w:rPr>
          <w:b/>
        </w:rPr>
        <w:t xml:space="preserve">Notes: </w:t>
      </w:r>
      <w:r>
        <w:t>abstract_source=crossref</w:t>
      </w:r>
    </w:p>
    <w:p>
      <w:pPr>
        <w:spacing w:before="0" w:after="80" w:lineRule="auto" w:line="276"/>
      </w:pPr>
      <w:r>
        <w:rPr>
          <w:b/>
        </w:rPr>
        <w:t xml:space="preserve">摘要（ZH）: </w:t>
      </w:r>
      <w:r>
        <w:t>分子材料的光电子特性受去本地化的异质特性支配,然而其波的波函数的实时空间重建 — — 振幅和相相的空间分布 — — 仍然是长期的科学目标。 在这里,我们证明扫描隧道显微镜扫描 — — 诱发的发光能够使分子链中振幅和异地异地状态的实时空间重建。 通过线性分子链的子气分解光成像,一致的纯振动(0-0)排放模式揭示了波函数的相对阶段,而不相容的振动(0-1)排放模式则绘制了方形波函数振动图。 这一近地技术使得光线性超辐照状态和光性黑暗苏的波函数重建得以进行。</w:t>
      </w:r>
    </w:p>
    <w:p>
      <w:pPr>
        <w:spacing w:before="0" w:after="200" w:lineRule="auto" w:line="276"/>
      </w:pPr>
      <w:r>
        <w:rPr>
          <w:b/>
        </w:rPr>
        <w:t xml:space="preserve">Abstract (EN): </w:t>
      </w:r>
      <w:r>
        <w:t>Delocalized excitons govern the optoelectronic properties of molecular materials, yet the real-space reconstruction of their wave functions—the spatial distribution of amplitude and phase—has remained a long-standing scientific goal. Here, we demonstrate that scanning tunneling microscopy–induced luminescence enables real-space reconstruction of amplitude and phase of delocalized excitonic states in molecular chains. Through subnanometer-resolved photon imaging of linear molecular chains, coherent purely excitonic (0–0) emission patterns reveal the wave function’s relative phases, while incoherent vibronic (0–1) emission maps the squared wave function amplitudes. This near-field technique enables the reconstruction of wave functions for both bright superradiant states and optically dark subradiant states inaccessible by conventional far-field optics. Furthermore, the submolecular resolution of the vibronic maps allows for the contributions of different vibrational symmetries, namely, Franck-Condon and Herzberg-Teller modes, to be distinguished. Our findings establish a unique approach for the excitonic wave function reconstruction and open a route for exploring exciton dynamics and interactions in molecular systems.</w:t>
      </w:r>
    </w:p>
    <w:p>
      <w:pPr>
        <w:spacing w:before="120" w:after="120"/>
      </w:pPr>
      <w:r>
        <w:rPr>
          <w:sz w:val="18"/>
        </w:rPr>
        <w:t>——————————————————————————————————————————————————————————————————————</w:t>
      </w:r>
    </w:p>
    <w:p>
      <w:pPr>
        <w:spacing w:before="160" w:after="40" w:line="240" w:lineRule="auto"/>
      </w:pPr>
      <w:r>
        <w:rPr>
          <w:b/>
        </w:rPr>
        <w:t xml:space="preserve">[424] </w:t>
      </w:r>
      <w:hyperlink r:id="rId657">
        <w:r>
          <w:rPr>
            <w:color w:val="1155CC"/>
            <w:u w:val="single"/>
          </w:rPr>
          <w:t>为了保持植物细胞分部相对于细胞几何的定向,需要以细胞元体来保持细胞细胞元件的外向。</w:t>
        </w:r>
      </w:hyperlink>
    </w:p>
    <w:p>
      <w:pPr>
        <w:spacing w:before="0" w:after="80"/>
      </w:pPr>
      <w:r>
        <w:rPr>
          <w:i/>
          <w:sz w:val="20"/>
        </w:rPr>
        <w:t>EN: The actin cytoskeleton is required to maintain plant cell division orientation against cellular geometry</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58">
        <w:r>
          <w:rPr>
            <w:color w:val="1155CC"/>
            <w:u w:val="single"/>
          </w:rPr>
          <w:t>10.1126/sciadv.aeb8498</w:t>
        </w:r>
      </w:hyperlink>
    </w:p>
    <w:p>
      <w:pPr>
        <w:spacing w:before="0" w:after="120"/>
      </w:pPr>
      <w:r>
        <w:rPr>
          <w:b/>
        </w:rPr>
        <w:t xml:space="preserve">Notes: </w:t>
      </w:r>
      <w:r>
        <w:t>abstract_source=crossref</w:t>
      </w:r>
    </w:p>
    <w:p>
      <w:pPr>
        <w:spacing w:before="0" w:after="80" w:lineRule="auto" w:line="276"/>
      </w:pPr>
      <w:r>
        <w:rPr>
          <w:b/>
        </w:rPr>
        <w:t xml:space="preserve">摘要（ZH）: </w:t>
      </w:r>
      <w:r>
        <w:t>在多细胞生物中,细胞分裂形状组织结构、细胞特征和功能。在植物等挂墙生物中,分裂平面方向不可逆转地界定组织地形,并受到严格管制。虽然分裂往往遵循包含细胞体积的最短路径,但某些细胞偏移,与生长轴垂直分割。提出了组织规模的机械压力来指导这种方向,但这些信号是如何结合的,仍然不清楚。在这里,我们重新审视行为细胞骨质素在引导阿拉伯-阿拉伯-阿拉伯-亚洲-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阿拉伯</w:t>
      </w:r>
    </w:p>
    <w:p>
      <w:pPr>
        <w:spacing w:before="0" w:after="200" w:lineRule="auto" w:line="276"/>
      </w:pPr>
      <w:r>
        <w:rPr>
          <w:b/>
        </w:rPr>
        <w:t xml:space="preserve">Abstract (EN): </w:t>
      </w:r>
      <w:r>
        <w:t>In multicellular organisms, cell division shapes tissue architecture, cell identity, and function. In walled organisms like plants, division plane orientation irreversibly defines tissue topology and is tightly regulated. While divisions often follow the shortest path enclosing cell volume, certain cells deviate, dividing perpendicular to the growth axis. Tissue-scale mechanical stress has been proposed to guide such orientation, but how these cues are integrated remains unclear. Here, we reexamine the role of the actin cytoskeleton in orienting cell division in</w:t>
      </w:r>
      <w:r>
        <w:t xml:space="preserve"> </w:t>
      </w:r>
      <w:r>
        <w:t>Arabidopsis</w:t>
      </w:r>
      <w:r>
        <w:t xml:space="preserve"> </w:t>
      </w:r>
      <w:r>
        <w:t>root epidermis. Combining cell biology, genetics, pharmacological treatments, 3D segmentation, and modeling, we show that actin is a central molecular actor required to establish cell division orientation against the geometrical rules, highlighting its role in integrating spatial information.</w:t>
      </w:r>
    </w:p>
    <w:p>
      <w:pPr>
        <w:spacing w:before="120" w:after="120"/>
      </w:pPr>
      <w:r>
        <w:rPr>
          <w:sz w:val="18"/>
        </w:rPr>
        <w:t>——————————————————————————————————————————————————————————————————————</w:t>
      </w:r>
    </w:p>
    <w:p>
      <w:pPr>
        <w:spacing w:before="160" w:after="40" w:line="240" w:lineRule="auto"/>
      </w:pPr>
      <w:r>
        <w:rPr>
          <w:b/>
        </w:rPr>
        <w:t xml:space="preserve">[425] </w:t>
      </w:r>
      <w:hyperlink r:id="rId659">
        <w:r>
          <w:rPr>
            <w:color w:val="1155CC"/>
            <w:u w:val="single"/>
          </w:rPr>
          <w:t>对Fernández-Quevedo García等人的答复:分相分离的活性布朗微粒中的表面张力</w:t>
        </w:r>
      </w:hyperlink>
    </w:p>
    <w:p>
      <w:pPr>
        <w:spacing w:before="0" w:after="80"/>
      </w:pPr>
      <w:r>
        <w:rPr>
          <w:i/>
          <w:sz w:val="20"/>
        </w:rPr>
        <w:t>EN: Reply to Fernández-Quevedo García et al.: Surface tension in phase-separated active Brownian particles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60">
        <w:r>
          <w:rPr>
            <w:color w:val="1155CC"/>
            <w:u w:val="single"/>
          </w:rPr>
          <w:t>10.1073/pnas.2537940123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[426] </w:t>
      </w:r>
      <w:hyperlink r:id="rId661">
        <w:r>
          <w:rPr>
            <w:color w:val="1155CC"/>
            <w:u w:val="single"/>
          </w:rPr>
          <w:t>对Van der Stigchel等人的答复:经验证据,证明AI调查污染是真实和实质性的</w:t>
        </w:r>
      </w:hyperlink>
    </w:p>
    <w:p>
      <w:pPr>
        <w:spacing w:before="0" w:after="80"/>
      </w:pPr>
      <w:r>
        <w:rPr>
          <w:i/>
          <w:sz w:val="20"/>
        </w:rPr>
        <w:t>EN: Reply to Van der Stigchel et al.: Empirical evidence that AI survey contamination is real and substantial</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62">
        <w:r>
          <w:rPr>
            <w:color w:val="1155CC"/>
            <w:u w:val="single"/>
          </w:rPr>
          <w:t>10.1073/pnas.2537420123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[427] </w:t>
      </w:r>
      <w:hyperlink r:id="rId663">
        <w:r>
          <w:rPr>
            <w:color w:val="1155CC"/>
            <w:u w:val="single"/>
          </w:rPr>
          <w:t>YAP1/pSTAT3/NRP1轴在渗透感官神经中被激活,可促进圆形愈合</w:t>
        </w:r>
      </w:hyperlink>
    </w:p>
    <w:p>
      <w:pPr>
        <w:spacing w:before="0" w:after="80"/>
      </w:pPr>
      <w:r>
        <w:rPr>
          <w:i/>
          <w:sz w:val="20"/>
        </w:rPr>
        <w:t>EN: Activation of the YAP1/pSTAT3/NRP1 axis in peritendinous sensory nerves promotes tendon healing</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64">
        <w:r>
          <w:rPr>
            <w:color w:val="1155CC"/>
            <w:u w:val="single"/>
          </w:rPr>
          <w:t>10.1126/sciadv.aec1272</w:t>
        </w:r>
      </w:hyperlink>
    </w:p>
    <w:p>
      <w:pPr>
        <w:spacing w:before="0" w:after="120"/>
      </w:pPr>
      <w:r>
        <w:rPr>
          <w:b/>
        </w:rPr>
        <w:t xml:space="preserve">Notes: </w:t>
      </w:r>
      <w:r>
        <w:t>abstract_source=crossref</w:t>
      </w:r>
    </w:p>
    <w:p>
      <w:pPr>
        <w:spacing w:before="0" w:after="80" w:lineRule="auto" w:line="276"/>
      </w:pPr>
      <w:r>
        <w:rPr>
          <w:b/>
        </w:rPr>
        <w:t xml:space="preserve">摘要（ZH）: </w:t>
      </w:r>
      <w:r>
        <w:t>皮肤神经过敏神经的化学迁移对于发酵至关重要,但潜在的神经电能机制仍然不清楚。 在这里,我们确定了一种对电反应灵切异相关蛋白1(YAP1)/磷色化信号传感器3转录器(pSTAT3)/Neuropilin-1(NRP1)信号轴在感官神经元中的活化器。 电动刺激能增强YAP1-pSTAT3的相互作用,促进PSTAT3核转移和转录活动,并更新NRP1,以支持与卡西宁基因有关的PEP(CGRP)-阳性感官纤维的生长。 根据这些发现,我们设计了一个双功能极电极电路板,由多(维基二氟-三氟乙烯)[P(VDF-TrFE)]和再生丝纤维@poly(3,4-乙基二氧基苯):</w:t>
      </w:r>
    </w:p>
    <w:p>
      <w:pPr>
        <w:spacing w:before="0" w:after="200" w:lineRule="auto" w:line="276"/>
      </w:pPr>
      <w:r>
        <w:rPr>
          <w:b/>
        </w:rPr>
        <w:t xml:space="preserve">Abstract (EN): </w:t>
      </w:r>
      <w:r>
        <w:t>Chemotactic migration of peritendinous nerves is essential for tendon regeneration, yet the underlying neuroelectrical mechanisms remain unclear. Here, we identify an electrically responsive yes-associated protein 1 (YAP1)/phosphorylated signal transducer and activator of transcription 3 (pSTAT3)/neuropilin-1 (NRP1) signaling axis in sensory neurons. Electrical stimulation enhances YAP1-pSTAT3 interaction, promotes pSTAT3 nuclear translocation and transcriptional activity, and up-regulates NRP1 to support growth of calcitonin gene-related peptide (CGRP)–positive sensory fibers. Guided by these findings, we engineered a bifunctional piezoelectric patch composed of poly(vinylidene difluoride-trifluoroethylene) [P(VDF-TrFE)] and regenerated silk fibroin@poly(3,4-ethylenedioxythiophene):polystyrene sulfonate (RSF@P:P), coupling mechanically induced electrical cues with dynamic lubrication. Under ultrasound activation, the P(VDF-TrFE) layer generates localized electrical signals that facilitate sensory-nerve and vascular ingrowth, while the RSF@P:P layer undergoes piezoelectric-triggered gel-sol transition to form a low-friction interface and reduce adhesion. In rat and Bama minipig models, the patch markedly enhanced tendon regeneration and decreased adhesion scores by ~50%. These findings establish a neuroelectrically guided strategy for enhancing tendon healing.</w:t>
      </w:r>
    </w:p>
    <w:p>
      <w:pPr>
        <w:spacing w:before="120" w:after="120"/>
      </w:pPr>
      <w:r>
        <w:rPr>
          <w:sz w:val="18"/>
        </w:rPr>
        <w:t>——————————————————————————————————————————————————————————————————————</w:t>
      </w:r>
    </w:p>
    <w:p>
      <w:pPr>
        <w:spacing w:before="160" w:after="40" w:line="240" w:lineRule="auto"/>
      </w:pPr>
      <w:r>
        <w:rPr>
          <w:b/>
        </w:rPr>
        <w:t xml:space="preserve">[428] </w:t>
      </w:r>
      <w:hyperlink r:id="rId665">
        <w:r>
          <w:rPr>
            <w:color w:val="1155CC"/>
            <w:u w:val="single"/>
          </w:rPr>
          <w:t>Au-Ag-Ag 用于综合变力系统ERS和生物电传的生物电传</w:t>
        </w:r>
      </w:hyperlink>
    </w:p>
    <w:p>
      <w:pPr>
        <w:spacing w:before="0" w:after="80"/>
      </w:pPr>
      <w:r>
        <w:rPr>
          <w:i/>
          <w:sz w:val="20"/>
        </w:rPr>
        <w:t>EN: Morphology-adaptive Au-Ag nanowire elastronics for integrated FlexoSERS and bioelectrical sensing</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66">
        <w:r>
          <w:rPr>
            <w:color w:val="1155CC"/>
            <w:u w:val="single"/>
          </w:rPr>
          <w:t>10.1126/sciadv.aec2162</w:t>
        </w:r>
      </w:hyperlink>
    </w:p>
    <w:p>
      <w:pPr>
        <w:spacing w:before="0" w:after="120"/>
      </w:pPr>
      <w:r>
        <w:rPr>
          <w:b/>
        </w:rPr>
        <w:t xml:space="preserve">Notes: </w:t>
      </w:r>
      <w:r>
        <w:t>abstract_source=crossref</w:t>
      </w:r>
    </w:p>
    <w:p>
      <w:pPr>
        <w:spacing w:before="0" w:after="80" w:lineRule="auto" w:line="276"/>
      </w:pPr>
      <w:r>
        <w:rPr>
          <w:b/>
        </w:rPr>
        <w:t xml:space="preserve">摘要（ZH）: </w:t>
      </w:r>
      <w:r>
        <w:t>我们引入了符合多种不同地形的形态适应型Au-Ag纳米电线弹性板平台,同时有利于多式光电感测。使用简单而多功能的模板引导增长战略,垂直对齐的Au-Ag纳米电线阵列直接制造在1D纳米/微型针、2D弹性胶片和3D多孔结构上。在2D基质上,这些阵列作为FlexosERS的界面,与高度敏感、统一(RSD=7.2%)和耐久性、稳定SERS信号维持在100 % 强度之下和 2500 个周期之后。在3D多孔的海绵上,核武器作为干生物电极,使稳定的心电图(ECG)和电图(EMG)监测能够长期稳定。连续的ECG记录与深层学习分析相结合,使Accucu</w:t>
      </w:r>
    </w:p>
    <w:p>
      <w:pPr>
        <w:spacing w:before="0" w:after="200" w:lineRule="auto" w:line="276"/>
      </w:pPr>
      <w:r>
        <w:rPr>
          <w:b/>
        </w:rPr>
        <w:t xml:space="preserve">Abstract (EN): </w:t>
      </w:r>
      <w:r>
        <w:t>We introduce a morphology-adaptive Au-Ag nanowire elastronic platform that conforms to diverse geometries while enabling multimodal optical-electrical sensing. Using a facile yet versatile template-guided growth strategy, vertically aligned Au-Ag nanowire arrays are directly fabricated on 1D nano/microneedles, 2D elastic films, and 3D porous architectures. On 2D substrates, the arrays act as FlexoSERS interfaces with high sensitivity, uniformity (RSD = 7.2%), and durability, maintaining stable SERS signals under 100% strain and after 2500 cycles. On 3D porous sponges, the NWs serve as dry bioelectrical electrodes, enabling stable electrocardiogram (ECG) and electromyogram (EMG) monitoring with long-term stability. Continuous ECG recording, combined with deep learning analysis, enables accurate classification between sleep and wake states. Meanwhile, the EMG signals capture subtle motor activities such as finger bending, typing, and clicking. By uniting strain-tolerant FlexoSERS with reliable bioelectrical sensing across 1D-3D substrates, this platform provides a robust material foundation and a scalable route toward next-generation wearable health monitors, intelligent sleep evaluation, and human-machine interfaces.</w:t>
      </w:r>
    </w:p>
    <w:p>
      <w:pPr>
        <w:spacing w:before="120" w:after="120"/>
      </w:pPr>
      <w:r>
        <w:rPr>
          <w:sz w:val="18"/>
        </w:rPr>
        <w:t>——————————————————————————————————————————————————————————————————————</w:t>
      </w:r>
    </w:p>
    <w:p>
      <w:pPr>
        <w:spacing w:before="160" w:after="40" w:line="240" w:lineRule="auto"/>
      </w:pPr>
      <w:r>
        <w:rPr>
          <w:b/>
        </w:rPr>
        <w:t xml:space="preserve">[429] </w:t>
      </w:r>
      <w:hyperlink r:id="rId667">
        <w:r>
          <w:rPr>
            <w:color w:val="1155CC"/>
            <w:u w:val="single"/>
          </w:rPr>
          <w:t>编程的DNA计算</w:t>
        </w:r>
      </w:hyperlink>
    </w:p>
    <w:p>
      <w:pPr>
        <w:spacing w:before="0" w:after="80"/>
      </w:pPr>
      <w:r>
        <w:rPr>
          <w:i/>
          <w:sz w:val="20"/>
        </w:rPr>
        <w:t>EN: Conformation-programmed DNA computing</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68">
        <w:r>
          <w:rPr>
            <w:color w:val="1155CC"/>
            <w:u w:val="single"/>
          </w:rPr>
          <w:t>10.1126/sciadv.aec8383</w:t>
        </w:r>
      </w:hyperlink>
    </w:p>
    <w:p>
      <w:pPr>
        <w:spacing w:before="0" w:after="120"/>
      </w:pPr>
      <w:r>
        <w:rPr>
          <w:b/>
        </w:rPr>
        <w:t xml:space="preserve">Notes: </w:t>
      </w:r>
      <w:r>
        <w:t>abstract_source=crossref</w:t>
      </w:r>
    </w:p>
    <w:p>
      <w:pPr>
        <w:spacing w:before="0" w:after="80" w:lineRule="auto" w:line="276"/>
      </w:pPr>
      <w:r>
        <w:rPr>
          <w:b/>
        </w:rPr>
        <w:t xml:space="preserve">摘要（ZH）: </w:t>
      </w:r>
      <w:r>
        <w:t>自然生物系统通过结合序列特性、结构动态和相容转换的多维信号结构实现精确细胞控制。虽然合成DNA网络主要是利用序列可编程性设计而成,但完全依赖这一维度限制了信号射程和集成监管。在这里,我们报告一个配生DNA计算框架,使序列可编程与综合多级信号处理的相容动态同时结合。通过将多环(0至40核核糖)的相容信号编码,这个系统可以执行环状逻辑操作,扩大信号范围。此外,催化性过敏发型组件(achiev)也具有催化性过敏性过敏性。</w:t>
      </w:r>
    </w:p>
    <w:p>
      <w:pPr>
        <w:spacing w:before="0" w:after="200" w:lineRule="auto" w:line="276"/>
      </w:pPr>
      <w:r>
        <w:rPr>
          <w:b/>
        </w:rPr>
        <w:t xml:space="preserve">Abstract (EN): </w:t>
      </w:r>
      <w:r>
        <w:t>Natural biological systems achieve precise cellular control through multidimensional signaling architectures that integrate sequence specificity, structural dynamics, and conformational switching. While synthetic DNA networks have been engineered primarily using sequence programmability, exclusive reliance on this dimension constrains signaling range and integrated regulation. Here, we report an allosteric DNA computing framework enabling the simultaneous integration of sequence programmability with conformational dynamics for integrated multilevel signal processing. By encoding conformational signals within polythymidine loops (0 to 40 nucleotides), this system executes loop-dependent logic operations with expanded signaling ranges. Moreover, catalytic allosteric hairpin assemblies achieve ~30-fold signal amplification with enhanced signal-to-noise ratios. Concurrently, allosteric DNA neural networks discriminate conformational signals based on loop lengths (7 to 15 nucleotides) at two-nucleotide resolution. Crucially, microRNA-responsive versions of this framework regulate gene expression, thereby bridging conformational signaling with genetic control regulations in vivo. Collectively, this work establishes a conformational signal-processing paradigm for adaptive DNA computing, paving the way for advanced synthetic biology and precision therapeutics.</w:t>
      </w:r>
    </w:p>
    <w:p>
      <w:pPr>
        <w:spacing w:before="120" w:after="120"/>
      </w:pPr>
      <w:r>
        <w:rPr>
          <w:sz w:val="18"/>
        </w:rPr>
        <w:t>——————————————————————————————————————————————————————————————————————</w:t>
      </w:r>
    </w:p>
    <w:p>
      <w:pPr>
        <w:spacing w:before="160" w:after="40" w:line="240" w:lineRule="auto"/>
      </w:pPr>
      <w:r>
        <w:rPr>
          <w:b/>
        </w:rPr>
        <w:t xml:space="preserve">[430] </w:t>
      </w:r>
      <w:hyperlink r:id="rId669">
        <w:r>
          <w:rPr>
            <w:color w:val="1155CC"/>
            <w:u w:val="single"/>
          </w:rPr>
          <w:t>工程-无手术手术-无假假假造心脏阀门生长</w:t>
        </w:r>
      </w:hyperlink>
    </w:p>
    <w:p>
      <w:pPr>
        <w:spacing w:before="0" w:after="80"/>
      </w:pPr>
      <w:r>
        <w:rPr>
          <w:i/>
          <w:sz w:val="20"/>
        </w:rPr>
        <w:t>EN: Engineering surgery-free prosthetic heart valve growth</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70">
        <w:r>
          <w:rPr>
            <w:color w:val="1155CC"/>
            <w:u w:val="single"/>
          </w:rPr>
          <w:t>10.1126/sciadv.aef4597</w:t>
        </w:r>
      </w:hyperlink>
    </w:p>
    <w:p>
      <w:pPr>
        <w:spacing w:before="0" w:after="120"/>
      </w:pPr>
      <w:r>
        <w:rPr>
          <w:b/>
        </w:rPr>
        <w:t xml:space="preserve">Notes: </w:t>
      </w:r>
      <w:r>
        <w:t>abstract_source=crossref</w:t>
      </w:r>
    </w:p>
    <w:p>
      <w:pPr>
        <w:spacing w:before="0" w:after="80" w:lineRule="auto" w:line="276"/>
      </w:pPr>
      <w:r>
        <w:rPr>
          <w:b/>
        </w:rPr>
        <w:t xml:space="preserve">摘要（ZH）: </w:t>
      </w:r>
      <w:r>
        <w:t>患有先天性心脏病的儿童需要重复的外科手术来调整移植规模,新的选择是自发生长的阀门。</w:t>
      </w:r>
    </w:p>
    <w:p>
      <w:pPr>
        <w:spacing w:before="0" w:after="200" w:lineRule="auto" w:line="276"/>
      </w:pPr>
      <w:r>
        <w:rPr>
          <w:b/>
        </w:rPr>
        <w:t xml:space="preserve">Abstract (EN): </w:t>
      </w:r>
      <w:r>
        <w:t>Children with congenital heart valve disease require repeat surgical procedures to resize grafts. A new option is a valved stent that grows spontaneously.</w:t>
      </w:r>
    </w:p>
    <w:p>
      <w:pPr>
        <w:spacing w:before="120" w:after="120"/>
      </w:pPr>
      <w:r>
        <w:rPr>
          <w:sz w:val="18"/>
        </w:rPr>
        <w:t>——————————————————————————————————————————————————————————————————————</w:t>
      </w:r>
    </w:p>
    <w:p>
      <w:pPr>
        <w:spacing w:before="160" w:after="40" w:line="240" w:lineRule="auto"/>
      </w:pPr>
      <w:r>
        <w:rPr>
          <w:b/>
        </w:rPr>
        <w:t xml:space="preserve">[431] </w:t>
      </w:r>
      <w:hyperlink r:id="rId671">
        <w:r>
          <w:rPr>
            <w:color w:val="1155CC"/>
            <w:u w:val="single"/>
          </w:rPr>
          <w:t>重新定义科伊诺皮西里亚:解决社会孤立和两极分化问题</w:t>
        </w:r>
      </w:hyperlink>
    </w:p>
    <w:p>
      <w:pPr>
        <w:spacing w:before="0" w:after="80"/>
      </w:pPr>
      <w:r>
        <w:rPr>
          <w:i/>
          <w:sz w:val="20"/>
        </w:rPr>
        <w:t>EN: Redefining koinophilia: Solution to social isolation and polarization</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72">
        <w:r>
          <w:rPr>
            <w:color w:val="1155CC"/>
            <w:u w:val="single"/>
          </w:rPr>
          <w:t>10.1073/pnas.2537378123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[432] </w:t>
      </w:r>
      <w:hyperlink r:id="rId673">
        <w:r>
          <w:rPr>
            <w:color w:val="1155CC"/>
            <w:u w:val="single"/>
          </w:rPr>
          <w:t>在线行为研究是否将追踪在线调查研究的命运?</w:t>
        </w:r>
      </w:hyperlink>
    </w:p>
    <w:p>
      <w:pPr>
        <w:spacing w:before="0" w:after="80"/>
      </w:pPr>
      <w:r>
        <w:rPr>
          <w:i/>
          <w:sz w:val="20"/>
        </w:rPr>
        <w:t>EN: Will online behavioral research follow the fate of online survey research?</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74">
        <w:r>
          <w:rPr>
            <w:color w:val="1155CC"/>
            <w:u w:val="single"/>
          </w:rPr>
          <w:t>10.1073/pnas.2535585123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[433] </w:t>
      </w:r>
      <w:hyperlink r:id="rId675">
        <w:r>
          <w:rPr>
            <w:color w:val="1155CC"/>
            <w:u w:val="single"/>
          </w:rPr>
          <w:t>Brownian 粒子界面的机械表面张力问题</w:t>
        </w:r>
      </w:hyperlink>
    </w:p>
    <w:p>
      <w:pPr>
        <w:spacing w:before="0" w:after="80"/>
      </w:pPr>
      <w:r>
        <w:rPr>
          <w:i/>
          <w:sz w:val="20"/>
        </w:rPr>
        <w:t>EN: The problem of the mechanical surface tension of active Brownian particle interfaces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76">
        <w:r>
          <w:rPr>
            <w:color w:val="1155CC"/>
            <w:u w:val="single"/>
          </w:rPr>
          <w:t>10.1073/pnas.2535287123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[434] </w:t>
      </w:r>
      <w:hyperlink r:id="rId677">
        <w:r>
          <w:rPr>
            <w:color w:val="1155CC"/>
            <w:u w:val="single"/>
          </w:rPr>
          <w:t>监测血浆和尿液肿瘤衍生DNA,为对肌肉侵入性膀胱癌患者采取膀胱分离方法提供信息</w:t>
        </w:r>
      </w:hyperlink>
    </w:p>
    <w:p>
      <w:pPr>
        <w:spacing w:before="0" w:after="80"/>
      </w:pPr>
      <w:r>
        <w:rPr>
          <w:i/>
          <w:sz w:val="20"/>
        </w:rPr>
        <w:t>EN: Monitoring of plasma and urine tumor-derived DNA to inform bladder-sparing approaches for patients with muscle-invasive bladder cancer</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78">
        <w:r>
          <w:rPr>
            <w:color w:val="1155CC"/>
            <w:u w:val="single"/>
          </w:rPr>
          <w:t>10.1073/pnas.2533449123</w:t>
        </w:r>
      </w:hyperlink>
    </w:p>
    <w:p>
      <w:pPr>
        <w:spacing w:before="0" w:after="120"/>
      </w:pPr>
      <w:r>
        <w:rPr>
          <w:b/>
        </w:rPr>
        <w:t xml:space="preserve">Notes: </w:t>
      </w:r>
      <w:r>
        <w:t>abstract_source=crossref</w:t>
      </w:r>
    </w:p>
    <w:p>
      <w:pPr>
        <w:spacing w:before="0" w:after="80" w:lineRule="auto" w:line="276"/>
      </w:pPr>
      <w:r>
        <w:rPr>
          <w:b/>
        </w:rPr>
        <w:t xml:space="preserve">摘要（ZH）: </w:t>
      </w:r>
      <w:r>
        <w:t>我们以前曾报告过临床试验的初步结果。 我们曾报告过临床试验试验的一项战略,在这种战略中,肌肉侵入性膀胱癌(MIBC)患者在膀胱肿瘤和系统治疗的细胞剖分细胞细胞外分解后,实现临床全面反应的临床全面反应,可以免除其整个膀胱(细胞切除)的切除。 虽然结果非常有希望,但有一部分省略最初细胞切除术的病人重新出现,强调生物标志必须改进为这一方法选择的病人。 我们在此报告对这些病人的长期跟踪情况,并调查血浆(ctDNA)或尿液(utDNA)中的肿瘤DNA能否为预测和细胞切除的需要提供信息。</w:t>
      </w:r>
    </w:p>
    <w:p>
      <w:pPr>
        <w:spacing w:before="0" w:after="200" w:lineRule="auto" w:line="276"/>
      </w:pPr>
      <w:r>
        <w:rPr>
          <w:b/>
        </w:rPr>
        <w:t xml:space="preserve">Abstract (EN): </w:t>
      </w:r>
      <w:r>
        <w:t>We previously reported initial results from a clinical trial testing a strategy in which patients with muscle-invasive bladder cancer (MIBC) achieving a clinical complete response after cystoscopic resection of the bladder tumor plus systemic therapy could forgo removal of their entire bladder (cystectomy). While the results were highly promising, a subset of patients omitting initial cystectomy developed recurrence highlighting the need for biomarkers to refine selection of patients for this approach. We here report long-term follow-up of these patients and investigate whether tumor DNA in the plasma (ctDNA) or urine (utDNA) could inform prognosis and the need for cystectomy. Three-year bladder-intact survival among patients with a complete clinical response following four rounds of systemic therapy was 69%. Metastatic risk was significantly higher for patients with detectable versus undetectable ctDNA presystemic therapy (HR 4.68; 95% CI 1.10-43.35; log-rank</w:t>
      </w:r>
      <w:r>
        <w:t xml:space="preserve"> </w:t>
      </w:r>
      <w:r>
        <w:t>P</w:t>
      </w:r>
      <w:r>
        <w:t xml:space="preserve"> </w:t>
      </w:r>
      <w:r>
        <w:t>= 0.036). Only 4.5% (1 of 22) of patients with undetectable baseline ctDNA developed metastatic disease. Undetectable ctDNA before or after systemic therapy was associated with extremely low metastatic risk. Urine utDNA was more sensitive than plasma ctDNA at detecting residual disease within the bladder, and detectable urine utDNA in patients with a complete clinical response was associated with shorter bladder-intact survival (HR 6.47, 95% CI 1.34-31.31; log-rank</w:t>
      </w:r>
      <w:r>
        <w:t xml:space="preserve"> </w:t>
      </w:r>
      <w:r>
        <w:t>P</w:t>
      </w:r>
      <w:r>
        <w:t xml:space="preserve"> </w:t>
      </w:r>
      <w:r>
        <w:t>= 0.008). These findings establish the conceptual and experimental foundation for incorporating ctDNA and utDNA assays into the management of patients with MIBC, particularly with respect to the need for cystectomy.</w:t>
      </w:r>
    </w:p>
    <w:p>
      <w:pPr>
        <w:spacing w:before="120" w:after="120"/>
      </w:pPr>
      <w:r>
        <w:rPr>
          <w:sz w:val="18"/>
        </w:rPr>
        <w:t>——————————————————————————————————————————————————————————————————————</w:t>
      </w:r>
    </w:p>
    <w:p>
      <w:pPr>
        <w:spacing w:before="160" w:after="40" w:line="240" w:lineRule="auto"/>
      </w:pPr>
      <w:r>
        <w:rPr>
          <w:b/>
        </w:rPr>
        <w:t xml:space="preserve">[435] </w:t>
      </w:r>
      <w:hyperlink r:id="rId679">
        <w:r>
          <w:rPr>
            <w:color w:val="1155CC"/>
            <w:u w:val="single"/>
          </w:rPr>
          <w:t>一次一飞一飞:纪念布鲁斯·哈默克</w:t>
        </w:r>
      </w:hyperlink>
    </w:p>
    <w:p>
      <w:pPr>
        <w:spacing w:before="0" w:after="80"/>
      </w:pPr>
      <w:r>
        <w:rPr>
          <w:i/>
          <w:sz w:val="20"/>
        </w:rPr>
        <w:t>EN: A quantum leap at a time: In memory of Bruce D. Hammock</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80">
        <w:r>
          <w:rPr>
            <w:color w:val="1155CC"/>
            <w:u w:val="single"/>
          </w:rPr>
          <w:t>10.1073/pnas.2601584123</w:t>
        </w:r>
      </w:hyperlink>
    </w:p>
    <w:p>
      <w:pPr>
        <w:spacing w:before="0" w:after="120"/>
      </w:pPr>
      <w:r>
        <w:rPr>
          <w:b/>
        </w:rPr>
        <w:t xml:space="preserve">Notes: </w:t>
      </w:r>
      <w:r>
        <w:t>abstract_source=crossref</w:t>
      </w:r>
    </w:p>
    <w:p>
      <w:pPr>
        <w:spacing w:before="0" w:after="80" w:lineRule="auto" w:line="276"/>
      </w:pPr>
      <w:r>
        <w:rPr>
          <w:b/>
        </w:rPr>
        <w:t xml:space="preserve">摘要（ZH）: </w:t>
      </w:r>
      <w:r>
        <w:t>杰出的布鲁斯·哈默克(布鲁斯·哈默克(布鲁斯·哈默克(布鲁斯·D·哈默克(1947年至2026年))是一位杰出的科学家、有天赋的教师和杰出的合作者,其工作转变了昆虫学、免疫心理学和炎症生物学。 1,500多份经同行评审的出版物和协作者与全世界3,500多名科学家的作者,他以罕见的慷慨和远见将科学规范与罕见的特质结合起来。 他对青少年荷尔蒙生物学、环境暴露的免疫化学生物标志,特别是可溶解的氢氧化物(SEH)的开创性研究改变了对炎症的理解,并导致有希望的临床治疗。 一位有天赋的交流者和导师布鲁斯(布鲁斯)通过他的智慧、谦卑微和无穷无尽的热情激励了一代学生和同事。 在他生命的28,635天里,科学和水管日里,他有28,635天。</w:t>
      </w:r>
    </w:p>
    <w:p>
      <w:pPr>
        <w:spacing w:before="0" w:after="200" w:lineRule="auto" w:line="276"/>
      </w:pPr>
      <w:r>
        <w:rPr>
          <w:b/>
        </w:rPr>
        <w:t xml:space="preserve">Abstract (EN): </w:t>
      </w:r>
      <w:r>
        <w:t>Distinguished Bruce D. Hammock (1947–2026) was a prolific scientist, gifted teacher, and extraordinary collaborator whose work transformed entomology, immunochemistry, and inflammation biology. Author of more than 1,500 peer-reviewed publications and collaborator with over 3,500 scientists worldwide, he combined scientific rigor with rare generosity and vision. His pioneering studies on juvenile hormone biology, immunochemical biomarkers of environmental exposure, and especially soluble epoxide hydrolase (sEH) reshaped understanding of inflammation and led to promising clinical therapies. A gifted communicator and mentor, Bruce, inspired generations of students and colleagues through his intellect, humility, and boundless enthusiasm. During the 28,635 days of his life, science and the world were richer for his presence.</w:t>
      </w:r>
    </w:p>
    <w:p>
      <w:pPr>
        <w:spacing w:before="120" w:after="120"/>
      </w:pPr>
      <w:r>
        <w:rPr>
          <w:sz w:val="18"/>
        </w:rPr>
        <w:t>——————————————————————————————————————————————————————————————————————</w:t>
      </w:r>
    </w:p>
    <w:p>
      <w:pPr>
        <w:spacing w:before="160" w:after="40" w:line="240" w:lineRule="auto"/>
      </w:pPr>
      <w:r>
        <w:rPr>
          <w:b/>
        </w:rPr>
        <w:t xml:space="preserve">[436] </w:t>
      </w:r>
      <w:hyperlink r:id="rId681">
        <w:r>
          <w:rPr>
            <w:color w:val="1155CC"/>
            <w:u w:val="single"/>
          </w:rPr>
          <w:t>针对Impheng等人的更正,基于Peptide的共价共价管肺肺炎脱硫抑制剂促进肺癌细胞的中心-肺-肺-呼吸系统转变。</w:t>
        </w:r>
      </w:hyperlink>
    </w:p>
    <w:p>
      <w:pPr>
        <w:spacing w:before="0" w:after="80"/>
      </w:pPr>
      <w:r>
        <w:rPr>
          <w:i/>
          <w:sz w:val="20"/>
        </w:rPr>
        <w:t>EN: Correction for Impheng et al., Peptide-based covalent inhibitor of tubulin detyrosination promotes mesenchymal-to-epithelial transition in lung cancer cells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82">
        <w:r>
          <w:rPr>
            <w:color w:val="1155CC"/>
            <w:u w:val="single"/>
          </w:rPr>
          <w:t>10.1073/pnas.2602974123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[437] </w:t>
      </w:r>
      <w:hyperlink r:id="rId683">
        <w:r>
          <w:rPr>
            <w:color w:val="1155CC"/>
            <w:u w:val="single"/>
          </w:rPr>
          <w:t>Emily E. Brodsky简介</w:t>
        </w:r>
      </w:hyperlink>
    </w:p>
    <w:p>
      <w:pPr>
        <w:spacing w:before="0" w:after="80"/>
      </w:pPr>
      <w:r>
        <w:rPr>
          <w:i/>
          <w:sz w:val="20"/>
        </w:rPr>
        <w:t>EN: Profile of Emily E. Brodsky</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84">
        <w:r>
          <w:rPr>
            <w:color w:val="1155CC"/>
            <w:u w:val="single"/>
          </w:rPr>
          <w:t>10.1073/pnas.2603284123</w:t>
        </w:r>
      </w:hyperlink>
    </w:p>
    <w:p>
      <w:pPr>
        <w:spacing w:before="0" w:after="120"/>
      </w:pPr>
      <w:r>
        <w:rPr>
          <w:b/>
        </w:rPr>
        <w:t xml:space="preserve">Notes: </w:t>
      </w:r>
      <w:r>
        <w:t>abstract_source=crossref</w:t>
      </w:r>
    </w:p>
    <w:p>
      <w:pPr>
        <w:spacing w:before="0" w:after="80" w:lineRule="auto" w:line="276"/>
      </w:pPr>
      <w:r>
        <w:rPr>
          <w:b/>
        </w:rPr>
        <w:t xml:space="preserve">摘要（ZH）: </w:t>
      </w:r>
      <w:r>
        <w:t>为了研究机械压力和断层压力的相互作用,地震学家Emily Brodsky在寻找地震时使用已知的触发器,如火山或注入地下废水。这些触发器有助于解释断层是如何破裂的。Brodsky通过测低断层温度检查方程式的其他部分。Brodsky还进行了实验室实验。例如,她的声学研究揭示了当快速移动的沙粒比固态更像气体时,其作用力会如何。两种方法的洞察都告诉了她《起源论》,这表明地震不仅缓解了断层的压力,而且还重新分配了断层的压力。</w:t>
      </w:r>
    </w:p>
    <w:p>
      <w:pPr>
        <w:spacing w:before="0" w:after="200" w:lineRule="auto" w:line="276"/>
      </w:pPr>
      <w:r>
        <w:rPr>
          <w:b/>
        </w:rPr>
        <w:t xml:space="preserve">Abstract (EN): </w:t>
      </w:r>
      <w:r>
        <w:t>To study the interplay of mechanical stress and strain in faults, seismologist Emily Brodsky looks for earthquakes with a known trigger, such as a volcano or injection of underground wastewater. These triggers help explain how a fault breaks. Brodsky examines the other parts of the equation by taking the temperature of faults. Brodsky also carries out lab experiments. For example, her acoustical studies have offered insights into the forces at play when fast-moving sand particles behave more like a gas than like a solid. Insights from both approaches inform her Inaugural Article, which suggests that earthquakes not only relieve stress along a fault but also redistribute it.</w:t>
      </w:r>
    </w:p>
    <w:p>
      <w:pPr>
        <w:spacing w:before="120" w:after="120"/>
      </w:pPr>
      <w:r>
        <w:rPr>
          <w:sz w:val="18"/>
        </w:rPr>
        <w:t>——————————————————————————————————————————————————————————————————————</w:t>
      </w:r>
    </w:p>
    <w:p>
      <w:pPr>
        <w:spacing w:before="160" w:after="40" w:line="240" w:lineRule="auto"/>
      </w:pPr>
      <w:r>
        <w:rPr>
          <w:b/>
        </w:rPr>
        <w:t xml:space="preserve">[438] </w:t>
      </w:r>
      <w:hyperlink r:id="rId685">
        <w:r>
          <w:rPr>
            <w:color w:val="1155CC"/>
            <w:u w:val="single"/>
          </w:rPr>
          <w:t>Waldeck-Weiermair等人案的更正,受体调制内皮内衣NADPH氧化酶动态调节</w:t>
        </w:r>
      </w:hyperlink>
    </w:p>
    <w:p>
      <w:pPr>
        <w:spacing w:before="0" w:after="80"/>
      </w:pPr>
      <w:r>
        <w:rPr>
          <w:i/>
          <w:sz w:val="20"/>
        </w:rPr>
        <w:t>EN: Correction for Waldeck-Weiermair et al., Dynamic regulation of receptor-modulated endothelial NADPH oxidases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686">
        <w:r>
          <w:rPr>
            <w:color w:val="1155CC"/>
            <w:u w:val="single"/>
          </w:rPr>
          <w:t>10.1073/pnas.2603578123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[439] </w:t>
      </w:r>
      <w:hyperlink r:id="rId687">
        <w:r>
          <w:rPr>
            <w:color w:val="1155CC"/>
            <w:u w:val="single"/>
          </w:rPr>
          <w:t>8种染色体的中微粒体在细胞转归性转变期间促进中心神经病系系。</w:t>
        </w:r>
      </w:hyperlink>
    </w:p>
    <w:p>
      <w:pPr>
        <w:spacing w:before="0" w:after="80"/>
      </w:pPr>
      <w:r>
        <w:rPr>
          <w:i/>
          <w:sz w:val="20"/>
        </w:rPr>
        <w:t>EN: Aneuploidy of chromosome 8 promotes the mesenchymal lineage during cell fate transitions</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88">
        <w:r>
          <w:rPr>
            <w:color w:val="1155CC"/>
            <w:u w:val="single"/>
          </w:rPr>
          <w:t>10.1126/sciadv.aea1660</w:t>
        </w:r>
      </w:hyperlink>
    </w:p>
    <w:p>
      <w:pPr>
        <w:spacing w:before="0" w:after="120"/>
      </w:pPr>
      <w:r>
        <w:rPr>
          <w:b/>
        </w:rPr>
        <w:t xml:space="preserve">Notes: </w:t>
      </w:r>
      <w:r>
        <w:t>abstract_source=crossref</w:t>
      </w:r>
    </w:p>
    <w:p>
      <w:pPr>
        <w:spacing w:before="0" w:after="80" w:lineRule="auto" w:line="276"/>
      </w:pPr>
      <w:r>
        <w:rPr>
          <w:b/>
        </w:rPr>
        <w:t xml:space="preserve">摘要（ZH）: </w:t>
      </w:r>
      <w:r>
        <w:t>90%左右的人类固态肿瘤中都存在内核质。某些肿瘤仍然对内核质具有上瘾性。在正常细胞中,自相矛盾、人工诱导的内核质会引发细胞压力并降低细胞健康度。因此,肿瘤发芽期间最初出现的内核质如何出现尚不清楚。我们以人类胚胎干细胞(ESCs)为模型,表明内核质的ESSC形成不成熟的畸形,并丰富了中子组织。具体地说,染色体8(chr8)增益,是人类癌症中常见的内核质质,促进细胞内中中中微粒质细胞的扩张和体外的MSC扩散。我们的研究进一步表明,人类胚胎性红毛色色素瘤、指甲状腺肿瘤,缺乏主要驱动力突变,但经常获得黑斑。</w:t>
      </w:r>
    </w:p>
    <w:p>
      <w:pPr>
        <w:spacing w:before="0" w:after="200" w:lineRule="auto" w:line="276"/>
      </w:pPr>
      <w:r>
        <w:rPr>
          <w:b/>
        </w:rPr>
        <w:t xml:space="preserve">Abstract (EN): </w:t>
      </w:r>
      <w:r>
        <w:t>Aneuploidy is present in about 90% human solid tumors. Certain tumors remain addicted to aneuploidy. Paradoxically, artificially induced aneuploidy in normal cells elicits cellular stresses and decreases cell fitness. How aneuploidy initially emerges during tumorigenesis is thus unclear. Using human embryonic stem cells (ESCs) as a model, we show that aneuploid ESCs form immature teratomas with an enrichment of mesenchymal tissues. Specifically, chromosome 8 (chr8) gain, a prevalent form of aneuploidy in human cancers, promotes the expansion of mesenchymal stem cells (MSCs) in teratomas and MSC proliferation in vitro. We further show that human embryonal rhabdomyosarcomas, tumors of mesenchymal origin, lack dominant driver mutations but frequently harbor chr8 gain. Our study suggests a plausible mechanism for aneuploidy emergence during tumorigenesis, links specific aneuploidy to the mesenchymal lineage, and paves the way for identifying vulnerabilities of aneuploid MSCs, which may have important roles in tumorigenesis.</w:t>
      </w:r>
    </w:p>
    <w:p>
      <w:pPr>
        <w:spacing w:before="120" w:after="120"/>
      </w:pPr>
      <w:r>
        <w:rPr>
          <w:sz w:val="18"/>
        </w:rPr>
        <w:t>——————————————————————————————————————————————————————————————————————</w:t>
      </w:r>
    </w:p>
    <w:p>
      <w:pPr>
        <w:spacing w:before="160" w:after="40" w:line="240" w:lineRule="auto"/>
      </w:pPr>
      <w:r>
        <w:rPr>
          <w:b/>
        </w:rPr>
        <w:t xml:space="preserve">[440] </w:t>
      </w:r>
      <w:hyperlink r:id="rId689">
        <w:r>
          <w:rPr>
            <w:color w:val="1155CC"/>
            <w:u w:val="single"/>
          </w:rPr>
          <w:t>AGInGaS系统基于QLED的高效无光和全色显示器,通过统一银色空缺分配</w:t>
        </w:r>
      </w:hyperlink>
    </w:p>
    <w:p>
      <w:pPr>
        <w:spacing w:before="0" w:after="80"/>
      </w:pPr>
      <w:r>
        <w:rPr>
          <w:i/>
          <w:sz w:val="20"/>
        </w:rPr>
        <w:t>EN: Efficient AgInGaS-based QLEDs and full-color displays via uniform silver vacancy distribution</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90">
        <w:r>
          <w:rPr>
            <w:color w:val="1155CC"/>
            <w:u w:val="single"/>
          </w:rPr>
          <w:t>10.1126/sciadv.aea0753</w:t>
        </w:r>
      </w:hyperlink>
    </w:p>
    <w:p>
      <w:pPr>
        <w:spacing w:before="0" w:after="120"/>
      </w:pPr>
      <w:r>
        <w:rPr>
          <w:b/>
        </w:rPr>
        <w:t xml:space="preserve">Notes: </w:t>
      </w:r>
      <w:r>
        <w:t>abstract_source=crossref</w:t>
      </w:r>
    </w:p>
    <w:p>
      <w:pPr>
        <w:spacing w:before="0" w:after="80" w:lineRule="auto" w:line="276"/>
      </w:pPr>
      <w:r>
        <w:rPr>
          <w:b/>
        </w:rPr>
        <w:t xml:space="preserve">摘要（ZH）: </w:t>
      </w:r>
      <w:r>
        <w:t>AgInGaS(AIGS)量点(QDs)由于其在最大半(FWHM)和金枪鱼可排放量的窄宽度为半(FWHM)和可金枪鱼排放,有希望展示。然而,不统一的银(VAG)分配空隙导致排放扩大和阻碍设备性能的改善。在这里,我们提出了一个多步温度控制战略,精确调节反应温度,以控制核聚变、电离交换和缺陷重建,从而能够统一在AIGS QDs中的VAG分布。同时,我们建造了一个双层壳结构(AgGAS 2/GaS x),高效消毒。</w:t>
      </w:r>
    </w:p>
    <w:p>
      <w:pPr>
        <w:spacing w:before="0" w:after="200" w:lineRule="auto" w:line="276"/>
      </w:pPr>
      <w:r>
        <w:rPr>
          <w:b/>
        </w:rPr>
        <w:t xml:space="preserve">Abstract (EN): </w:t>
      </w:r>
      <w:r>
        <w:t>AgInGaS (AIGS) quantum dots (QDs) are promising for displays due to their narrow full width at half maximum (FWHM) and tunable emission. However, nonuniform silver vacancy (</w:t>
      </w:r>
      <w:r>
        <w:t xml:space="preserve"> </w:t>
      </w:r>
      <w:r>
        <w:t>V</w:t>
      </w:r>
      <w:r>
        <w:t xml:space="preserve"> </w:t>
      </w:r>
      <w:r>
        <w:t>Ag</w:t>
      </w:r>
      <w:r>
        <w:t xml:space="preserve"> </w:t>
      </w:r>
      <w:r>
        <w:t>) distribution causes emission broadening and hinders device performance improvement. Here, we present a multistep temperature control strategy that precisely regulates reaction temperature to control nucleation, cation exchange, and defect reconstruction, thereby enabling uniform</w:t>
      </w:r>
      <w:r>
        <w:t xml:space="preserve"> </w:t>
      </w:r>
      <w:r>
        <w:t>V</w:t>
      </w:r>
      <w:r>
        <w:t xml:space="preserve"> </w:t>
      </w:r>
      <w:r>
        <w:t>Ag</w:t>
      </w:r>
      <w:r>
        <w:t xml:space="preserve"> </w:t>
      </w:r>
      <w:r>
        <w:t>distribution in AIGS QDs. Simultaneously, we construct a dual-layer shell structure (AgGaS</w:t>
      </w:r>
      <w:r>
        <w:rPr>
          <w:vertAlign w:val="subscript"/>
        </w:rPr>
        <w:t>2</w:t>
      </w:r>
      <w:r>
        <w:t>/GaS</w:t>
      </w:r>
      <w:r>
        <w:t xml:space="preserve"> </w:t>
      </w:r>
      <w:r>
        <w:t>x</w:t>
      </w:r>
      <w:r>
        <w:t xml:space="preserve"> </w:t>
      </w:r>
      <w:r>
        <w:t>), which efficiently passivates surface defects. The synthesized red, green, and blue AIGS QDs achieve photoluminescence quantum yields (92.6, 98.5, and 53.3%) and narrow FWHMs (32, 29, and 21 nm). On the basis of these materials, we fabricated red, green, and blue QD light-emitting diodes that demonstrate external quantum efficiencies of 13.2, 8.0, and 2.9%. Moreover, the interfacial confinement self-assembly strategy enables the fabrication of full-color QD pixel arrays with resolutions up to 2032 pixels per inch, further highlighting the potential of AIGS QDs for near-eye displays.</w:t>
      </w:r>
    </w:p>
    <w:p>
      <w:pPr>
        <w:spacing w:before="120" w:after="120"/>
      </w:pPr>
      <w:r>
        <w:rPr>
          <w:sz w:val="18"/>
        </w:rPr>
        <w:t>——————————————————————————————————————————————————————————————————————</w:t>
      </w:r>
    </w:p>
    <w:p>
      <w:pPr>
        <w:spacing w:before="160" w:after="40" w:line="240" w:lineRule="auto"/>
      </w:pPr>
      <w:r>
        <w:rPr>
          <w:b/>
        </w:rPr>
        <w:t xml:space="preserve">[441] </w:t>
      </w:r>
      <w:hyperlink r:id="rId691">
        <w:r>
          <w:rPr>
            <w:color w:val="1155CC"/>
            <w:u w:val="single"/>
          </w:rPr>
          <w:t>保险库粒子被C13对称封盖,外外装正电荷</w:t>
        </w:r>
      </w:hyperlink>
    </w:p>
    <w:p>
      <w:pPr>
        <w:spacing w:before="0" w:after="80"/>
      </w:pPr>
      <w:r>
        <w:rPr>
          <w:i/>
          <w:sz w:val="20"/>
        </w:rPr>
        <w:t>EN: The vault particle is enclosed by a C13-symmetric cap with a positively charged exterior</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92">
        <w:r>
          <w:rPr>
            <w:color w:val="1155CC"/>
            <w:u w:val="single"/>
          </w:rPr>
          <w:t>10.1126/sciadv.adz6794</w:t>
        </w:r>
      </w:hyperlink>
    </w:p>
    <w:p>
      <w:pPr>
        <w:spacing w:before="0" w:after="120"/>
      </w:pPr>
      <w:r>
        <w:rPr>
          <w:b/>
        </w:rPr>
        <w:t xml:space="preserve">Notes: </w:t>
      </w:r>
      <w:r>
        <w:t>abstract_source=crossref</w:t>
      </w:r>
    </w:p>
    <w:p>
      <w:pPr>
        <w:spacing w:before="0" w:after="80" w:lineRule="auto" w:line="276"/>
      </w:pPr>
      <w:r>
        <w:rPr>
          <w:b/>
        </w:rPr>
        <w:t xml:space="preserve">摘要（ZH）: </w:t>
      </w:r>
      <w:r>
        <w:t>空壳是已知最大的肋骨核素蛋白综合体中一些已知的,并且高度保存于整个eukaryotes,但其功能和建筑结构的关键细节仍然不清楚。尽管保险库外壳有高分辨率结构,但封盖的构造和对称尚未解决。在这里,我们展示了保险库盖的2.25-angstrom冷冻-电子显微镜结构,揭示出一个出乎意料的13倍对称安排,与保险库体的39倍对称形成对照,每个机盖的重复模块由相邻子单元的不对称同质体组成。封顶的中心有一个不寻常的结构,由两层相交的α螺旋体组成。保险库内盖的每个模块都具有非对称性。</w:t>
      </w:r>
    </w:p>
    <w:p>
      <w:pPr>
        <w:spacing w:before="0" w:after="200" w:lineRule="auto" w:line="276"/>
      </w:pPr>
      <w:r>
        <w:rPr>
          <w:b/>
        </w:rPr>
        <w:t xml:space="preserve">Abstract (EN): </w:t>
      </w:r>
      <w:r>
        <w:t>Vaults are some of the largest ribonucleoprotein complexes known and are highly conserved across eukaryotes, but both their function and key details of their architecture remain unclear. While high-resolution structures of the vault shell are available, the architecture and symmetry of the cap have remained unresolved. Here, we present a 2.25-angstrom cryo–electron microscopy structure of the vault cap, revealing an unexpected 13-fold symmetric arrangement that contrasts with the 39-fold symmetry of the vault body, with each repeating module of the cap formed by an asymmetric homotrimer of adjacent subunits. The center of the cap features an unusual architecture, consisting of two concentric β barrels surrounded by an interwoven two-layer stack of α helices. The vault cap features a positively charged exterior and a negatively charged interior surface, with implications for binding partner recruitment and engineering of modified vault particles.</w:t>
      </w:r>
    </w:p>
    <w:p>
      <w:pPr>
        <w:spacing w:before="120" w:after="120"/>
      </w:pPr>
      <w:r>
        <w:rPr>
          <w:sz w:val="18"/>
        </w:rPr>
        <w:t>——————————————————————————————————————————————————————————————————————</w:t>
      </w:r>
    </w:p>
    <w:p>
      <w:pPr>
        <w:spacing w:before="160" w:after="40" w:line="240" w:lineRule="auto"/>
      </w:pPr>
      <w:r>
        <w:rPr>
          <w:b/>
        </w:rPr>
        <w:t xml:space="preserve">[442] </w:t>
      </w:r>
      <w:hyperlink r:id="rId693">
        <w:r>
          <w:rPr>
            <w:color w:val="1155CC"/>
            <w:u w:val="single"/>
          </w:rPr>
          <w:t>F-箱蛋白蛋白FBL17对RBR1-E2F/DPRBR1-E2F/DP转录模块的</w:t>
        </w:r>
      </w:hyperlink>
    </w:p>
    <w:p>
      <w:pPr>
        <w:spacing w:before="0" w:after="80"/>
      </w:pPr>
      <w:r>
        <w:rPr>
          <w:i/>
          <w:sz w:val="20"/>
        </w:rPr>
        <w:t>EN: Tuning of the RBR1-E2F/DP transcriptional module by the F-box protein FBL17</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94">
        <w:r>
          <w:rPr>
            <w:color w:val="1155CC"/>
            <w:u w:val="single"/>
          </w:rPr>
          <w:t>10.1126/sciadv.adz2439</w:t>
        </w:r>
      </w:hyperlink>
    </w:p>
    <w:p>
      <w:pPr>
        <w:spacing w:before="0" w:after="120"/>
      </w:pPr>
      <w:r>
        <w:rPr>
          <w:b/>
        </w:rPr>
        <w:t xml:space="preserve">Notes: </w:t>
      </w:r>
      <w:r>
        <w:t>abstract_source=crossref</w:t>
      </w:r>
    </w:p>
    <w:p>
      <w:pPr>
        <w:spacing w:before="0" w:after="80" w:lineRule="auto" w:line="276"/>
      </w:pPr>
      <w:r>
        <w:rPr>
          <w:b/>
        </w:rPr>
        <w:t xml:space="preserve">摘要（ZH）: </w:t>
      </w:r>
      <w:r>
        <w:t>FBX-LIKE17(FBL17)在Arabidopsis(其中之一是F-BOX-LIKE17(FBL17))中,在DNA复制、DNA损害和最近控制细胞大小方面发挥着关键作用。FBL17无异变体表现出严重的细胞缺陷,导致致命性。然而,FBL17的运作所依赖的分子机制仍然不为人所知。这里,我们表明FBL17与RETINOBLASTOMA-RELATED1/E2F模块的不同组成部分相互作用,并参与了E2FA和E2Fb的蛋白循环。然而,E2FA或E2FB的突变。</w:t>
      </w:r>
    </w:p>
    <w:p>
      <w:pPr>
        <w:spacing w:before="0" w:after="200" w:lineRule="auto" w:line="276"/>
      </w:pPr>
      <w:r>
        <w:rPr>
          <w:b/>
        </w:rPr>
        <w:t xml:space="preserve">Abstract (EN): </w:t>
      </w:r>
      <w:r>
        <w:t>F-box proteins of SCF E3 ligases have been documented to control the abundance of numerous critical regulatory proteins. In</w:t>
      </w:r>
      <w:r>
        <w:t xml:space="preserve"> </w:t>
      </w:r>
      <w:r>
        <w:t>Arabidopsis</w:t>
      </w:r>
      <w:r>
        <w:t xml:space="preserve"> </w:t>
      </w:r>
      <w:r>
        <w:t>, one of them, F-BOX-LIKE17 (FBL17), stands out for playing a key role in DNA replication, DNA damage, and, more recently, for the control of cell size.</w:t>
      </w:r>
      <w:r>
        <w:t xml:space="preserve"> </w:t>
      </w:r>
      <w:r>
        <w:t>FBL17</w:t>
      </w:r>
      <w:r>
        <w:t xml:space="preserve"> </w:t>
      </w:r>
      <w:r>
        <w:t>null mutants exhibit severe cellular defects leading to lethality. However, the molecular mechanisms by which FBL17 operate remain poorly understood. Here, we show that FBL17 interacts with different components of the RETINOBLASTOMA-RELATED1/E2F module and is involved in the protein turnover of E2Fa and E2Fb. However, mutations in</w:t>
      </w:r>
      <w:r>
        <w:t xml:space="preserve"> </w:t>
      </w:r>
      <w:r>
        <w:t>E2Fa</w:t>
      </w:r>
      <w:r>
        <w:t xml:space="preserve"> </w:t>
      </w:r>
      <w:r>
        <w:t>or</w:t>
      </w:r>
      <w:r>
        <w:t xml:space="preserve"> </w:t>
      </w:r>
      <w:r>
        <w:t>E2Fb</w:t>
      </w:r>
      <w:r>
        <w:t xml:space="preserve"> </w:t>
      </w:r>
      <w:r>
        <w:t>do not alleviate the severe</w:t>
      </w:r>
      <w:r>
        <w:t xml:space="preserve"> </w:t>
      </w:r>
      <w:r>
        <w:t>fbl17</w:t>
      </w:r>
      <w:r>
        <w:t xml:space="preserve"> </w:t>
      </w:r>
      <w:r>
        <w:t>phenotype but worsen it. By contrast, it is the accumulation of the transcriptional repressor E2Fc that causes</w:t>
      </w:r>
      <w:r>
        <w:t xml:space="preserve"> </w:t>
      </w:r>
      <w:r>
        <w:t>fbl17</w:t>
      </w:r>
      <w:r>
        <w:t xml:space="preserve"> </w:t>
      </w:r>
      <w:r>
        <w:t>mutant lethality. Our results highlight a key role for FBL17 in modulating the transcriptional control of E2F target genes ensuring precise control of cell cycle progression and avoiding uncontrolled DNA damage response.</w:t>
      </w:r>
    </w:p>
    <w:p>
      <w:pPr>
        <w:spacing w:before="120" w:after="120"/>
      </w:pPr>
      <w:r>
        <w:rPr>
          <w:sz w:val="18"/>
        </w:rPr>
        <w:t>——————————————————————————————————————————————————————————————————————</w:t>
      </w:r>
    </w:p>
    <w:p>
      <w:pPr>
        <w:spacing w:before="160" w:after="40" w:line="240" w:lineRule="auto"/>
      </w:pPr>
      <w:r>
        <w:rPr>
          <w:b/>
        </w:rPr>
        <w:t xml:space="preserve">[443] </w:t>
      </w:r>
      <w:hyperlink r:id="rId695">
        <w:r>
          <w:rPr>
            <w:color w:val="1155CC"/>
            <w:u w:val="single"/>
          </w:rPr>
          <w:t>3D 以细胞解析方式重建人类肝脏组织</w:t>
        </w:r>
      </w:hyperlink>
    </w:p>
    <w:p>
      <w:pPr>
        <w:spacing w:before="0" w:after="80"/>
      </w:pPr>
      <w:r>
        <w:rPr>
          <w:i/>
          <w:sz w:val="20"/>
        </w:rPr>
        <w:t>EN: 3D reconstruction of human liver tissue at cellular resolution</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96">
        <w:r>
          <w:rPr>
            <w:color w:val="1155CC"/>
            <w:u w:val="single"/>
          </w:rPr>
          <w:t>10.1126/sciadv.adz2299</w:t>
        </w:r>
      </w:hyperlink>
    </w:p>
    <w:p>
      <w:pPr>
        <w:spacing w:before="0" w:after="120"/>
      </w:pPr>
      <w:r>
        <w:rPr>
          <w:b/>
        </w:rPr>
        <w:t xml:space="preserve">Notes: </w:t>
      </w:r>
      <w:r>
        <w:t>abstract_source=crossref</w:t>
      </w:r>
    </w:p>
    <w:p>
      <w:pPr>
        <w:spacing w:before="0" w:after="80" w:lineRule="auto" w:line="276"/>
      </w:pPr>
      <w:r>
        <w:rPr>
          <w:b/>
        </w:rPr>
        <w:t xml:space="preserve">摘要（ZH）: </w:t>
      </w:r>
      <w:r>
        <w:t>肝脏含有一个对于适当的肝功能至关重要的复杂微结构。 这一空间结构结构结构的破坏是病理学。 不幸的是,二维(2D)组织病理学——许多肝病病病理病理学的病理学标准——对许多肝病病理病理学的理解金质标准——在我们对复杂的3D结构特征的理解中,可以歪曲或留下空白。 在这里,我们使用免疫保存、组织清理、显微镜和计算软件来创造三维多位结构重建,既包括非纤维性人体肝脏组织,也包括肝脏组织。 我们发现,人类肝脏组织中的二维肝脏样本中,有不同病理的病理病理病理病理、地区性聚氨胺合成酶的减少—— 表达整个中肝细胞细胞、中央血管网络的回归、肝脏的破坏。</w:t>
      </w:r>
    </w:p>
    <w:p>
      <w:pPr>
        <w:spacing w:before="0" w:after="200" w:lineRule="auto" w:line="276"/>
      </w:pPr>
      <w:r>
        <w:rPr>
          <w:b/>
        </w:rPr>
        <w:t xml:space="preserve">Abstract (EN): </w:t>
      </w:r>
      <w:r>
        <w:t>The liver contains an intricate microstructure that is critical for proper liver function. Architectural disruption of this spatial structure is pathologic. Unfortunately, two-dimensional (2D) histopathology—the gold standard for pathological understanding of many liver diseases—can misrepresent or leave gaps in our understanding of complex 3D structural features. Here, we used immunostaining, tissue clearing, microscopy, and computational software to create 3D multilobular reconstructions of both nonfibrotic and cirrhotic human liver tissue. We found that spatial architecture in human cirrhotic liver samples with varying etiologies had sinusoid zonal dysregulation, reduction in glutamine synthetase–expressing pericentral hepatocytes, regression of central vein networks, disruption of hepatic arterial networks, and fragmentation of biliary networks, which together suggest a pro-portalization/decentralization phenotype in cirrhotic tissue. Further implementation of 3D pathological analyses may provide a deeper understanding of cirrhotic pathobiology and inspire treatments for liver disease.</w:t>
      </w:r>
    </w:p>
    <w:p>
      <w:pPr>
        <w:spacing w:before="120" w:after="120"/>
      </w:pPr>
      <w:r>
        <w:rPr>
          <w:sz w:val="18"/>
        </w:rPr>
        <w:t>——————————————————————————————————————————————————————————————————————</w:t>
      </w:r>
    </w:p>
    <w:p>
      <w:pPr>
        <w:spacing w:before="160" w:after="40" w:line="240" w:lineRule="auto"/>
      </w:pPr>
      <w:r>
        <w:rPr>
          <w:b/>
        </w:rPr>
        <w:t xml:space="preserve">[444] </w:t>
      </w:r>
      <w:hyperlink r:id="rId697">
        <w:r>
          <w:rPr>
            <w:color w:val="1155CC"/>
            <w:u w:val="single"/>
          </w:rPr>
          <w:t>将马登-朱利安摇动作为一种决定性的混乱现象而蔓延</w:t>
        </w:r>
      </w:hyperlink>
    </w:p>
    <w:p>
      <w:pPr>
        <w:spacing w:before="0" w:after="80"/>
      </w:pPr>
      <w:r>
        <w:rPr>
          <w:i/>
          <w:sz w:val="20"/>
        </w:rPr>
        <w:t>EN: Propagation of the Madden-Julian oscillation as a deterministic chaotic phenomenon</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698">
        <w:r>
          <w:rPr>
            <w:color w:val="1155CC"/>
            <w:u w:val="single"/>
          </w:rPr>
          <w:t>10.1126/sciadv.adz1916</w:t>
        </w:r>
      </w:hyperlink>
    </w:p>
    <w:p>
      <w:pPr>
        <w:spacing w:before="0" w:after="120"/>
      </w:pPr>
      <w:r>
        <w:rPr>
          <w:b/>
        </w:rPr>
        <w:t xml:space="preserve">Notes: </w:t>
      </w:r>
      <w:r>
        <w:t>abstract_source=crossref</w:t>
      </w:r>
    </w:p>
    <w:p>
      <w:pPr>
        <w:spacing w:before="0" w:after="80" w:lineRule="auto" w:line="276"/>
      </w:pPr>
      <w:r>
        <w:rPr>
          <w:b/>
        </w:rPr>
        <w:t xml:space="preserve">摘要（ZH）: </w:t>
      </w:r>
      <w:r>
        <w:t>Madden-Julian 振荡(MJO)是一种以印度-太平洋地区东向传播的云层积聚云团为标志的行星级热带气候扰动,在印多-太平洋区域造成了严重的天气和气候事件。 传播MJO的机制和可预测性仍然难以实现,部分原因是相关的多规模过程不太为人熟知。 在这里,我们揭示了由4000人组成的全球云系统解云模型对两场MJO事件进行共振模拟的跨规模非线性非线性互动造成的MJO传播混乱。 与传统的线性思维相反,多种制度与MJO传播的不同时间出现在单一的大气-海洋背景之下。 制度的两极分化的出现关键取决于气候学的赤道不对称。</w:t>
      </w:r>
    </w:p>
    <w:p>
      <w:pPr>
        <w:spacing w:before="0" w:after="200" w:lineRule="auto" w:line="276"/>
      </w:pPr>
      <w:r>
        <w:rPr>
          <w:b/>
        </w:rPr>
        <w:t xml:space="preserve">Abstract (EN): </w:t>
      </w:r>
      <w:r>
        <w:t>The Madden-Julian oscillation (MJO) is a planetary-scale tropical weather disturbance marked by eastward-propagating cumulus cloud clusters over the Indo-Pacific region, causing severe weather and climate events worldwide. The mechanism and predictability of MJO propagation remain elusive, partly because relevant multiscale processes are poorly understood. Here, we reveal chaotic MJO propagation arising from cross-scale nonlinear interactions, based on 4000-member ensemble simulations of two MJO events with a global cloud-system–resolving model. Against conventional linear thinking, multiple regimes with distinct timings of MJO propagation emerge under a single atmosphere-ocean background. The emergence of regime bifurcation depends critically on the equatorial asymmetry of climatological sea surface temperature. Selection of the bifurcated regimes is probabilistic, influenced by whether tropical-extratropical interplay promotes moistening associated with westward-propagating tropical waves over the western Pacific. These results contribute to a more complete MJO conceptual model and help foresee when coherent MJO propagation emerges.</w:t>
      </w:r>
    </w:p>
    <w:p>
      <w:pPr>
        <w:spacing w:before="120" w:after="120"/>
      </w:pPr>
      <w:r>
        <w:rPr>
          <w:sz w:val="18"/>
        </w:rPr>
        <w:t>——————————————————————————————————————————————————————————————————————</w:t>
      </w:r>
    </w:p>
    <w:p>
      <w:pPr>
        <w:spacing w:before="160" w:after="40" w:line="240" w:lineRule="auto"/>
      </w:pPr>
      <w:r>
        <w:rPr>
          <w:b/>
        </w:rPr>
        <w:t xml:space="preserve">[445] </w:t>
      </w:r>
      <w:hyperlink r:id="rId699">
        <w:r>
          <w:rPr>
            <w:color w:val="1155CC"/>
            <w:u w:val="single"/>
          </w:rPr>
          <w:t>脑组装中的人类微微细微细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微</w:t>
        </w:r>
      </w:hyperlink>
    </w:p>
    <w:p>
      <w:pPr>
        <w:spacing w:before="0" w:after="80"/>
      </w:pPr>
      <w:r>
        <w:rPr>
          <w:i/>
          <w:sz w:val="20"/>
        </w:rPr>
        <w:t>EN: Human microglia in brain assembloids display region-specific diversity and respond to hyperexcitable neurons carrying SCN2A mutation</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00">
        <w:r>
          <w:rPr>
            <w:color w:val="1155CC"/>
            <w:u w:val="single"/>
          </w:rPr>
          <w:t>10.1126/sciadv.ady2977</w:t>
        </w:r>
      </w:hyperlink>
    </w:p>
    <w:p>
      <w:pPr>
        <w:spacing w:before="0" w:after="120"/>
      </w:pPr>
      <w:r>
        <w:rPr>
          <w:b/>
        </w:rPr>
        <w:t xml:space="preserve">Notes: </w:t>
      </w:r>
      <w:r>
        <w:t>abstract_source=crossref</w:t>
      </w:r>
    </w:p>
    <w:p>
      <w:pPr>
        <w:spacing w:before="0" w:after="80" w:lineRule="auto" w:line="276"/>
      </w:pPr>
      <w:r>
        <w:rPr>
          <w:b/>
        </w:rPr>
        <w:t xml:space="preserve">摘要（ZH）: </w:t>
      </w:r>
      <w:r>
        <w:t>单细胞RNA测序发现六种显微镜亚型具有独特的区域特征,包括一种子型,在三重有机体中为伽巴BB受体基因高度浓缩。 为了调查微晶体对神经电路的贡献,我们创建了微型小螺旋内嵌成的中脑-三合体,为包括自闭症在内的许多神经精神紊乱建立核心电路节模型。</w:t>
      </w:r>
    </w:p>
    <w:p>
      <w:pPr>
        <w:spacing w:before="0" w:after="200" w:lineRule="auto" w:line="276"/>
      </w:pPr>
      <w:r>
        <w:rPr>
          <w:b/>
        </w:rPr>
        <w:t xml:space="preserve">Abstract (EN): </w:t>
      </w:r>
      <w:r>
        <w:t>Microglia critically shape neuronal circuit development and function, yet their region-specific properties and roles in distinct circuits of the human brain remain poorly understood. In this study, we generated region-specific brain organoids (cortical, striatal, and midbrain), each integrated with human microglia, to fill this critical gap. Single-cell RNA sequencing uncovered six distinct microglial subtypes exhibiting unique regional signatures, including a subtype highly enriched for the GABA</w:t>
      </w:r>
      <w:r>
        <w:t xml:space="preserve"> </w:t>
      </w:r>
      <w:r>
        <w:t>B</w:t>
      </w:r>
      <w:r>
        <w:t xml:space="preserve"> </w:t>
      </w:r>
      <w:r>
        <w:t>receptor gene within striatal organoids. To investigate the contributions of microglia to neural circuitry, we created microglia-incorporated midbrain-striatal assembloids, modeling a core circuit node for many neuropsychiatric disorders, including autism. Using chemogenetics to activate this midbrain-striatal circuit, we observed increased calcium signaling in microglia involving GABA</w:t>
      </w:r>
      <w:r>
        <w:t xml:space="preserve"> </w:t>
      </w:r>
      <w:r>
        <w:t>B</w:t>
      </w:r>
      <w:r>
        <w:t xml:space="preserve"> </w:t>
      </w:r>
      <w:r>
        <w:t>receptors. Leveraging this model, we examined microglial responses within neural circuits harboring an</w:t>
      </w:r>
      <w:r>
        <w:t xml:space="preserve"> </w:t>
      </w:r>
      <w:r>
        <w:t>SCN2A</w:t>
      </w:r>
      <w:r>
        <w:t xml:space="preserve"> </w:t>
      </w:r>
      <w:r>
        <w:t>nonsense (C959X) mutation associated with profound autism. Microglia displayed heightened calcium responses to</w:t>
      </w:r>
      <w:r>
        <w:t xml:space="preserve"> </w:t>
      </w:r>
      <w:r>
        <w:t>SCN2A</w:t>
      </w:r>
      <w:r>
        <w:t xml:space="preserve"> </w:t>
      </w:r>
      <w:r>
        <w:t>mutation–mediated neuronal hyperactivity and engaged in excessive synaptic pruning. These pathological effects were reversed not only by pharmacological inhibition of microglial GABA</w:t>
      </w:r>
      <w:r>
        <w:t xml:space="preserve"> </w:t>
      </w:r>
      <w:r>
        <w:t>B</w:t>
      </w:r>
      <w:r>
        <w:t xml:space="preserve"> </w:t>
      </w:r>
      <w:r>
        <w:t>receptors but also by knockout of the</w:t>
      </w:r>
      <w:r>
        <w:t xml:space="preserve"> </w:t>
      </w:r>
      <w:r>
        <w:t>GABBR1</w:t>
      </w:r>
      <w:r>
        <w:t xml:space="preserve"> </w:t>
      </w:r>
      <w:r>
        <w:t>gene in microglia. Collectively, our findings establish an advanced platform that can be used to dissect human neuroimmune interactions in subcortical regions and to evaluate previously undiscovered therapies, highlighting the important role of microglia in shaping critical circuitry related to neuropsychiatric disorders.</w:t>
      </w:r>
    </w:p>
    <w:p>
      <w:pPr>
        <w:spacing w:before="120" w:after="120"/>
      </w:pPr>
      <w:r>
        <w:rPr>
          <w:sz w:val="18"/>
        </w:rPr>
        <w:t>——————————————————————————————————————————————————————————————————————</w:t>
      </w:r>
    </w:p>
    <w:p>
      <w:pPr>
        <w:spacing w:before="160" w:after="40" w:line="240" w:lineRule="auto"/>
      </w:pPr>
      <w:r>
        <w:rPr>
          <w:b/>
        </w:rPr>
        <w:t xml:space="preserve">[446] </w:t>
      </w:r>
      <w:hyperlink r:id="rId701">
        <w:r>
          <w:rPr>
            <w:color w:val="1155CC"/>
            <w:u w:val="single"/>
          </w:rPr>
          <w:t>东亚最古老的原地立立立立人法:Yunxian网站日期为~1.77马。</w:t>
        </w:r>
      </w:hyperlink>
    </w:p>
    <w:p>
      <w:pPr>
        <w:spacing w:before="0" w:after="80"/>
      </w:pPr>
      <w:r>
        <w:rPr>
          <w:i/>
          <w:sz w:val="20"/>
        </w:rPr>
        <w:t>EN: The oldest in situ Homo erectus crania in eastern Asia: The Yunxian site dates to ~1.77 Ma</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02">
        <w:r>
          <w:rPr>
            <w:color w:val="1155CC"/>
            <w:u w:val="single"/>
          </w:rPr>
          <w:t>10.1126/sciadv.ady2270</w:t>
        </w:r>
      </w:hyperlink>
    </w:p>
    <w:p>
      <w:pPr>
        <w:spacing w:before="0" w:after="120"/>
      </w:pPr>
      <w:r>
        <w:rPr>
          <w:b/>
        </w:rPr>
        <w:t xml:space="preserve">Notes: </w:t>
      </w:r>
      <w:r>
        <w:t>abstract_source=crossref</w:t>
      </w:r>
    </w:p>
    <w:p>
      <w:pPr>
        <w:spacing w:before="0" w:after="80" w:lineRule="auto" w:line="276"/>
      </w:pPr>
      <w:r>
        <w:rPr>
          <w:b/>
        </w:rPr>
        <w:t xml:space="preserve">摘要（ZH）: </w:t>
      </w:r>
      <w:r>
        <w:t>由于发现了三个几乎完全完全的立立体人,Yunxian是东亚最重要的早期Pleistocenne Homeminin遗址之一。然而,Yunxian化石的老化因缺乏可靠的日期约会结果而一直争论着。在这里,我们采用了久熟的Isochron 26 Al/ 10 埋埋地,该地两个沉积层的石子石埋地。 年龄结果将Yunxian crania 推回177  0.08万年前(内部错误),代表了东亚最古老的H. 勃起化石,代表着东亚的原地发现。</w:t>
      </w:r>
    </w:p>
    <w:p>
      <w:pPr>
        <w:spacing w:before="0" w:after="200" w:lineRule="auto" w:line="276"/>
      </w:pPr>
      <w:r>
        <w:rPr>
          <w:b/>
        </w:rPr>
        <w:t xml:space="preserve">Abstract (EN): </w:t>
      </w:r>
      <w:r>
        <w:t>With the discovery of three almost complete</w:t>
      </w:r>
      <w:r>
        <w:t xml:space="preserve"> </w:t>
      </w:r>
      <w:r>
        <w:t>Homo erectus</w:t>
      </w:r>
      <w:r>
        <w:t xml:space="preserve"> </w:t>
      </w:r>
      <w:r>
        <w:t>crania, Yunxian is one of the most important early Pleistocene hominin sites in eastern Asia. Yet, the age of the Yunxian fossils has remained debated because of the lack of reliable numerical dating results. Here, we apply the well-established isochron</w:t>
      </w:r>
      <w:r>
        <w:rPr>
          <w:vertAlign w:val="subscript"/>
        </w:rPr>
        <w:t>26</w:t>
      </w:r>
      <w:r>
        <w:t>Al/</w:t>
      </w:r>
      <w:r>
        <w:rPr>
          <w:vertAlign w:val="subscript"/>
        </w:rPr>
        <w:t>10</w:t>
      </w:r>
      <w:r>
        <w:t>Be burial dating to quartz gravels from two sediment layers of the site. The age results push the Yunxian crania back to 1.77 ± 0.08 million years ago (±1σ internal error), representing the oldest</w:t>
      </w:r>
      <w:r>
        <w:t xml:space="preserve"> </w:t>
      </w:r>
      <w:r>
        <w:t>H. erectus</w:t>
      </w:r>
      <w:r>
        <w:t xml:space="preserve"> </w:t>
      </w:r>
      <w:r>
        <w:t>fossils discovered in situ in eastern Asia. A much older age assignment to Yunxian supports the model of rapid dispersal and widespread distribution of early</w:t>
      </w:r>
      <w:r>
        <w:t xml:space="preserve"> </w:t>
      </w:r>
      <w:r>
        <w:t>H. erectus</w:t>
      </w:r>
      <w:r>
        <w:t xml:space="preserve"> </w:t>
      </w:r>
      <w:r>
        <w:t>and contributes to narrowing the chronological gap between the earliest archaeology and hominin paleontology in eastern Asia.</w:t>
      </w:r>
    </w:p>
    <w:p>
      <w:pPr>
        <w:spacing w:before="120" w:after="120"/>
      </w:pPr>
      <w:r>
        <w:rPr>
          <w:sz w:val="18"/>
        </w:rPr>
        <w:t>——————————————————————————————————————————————————————————————————————</w:t>
      </w:r>
    </w:p>
    <w:p>
      <w:pPr>
        <w:spacing w:before="160" w:after="40" w:line="240" w:lineRule="auto"/>
      </w:pPr>
      <w:r>
        <w:rPr>
          <w:b/>
        </w:rPr>
        <w:t xml:space="preserve">[447] </w:t>
      </w:r>
      <w:hyperlink r:id="rId703">
        <w:r>
          <w:rPr>
            <w:color w:val="1155CC"/>
            <w:u w:val="single"/>
          </w:rPr>
          <w:t>MIRNA基因突变通常扰乱MIRNA基因的正常运转</w:t>
        </w:r>
      </w:hyperlink>
    </w:p>
    <w:p>
      <w:pPr>
        <w:spacing w:before="0" w:after="80"/>
      </w:pPr>
      <w:r>
        <w:rPr>
          <w:i/>
          <w:sz w:val="20"/>
        </w:rPr>
        <w:t>EN: miRNA gene mutations commonly disrupt the proper functioning of miRNA genes</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04">
        <w:r>
          <w:rPr>
            <w:color w:val="1155CC"/>
            <w:u w:val="single"/>
          </w:rPr>
          <w:t>10.1126/sciadv.aea6079</w:t>
        </w:r>
      </w:hyperlink>
    </w:p>
    <w:p>
      <w:pPr>
        <w:spacing w:before="0" w:after="120"/>
      </w:pPr>
      <w:r>
        <w:rPr>
          <w:b/>
        </w:rPr>
        <w:t xml:space="preserve">Notes: </w:t>
      </w:r>
      <w:r>
        <w:t>abstract_source=crossref</w:t>
      </w:r>
    </w:p>
    <w:p>
      <w:pPr>
        <w:spacing w:before="0" w:after="80" w:lineRule="auto" w:line="276"/>
      </w:pPr>
      <w:r>
        <w:rPr>
          <w:b/>
        </w:rPr>
        <w:t xml:space="preserve">摘要（ZH）: </w:t>
      </w:r>
      <w:r>
        <w:t>在非编码基因组中,包括微RNA(MIRNA)基因,正在发现越来越多的突变;然而,对这些突变的后果以及这些变异对MIRNA基因的作用如何有害知之甚少。为了评估MIRNA基因变异的影响,我们利用了在 &amp;gt;10,000中在MIRNA基因中发现的大量体变异,并将这些变异与相应的MIRNA测序数据进行了比较。我们采用不同的分析方法和严格的统计标准,发现相当一部分突变对影响成熟的MIRNA、IsomiR剖面(DROSHA/DICER1裂痕的精度)和/或5p/3p MIRNA线平衡的MIRNA基因的适当功能有害。</w:t>
      </w:r>
    </w:p>
    <w:p>
      <w:pPr>
        <w:spacing w:before="0" w:after="200" w:lineRule="auto" w:line="276"/>
      </w:pPr>
      <w:r>
        <w:rPr>
          <w:b/>
        </w:rPr>
        <w:t xml:space="preserve">Abstract (EN): </w:t>
      </w:r>
      <w:r>
        <w:t>A growing number of mutations are being identified in the noncoding genome, including microRNA (miRNA) genes; however, little is known about the consequences of these mutations and how harmful they are to the functioning of miRNA genes. To evaluate the effects of miRNA gene mutations, we took advantage of a large collection of somatic mutations identified in miRNA genes in &amp;gt;10,000 The Cancer Genome Atlas cancer samples and compared them with the corresponding miRNA sequencing data. Using different analytical approaches and rigorous statistical criteria, we revealed that a substantial fraction of mutations is deleterious for the proper functioning of miRNA genes affecting the level of mature miRNAs, isomiR profiles (precision of DROSHA/DICER1 cleavage), and/or 5p/3p miRNA strand balance. We also showed that most mutations, especially those identified as deleterious, destabilize the structure of miRNA precursors. The analysis showed that many miRNA gene mutations can damage miRNA genes and, if located in disease-related miRNA genes, may be pathogenic variants.</w:t>
      </w:r>
    </w:p>
    <w:p>
      <w:pPr>
        <w:spacing w:before="120" w:after="120"/>
      </w:pPr>
      <w:r>
        <w:rPr>
          <w:sz w:val="18"/>
        </w:rPr>
        <w:t>——————————————————————————————————————————————————————————————————————</w:t>
      </w:r>
    </w:p>
    <w:p>
      <w:pPr>
        <w:spacing w:before="160" w:after="40" w:line="240" w:lineRule="auto"/>
      </w:pPr>
      <w:r>
        <w:rPr>
          <w:b/>
        </w:rPr>
        <w:t xml:space="preserve">[448] </w:t>
      </w:r>
      <w:hyperlink r:id="rId705">
        <w:r>
          <w:rPr>
            <w:color w:val="1155CC"/>
            <w:u w:val="single"/>
          </w:rPr>
          <w:t>中国新石化农户多次向南向南向东南亚移徙,从大规模Y-染色体序列中发现</w:t>
        </w:r>
      </w:hyperlink>
    </w:p>
    <w:p>
      <w:pPr>
        <w:spacing w:before="0" w:after="80"/>
      </w:pPr>
      <w:r>
        <w:rPr>
          <w:i/>
          <w:sz w:val="20"/>
        </w:rPr>
        <w:t>EN: Multiple southward migrations of Neolithic Chinese farmers into Southeast Asia revealed from large-scale Y-chromosome sequences</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06">
        <w:r>
          <w:rPr>
            <w:color w:val="1155CC"/>
            <w:u w:val="single"/>
          </w:rPr>
          <w:t>10.1126/sciadv.ady1597</w:t>
        </w:r>
      </w:hyperlink>
    </w:p>
    <w:p>
      <w:pPr>
        <w:spacing w:before="0" w:after="120"/>
      </w:pPr>
      <w:r>
        <w:rPr>
          <w:b/>
        </w:rPr>
        <w:t xml:space="preserve">Notes: </w:t>
      </w:r>
      <w:r>
        <w:t>abstract_source=crossref</w:t>
      </w:r>
    </w:p>
    <w:p>
      <w:pPr>
        <w:spacing w:before="0" w:after="80" w:lineRule="auto" w:line="276"/>
      </w:pPr>
      <w:r>
        <w:rPr>
          <w:b/>
        </w:rPr>
        <w:t xml:space="preserve">摘要（ZH）: </w:t>
      </w:r>
      <w:r>
        <w:t>中国古代小米和水稻种植人口对东南亚人口的遗传贡献的规模和时机仍然不完全了解,特别是Y-染色体多样性方面。这里,与780个东欧亚古代基因组和1748个东南亚低覆盖率基因组一起分析了中国Y-染色体变异的综合数据集,其中包括1 507个民族语言多样性群体高覆盖序列,与780个东欧亚古代基因组和1 748个东南亚低覆盖序列一起进行了分析。我们重建了一个高分辨率、有时间校准的Y-染色体植物基因组,揭示了与中国南部尼奥氏文化创新有关的多种男性偏见扩张。这些扩张明显地塑造了中国南部和东南亚大陆的父系。</w:t>
      </w:r>
    </w:p>
    <w:p>
      <w:pPr>
        <w:spacing w:before="0" w:after="200" w:lineRule="auto" w:line="276"/>
      </w:pPr>
      <w:r>
        <w:rPr>
          <w:b/>
        </w:rPr>
        <w:t xml:space="preserve">Abstract (EN): </w:t>
      </w:r>
      <w:r>
        <w:t>The scale and timing of genetic contributions from ancient millet- and rice-farming populations in China to Southeast Asian populations remain incompletely understood, particularly concerning Y-chromosome diversity. Here, a comprehensive dataset of Chinese Y-chromosome variations, including 1507 high-coverage sequences from ethnolinguistically diverse groups, was analyzed alongside 780 ancient genomes from eastern Eurasia and 1748 low-coverage sequences from Southeast Asia. We reconstructed a high-resolution, time-calibrated Y-chromosome phylogeny, revealing multiple male-biased expansions associated with Neolithic cultural innovations in South China. These expansions markedly shaped the paternal ancestry of both South China and mainland Southeast Asia. Founding lineages linked to Hmong-Mien and Tai-Kadai speakers were traced, revealing notable growth during the Middle Neolithic. Phylogeographic structure, network analyses, and haplogroup distributions indicate complex demographic interactions that established the genetic legacy of Neolithic farmers in Southeast Asia. These findings highlight recurrent southward migrations of Chinese farmer-related groups and their enduring influence on the paternal genetic landscape of ancient and present-day Southeast Asians.</w:t>
      </w:r>
    </w:p>
    <w:p>
      <w:pPr>
        <w:spacing w:before="120" w:after="120"/>
      </w:pPr>
      <w:r>
        <w:rPr>
          <w:sz w:val="18"/>
        </w:rPr>
        <w:t>——————————————————————————————————————————————————————————————————————</w:t>
      </w:r>
    </w:p>
    <w:p>
      <w:pPr>
        <w:spacing w:before="160" w:after="40" w:line="240" w:lineRule="auto"/>
      </w:pPr>
      <w:r>
        <w:rPr>
          <w:b/>
        </w:rPr>
        <w:t xml:space="preserve">[449] </w:t>
      </w:r>
      <w:hyperlink r:id="rId707">
        <w:r>
          <w:rPr>
            <w:color w:val="1155CC"/>
            <w:u w:val="single"/>
          </w:rPr>
          <w:t>ISR 下游影响器ATF4 推动依赖 mGluR 的长期抑郁症和相关行为</w:t>
        </w:r>
      </w:hyperlink>
    </w:p>
    <w:p>
      <w:pPr>
        <w:spacing w:before="0" w:after="80"/>
      </w:pPr>
      <w:r>
        <w:rPr>
          <w:i/>
          <w:sz w:val="20"/>
        </w:rPr>
        <w:t>EN: The ISR downstream effector ATF4 promotes mGluR-dependent long-term depression and associated behavior</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08">
        <w:r>
          <w:rPr>
            <w:color w:val="1155CC"/>
            <w:u w:val="single"/>
          </w:rPr>
          <w:t>10.1073/pnas.2532796123</w:t>
        </w:r>
      </w:hyperlink>
    </w:p>
    <w:p>
      <w:pPr>
        <w:spacing w:before="0" w:after="120"/>
      </w:pPr>
      <w:r>
        <w:rPr>
          <w:b/>
        </w:rPr>
        <w:t xml:space="preserve">Notes: </w:t>
      </w:r>
      <w:r>
        <w:t>abstract_source=crossref</w:t>
      </w:r>
    </w:p>
    <w:p>
      <w:pPr>
        <w:spacing w:before="0" w:after="80" w:lineRule="auto" w:line="276"/>
      </w:pPr>
      <w:r>
        <w:rPr>
          <w:b/>
        </w:rPr>
        <w:t xml:space="preserve">摘要（ZH）: </w:t>
      </w:r>
      <w:r>
        <w:t>综合应激反应(ISR)通过双向调节两种主要形式的合成可塑性、长期威力和长期抑郁(LTD),在认知认知过程中发挥着关键作用。具体地说,抑制ISR区块的代谢性谷颈受体受体受体受体LTD(mGluR-LTD),而激活该区块会促进这种形式的合成抑郁。然而,激活转录因子4(ATF4)是ISR研究的最佳下游效应者,对MGluR-LTD(MGluR-LTD)的贡献仍然未知。这里,我们表明,老鼠河马堤切片中I mGluRs组的药理作用提高了ATF4蛋白质水平,而没有改变其转录和同时降低氧化性磷素(OXPHOS)蛋白质的表达方式。选择删除ATF。</w:t>
      </w:r>
    </w:p>
    <w:p>
      <w:pPr>
        <w:spacing w:before="0" w:after="200" w:lineRule="auto" w:line="276"/>
      </w:pPr>
      <w:r>
        <w:rPr>
          <w:b/>
        </w:rPr>
        <w:t xml:space="preserve">Abstract (EN): </w:t>
      </w:r>
      <w:r>
        <w:t>The integrated stress response (ISR) plays a crucial role in cognition via bidirectional modulation of the two major forms of synaptic plasticity, long-term potentiation, and long-term depression (LTD). Specifically, inhibition of the ISR blocks metabotropic glutamate receptor-dependent LTD (mGluR-LTD), whereas its activation facilitates this form of synaptic depression. However, the contribution of activating transcription factor 4 (ATF4), the best studied downstream effector of the ISR, to mGluR-LTD remains unknown. Here, we show that pharmacological activation of group I mGluRs in mouse hippocampal slices increases ATF4 protein levels without altering its transcription and concurrently downregulates the expression of oxidative phosphorylation (OXPHOS) proteins. Selective deletion of ATF4 in excitatory neurons impairs mGluR-LTD and prevents the downregulation of OXPHOS proteins. Notably, administration of a small molecule inhibitor of OXPHOS rescues the impaired mGluR-LTD in ATF4-depleted hippocampal slices, indicating that ATF4 regulates this type of synaptic plasticity by modulating mitochondrial function. Moreover, ATF4 deletion in excitatory neurons disrupts object-place learning, an mGluR-LTD-dependent behavior paradigm. Together, these findings reveal a role of ATF4 as a key mediator of protein synthesis-regulated synaptic depression and related behaviors.</w:t>
      </w:r>
    </w:p>
    <w:p>
      <w:pPr>
        <w:spacing w:before="120" w:after="120"/>
      </w:pPr>
      <w:r>
        <w:rPr>
          <w:sz w:val="18"/>
        </w:rPr>
        <w:t>——————————————————————————————————————————————————————————————————————</w:t>
      </w:r>
    </w:p>
    <w:p>
      <w:pPr>
        <w:spacing w:before="160" w:after="40" w:line="240" w:lineRule="auto"/>
      </w:pPr>
      <w:r>
        <w:rPr>
          <w:b/>
        </w:rPr>
        <w:t xml:space="preserve">[450] </w:t>
      </w:r>
      <w:hyperlink r:id="rId709">
        <w:r>
          <w:rPr>
            <w:color w:val="1155CC"/>
            <w:u w:val="single"/>
          </w:rPr>
          <w:t>干扰性能源新陈代谢与在自鸡毛主要光学萎缩中视网膜交结细胞变分有关。</w:t>
        </w:r>
      </w:hyperlink>
    </w:p>
    <w:p>
      <w:pPr>
        <w:spacing w:before="0" w:after="80"/>
      </w:pPr>
      <w:r>
        <w:rPr>
          <w:i/>
          <w:sz w:val="20"/>
        </w:rPr>
        <w:t>EN: Disrupted energy metabolism is associated with retinal ganglion cell degeneration in autosomal dominant optic atrophy</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10">
        <w:r>
          <w:rPr>
            <w:color w:val="1155CC"/>
            <w:u w:val="single"/>
          </w:rPr>
          <w:t>10.1126/sciadv.adx7815</w:t>
        </w:r>
      </w:hyperlink>
    </w:p>
    <w:p>
      <w:pPr>
        <w:spacing w:before="0" w:after="120"/>
      </w:pPr>
      <w:r>
        <w:rPr>
          <w:b/>
        </w:rPr>
        <w:t xml:space="preserve">Notes: </w:t>
      </w:r>
      <w:r>
        <w:t>abstract_source=crossref</w:t>
      </w:r>
    </w:p>
    <w:p>
      <w:pPr>
        <w:spacing w:before="0" w:after="80" w:lineRule="auto" w:line="276"/>
      </w:pPr>
      <w:r>
        <w:rPr>
          <w:b/>
        </w:rPr>
        <w:t xml:space="preserve">摘要（ZH）: </w:t>
      </w:r>
      <w:r>
        <w:t>自主显性显性光学萎缩(ADOA)是一种由OPA1变异体引起的遗传性光学神经病,导致视网膜细胞(RGC)变形和视力丧失,该变异体对视网膜凝结细胞(RGC)衰变和视力丧失的诱因机制仍然不清楚。我们开发了一种针对病人的Opa1 V291D/+ 敲击鼠标模型,以调查ADOA的线球体机能障碍和视网膜新陈代谢。我们观察到Opa1 V291D/+小鼠展示了反解学和功能性RGC异常,以重新捕捉ADOA的苯型(OPA1),减少了光学萎缩1(OPA1)p。</w:t>
      </w:r>
    </w:p>
    <w:p>
      <w:pPr>
        <w:spacing w:before="0" w:after="200" w:lineRule="auto" w:line="276"/>
      </w:pPr>
      <w:r>
        <w:rPr>
          <w:b/>
        </w:rPr>
        <w:t xml:space="preserve">Abstract (EN): </w:t>
      </w:r>
      <w:r>
        <w:t>Autosomal dominant optic atrophy (ADOA) is a hereditary optic neuropathy caused by</w:t>
      </w:r>
      <w:r>
        <w:t xml:space="preserve"> </w:t>
      </w:r>
      <w:r>
        <w:t>OPA1</w:t>
      </w:r>
      <w:r>
        <w:t xml:space="preserve"> </w:t>
      </w:r>
      <w:r>
        <w:t>variants, leading to retinal ganglion cell (RGC) degeneration and vision loss. The mechanisms behind RGC vulnerability to mitochondrial dysfunction remain unclear. We developed a patient-specific</w:t>
      </w:r>
      <w:r>
        <w:t xml:space="preserve"> </w:t>
      </w:r>
      <w:r>
        <w:t>Opa1</w:t>
      </w:r>
      <w:r>
        <w:t xml:space="preserve"> </w:t>
      </w:r>
      <w:r>
        <w:t>V291D/+</w:t>
      </w:r>
      <w:r>
        <w:t xml:space="preserve"> </w:t>
      </w:r>
      <w:r>
        <w:t>knock-in mouse model to investigate mitochondrial dysfunction and retinal metabolism in ADOA. We observed that</w:t>
      </w:r>
      <w:r>
        <w:t xml:space="preserve"> </w:t>
      </w:r>
      <w:r>
        <w:t>Opa1</w:t>
      </w:r>
      <w:r>
        <w:t xml:space="preserve"> </w:t>
      </w:r>
      <w:r>
        <w:t>V291D/+</w:t>
      </w:r>
      <w:r>
        <w:t xml:space="preserve"> </w:t>
      </w:r>
      <w:r>
        <w:t>mice exhibited anatomical and functional RGC abnormalities recapitulating the ADOA phenotypes. Reduced optic atrophy 1 (OPA1) protein levels were noted in</w:t>
      </w:r>
      <w:r>
        <w:t xml:space="preserve"> </w:t>
      </w:r>
      <w:r>
        <w:t>Opa1</w:t>
      </w:r>
      <w:r>
        <w:t xml:space="preserve"> </w:t>
      </w:r>
      <w:r>
        <w:t>V291D/+</w:t>
      </w:r>
      <w:r>
        <w:t xml:space="preserve"> </w:t>
      </w:r>
      <w:r>
        <w:t>mice, accompanied by decreased protein stability. Moreover, mitochondrial function was compromised, as indicated by reduced Complex I activity, increased oxidative stress, and diminished adenosine triphosphate production in the retinas of</w:t>
      </w:r>
      <w:r>
        <w:t xml:space="preserve"> </w:t>
      </w:r>
      <w:r>
        <w:t>Opa1</w:t>
      </w:r>
      <w:r>
        <w:t xml:space="preserve"> </w:t>
      </w:r>
      <w:r>
        <w:t>V291D/+</w:t>
      </w:r>
      <w:r>
        <w:t xml:space="preserve"> </w:t>
      </w:r>
      <w:r>
        <w:t>mice. Spatial metabolomics revealed energy deficits in the inner retina and heightened glycolysis in the outer retina. Immunostaining showed decreased expression of glycolytic proteins in the ganglion cell layer. Single-nucleus RNA sequencing disclosed significant down-regulation of energy-production genes in RGCs, while other retinal cell types remained unaffected. These findings emphasize the specific vulnerability of RGCs to bioenergetic crises, connecting disrupted energy homeostasis to their degeneration. By increasing the nicotinamide adenine dinucleotide (NAD</w:t>
      </w:r>
      <w:r>
        <w:t xml:space="preserve"> </w:t>
      </w:r>
      <w:r>
        <w:t>+</w:t>
      </w:r>
      <w:r>
        <w:t xml:space="preserve"> </w:t>
      </w:r>
      <w:r>
        <w:t>)/reduced form of NAD</w:t>
      </w:r>
      <w:r>
        <w:t xml:space="preserve"> </w:t>
      </w:r>
      <w:r>
        <w:t>+</w:t>
      </w:r>
      <w:r>
        <w:t xml:space="preserve"> </w:t>
      </w:r>
      <w:r>
        <w:t>(NADH) redox ratio through the overexpression of mitochondrial-targeted</w:t>
      </w:r>
      <w:r>
        <w:t xml:space="preserve"> </w:t>
      </w:r>
      <w:r>
        <w:t>Lactobacillus brevis</w:t>
      </w:r>
      <w:r>
        <w:t xml:space="preserve"> </w:t>
      </w:r>
      <w:r>
        <w:t>NADH oxidase (</w:t>
      </w:r>
      <w:r>
        <w:t xml:space="preserve"> </w:t>
      </w:r>
      <w:r>
        <w:t>MitoLbNOX</w:t>
      </w:r>
      <w:r>
        <w:t xml:space="preserve"> </w:t>
      </w:r>
      <w:r>
        <w:t>) in RGCs, we demonstrated improved RGC function and survival through enhanced energy metabolism and reduced oxidative stress. These findings confirm that disrupted energy metabolism leads to RGC degeneration and emphasize the enhancement of the NAD</w:t>
      </w:r>
      <w:r>
        <w:t xml:space="preserve"> </w:t>
      </w:r>
      <w:r>
        <w:t>+</w:t>
      </w:r>
      <w:r>
        <w:t xml:space="preserve"> </w:t>
      </w:r>
      <w:r>
        <w:t>/NADH redox ratio as a promising treatment strategy to protect RGCs from degeneration in ADOA.</w:t>
      </w:r>
    </w:p>
    <w:p>
      <w:pPr>
        <w:spacing w:before="120" w:after="120"/>
      </w:pPr>
      <w:r>
        <w:rPr>
          <w:sz w:val="18"/>
        </w:rPr>
        <w:t>——————————————————————————————————————————————————————————————————————</w:t>
      </w:r>
    </w:p>
    <w:p>
      <w:pPr>
        <w:spacing w:before="160" w:after="40" w:line="240" w:lineRule="auto"/>
      </w:pPr>
      <w:r>
        <w:rPr>
          <w:b/>
        </w:rPr>
        <w:t xml:space="preserve">[451] </w:t>
      </w:r>
      <w:hyperlink r:id="rId711">
        <w:r>
          <w:rPr>
            <w:color w:val="1155CC"/>
            <w:u w:val="single"/>
          </w:rPr>
          <w:t>通过春季机制自发适应生长的儿科心脏阀门支架设计和临床前期可行性</w:t>
        </w:r>
      </w:hyperlink>
    </w:p>
    <w:p>
      <w:pPr>
        <w:spacing w:before="0" w:after="80"/>
      </w:pPr>
      <w:r>
        <w:rPr>
          <w:i/>
          <w:sz w:val="20"/>
        </w:rPr>
        <w:t>EN: Design and preclinical feasibility of a pediatric heart valve stent that spontaneously adapts to growth via a spring mechanism</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12">
        <w:r>
          <w:rPr>
            <w:color w:val="1155CC"/>
            <w:u w:val="single"/>
          </w:rPr>
          <w:t>10.1126/sciadv.adw4669</w:t>
        </w:r>
      </w:hyperlink>
    </w:p>
    <w:p>
      <w:pPr>
        <w:spacing w:before="0" w:after="120"/>
      </w:pPr>
      <w:r>
        <w:rPr>
          <w:b/>
        </w:rPr>
        <w:t xml:space="preserve">Notes: </w:t>
      </w:r>
      <w:r>
        <w:t>abstract_source=crossref</w:t>
      </w:r>
    </w:p>
    <w:p>
      <w:pPr>
        <w:spacing w:before="0" w:after="80" w:lineRule="auto" w:line="276"/>
      </w:pPr>
      <w:r>
        <w:rPr>
          <w:b/>
        </w:rPr>
        <w:t xml:space="preserve">摘要（ZH）: </w:t>
      </w:r>
      <w:r>
        <w:t>遗传心脏阀门缺陷往往需要手术干预才能生存。现在,市场上没有为婴儿和发育迅速的幼儿迅速成长的婴儿和幼儿设计的任何修复阀门。最近扩大的阀门的进展为这些年轻病人带来了希望,但目前需要入侵性气球导管程序来扩大装置。这里,我们描述了小儿心脏阀门的设计和初步可行性,通过硝醇超弹性特性所传递的春季式机制,可以自动适应生长。 小猪的研究表明该装置在植入、急性阀门功能和该脉道在生长13毫米之后的成比例扩张能力方面受到小直径(8至9毫米)的适当限制。</w:t>
      </w:r>
    </w:p>
    <w:p>
      <w:pPr>
        <w:spacing w:before="0" w:after="200" w:lineRule="auto" w:line="276"/>
      </w:pPr>
      <w:r>
        <w:rPr>
          <w:b/>
        </w:rPr>
        <w:t xml:space="preserve">Abstract (EN): </w:t>
      </w:r>
      <w:r>
        <w:t>Congenital heart valve defects often require surgical intervention for survival. Now, there are no valve prosthetics on the market that are designed for babies and toddlers who grow rapidly. Recent advancements in expandable valves hold promise for these young patients but currently require invasive balloon catheter procedures for device expansion. Here, we describe the design and preclinical feasibility of a pediatric heart valve stent that spontaneously adapts to growth via a springlike mechanism imparted by the superelastic properties of nitinol. Studies in piglets demonstrated appropriate constraint of the device to small diameters (8 to 9 millimeters) upon implantation, acute valve function, and the ability of the stent to proportionately expand with growth up to 13 millimeters after 6 weeks without subsequent interventions after implantation. We expect that the growth-adaptive stent concept could be broadly leveraged to eliminate surgeries and invasive procedures as young patients grow.</w:t>
      </w:r>
    </w:p>
    <w:p>
      <w:pPr>
        <w:spacing w:before="120" w:after="120"/>
      </w:pPr>
      <w:r>
        <w:rPr>
          <w:sz w:val="18"/>
        </w:rPr>
        <w:t>——————————————————————————————————————————————————————————————————————</w:t>
      </w:r>
    </w:p>
    <w:p>
      <w:pPr>
        <w:spacing w:before="160" w:after="40" w:line="240" w:lineRule="auto"/>
      </w:pPr>
      <w:r>
        <w:rPr>
          <w:b/>
        </w:rPr>
        <w:t xml:space="preserve">[452] </w:t>
      </w:r>
      <w:hyperlink r:id="rId713">
        <w:r>
          <w:rPr>
            <w:color w:val="1155CC"/>
            <w:u w:val="single"/>
          </w:rPr>
          <w:t>人类人类中鱼类食物网退化</w:t>
        </w:r>
      </w:hyperlink>
    </w:p>
    <w:p>
      <w:pPr>
        <w:spacing w:before="0" w:after="80"/>
      </w:pPr>
      <w:r>
        <w:rPr>
          <w:i/>
          <w:sz w:val="20"/>
        </w:rPr>
        <w:t>EN: Degradation of fish food webs in the Anthropocene</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14">
        <w:r>
          <w:rPr>
            <w:color w:val="1155CC"/>
            <w:u w:val="single"/>
          </w:rPr>
          <w:t>10.1126/sciadv.adu6540</w:t>
        </w:r>
      </w:hyperlink>
    </w:p>
    <w:p>
      <w:pPr>
        <w:spacing w:before="0" w:after="120"/>
      </w:pPr>
      <w:r>
        <w:rPr>
          <w:b/>
        </w:rPr>
        <w:t xml:space="preserve">Notes: </w:t>
      </w:r>
      <w:r>
        <w:t>abstract_source=crossref</w:t>
      </w:r>
    </w:p>
    <w:p>
      <w:pPr>
        <w:spacing w:before="0" w:after="80" w:lineRule="auto" w:line="276"/>
      </w:pPr>
      <w:r>
        <w:rPr>
          <w:b/>
        </w:rPr>
        <w:t xml:space="preserve">摘要（ZH）: </w:t>
      </w:r>
      <w:r>
        <w:t>全球变化通过物种构成、丰富性和体体大小的变化改变生物多样性。这些变化如何结合改变食物网内较高层次的生态过程,对整个生态系统都会产生重要影响。然而,这些变化的力度和方向将取决于物种和特性构成随时间变化的方式的组合。 我们把来自以下各物种群和海洋鱼类群的长期数据(1949-2019年)与关于它们大小、饮食和营养状况的信息结合起来,以评价食物网在当地空间范围内随时间变化的方式。 我们发现,由体积缩小驱动的选择性物种更替与鱼类食物网表层和功能的广泛改变有关,包括增加连接和基因。</w:t>
      </w:r>
    </w:p>
    <w:p>
      <w:pPr>
        <w:spacing w:before="0" w:after="200" w:lineRule="auto" w:line="276"/>
      </w:pPr>
      <w:r>
        <w:rPr>
          <w:b/>
        </w:rPr>
        <w:t xml:space="preserve">Abstract (EN): </w:t>
      </w:r>
      <w:r>
        <w:t>Global change reshapes biodiversity through shifts in species composition, richness, and body size. How these shifts combine to alter higher-level ecological processes within food webs can have important implications for entire ecosystems. However, the strength and direction of these shifts will depend on combinations of ways that species and trait compositions change through time. We combine long-term data from ~15,000 freshwater and marine fish communities (1949–2019) with information about their size, diets, and trophic status to evaluate how food webs change through time at local spatial scale. We found that selective species turnover driven by body size reductions is associated with widespread alteration to fish food web topology and function, including increased connectance and generalism, leading to higher predation pressure and increased prey vulnerability. Food webs were also less modular. These changes extend across food web trophic structures, causing a cascading shift in the proportion of species across trophic levels. Our study highlights complex biodiversity responses to confluent changes across multiple facets.</w:t>
      </w:r>
    </w:p>
    <w:p>
      <w:pPr>
        <w:spacing w:before="120" w:after="120"/>
      </w:pPr>
      <w:r>
        <w:rPr>
          <w:sz w:val="18"/>
        </w:rPr>
        <w:t>——————————————————————————————————————————————————————————————————————</w:t>
      </w:r>
    </w:p>
    <w:p>
      <w:pPr>
        <w:spacing w:before="160" w:after="40" w:line="240" w:lineRule="auto"/>
      </w:pPr>
      <w:r>
        <w:rPr>
          <w:b/>
        </w:rPr>
        <w:t xml:space="preserve">[453] </w:t>
      </w:r>
      <w:hyperlink r:id="rId715">
        <w:r>
          <w:rPr>
            <w:color w:val="1155CC"/>
            <w:u w:val="single"/>
          </w:rPr>
          <w:t>Tephra地震-通过分析湖泊中液化的 Tephra Tephra层了解隐藏断层的地震危险</w:t>
        </w:r>
      </w:hyperlink>
    </w:p>
    <w:p>
      <w:pPr>
        <w:spacing w:before="0" w:after="80"/>
      </w:pPr>
      <w:r>
        <w:rPr>
          <w:i/>
          <w:sz w:val="20"/>
        </w:rPr>
        <w:t>EN: Tephra seismites—Understanding seismic hazard of hidden faults by analyzing liquefied tephra layers in lakes</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16">
        <w:r>
          <w:rPr>
            <w:color w:val="1155CC"/>
            <w:u w:val="single"/>
          </w:rPr>
          <w:t>10.1126/sciadv.ads2015</w:t>
        </w:r>
      </w:hyperlink>
    </w:p>
    <w:p>
      <w:pPr>
        <w:spacing w:before="0" w:after="120"/>
      </w:pPr>
      <w:r>
        <w:rPr>
          <w:b/>
        </w:rPr>
        <w:t xml:space="preserve">Notes: </w:t>
      </w:r>
      <w:r>
        <w:t>abstract_source=crossref</w:t>
      </w:r>
    </w:p>
    <w:p>
      <w:pPr>
        <w:spacing w:before="0" w:after="80" w:lineRule="auto" w:line="276"/>
      </w:pPr>
      <w:r>
        <w:rPr>
          <w:b/>
        </w:rPr>
        <w:t xml:space="preserve">摘要（ZH）: </w:t>
      </w:r>
      <w:r>
        <w:t>评估隐蔽或表达方式差的地区地震灾害是当今古生物学方面的主要挑战之一。 我们使用计算成的断层成像来量化位于新西兰北部汉密尔顿盆地断层系统表达方式差的18个湖泊中的17.5-千年长的特弗拉层的液化结构的尺寸和分布。 这些嵌入未整合的有机含水湖沉积物的“地中海地震 ”, 增加已知断层的发生率和尺寸,并显示本地隐藏断层的发生率。 通过采用峰地加速模型,我们发现特弗拉地震的空间分布与近地断层引发的地面震动直接相关。 我们使用了 v 。</w:t>
      </w:r>
    </w:p>
    <w:p>
      <w:pPr>
        <w:spacing w:before="0" w:after="200" w:lineRule="auto" w:line="276"/>
      </w:pPr>
      <w:r>
        <w:rPr>
          <w:b/>
        </w:rPr>
        <w:t xml:space="preserve">Abstract (EN): </w:t>
      </w:r>
      <w:r>
        <w:t>Assessing seismic hazards in regions with hidden or poorly expressed faults is one of the major challenges in paleoseismology today. Here, we used computed tomography imaging to quantify the dimensions and distribution of liquefaction structures in ≤17.5–thousand-year-old tephra layers in 18 lakes scattered across the poorly expressed Hamilton Basin fault system in northern New Zealand. These “tephra seismites,” embedded in unconsolidated, organic-bearing lake sediment, increase in occurrence and dimensions toward known faults and indicate the occurrence of a local hidden fault segment. Through incorporating peak ground acceleration modeling, we found that the spatial distribution of tephra seismites directly relates to the ground shaking induced by near-field fault ruptures. We used the variability in tephra seismites within the stratigraphic record and tephrochronology to better constrain the recurrence intervals and magnitudes of paleoearthquakes from both the Hamilton Basin and adjacent Hauraki Basin fault systems. Our methodology is globally applicable in volcanic and tectonic regions where liquefaction structures are preserved among (hidden) faults.</w:t>
      </w:r>
    </w:p>
    <w:p>
      <w:pPr>
        <w:spacing w:before="120" w:after="120"/>
      </w:pPr>
      <w:r>
        <w:rPr>
          <w:sz w:val="18"/>
        </w:rPr>
        <w:t>——————————————————————————————————————————————————————————————————————</w:t>
      </w:r>
    </w:p>
    <w:p>
      <w:pPr>
        <w:spacing w:before="160" w:after="40" w:line="240" w:lineRule="auto"/>
      </w:pPr>
      <w:r>
        <w:rPr>
          <w:b/>
        </w:rPr>
        <w:t xml:space="preserve">[454] </w:t>
      </w:r>
      <w:hyperlink r:id="rId717">
        <w:r>
          <w:rPr>
            <w:color w:val="1155CC"/>
            <w:u w:val="single"/>
          </w:rPr>
          <w:t>Arabidopsis Thaliana 根的机械特性在开发期间动态适应,并有压力</w:t>
        </w:r>
      </w:hyperlink>
    </w:p>
    <w:p>
      <w:pPr>
        <w:spacing w:before="0" w:after="80"/>
      </w:pPr>
      <w:r>
        <w:rPr>
          <w:i/>
          <w:sz w:val="20"/>
        </w:rPr>
        <w:t>EN: The mechanical properties of Arabidopsis thaliana roots adapt dynamically during development and to stress</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18">
        <w:r>
          <w:rPr>
            <w:color w:val="1155CC"/>
            <w:u w:val="single"/>
          </w:rPr>
          <w:t>10.1126/sciadv.aeb0032</w:t>
        </w:r>
      </w:hyperlink>
    </w:p>
    <w:p>
      <w:pPr>
        <w:spacing w:before="0" w:after="120"/>
      </w:pPr>
      <w:r>
        <w:rPr>
          <w:b/>
        </w:rPr>
        <w:t xml:space="preserve">Notes: </w:t>
      </w:r>
      <w:r>
        <w:t>abstract_source=crossref</w:t>
      </w:r>
    </w:p>
    <w:p>
      <w:pPr>
        <w:spacing w:before="0" w:after="80" w:lineRule="auto" w:line="276"/>
      </w:pPr>
      <w:r>
        <w:rPr>
          <w:b/>
        </w:rPr>
        <w:t xml:space="preserve">摘要（ZH）: </w:t>
      </w:r>
      <w:r>
        <w:t>植物细胞和组织机械特性发生动态变化,影响植物生长、发育和与环境的相互作用。尽管这些特性在植物生命中具有中心作用,但目前对这些特性在活体中变化的知识非常有限。在这里,我们把Brilluuin显微镜和分子转子结合到一起,以调查在差异和应对压力和基因操纵期间活阿拉伯化细胞和组织苗根的僵硬性、粘度和孔隙性。我们发现机械特性以细胞和组织特有的方式变化。在差异期间,这些特性变化动态地支持定向细胞扩张。细胞类型的特定适应在数小时内产生。</w:t>
      </w:r>
    </w:p>
    <w:p>
      <w:pPr>
        <w:spacing w:before="0" w:after="200" w:lineRule="auto" w:line="276"/>
      </w:pPr>
      <w:r>
        <w:rPr>
          <w:b/>
        </w:rPr>
        <w:t xml:space="preserve">Abstract (EN): </w:t>
      </w:r>
      <w:r>
        <w:t>Mechanical properties of plant cells and tissues change dynamically, influencing plant growth, development, and interactions with the environment. Despite their central roles in plant life, current knowledge of how these properties change in vivo is very limited. Here, we have combined Brillouin microscopy and molecular rotors to investigate stiffness, viscosity, and porosity in living</w:t>
      </w:r>
      <w:r>
        <w:t xml:space="preserve"> </w:t>
      </w:r>
      <w:r>
        <w:t>Arabidopsis thaliana</w:t>
      </w:r>
      <w:r>
        <w:t xml:space="preserve"> </w:t>
      </w:r>
      <w:r>
        <w:t>seedling roots during differentiation and in response to stress and genetic manipulation. We found that mechanical properties change in a cell- and tissue-specific manner. The properties change dynamically during differentiation to support directional cell expansion. Cell type–specific adaptation of the properties is induced within hours in response to stress or changes in cell wall metabolism. Hyperosmotic stress–induced reduction of cell wall stiffness requires intact abscisic acid metabolism and cell wall integrity signaling. The findings form the foundation for future studies to characterize the regulatory mechanisms linking cell wall homeostasis, signaling, and mechanical properties in plants.</w:t>
      </w:r>
    </w:p>
    <w:p>
      <w:pPr>
        <w:spacing w:before="120" w:after="120"/>
      </w:pPr>
      <w:r>
        <w:rPr>
          <w:sz w:val="18"/>
        </w:rPr>
        <w:t>——————————————————————————————————————————————————————————————————————</w:t>
      </w:r>
    </w:p>
    <w:p>
      <w:pPr>
        <w:spacing w:before="160" w:after="40" w:line="240" w:lineRule="auto"/>
      </w:pPr>
      <w:r>
        <w:rPr>
          <w:b/>
        </w:rPr>
        <w:t xml:space="preserve">[455] </w:t>
      </w:r>
      <w:hyperlink r:id="rId719">
        <w:r>
          <w:rPr>
            <w:color w:val="1155CC"/>
            <w:u w:val="single"/>
          </w:rPr>
          <w:t>边缘多数效应:当社会影响产生锁定时</w:t>
        </w:r>
      </w:hyperlink>
    </w:p>
    <w:p>
      <w:pPr>
        <w:spacing w:before="0" w:after="80"/>
      </w:pPr>
      <w:r>
        <w:rPr>
          <w:i/>
          <w:sz w:val="20"/>
        </w:rPr>
        <w:t>EN: The marginal majority effect: When social influence produces lock-in</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20">
        <w:r>
          <w:rPr>
            <w:color w:val="1155CC"/>
            <w:u w:val="single"/>
          </w:rPr>
          <w:t>10.1126/sciadv.adr4237</w:t>
        </w:r>
      </w:hyperlink>
    </w:p>
    <w:p>
      <w:pPr>
        <w:spacing w:before="0" w:after="120"/>
      </w:pPr>
      <w:r>
        <w:rPr>
          <w:b/>
        </w:rPr>
        <w:t xml:space="preserve">Notes: </w:t>
      </w:r>
      <w:r>
        <w:t>abstract_source=crossref</w:t>
      </w:r>
    </w:p>
    <w:p>
      <w:pPr>
        <w:spacing w:before="0" w:after="80" w:lineRule="auto" w:line="276"/>
      </w:pPr>
      <w:r>
        <w:rPr>
          <w:b/>
        </w:rPr>
        <w:t xml:space="preserve">摘要（ZH）: </w:t>
      </w:r>
      <w:r>
        <w:t>人们受到他人选择的影响,这是在社会和行为科学的不同背景中观察到的一种现象。社会影响可以锁定一种选择的最初受欢迎程度优势,而不是一个质量更高的选择。然而,一些旨在促成社会影响的实验发现,社会系统自我纠正而不是锁定,社会影响是社会系统自我纠正而不是锁定的。在这里,我们确定一种行为现象,使低劣的锁定成为可能,我们称之为“边缘多数效应 ” : 一种选择的选择概率的不连续增加,因为其受欢迎程度超过竞争性选择。 我们表明,在最近的几个实验中,存在一种边缘多数效应,并表明锁定总是在效果大到足以抵消选择的质量效果时发生。</w:t>
      </w:r>
    </w:p>
    <w:p>
      <w:pPr>
        <w:spacing w:before="0" w:after="200" w:lineRule="auto" w:line="276"/>
      </w:pPr>
      <w:r>
        <w:rPr>
          <w:b/>
        </w:rPr>
        <w:t xml:space="preserve">Abstract (EN): </w:t>
      </w:r>
      <w:r>
        <w:t>People are influenced by the choices of others, a phenomenon observed across contexts in the social and behavioral sciences. Social influence can lock in an initial popularity advantage of an option over a higher quality alternative. Yet, several experiments designed to enable social influence have found that social systems self-correct rather than lock in. Here, we identify a behavioral phenomenon that makes inferior lock-in possible, which we call the “marginal majority effect”: a discontinuous increase in the choice probability of an option as its popularity exceeds that of a competing option. We demonstrate the existence of a marginal majority effect in several recent experiments and show that lock-in always occurs when the effect is large enough to offset the quality effect on choice but rarely otherwise. Our results reconcile conflicting past empirical evidence and connect a behavioral phenomenon to the possibility of social lock-in.</w:t>
      </w:r>
    </w:p>
    <w:p>
      <w:pPr>
        <w:spacing w:before="120" w:after="120"/>
      </w:pPr>
      <w:r>
        <w:rPr>
          <w:sz w:val="18"/>
        </w:rPr>
        <w:t>——————————————————————————————————————————————————————————————————————</w:t>
      </w:r>
    </w:p>
    <w:p>
      <w:pPr>
        <w:spacing w:before="160" w:after="40" w:line="240" w:lineRule="auto"/>
      </w:pPr>
      <w:r>
        <w:rPr>
          <w:b/>
        </w:rPr>
        <w:t xml:space="preserve">[456] </w:t>
      </w:r>
      <w:hyperlink r:id="rId721">
        <w:r>
          <w:rPr>
            <w:color w:val="1155CC"/>
            <w:u w:val="single"/>
          </w:rPr>
          <w:t>Lee等人的更正、与LFP有关的Saccade相关LFP权力在Amygdala和Hippocampus的原教长和与社会地位感相联系的河马坎地的瞬间权力。</w:t>
        </w:r>
      </w:hyperlink>
    </w:p>
    <w:p>
      <w:pPr>
        <w:spacing w:before="0" w:after="80"/>
      </w:pPr>
      <w:r>
        <w:rPr>
          <w:i/>
          <w:sz w:val="20"/>
        </w:rPr>
        <w:t>EN: Correction for Lee et al., Saccade-related LFP power transients in the primate amygdala and hippocampus linked to the perception of social status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22">
        <w:r>
          <w:rPr>
            <w:color w:val="1155CC"/>
            <w:u w:val="single"/>
          </w:rPr>
          <w:t>10.1073/pnas.2603598123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[457] </w:t>
      </w:r>
      <w:hyperlink r:id="rId723">
        <w:r>
          <w:rPr>
            <w:color w:val="1155CC"/>
            <w:u w:val="single"/>
          </w:rPr>
          <w:t>用于高温H2/N2分离的金属 -- -- 有机框架/光质纳米肋骨/聚酰胺混合基膜膜</w:t>
        </w:r>
      </w:hyperlink>
    </w:p>
    <w:p>
      <w:pPr>
        <w:spacing w:before="0" w:after="80"/>
      </w:pPr>
      <w:r>
        <w:rPr>
          <w:i/>
          <w:sz w:val="20"/>
        </w:rPr>
        <w:t>EN: Metal-organic framework/graphene nanoribbon/polyimide mixed-matrix membranes for high-temperature H2/N2 separation</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24">
        <w:r>
          <w:rPr>
            <w:color w:val="1155CC"/>
            <w:u w:val="single"/>
          </w:rPr>
          <w:t>10.1126/sciadv.aeb4360</w:t>
        </w:r>
      </w:hyperlink>
    </w:p>
    <w:p>
      <w:pPr>
        <w:spacing w:before="0" w:after="120"/>
      </w:pPr>
      <w:r>
        <w:rPr>
          <w:b/>
        </w:rPr>
        <w:t xml:space="preserve">Notes: </w:t>
      </w:r>
      <w:r>
        <w:t>abstract_source=crossref</w:t>
      </w:r>
    </w:p>
    <w:p>
      <w:pPr>
        <w:spacing w:before="0" w:after="80" w:lineRule="auto" w:line="276"/>
      </w:pPr>
      <w:r>
        <w:rPr>
          <w:b/>
        </w:rPr>
        <w:t xml:space="preserve">摘要（ZH）: </w:t>
      </w:r>
      <w:r>
        <w:t>我们报告在高温氢分离中采用了混合矩阵膜。为了提高氢选择性,将石塑纳米核子(GNRs)纳入ZIF-8填充器,形成一种有利于氢运输的物理封闭结构。嵌入聚氨酯(PI)矩阵中的金属-有机框架/GNR填充器的H2渗透性(298 Barer,+40%)和H2/N2选择性(15,+25%)比整洁的PI膜(15,+25%)高得多。特别是,经过准备的不对称膜实现了H2,212  45气体渗透器(GPU)和H2/N。</w:t>
      </w:r>
    </w:p>
    <w:p>
      <w:pPr>
        <w:spacing w:before="0" w:after="200" w:lineRule="auto" w:line="276"/>
      </w:pPr>
      <w:r>
        <w:rPr>
          <w:b/>
        </w:rPr>
        <w:t xml:space="preserve">Abstract (EN): </w:t>
      </w:r>
      <w:r>
        <w:t>We report the application of mixed-matrix membranes for high-temperature hydrogen separation. To enhance hydrogen selectivity, graphene nanoribbons (GNRs) were incorporated into ZIF-8 fillers, forming a physically confined structure conducive to hydrogen transport. The metal-organic framework (MOF)/GNR filler embedded into a polyimide (PI) matrix yielded a much higher H</w:t>
      </w:r>
      <w:r>
        <w:rPr>
          <w:vertAlign w:val="subscript"/>
        </w:rPr>
        <w:t>2</w:t>
      </w:r>
      <w:r>
        <w:t>permeability (298 Barrer, +40%) and H</w:t>
      </w:r>
      <w:r>
        <w:rPr>
          <w:vertAlign w:val="subscript"/>
        </w:rPr>
        <w:t>2</w:t>
      </w:r>
      <w:r>
        <w:t>/N</w:t>
      </w:r>
      <w:r>
        <w:rPr>
          <w:vertAlign w:val="subscript"/>
        </w:rPr>
        <w:t>2</w:t>
      </w:r>
      <w:r>
        <w:t>selectivity (15, +25%) than the neat PI membrane. In particular, the as-prepared asymmetric membrane achieved a H</w:t>
      </w:r>
      <w:r>
        <w:rPr>
          <w:vertAlign w:val="subscript"/>
        </w:rPr>
        <w:t>2</w:t>
      </w:r>
      <w:r>
        <w:t>permeance of 212 ± 45 Gas Permeation Unit (GPU) and H</w:t>
      </w:r>
      <w:r>
        <w:rPr>
          <w:vertAlign w:val="subscript"/>
        </w:rPr>
        <w:t>2</w:t>
      </w:r>
      <w:r>
        <w:t>/N</w:t>
      </w:r>
      <w:r>
        <w:rPr>
          <w:vertAlign w:val="subscript"/>
        </w:rPr>
        <w:t>2</w:t>
      </w:r>
      <w:r>
        <w:t>selectivity of 19 ± 2 at 35°C. Remarkably, at 300°C, the H</w:t>
      </w:r>
      <w:r>
        <w:rPr>
          <w:vertAlign w:val="subscript"/>
        </w:rPr>
        <w:t>2</w:t>
      </w:r>
      <w:r>
        <w:t>permeance rose to 775 ± 139 GPU while maintaining a H</w:t>
      </w:r>
      <w:r>
        <w:rPr>
          <w:vertAlign w:val="subscript"/>
        </w:rPr>
        <w:t>2</w:t>
      </w:r>
      <w:r>
        <w:t>/N</w:t>
      </w:r>
      <w:r>
        <w:rPr>
          <w:vertAlign w:val="subscript"/>
        </w:rPr>
        <w:t>2</w:t>
      </w:r>
      <w:r>
        <w:t>selectivity of 13 ± 1, outperforming polymer-based membranes. A techno-economic analysis of an NH</w:t>
      </w:r>
      <w:r>
        <w:rPr>
          <w:vertAlign w:val="subscript"/>
        </w:rPr>
        <w:t>3</w:t>
      </w:r>
      <w:r>
        <w:t>cracking process demonstrated that this high permeance reduces membrane area requirements by 68.2% and lowers H</w:t>
      </w:r>
      <w:r>
        <w:rPr>
          <w:vertAlign w:val="subscript"/>
        </w:rPr>
        <w:t>2</w:t>
      </w:r>
      <w:r>
        <w:t>separation costs by 35.1% compared with operation at 35°C, leading to a 9.8% reduction in the levelized cost of hydrogen.</w:t>
      </w:r>
    </w:p>
    <w:p>
      <w:pPr>
        <w:spacing w:before="120" w:after="120"/>
      </w:pPr>
      <w:r>
        <w:rPr>
          <w:sz w:val="18"/>
        </w:rPr>
        <w:t>——————————————————————————————————————————————————————————————————————</w:t>
      </w:r>
    </w:p>
    <w:p>
      <w:pPr>
        <w:spacing w:before="160" w:after="40" w:line="240" w:lineRule="auto"/>
      </w:pPr>
      <w:r>
        <w:rPr>
          <w:b/>
        </w:rPr>
        <w:t xml:space="preserve">[458] </w:t>
      </w:r>
      <w:hyperlink r:id="rId725">
        <w:r>
          <w:rPr>
            <w:color w:val="1155CC"/>
            <w:u w:val="single"/>
          </w:rPr>
          <w:t>具有非对称微饱和鳍阵列的惯性驱动两栖机器人</w:t>
        </w:r>
      </w:hyperlink>
    </w:p>
    <w:p>
      <w:pPr>
        <w:spacing w:before="0" w:after="80"/>
      </w:pPr>
      <w:r>
        <w:rPr>
          <w:i/>
          <w:sz w:val="20"/>
        </w:rPr>
        <w:t>EN: Inertia-driven amphibious robot with asymmetric microundulatory fin arrays</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26">
        <w:r>
          <w:rPr>
            <w:color w:val="1155CC"/>
            <w:u w:val="single"/>
          </w:rPr>
          <w:t>10.1126/sciadv.aea2222</w:t>
        </w:r>
      </w:hyperlink>
    </w:p>
    <w:p>
      <w:pPr>
        <w:spacing w:before="0" w:after="120"/>
      </w:pPr>
      <w:r>
        <w:rPr>
          <w:b/>
        </w:rPr>
        <w:t xml:space="preserve">Notes: </w:t>
      </w:r>
      <w:r>
        <w:t>abstract_source=crossref</w:t>
      </w:r>
    </w:p>
    <w:p>
      <w:pPr>
        <w:spacing w:before="0" w:after="80" w:lineRule="auto" w:line="276"/>
      </w:pPr>
      <w:r>
        <w:rPr>
          <w:b/>
        </w:rPr>
        <w:t xml:space="preserve">摘要（ZH）: </w:t>
      </w:r>
      <w:r>
        <w:t>千米大小的两栖机器人对多功能任务很有希望。现有的解决方案使用活跃和多种机制来进行环境互动;然而,这种设计在小型规模上面临密封的挑战,而且往往是复杂和不可靠的。在这里,我们提出了一个惯性驱动动力战略,结合了可变输出的语音线圈发动机(VCM)和完全密封的硬壳。通过调节 VCM 输出,机器人实现了跳跃、为地面传动而全振动和水力推进的小波振动。地面测试显示了颗粒介质的快速运动、连续跳动和负荷承载。机器人还使用了被动倾斜鳍,将回旋运动转换为可控水力推进,实现了惯性驱动多方向。</w:t>
      </w:r>
    </w:p>
    <w:p>
      <w:pPr>
        <w:spacing w:before="0" w:after="200" w:lineRule="auto" w:line="276"/>
      </w:pPr>
      <w:r>
        <w:rPr>
          <w:b/>
        </w:rPr>
        <w:t xml:space="preserve">Abstract (EN): </w:t>
      </w:r>
      <w:r>
        <w:t>Centimeter-scale amphibious robots are promising for versatile tasks. Existing solutions use active and multiple mechanisms for environmental interaction; however, such designs face sealing challenges at small scales and are often complex and unreliable. Here, we present an inertia-driven actuation strategy combining a variable-output voice coil motor (VCM) with a fully sealed rigid shell. By modulating the VCM output, the robot achieves jumping, full-stroke vibration for terrestrial locomotion and small-stroke vibration for aquatic propulsion. Terrestrial tests demonstrate rapid motion on granular media, continuous jumping, and load carrying. The robot also uses passive tilted fins that convert reciprocating motion into steerable aquatic thrust, realizing an inertia-driven multidirectional propulsion mechanism. Thrust generation and frequency-dependent propulsion were analyzed through aquatic experiments, high-speed particle image velocimetry, and simulations. Last, a 24-gram legless prototype (Leglessbot) demonstrated effective locomotion across diverse terrain, offering a compact solution for underactuated amphibious mobility.</w:t>
      </w:r>
    </w:p>
    <w:p>
      <w:pPr>
        <w:spacing w:before="120" w:after="120"/>
      </w:pPr>
      <w:r>
        <w:rPr>
          <w:sz w:val="18"/>
        </w:rPr>
        <w:t>——————————————————————————————————————————————————————————————————————</w:t>
      </w:r>
    </w:p>
    <w:p>
      <w:pPr>
        <w:spacing w:before="160" w:after="40" w:line="240" w:lineRule="auto"/>
      </w:pPr>
      <w:r>
        <w:rPr>
          <w:b/>
        </w:rPr>
        <w:t xml:space="preserve">[459] </w:t>
      </w:r>
      <w:hyperlink r:id="rId727">
        <w:r>
          <w:rPr>
            <w:color w:val="1155CC"/>
            <w:u w:val="single"/>
          </w:rPr>
          <w:t>神经精神紊乱症的Redox疗法:分子机制和生物标志开发</w:t>
        </w:r>
      </w:hyperlink>
    </w:p>
    <w:p>
      <w:pPr>
        <w:spacing w:before="0" w:after="80"/>
      </w:pPr>
      <w:r>
        <w:rPr>
          <w:i/>
          <w:sz w:val="20"/>
        </w:rPr>
        <w:t>EN: Redox therapy for neuropsychiatric disorders: Molecular mechanisms and biomarker development</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28">
        <w:r>
          <w:rPr>
            <w:color w:val="1155CC"/>
            <w:u w:val="single"/>
          </w:rPr>
          <w:t>10.1126/sciadv.aea9014</w:t>
        </w:r>
      </w:hyperlink>
    </w:p>
    <w:p>
      <w:pPr>
        <w:spacing w:before="0" w:after="120"/>
      </w:pPr>
      <w:r>
        <w:rPr>
          <w:b/>
        </w:rPr>
        <w:t xml:space="preserve">Notes: </w:t>
      </w:r>
      <w:r>
        <w:t>abstract_source=crossref</w:t>
      </w:r>
    </w:p>
    <w:p>
      <w:pPr>
        <w:spacing w:before="0" w:after="80" w:lineRule="auto" w:line="276"/>
      </w:pPr>
      <w:r>
        <w:rPr>
          <w:b/>
        </w:rPr>
        <w:t xml:space="preserve">摘要（ZH）: </w:t>
      </w:r>
      <w:r>
        <w:t>以NAD + [氮化形式]/NADH(减少NAD +)比率不平衡为特征的红毒抗体调节与神经退化和精神紊乱有关,如阿尔茨海默氏病和精神分裂症,这种不平衡导致肾上腺硬化、氧化性压力和炎症。 尽管有希望的临床前研究支持旨在恢复红毒平衡并从而拯救脑生物致癌缺陷的治疗战略,但临床结果和功效仍然有限,由于对NAD +子细胞循环的不完全理解以及缺乏活性生物,进展受到阻碍。</w:t>
      </w:r>
    </w:p>
    <w:p>
      <w:pPr>
        <w:spacing w:before="0" w:after="200" w:lineRule="auto" w:line="276"/>
      </w:pPr>
      <w:r>
        <w:rPr>
          <w:b/>
        </w:rPr>
        <w:t xml:space="preserve">Abstract (EN): </w:t>
      </w:r>
      <w:r>
        <w:t>Redox dysregulation, characterized by an imbalance in the NAD</w:t>
      </w:r>
      <w:r>
        <w:t xml:space="preserve"> </w:t>
      </w:r>
      <w:r>
        <w:t>+</w:t>
      </w:r>
      <w:r>
        <w:t xml:space="preserve"> </w:t>
      </w:r>
      <w:r>
        <w:t>[nicotinamide adenine dinucleotide (oxidized form)]/NADH (reduced form of NAD</w:t>
      </w:r>
      <w:r>
        <w:t xml:space="preserve"> </w:t>
      </w:r>
      <w:r>
        <w:t>+</w:t>
      </w:r>
      <w:r>
        <w:t xml:space="preserve"> </w:t>
      </w:r>
      <w:r>
        <w:t>) ratio, is implicated in neurodegenerative and psychiatric disorders such as Alzheimer’s disease and schizophrenia. This imbalance contributes to mitochondrial dysregulation, oxidative stress, and inflammation. Despite promising preclinical studies supporting therapeutic strategies aimed at restoring redox balance and thereby rescuing brain bioenergetic deficits, clinical outcomes and efficacy remain limited. Progress has been hindered by the incomplete understanding of NAD</w:t>
      </w:r>
      <w:r>
        <w:t xml:space="preserve"> </w:t>
      </w:r>
      <w:r>
        <w:t>+</w:t>
      </w:r>
      <w:r>
        <w:t xml:space="preserve"> </w:t>
      </w:r>
      <w:r>
        <w:t>subcellular cycling, as well as a lack of in vivo biomarkers measuring target engagement of redox status and mitochondrial function. Thus, this review examines molecular mechanisms of NAD (nicotinamide adenine dinucleotide)–related bioenergetic deficits, current and emerging NAD-targeted therapies, and recent advances in the development of neuroimaging biomarkers, emphasizing personalized and mechanism-driven approaches.</w:t>
      </w:r>
    </w:p>
    <w:p>
      <w:pPr>
        <w:spacing w:before="120" w:after="120"/>
      </w:pPr>
      <w:r>
        <w:rPr>
          <w:sz w:val="18"/>
        </w:rPr>
        <w:t>——————————————————————————————————————————————————————————————————————</w:t>
      </w:r>
    </w:p>
    <w:p>
      <w:pPr>
        <w:spacing w:before="160" w:after="40" w:line="240" w:lineRule="auto"/>
      </w:pPr>
      <w:r>
        <w:rPr>
          <w:b/>
        </w:rPr>
        <w:t xml:space="preserve">[460] </w:t>
      </w:r>
      <w:hyperlink r:id="rId729">
        <w:r>
          <w:rPr>
            <w:color w:val="1155CC"/>
            <w:u w:val="single"/>
          </w:rPr>
          <w:t>全球极端火灾天气日益同步</w:t>
        </w:r>
      </w:hyperlink>
    </w:p>
    <w:p>
      <w:pPr>
        <w:spacing w:before="0" w:after="80"/>
      </w:pPr>
      <w:r>
        <w:rPr>
          <w:i/>
          <w:sz w:val="20"/>
        </w:rPr>
        <w:t>EN: Increasing synchronicity of global extreme fire weather</w:t>
      </w:r>
    </w:p>
    <w:p>
      <w:pPr>
        <w:spacing w:before="0" w:after="120"/>
      </w:pPr>
      <w:r>
        <w:rPr>
          <w:b/>
        </w:rPr>
        <w:t xml:space="preserve">Source: </w:t>
      </w:r>
      <w:r>
        <w:t>AAAS: Science Advances: Table of Contents</w:t>
      </w:r>
      <w:r>
        <w:t xml:space="preserve">    </w:t>
      </w:r>
      <w:r>
        <w:rPr>
          <w:b/>
        </w:rPr>
        <w:t xml:space="preserve">Pub date: </w:t>
      </w:r>
      <w:r>
        <w:t>2026-02-18 08:00:00+00:00</w:t>
      </w:r>
      <w:r>
        <w:t xml:space="preserve">    </w:t>
      </w:r>
      <w:r>
        <w:rPr>
          <w:b/>
        </w:rPr>
        <w:t xml:space="preserve">DOI: </w:t>
      </w:r>
      <w:hyperlink r:id="rId730">
        <w:r>
          <w:rPr>
            <w:color w:val="1155CC"/>
            <w:u w:val="single"/>
          </w:rPr>
          <w:t>10.1126/sciadv.adx8813</w:t>
        </w:r>
      </w:hyperlink>
    </w:p>
    <w:p>
      <w:pPr>
        <w:spacing w:before="0" w:after="120"/>
      </w:pPr>
      <w:r>
        <w:rPr>
          <w:b/>
        </w:rPr>
        <w:t xml:space="preserve">Notes: </w:t>
      </w:r>
      <w:r>
        <w:t>abstract_source=crossref</w:t>
      </w:r>
    </w:p>
    <w:p>
      <w:pPr>
        <w:spacing w:before="0" w:after="80" w:lineRule="auto" w:line="276"/>
      </w:pPr>
      <w:r>
        <w:rPr>
          <w:b/>
        </w:rPr>
        <w:t xml:space="preserve">摘要（ZH）: </w:t>
      </w:r>
      <w:r>
        <w:t>同时,极端火灾天气为大范围大火创造了有利条件,这会使灭火资源的协调复杂化,并降低区域空气质量。在这里,我们审查区域间和区域间同步火灾天气的模式和趋势,并探讨其与气候多变性和空气质量影响的联系。我们发现,北半球区域内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下水</w:t>
      </w:r>
    </w:p>
    <w:p>
      <w:pPr>
        <w:spacing w:before="0" w:after="200" w:lineRule="auto" w:line="276"/>
      </w:pPr>
      <w:r>
        <w:rPr>
          <w:b/>
        </w:rPr>
        <w:t xml:space="preserve">Abstract (EN): </w:t>
      </w:r>
      <w:r>
        <w:t>Concurrent extreme fire weather creates favorable conditions for widespread large fires, which can complicate the coordination of fire suppression resources and degrade regional air quality. Here, we examine the patterns and trends of intra- and interregional synchronous fire weather (SFW) and explore their links to climate variability and air quality impacts. We find climatologically elevated intraregional SFW in boreal regions, as well as interregional synchronicity among northern temperate and boreal regions. Significant increases in SFW occurred during 1979 to 2024, with more than a twofold increase observed in most regions. We estimate that over half of the observed increase is attributable to anthropogenic climate change. Internal modes of climate variability strongly influence SFW in several regions, including Equatorial Asia, which experiences 43 additional intraregional SFW days during El Niño years. Furthermore, SFW is strongly correlated with regional fire-sourced PM</w:t>
      </w:r>
      <w:r>
        <w:t xml:space="preserve"> </w:t>
      </w:r>
      <w:r>
        <w:t>2.5</w:t>
      </w:r>
      <w:r>
        <w:t xml:space="preserve"> </w:t>
      </w:r>
      <w:r>
        <w:t>in multiple regions globally. These findings highlight the growing challenges posed by SFW for firefighting coordination and human health.</w:t>
      </w:r>
    </w:p>
    <w:p>
      <w:pPr>
        <w:spacing w:before="120" w:after="120"/>
      </w:pPr>
      <w:r>
        <w:rPr>
          <w:sz w:val="18"/>
        </w:rPr>
        <w:t>——————————————————————————————————————————————————————————————————————</w:t>
      </w:r>
    </w:p>
    <w:p>
      <w:pPr>
        <w:spacing w:before="160" w:after="40" w:line="240" w:lineRule="auto"/>
      </w:pPr>
      <w:r>
        <w:rPr>
          <w:b/>
        </w:rPr>
        <w:t xml:space="preserve">[461] </w:t>
      </w:r>
      <w:hyperlink r:id="rId731">
        <w:r>
          <w:rPr>
            <w:color w:val="1155CC"/>
            <w:u w:val="single"/>
          </w:rPr>
          <w:t>T-cadherin, 主要的腹膜切除约束性伙伴, 抑制代谢组织中的 ERK 信号</w:t>
        </w:r>
      </w:hyperlink>
    </w:p>
    <w:p>
      <w:pPr>
        <w:spacing w:before="0" w:after="80"/>
      </w:pPr>
      <w:r>
        <w:rPr>
          <w:i/>
          <w:sz w:val="20"/>
        </w:rPr>
        <w:t>EN: T-cadherin, a major adiponectin binding partner, suppresses ERK signaling in metabolic tissues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32">
        <w:r>
          <w:rPr>
            <w:color w:val="1155CC"/>
            <w:u w:val="single"/>
          </w:rPr>
          <w:t>10.1073/pnas.2530597123</w:t>
        </w:r>
      </w:hyperlink>
    </w:p>
    <w:p>
      <w:pPr>
        <w:spacing w:before="0" w:after="120"/>
      </w:pPr>
      <w:r>
        <w:rPr>
          <w:b/>
        </w:rPr>
        <w:t xml:space="preserve">Notes: </w:t>
      </w:r>
      <w:r>
        <w:t>abstract_source=crossref</w:t>
      </w:r>
    </w:p>
    <w:p>
      <w:pPr>
        <w:spacing w:before="0" w:after="80" w:lineRule="auto" w:line="276"/>
      </w:pPr>
      <w:r>
        <w:rPr>
          <w:b/>
        </w:rPr>
        <w:t xml:space="preserve">摘要（ZH）: </w:t>
      </w:r>
      <w:r>
        <w:t>T-cadherin抑制 ERK 在培养细胞和尿道组织中发出信号。T-cadherin 击倒后,C2C12 短视细胞和F2 内分泌细胞中的ERK磷酸化增加,而T-cadherin 过度表达抑制了ERK 磷酸化。 Proteomic分析显示,作为ERK 信号下游目标的许多蛋白质被T-cadherin 敲倒在近八指细胞中的控制。T-cadherin 击倒在小行星或心脏或骨骼肌肉中击倒,改变了用于信号传输的Membrane蛋白水平。</w:t>
      </w:r>
    </w:p>
    <w:p>
      <w:pPr>
        <w:spacing w:before="0" w:after="200" w:lineRule="auto" w:line="276"/>
      </w:pPr>
      <w:r>
        <w:rPr>
          <w:b/>
        </w:rPr>
        <w:t xml:space="preserve">Abstract (EN): </w:t>
      </w:r>
      <w:r>
        <w:t>T-cadherin, which is a major adiponectin binding partner, exerts various organ-protective effects. However, the specific changes in intracellular signaling that are induced by T-cadherin in metabolic tissues/cells remain unclear. We demonstrated that T-cadherin suppresses ERK signaling in both cultured cells and murine tissues. T-cadherin knockdown increased ERK phosphorylation in C2C12 myocytes and F2 endothelial cells, whereas T-cadherin overexpression suppressed ERK phosphorylation. Proteomic analysis revealed that many proteins that are downstream targets of ERK signaling were upregulated by T-cadherin knockdown in myocytes. T-cadherin knockdown in myocytes or knockout in heart or skeletal muscles altered the levels of membrane proteins that are involved in signal transduction, including IGF1R and EGFR. Ablation of T-cadherin in mice was accompanied by increased ERK signaling, leading to increased cardiac hypertrophy and decreased appropriate muscle atrophy during starvation. Thus, T-cadherin, whose protein expression is maintained by adiponectin, modulates intracellular signaling and regulates cardiac and skeletal muscle homeostasis in addition to promoting exosome production by adiponectin.</w:t>
      </w:r>
    </w:p>
    <w:p>
      <w:pPr>
        <w:spacing w:before="120" w:after="120"/>
      </w:pPr>
      <w:r>
        <w:rPr>
          <w:sz w:val="18"/>
        </w:rPr>
        <w:t>——————————————————————————————————————————————————————————————————————</w:t>
      </w:r>
    </w:p>
    <w:p>
      <w:pPr>
        <w:spacing w:before="160" w:after="40" w:line="240" w:lineRule="auto"/>
      </w:pPr>
      <w:r>
        <w:rPr>
          <w:b/>
        </w:rPr>
        <w:t xml:space="preserve">[462] </w:t>
      </w:r>
      <w:hyperlink r:id="rId733">
        <w:r>
          <w:rPr>
            <w:color w:val="1155CC"/>
            <w:u w:val="single"/>
          </w:rPr>
          <w:t>CDKL5 调节通过液体-液体分期分离产生的刺激性突触的可塑性</w:t>
        </w:r>
      </w:hyperlink>
    </w:p>
    <w:p>
      <w:pPr>
        <w:spacing w:before="0" w:after="80"/>
      </w:pPr>
      <w:r>
        <w:rPr>
          <w:i/>
          <w:sz w:val="20"/>
        </w:rPr>
        <w:t>EN: CDKL5 modulates the plasticity of excitatory synapses via liquid–liquid phase separation</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34">
        <w:r>
          <w:rPr>
            <w:color w:val="1155CC"/>
            <w:u w:val="single"/>
          </w:rPr>
          <w:t>10.1073/pnas.2511123123</w:t>
        </w:r>
      </w:hyperlink>
    </w:p>
    <w:p>
      <w:pPr>
        <w:spacing w:before="0" w:after="120"/>
      </w:pPr>
      <w:r>
        <w:rPr>
          <w:b/>
        </w:rPr>
        <w:t xml:space="preserve">Notes: </w:t>
      </w:r>
      <w:r>
        <w:t>abstract_source=crossref</w:t>
      </w:r>
    </w:p>
    <w:p>
      <w:pPr>
        <w:spacing w:before="0" w:after="80" w:lineRule="auto" w:line="276"/>
      </w:pPr>
      <w:r>
        <w:rPr>
          <w:b/>
        </w:rPr>
        <w:t xml:space="preserve">摘要（ZH）: </w:t>
      </w:r>
      <w:r>
        <w:t>神经电路可塑性所必不可少的活动依赖合成再造,是由包括脚架蛋白SD95在内的后合成密度(PSD)内中央组织者策划的,包括脚架蛋白质SDS95。然而,驱动这一过程的分子机制仍然不完全被理解。在这里,我们确定了环形依赖性直系直系直系细胞5型(CDKL5),一种与严重神经发育状态相关的蛋白质,即CDKL5缺乏症(CDDD),是刺激性突触中结构塑料的关键调节器。我们显示,CDKL5在体外和培养神经元中进行液体-液相分离(LLPS),与SD95形成共凝聚体。LPS驱动的这一程序通过空间组织合成元件,特别是使Kalirin7的合成体招募能够促进硬体。</w:t>
      </w:r>
    </w:p>
    <w:p>
      <w:pPr>
        <w:spacing w:before="0" w:after="200" w:lineRule="auto" w:line="276"/>
      </w:pPr>
      <w:r>
        <w:rPr>
          <w:b/>
        </w:rPr>
        <w:t xml:space="preserve">Abstract (EN): </w:t>
      </w:r>
      <w:r>
        <w:t>Activity-dependent synaptic remodeling, essential for neural circuit plasticity, is orchestrated by central organizers within the postsynaptic density (PSD), including the scaffolding protein PSD95. However, the molecular mechanisms driving this process remain incompletely understood. Here, we identify cyclin-dependent kinase-like 5 (CDKL5), a protein associated with a severe neurodevelopmental condition known as CDKL5 deficiency disorder (CDD), as a critical regulator of structural plasticity at excitatory synapses. We show that CDKL5 undergoes liquid–liquid phase separation (LLPS) in vitro and in cultured neurons, forming cocondensates with PSD95. This LLPS-driven process spatially organizes synaptic components, specifically enabling the synaptic recruitment of Kalirin7 to promote dendritic spine enlargement. Pathogenic mutations disrupt condensate formation by impairing the LLPS capacity of CDKL5, directly linking phase separation defects to the pathogenesis of CDD. Our findings reveal a crucial role for CDKL5 in synaptic plasticity and establish LLPS as a fundamental mechanism by which CDKL5 coordinates molecular events to reorganize PSD architecture during synaptic remodeling.</w:t>
      </w:r>
    </w:p>
    <w:p>
      <w:pPr>
        <w:spacing w:before="120" w:after="120"/>
      </w:pPr>
      <w:r>
        <w:rPr>
          <w:sz w:val="18"/>
        </w:rPr>
        <w:t>——————————————————————————————————————————————————————————————————————</w:t>
      </w:r>
    </w:p>
    <w:p>
      <w:pPr>
        <w:spacing w:before="160" w:after="40" w:line="240" w:lineRule="auto"/>
      </w:pPr>
      <w:r>
        <w:rPr>
          <w:b/>
        </w:rPr>
        <w:t xml:space="preserve">[463] </w:t>
      </w:r>
      <w:hyperlink r:id="rId735">
        <w:r>
          <w:rPr>
            <w:color w:val="1155CC"/>
            <w:u w:val="single"/>
          </w:rPr>
          <w:t>在癌症入侵期间,拉明B受体对转移性黑皮瘤的调控导致封闭移民的核封套脆弱性。</w:t>
        </w:r>
      </w:hyperlink>
    </w:p>
    <w:p>
      <w:pPr>
        <w:spacing w:before="0" w:after="80"/>
      </w:pPr>
      <w:r>
        <w:rPr>
          <w:i/>
          <w:sz w:val="20"/>
        </w:rPr>
        <w:t>EN: Lamin B receptor upregulation in metastatic melanoma causes nuclear envelope fragility in confined migration during cancer invasion</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36">
        <w:r>
          <w:rPr>
            <w:color w:val="1155CC"/>
            <w:u w:val="single"/>
          </w:rPr>
          <w:t>10.1073/pnas.2513031123</w:t>
        </w:r>
      </w:hyperlink>
    </w:p>
    <w:p>
      <w:pPr>
        <w:spacing w:before="0" w:after="120"/>
      </w:pPr>
      <w:r>
        <w:rPr>
          <w:b/>
        </w:rPr>
        <w:t xml:space="preserve">Notes: </w:t>
      </w:r>
      <w:r>
        <w:t>abstract_source=crossref</w:t>
      </w:r>
    </w:p>
    <w:p>
      <w:pPr>
        <w:spacing w:before="0" w:after="80" w:lineRule="auto" w:line="276"/>
      </w:pPr>
      <w:r>
        <w:rPr>
          <w:b/>
        </w:rPr>
        <w:t xml:space="preserve">摘要（ZH）: </w:t>
      </w:r>
      <w:r>
        <w:t>我们试图确定NE断裂是否是恶性变异的内在原因,并寻求机械性原因。我们发现,多种癌症亚型的转移性细胞与温和的同类细胞相比,增加了NE在监禁中的易变性。通过对黑离瘤进化临床样本的病理学数据进行元分析,同时进行以SiRNA为基础的活性细胞隔离屏幕,发现Lamin B受体(LBR)的转录性调控与黑离瘤进化和NE脆弱性相关。LBR是一种内核膜蛋白(INM),它具有纤维素、乳液和色素,并且具有消毒酶酶。</w:t>
      </w:r>
    </w:p>
    <w:p>
      <w:pPr>
        <w:spacing w:before="0" w:after="200" w:lineRule="auto" w:line="276"/>
      </w:pPr>
      <w:r>
        <w:rPr>
          <w:b/>
        </w:rPr>
        <w:t xml:space="preserve">Abstract (EN): </w:t>
      </w:r>
      <w:r>
        <w:t>Cancer cells migrate through regions of tissue confinement during metastasis, causing nuclear envelope (NE) rupture, which generates heritable DNA damage and disease aggression. We sought to determine if NE rupture was intrinsic to malignant transformation and seek a mechanistic cause. We found that metastatic cells from multiple cancer subtypes have increased NE fragility in confinement compared to their benign counterparts. Meta-analysis of transcriptomic data from clinical samples of melanoma progression together with an siRNA-based live-cell confinement screen revealed that lamin B receptor (LBR) transcriptional upregulation correlates with melanoma progression and NE fragility. LBR is an inner nuclear membrane protein (INM) that scaffolds lamins and chromatin and has sterol reductase activity in the cholesterol biosynthesis pathway. Applying superresolution and atomic force microscopies to characterize the cellular and biophysical events leading to NE rupture revealed that upregulated LBR increased nuclear deformability and can generate local ruptures of the INM, promoting blebs in the nuclear membrane that burst to release nuclear contents into the cytoplasm. Structure–function analysis showed that LBR’s sterol reductase activity is required for its promotion of NE fragility in cells confined in vitro. Use of tumor organoids and an in vivo melanoma model revealed that upregulation of LBR was associated with increased NE fragility, metastatic invasion, and decreased patient survival. Thus, upregulation of LBR in melanoma promotes nuclear deformability, while LBR’s sterol reductase activity causes fragility and instability of the nuclear membrane, and these changes in the nucleus provide a possible mechanism for increased genetic heterogeneity in melanomas.</w:t>
      </w:r>
    </w:p>
    <w:p>
      <w:pPr>
        <w:spacing w:before="120" w:after="120"/>
      </w:pPr>
      <w:r>
        <w:rPr>
          <w:sz w:val="18"/>
        </w:rPr>
        <w:t>——————————————————————————————————————————————————————————————————————</w:t>
      </w:r>
    </w:p>
    <w:p>
      <w:pPr>
        <w:spacing w:before="160" w:after="40" w:line="240" w:lineRule="auto"/>
      </w:pPr>
      <w:r>
        <w:rPr>
          <w:b/>
        </w:rPr>
        <w:t xml:space="preserve">[464] </w:t>
      </w:r>
      <w:hyperlink r:id="rId737">
        <w:r>
          <w:rPr>
            <w:color w:val="1155CC"/>
            <w:u w:val="single"/>
          </w:rPr>
          <w:t>民主化空间:印度的节节节用空间创新为新兴国家提供了关键的经验教训</w:t>
        </w:r>
      </w:hyperlink>
    </w:p>
    <w:p>
      <w:pPr>
        <w:spacing w:before="0" w:after="80"/>
      </w:pPr>
      <w:r>
        <w:rPr>
          <w:i/>
          <w:sz w:val="20"/>
        </w:rPr>
        <w:t>EN: Democratizing space: India’s frugal space innovation provides key lessons for emerging nations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38">
        <w:r>
          <w:rPr>
            <w:color w:val="1155CC"/>
            <w:u w:val="single"/>
          </w:rPr>
          <w:t>10.1073/pnas.2514657123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[465] </w:t>
      </w:r>
      <w:hyperlink r:id="rId739">
        <w:r>
          <w:rPr>
            <w:color w:val="1155CC"/>
            <w:u w:val="single"/>
          </w:rPr>
          <w:t>基于网络的地貌碎裂的遗传监测</w:t>
        </w:r>
      </w:hyperlink>
    </w:p>
    <w:p>
      <w:pPr>
        <w:spacing w:before="0" w:after="80"/>
      </w:pPr>
      <w:r>
        <w:rPr>
          <w:i/>
          <w:sz w:val="20"/>
        </w:rPr>
        <w:t>EN: Network-based genetic monitoring of landscape fragmentation</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40">
        <w:r>
          <w:rPr>
            <w:color w:val="1155CC"/>
            <w:u w:val="single"/>
          </w:rPr>
          <w:t>10.1073/pnas.2515033123</w:t>
        </w:r>
      </w:hyperlink>
    </w:p>
    <w:p>
      <w:pPr>
        <w:spacing w:before="0" w:after="120"/>
      </w:pPr>
      <w:r>
        <w:rPr>
          <w:b/>
        </w:rPr>
        <w:t xml:space="preserve">Notes: </w:t>
      </w:r>
      <w:r>
        <w:t>abstract_source=crossref</w:t>
      </w:r>
    </w:p>
    <w:p>
      <w:pPr>
        <w:spacing w:before="0" w:after="80" w:lineRule="auto" w:line="276"/>
      </w:pPr>
      <w:r>
        <w:rPr>
          <w:b/>
        </w:rPr>
        <w:t xml:space="preserve">摘要（ZH）: </w:t>
      </w:r>
      <w:r>
        <w:t>生境的支离破碎是对生物多样性的最直接和最重大的威胁之一,它造成了孤立的、遗传多样性减少的人口。遗传监测对于发现支离破碎现象和跟踪其进展至关重要。然而,对遗传监测数据进行一致的解释和了解支离破碎的遗传后果需要准确代表现实世界复杂性的框架。现有理论框架通常依赖简化的空间结构,不能充分反映自然人口的移徙模式。在这里,我们综合了网络理论和数学人口遗传学,以制定一个框架,研究支离破碎过程的遗传后果,明确说明这些后果。</w:t>
      </w:r>
    </w:p>
    <w:p>
      <w:pPr>
        <w:spacing w:before="0" w:after="200" w:lineRule="auto" w:line="276"/>
      </w:pPr>
      <w:r>
        <w:rPr>
          <w:b/>
        </w:rPr>
        <w:t xml:space="preserve">Abstract (EN): </w:t>
      </w:r>
      <w:r>
        <w:t>Habitat fragmentation is one of the most immediate and substantial threats to biodiversity, generating isolated populations with reduced genetic diversity. Genetic monitoring has become essential for detecting fragmentation and tracking its progress. However, the coherent interpretation of genetic monitoring data and understanding the genetic consequences of fragmentation require frameworks that accurately represent real-world complexity. Existing theoretical frameworks typically rely on simplified spatial structures and do not adequately capture the heterogeneous migration patterns of natural populations. Here, we integrate network theory and mathematical population genetics to develop a framework for studying the genetic consequences of fragmentation processes, explicitly accounting for heterogeneous connectivity and temporal dynamics. We apply this framework to examine how different fragmentation processes affect genetic measures commonly used in genetic monitoring. Through analysis of simulated and empirical networks, we find that different fragmentation scenarios produce substantially distinct trajectories in key genetic measures, sometimes exhibiting rapid transitional dynamics. Furthermore, fragmentation can cause deviations from classical theoretical expectations, such as the expected correlation between genetic and geographic distance (isolation-by-distance) or between genetic diversity and connectivity. Finally, we propose and demonstrate detectable early warning signals in genetic monitoring data that precede rapid transitional phases. Our framework thus provides a practical interpretation of genetic monitoring data, and a proof-of-concept that bridges the gap between idealized theoretical models and real-world connectivity dynamics.</w:t>
      </w:r>
    </w:p>
    <w:p>
      <w:pPr>
        <w:spacing w:before="120" w:after="120"/>
      </w:pPr>
      <w:r>
        <w:rPr>
          <w:sz w:val="18"/>
        </w:rPr>
        <w:t>——————————————————————————————————————————————————————————————————————</w:t>
      </w:r>
    </w:p>
    <w:p>
      <w:pPr>
        <w:spacing w:before="160" w:after="40" w:line="240" w:lineRule="auto"/>
      </w:pPr>
      <w:r>
        <w:rPr>
          <w:b/>
        </w:rPr>
        <w:t xml:space="preserve">[466] </w:t>
      </w:r>
      <w:hyperlink r:id="rId741">
        <w:r>
          <w:rPr>
            <w:color w:val="1155CC"/>
            <w:u w:val="single"/>
          </w:rPr>
          <w:t>环状菌株下无定形物质的老化</w:t>
        </w:r>
      </w:hyperlink>
    </w:p>
    <w:p>
      <w:pPr>
        <w:spacing w:before="0" w:after="80"/>
      </w:pPr>
      <w:r>
        <w:rPr>
          <w:i/>
          <w:sz w:val="20"/>
        </w:rPr>
        <w:t>EN: Aging of amorphous materials under cyclic strain</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42">
        <w:r>
          <w:rPr>
            <w:color w:val="1155CC"/>
            <w:u w:val="single"/>
          </w:rPr>
          <w:t>10.1073/pnas.2515075123</w:t>
        </w:r>
      </w:hyperlink>
    </w:p>
    <w:p>
      <w:pPr>
        <w:spacing w:before="0" w:after="120"/>
      </w:pPr>
      <w:r>
        <w:rPr>
          <w:b/>
        </w:rPr>
        <w:t xml:space="preserve">Notes: </w:t>
      </w:r>
      <w:r>
        <w:t>abstract_source=crossref</w:t>
      </w:r>
    </w:p>
    <w:p>
      <w:pPr>
        <w:spacing w:before="0" w:after="80" w:lineRule="auto" w:line="276"/>
      </w:pPr>
      <w:r>
        <w:rPr>
          <w:b/>
        </w:rPr>
        <w:t xml:space="preserve">摘要（ZH）: </w:t>
      </w:r>
      <w:r>
        <w:t>从平衡中分离出来的无定型材料展示了复杂、历史依赖行为的多样性。一个引人注目的特征是,在本来静态的外部条件突变之后,未能恢复平衡。相反,无定型材料往往呈现出物理老化:可以跨越大量时间尺度的不断下降的、非穷尽的放松。在这里,我们审视了三种不同材料的老化行为,它们受到缓慢的周期性驾驶的影响。结果揭示了一种一般的老化现象,其特点是每个周期的消散周期的对数衰败。这一观察对照几种在静态条件下成功捕捉到老化的无定型物质的中位模型进行评估:一)一系列非交互性放松过程。</w:t>
      </w:r>
    </w:p>
    <w:p>
      <w:pPr>
        <w:spacing w:before="0" w:after="200" w:lineRule="auto" w:line="276"/>
      </w:pPr>
      <w:r>
        <w:rPr>
          <w:b/>
        </w:rPr>
        <w:t xml:space="preserve">Abstract (EN): </w:t>
      </w:r>
      <w:r>
        <w:t>Amorphous materials driven away from equilibrium display a diverse repertoire of complex, history-dependent behaviors. One striking feature is a failure to return to equilibrium after an abrupt change in otherwise static external conditions. Instead, amorphous materials often exhibit physical aging: an ever-slowing, nonexponential relaxation that can span a huge range of timescales. Here, we examine the aging behavior of three different amorphous materials subjected to slow periodic driving. The results reveal a generic aging phenomenon characterized by a logarithmic decay of dissipation per cycle. This observation is evaluated against several mesoscopic models of amorphous matter that successfully capture aging under static conditions: i) a collection of noninteracting relaxation processes ii) a noisy hysteron model with random pairwise interactions, and iii) a structural model consisting of a random network of bistable elastic bonds. We find that only the latter model reproduces all experimental findings and relates its success to its persistent, slow exploration of a complex energy landscape with clear signatures of replica symmetry breaking. Thus, cyclic driving emerges as a simple yet powerful protocol to characterize amorphous materials, probe their complex energy landscapes, and distinguish between different models.</w:t>
      </w:r>
    </w:p>
    <w:p>
      <w:pPr>
        <w:spacing w:before="120" w:after="120"/>
      </w:pPr>
      <w:r>
        <w:rPr>
          <w:sz w:val="18"/>
        </w:rPr>
        <w:t>——————————————————————————————————————————————————————————————————————</w:t>
      </w:r>
    </w:p>
    <w:p>
      <w:pPr>
        <w:spacing w:before="160" w:after="40" w:line="240" w:lineRule="auto"/>
      </w:pPr>
      <w:r>
        <w:rPr>
          <w:b/>
        </w:rPr>
        <w:t xml:space="preserve">[467] </w:t>
      </w:r>
      <w:hyperlink r:id="rId743">
        <w:r>
          <w:rPr>
            <w:color w:val="1155CC"/>
            <w:u w:val="single"/>
          </w:rPr>
          <w:t>消极社会联系作为加速老龄化、发炎和多发性的新风险因素</w:t>
        </w:r>
      </w:hyperlink>
    </w:p>
    <w:p>
      <w:pPr>
        <w:spacing w:before="0" w:after="80"/>
      </w:pPr>
      <w:r>
        <w:rPr>
          <w:i/>
          <w:sz w:val="20"/>
        </w:rPr>
        <w:t>EN: Negative social ties as emerging risk factors for accelerated aging, inflammation, and multimorbidity</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44">
        <w:r>
          <w:rPr>
            <w:color w:val="1155CC"/>
            <w:u w:val="single"/>
          </w:rPr>
          <w:t>10.1073/pnas.2515331123</w:t>
        </w:r>
      </w:hyperlink>
    </w:p>
    <w:p>
      <w:pPr>
        <w:spacing w:before="0" w:after="120"/>
      </w:pPr>
      <w:r>
        <w:rPr>
          <w:b/>
        </w:rPr>
        <w:t xml:space="preserve">Notes: </w:t>
      </w:r>
      <w:r>
        <w:t>abstract_source=crossref</w:t>
      </w:r>
    </w:p>
    <w:p>
      <w:pPr>
        <w:spacing w:before="0" w:after="80" w:lineRule="auto" w:line="276"/>
      </w:pPr>
      <w:r>
        <w:rPr>
          <w:b/>
        </w:rPr>
        <w:t xml:space="preserve">摘要（ZH）: </w:t>
      </w:r>
      <w:r>
        <w:t>消极的社会联系,即“催生者”是社会网络中可能加速生物老龄化和发病的普遍存在但研究不足的组成部分。 使用以自我为中心的网络数据和以DNA甲基化为基础的生物老化时钟(即DunedinPACE和年龄加速的GrimaAge2 ) 来自印第安纳州代表概率样本的唾液,我们研究负面的社会联系如何与生物加速老龄化和广泛的健康结果(包括炎症和多发性)相关联。 在亲密关系中,消极关系并不罕见,因为近30%的个人报告在其网络中至少有一个拥有一个拥有者。 这些拥有者往往占据着边缘网络位置,并且更有可能通过薄弱的、多发性的联系连接。</w:t>
      </w:r>
    </w:p>
    <w:p>
      <w:pPr>
        <w:spacing w:before="0" w:after="200" w:lineRule="auto" w:line="276"/>
      </w:pPr>
      <w:r>
        <w:rPr>
          <w:b/>
        </w:rPr>
        <w:t xml:space="preserve">Abstract (EN): </w:t>
      </w:r>
      <w:r>
        <w:t>Negative social ties, or “hasslers,” are pervasive yet understudied components of social networks that may accelerate biological aging and morbidity. Using ego-centric network data and DNA methylation-based biological aging clocks (i.e., DunedinPACE and age-accelerated GrimAge2) from saliva from a state representative probability sample in Indiana, we examine how negative social ties are associated with accelerated biological aging and a broad range of health outcomes, including inflammation and multimorbidity. Negative relationships are not rare within close relationships, as nearly 30% of individuals report having at least one hassler in their network. These hasslers tend to occupy peripheral network positions and are more likely to be connected through weak, uniplex ties. Importantly, exposure to negative social ties follows patterns of social and health vulnerability, with women, daily smokers, people in poorer health, and those with adverse childhood experiences more likely to report having hasslers in their networks. Having more hasslers is associated with accelerated biological aging in both rate and cumulative burden: Each additional hassler corresponds to approximately 1.5% faster pace of aging and roughly 9 mo older biological age. Moreover, not all hasslers exert the same influence; kin and nonkin hasslers show detrimental associations, whereas spouse hasslers do not. Finally, a greater number of hasslers is associated with multiple adverse health outcomes beyond epigenetic aging. These findings together highlight the critical role of negative social ties in biological aging as chronic stressors and the need for interventions that reduce harmful social exposures to promote healthier aging trajectories.</w:t>
      </w:r>
    </w:p>
    <w:p>
      <w:pPr>
        <w:spacing w:before="120" w:after="120"/>
      </w:pPr>
      <w:r>
        <w:rPr>
          <w:sz w:val="18"/>
        </w:rPr>
        <w:t>——————————————————————————————————————————————————————————————————————</w:t>
      </w:r>
    </w:p>
    <w:p>
      <w:pPr>
        <w:spacing w:before="160" w:after="40" w:line="240" w:lineRule="auto"/>
      </w:pPr>
      <w:r>
        <w:rPr>
          <w:b/>
        </w:rPr>
        <w:t xml:space="preserve">[468] </w:t>
      </w:r>
      <w:hyperlink r:id="rId745">
        <w:r>
          <w:rPr>
            <w:color w:val="1155CC"/>
            <w:u w:val="single"/>
          </w:rPr>
          <w:t>重新审视专业足球运动员的认知优势</w:t>
        </w:r>
      </w:hyperlink>
    </w:p>
    <w:p>
      <w:pPr>
        <w:spacing w:before="0" w:after="80"/>
      </w:pPr>
      <w:r>
        <w:rPr>
          <w:i/>
          <w:sz w:val="20"/>
        </w:rPr>
        <w:t>EN: Revisiting the cognitive advantages of professional soccer players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46">
        <w:r>
          <w:rPr>
            <w:color w:val="1155CC"/>
            <w:u w:val="single"/>
          </w:rPr>
          <w:t>10.1073/pnas.2515523123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[469] </w:t>
      </w:r>
      <w:hyperlink r:id="rId747">
        <w:r>
          <w:rPr>
            <w:color w:val="1155CC"/>
            <w:u w:val="single"/>
          </w:rPr>
          <w:t>β-2微球球球素通过有选择地阻塞卷律组装来抑制生物胶卷的形成。</w:t>
        </w:r>
      </w:hyperlink>
    </w:p>
    <w:p>
      <w:pPr>
        <w:spacing w:before="0" w:after="80"/>
      </w:pPr>
      <w:r>
        <w:rPr>
          <w:i/>
          <w:sz w:val="20"/>
        </w:rPr>
        <w:t>EN: β2-microglobulin inhibits Escherichia coli biofilm formation via selectively blocking curli assembly</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48">
        <w:r>
          <w:rPr>
            <w:color w:val="1155CC"/>
            <w:u w:val="single"/>
          </w:rPr>
          <w:t>10.1073/pnas.2515986123</w:t>
        </w:r>
      </w:hyperlink>
    </w:p>
    <w:p>
      <w:pPr>
        <w:spacing w:before="0" w:after="120"/>
      </w:pPr>
      <w:r>
        <w:rPr>
          <w:b/>
        </w:rPr>
        <w:t xml:space="preserve">Notes: </w:t>
      </w:r>
      <w:r>
        <w:t>abstract_source=crossref</w:t>
      </w:r>
    </w:p>
    <w:p>
      <w:pPr>
        <w:spacing w:before="0" w:after="80" w:lineRule="auto" w:line="276"/>
      </w:pPr>
      <w:r>
        <w:rPr>
          <w:b/>
        </w:rPr>
        <w:t xml:space="preserve">摘要（ZH）: </w:t>
      </w:r>
      <w:r>
        <w:t>生物胶片由于有助于抗生素抗药性和抑制免疫反应效力,因而对全球健康构成严重挑战,从而加剧病原体条件; 生物胶片细菌难以消除,因为这些细胞嵌入由蛋白聚合物(mylemoles)、聚沙林和外细胞核酸组成的自产、复杂的三维外细胞矩阵中,因此,必须进入。 生物胶片的坚固性对遏制生物胶片感染构成重大挑战。 此外,在理解如何在生理条件下控制生物胶片方面存在着一个空白。</w:t>
      </w:r>
    </w:p>
    <w:p>
      <w:pPr>
        <w:spacing w:before="0" w:after="200" w:lineRule="auto" w:line="276"/>
      </w:pPr>
      <w:r>
        <w:rPr>
          <w:b/>
        </w:rPr>
        <w:t xml:space="preserve">Abstract (EN): </w:t>
      </w:r>
      <w:r>
        <w:t>Bacteria have evolved a remarkable strategy to thrive in hostile environments by creating well-organized microcommunities known as biofilms. Biofilms pose a serious global health challenge due to their contribution to antibiotic resistance and suppression of the effectiveness of immune responses, thereby exacerbating pathogenic conditions. Biofilm-dwelling bacteria are difficult to eliminate since the cells are embedded within a self-produced, intricate 3D extracellular matrix composed of protein polymers (amyloids), polysaccharides, and extracellular nucleic acids. The robustness of the matrix poses a significant challenge to curb biofilm infections. Moreover, there is a lacuna in understanding how biofilm may be controlled under physiological conditions. Therefore, it is imperative to investigate the role of host proteins in keeping a check on biofilm formation. In the present study, we have established β</w:t>
      </w:r>
      <w:r>
        <w:rPr>
          <w:vertAlign w:val="subscript"/>
        </w:rPr>
        <w:t>2</w:t>
      </w:r>
      <w:r>
        <w:t>-microglobulin (β</w:t>
      </w:r>
      <w:r>
        <w:rPr>
          <w:vertAlign w:val="subscript"/>
        </w:rPr>
        <w:t>2</w:t>
      </w:r>
      <w:r>
        <w:t>m), a human protein integral to innate immunity, as a potent inhibitor of biofilm formation in</w:t>
      </w:r>
      <w:r>
        <w:t xml:space="preserve"> </w:t>
      </w:r>
      <w:r>
        <w:t>Escherichia coli</w:t>
      </w:r>
      <w:r>
        <w:t xml:space="preserve"> </w:t>
      </w:r>
      <w:r>
        <w:t>. Our comprehensive biophysical, biochemical, computational, microscopic, and in vivo analyses revealed that β</w:t>
      </w:r>
      <w:r>
        <w:rPr>
          <w:vertAlign w:val="subscript"/>
        </w:rPr>
        <w:t>2</w:t>
      </w:r>
      <w:r>
        <w:t>m effectively prevents</w:t>
      </w:r>
      <w:r>
        <w:t xml:space="preserve"> </w:t>
      </w:r>
      <w:r>
        <w:t>E. coli</w:t>
      </w:r>
      <w:r>
        <w:t xml:space="preserve"> </w:t>
      </w:r>
      <w:r>
        <w:t>biofilm formation by specifically inhibiting amyloid curli, a major matrix component of</w:t>
      </w:r>
      <w:r>
        <w:t xml:space="preserve"> </w:t>
      </w:r>
      <w:r>
        <w:t>E. coli</w:t>
      </w:r>
      <w:r>
        <w:t xml:space="preserve"> </w:t>
      </w:r>
      <w:r>
        <w:t>biofilm. In a rat skin wound infection model, β</w:t>
      </w:r>
      <w:r>
        <w:rPr>
          <w:vertAlign w:val="subscript"/>
        </w:rPr>
        <w:t>2</w:t>
      </w:r>
      <w:r>
        <w:t>m significantly accelerated wound healing, underscoring its therapeutic potential against biofilm infections. Our results illustrate a crucial function of β</w:t>
      </w:r>
      <w:r>
        <w:rPr>
          <w:vertAlign w:val="subscript"/>
        </w:rPr>
        <w:t>2</w:t>
      </w:r>
      <w:r>
        <w:t>m as an endogenous antibiofilm and anticurli protein, provides a host-derived strategy to combat biofilm infections, and presents a method to augment existing antimicrobial therapies.</w:t>
      </w:r>
    </w:p>
    <w:p>
      <w:pPr>
        <w:spacing w:before="120" w:after="120"/>
      </w:pPr>
      <w:r>
        <w:rPr>
          <w:sz w:val="18"/>
        </w:rPr>
        <w:t>——————————————————————————————————————————————————————————————————————</w:t>
      </w:r>
    </w:p>
    <w:p>
      <w:pPr>
        <w:spacing w:before="160" w:after="40" w:line="240" w:lineRule="auto"/>
      </w:pPr>
      <w:r>
        <w:rPr>
          <w:b/>
        </w:rPr>
        <w:t xml:space="preserve">[470] </w:t>
      </w:r>
      <w:hyperlink r:id="rId749">
        <w:r>
          <w:rPr>
            <w:color w:val="1155CC"/>
            <w:u w:val="single"/>
          </w:rPr>
          <w:t>植物生长在永久冻冻土生态系统变暖期间,在补充氮以补充植物生长方面,苔蚁的关键作用</w:t>
        </w:r>
      </w:hyperlink>
    </w:p>
    <w:p>
      <w:pPr>
        <w:spacing w:before="0" w:after="80"/>
      </w:pPr>
      <w:r>
        <w:rPr>
          <w:i/>
          <w:sz w:val="20"/>
        </w:rPr>
        <w:t>EN: Key role of moss in supplementing nitrogen for plant growth under warming in a permafrost ecosystem</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50">
        <w:r>
          <w:rPr>
            <w:color w:val="1155CC"/>
            <w:u w:val="single"/>
          </w:rPr>
          <w:t>10.1073/pnas.2516443123</w:t>
        </w:r>
      </w:hyperlink>
    </w:p>
    <w:p>
      <w:pPr>
        <w:spacing w:before="0" w:after="120"/>
      </w:pPr>
      <w:r>
        <w:rPr>
          <w:b/>
        </w:rPr>
        <w:t xml:space="preserve">Notes: </w:t>
      </w:r>
      <w:r>
        <w:t>abstract_source=crossref</w:t>
      </w:r>
    </w:p>
    <w:p>
      <w:pPr>
        <w:spacing w:before="0" w:after="80" w:lineRule="auto" w:line="276"/>
      </w:pPr>
      <w:r>
        <w:rPr>
          <w:b/>
        </w:rPr>
        <w:t xml:space="preserve">摘要（ZH）: </w:t>
      </w:r>
      <w:r>
        <w:t>由于气候变暖而提高的植物生产力可部分抵消寒冷生态系统中的土壤碳流失,但这种补偿取决于土壤氮(N)供应能否跟上与加速植物增长有关的增加的N需求。然而,尚不清楚现有的土壤氮(N)供应流程是否足以支持这一不断增长的N植物需求。根据西藏高原永久冻土地区一个独特的全生态系统变暖实验,我们评估了43个变量,包括植物N需求和土壤N供应。在变暖2年之后,植物N需求大幅增加,而叶子N再吸附保持不变,表明对外部土壤N投入的依赖程度增加。</w:t>
      </w:r>
    </w:p>
    <w:p>
      <w:pPr>
        <w:spacing w:before="0" w:after="200" w:lineRule="auto" w:line="276"/>
      </w:pPr>
      <w:r>
        <w:rPr>
          <w:b/>
        </w:rPr>
        <w:t xml:space="preserve">Abstract (EN): </w:t>
      </w:r>
      <w:r>
        <w:t>Enhanced plant productivity under climate warming may partially offset soil carbon losses in cold ecosystems, but this compensation depends on whether soil nitrogen (N) supply can keep pace with the increased N demand associated with accelerated plant growth. However, it remains unclear whether existing soil N supply processes are sufficient to support this rising plant N demand. Based on a unique whole-ecosystem warming experiment in the permafrost region on the Tibetan Plateau, we assess 43 variables encompassing plant N demand and soil N supply. After 2 y of warming, plant N demand significantly increases, while leaf N resorption remains unchanged, indicating a heightened reliance on external soil N inputs. Among all quantified N-supply processes, moss-associated biological N fixation is the only process that responds positively to warming, providing partial compensation for the elevated plant N demand over the two experimental years. This enhancement is associated with warming-driven changes in moss functional traits that likely expand colonization niches and increase carbon availability for diazotrophs, coupled with a warming-induced increase in the breadth and intensity of taxon-level</w:t>
      </w:r>
      <w:r>
        <w:rPr>
          <w:vertAlign w:val="subscript"/>
        </w:rPr>
        <w:t>15</w:t>
      </w:r>
      <w:r>
        <w:t>N incorporation into the DNA of N-fixing bacteria. These findings highlight that moss-associated N fixation may act as an early contributor in helping satisfy the elevated plant N demand under warming, offering insights into understanding the dynamics of vegetation productivity and permafrost carbon-climate feedback through the lens of moss–soil–microbial interactions.</w:t>
      </w:r>
    </w:p>
    <w:p>
      <w:pPr>
        <w:spacing w:before="120" w:after="120"/>
      </w:pPr>
      <w:r>
        <w:rPr>
          <w:sz w:val="18"/>
        </w:rPr>
        <w:t>——————————————————————————————————————————————————————————————————————</w:t>
      </w:r>
    </w:p>
    <w:p>
      <w:pPr>
        <w:spacing w:before="160" w:after="40" w:line="240" w:lineRule="auto"/>
      </w:pPr>
      <w:r>
        <w:rPr>
          <w:b/>
        </w:rPr>
        <w:t xml:space="preserve">[471] </w:t>
      </w:r>
      <w:hyperlink r:id="rId751">
        <w:r>
          <w:rPr>
            <w:color w:val="1155CC"/>
            <w:u w:val="single"/>
          </w:rPr>
          <w:t>多尺度理论框架预测Pt-Cu氧减氧反应催化剂的大小和定序活动</w:t>
        </w:r>
      </w:hyperlink>
    </w:p>
    <w:p>
      <w:pPr>
        <w:spacing w:before="0" w:after="80"/>
      </w:pPr>
      <w:r>
        <w:rPr>
          <w:i/>
          <w:sz w:val="20"/>
        </w:rPr>
        <w:t>EN: A multiscale theory framework predicts size- and ordering-dependent activity in Pt–Cu oxygen reduction reaction catalysts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52">
        <w:r>
          <w:rPr>
            <w:color w:val="1155CC"/>
            <w:u w:val="single"/>
          </w:rPr>
          <w:t>10.1073/pnas.2516464123</w:t>
        </w:r>
      </w:hyperlink>
    </w:p>
    <w:p>
      <w:pPr>
        <w:spacing w:before="0" w:after="120"/>
      </w:pPr>
      <w:r>
        <w:rPr>
          <w:b/>
        </w:rPr>
        <w:t xml:space="preserve">Notes: </w:t>
      </w:r>
      <w:r>
        <w:t>abstract_source=crossref</w:t>
      </w:r>
    </w:p>
    <w:p>
      <w:pPr>
        <w:spacing w:before="0" w:after="80" w:lineRule="auto" w:line="276"/>
      </w:pPr>
      <w:r>
        <w:rPr>
          <w:b/>
        </w:rPr>
        <w:t xml:space="preserve">摘要（ZH）: </w:t>
      </w:r>
      <w:r>
        <w:t>优化Pt基合金纳米催化剂的氧减少反应(ORR)性能要求量化理解催化活动和耐久性如何取决于纳米粒子的构成、大小和原子定序。 在这项工作中,我们提出了一个多尺度的理论框架,将密度功能理论(DFT ) 、 机器学习加速集束扩张以及动能和Metropolis Monte Carlo模拟结合起来,以预测酸性条件下辛醇-胆固纳米粒子的结构演变和 OR 活动。 我们的模型捕捉了实验相关(4-10纳米)粒子的配置复杂性(4-10纳米),并揭示了Pt 0.85 Cu 0.15纳米粒子的紊乱。</w:t>
      </w:r>
    </w:p>
    <w:p>
      <w:pPr>
        <w:spacing w:before="0" w:after="200" w:lineRule="auto" w:line="276"/>
      </w:pPr>
      <w:r>
        <w:rPr>
          <w:b/>
        </w:rPr>
        <w:t xml:space="preserve">Abstract (EN): </w:t>
      </w:r>
      <w:r>
        <w:t>Optimizing the oxygen reduction reaction (ORR) performance of Pt-based alloy nanocatalysts requires a quantitative understanding of how catalytic activity and durability depend on nanoparticle composition, size, and atomic ordering. In this work, we present a multiscale theoretical framework that integrates density functional theory (DFT), machine-learning-accelerated cluster expansions, and kinetic and Metropolis Monte Carlo simulations to predict the structural evolution and ORR activity of octahedral Pt–Cu nanoparticles under acidic conditions. Our model captures the configurational complexity of experimentally relevant (4 to 10 nm) particles and reveals that disordered Pt</w:t>
      </w:r>
      <w:r>
        <w:t xml:space="preserve"> </w:t>
      </w:r>
      <w:r>
        <w:t>0.85</w:t>
      </w:r>
      <w:r>
        <w:t xml:space="preserve"> </w:t>
      </w:r>
      <w:r>
        <w:t>Cu</w:t>
      </w:r>
      <w:r>
        <w:t xml:space="preserve"> </w:t>
      </w:r>
      <w:r>
        <w:t>0.15</w:t>
      </w:r>
      <w:r>
        <w:t xml:space="preserve"> </w:t>
      </w:r>
      <w:r>
        <w:t>nanoparticles exhibit optimal mass activity near 5 nm and a saturated specific activity plateau at ~6 nm, driven by the high density of catalytically active Pt(111) terrace sites. We further identify a size-dependent crossover in catalytic performance between ordered and disordered Pt–Cu particles, governed by subsurface atomic ordering and the distribution of *OH binding energies. These findings provide mechanistic insights and design strategies for tailoring surface and subsurface structure to enhance the catalytic efficiency of alloy nanocatalysts.</w:t>
      </w:r>
    </w:p>
    <w:p>
      <w:pPr>
        <w:spacing w:before="120" w:after="120"/>
      </w:pPr>
      <w:r>
        <w:rPr>
          <w:sz w:val="18"/>
        </w:rPr>
        <w:t>——————————————————————————————————————————————————————————————————————</w:t>
      </w:r>
    </w:p>
    <w:p>
      <w:pPr>
        <w:spacing w:before="160" w:after="40" w:line="240" w:lineRule="auto"/>
      </w:pPr>
      <w:r>
        <w:rPr>
          <w:b/>
        </w:rPr>
        <w:t xml:space="preserve">[472] </w:t>
      </w:r>
      <w:hyperlink r:id="rId753">
        <w:r>
          <w:rPr>
            <w:color w:val="1155CC"/>
            <w:u w:val="single"/>
          </w:rPr>
          <w:t>由蝙蝠合成SARS类似冠状风速病毒WIV1、分子动态和各种宿主生物物理组成的锁定钉钉甘立蛋白蛋白的冷冻冷冻电离结构</w:t>
        </w:r>
      </w:hyperlink>
    </w:p>
    <w:p>
      <w:pPr>
        <w:spacing w:before="0" w:after="80"/>
      </w:pPr>
      <w:r>
        <w:rPr>
          <w:i/>
          <w:sz w:val="20"/>
        </w:rPr>
        <w:t>EN: Cryo-EM structure of locked spike glycoprotein from bat SARS-like coronavirus WIV1, molecular dynamics and biophysics across host range</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54">
        <w:r>
          <w:rPr>
            <w:color w:val="1155CC"/>
            <w:u w:val="single"/>
          </w:rPr>
          <w:t>10.1073/pnas.2516874123</w:t>
        </w:r>
      </w:hyperlink>
    </w:p>
    <w:p>
      <w:pPr>
        <w:spacing w:before="0" w:after="120"/>
      </w:pPr>
      <w:r>
        <w:rPr>
          <w:b/>
        </w:rPr>
        <w:t xml:space="preserve">Notes: </w:t>
      </w:r>
      <w:r>
        <w:t>abstract_source=crossref</w:t>
      </w:r>
    </w:p>
    <w:p>
      <w:pPr>
        <w:spacing w:before="0" w:after="80" w:lineRule="auto" w:line="276"/>
      </w:pPr>
      <w:r>
        <w:rPr>
          <w:b/>
        </w:rPr>
        <w:t xml:space="preserve">摘要（ZH）: </w:t>
      </w:r>
      <w:r>
        <w:t>严重急性呼吸系统综合症冠状病毒1 (SARS-COV-1) 和 SARS-COV-2 流行病表明,在动物动物外溢之后,人类可能再次出现类似于SARS的冠状病毒(SL-COV),这是对全球健康的重大威胁,鉴于激素(S)在调节SL-CoV细胞进入和跨物种传播方面的作用,目前仍迫切需要关于SL-COV S的结构信息,以指导治疗性应对措施的发展,在SL-COVs中,来自蝙蝠的WIV1能够将各种哺乳动物的酶2(ACE2)转化成血管作为受体,从而成为研究SL-CoV先质以预防未来的流行病的原型模型。</w:t>
      </w:r>
    </w:p>
    <w:p>
      <w:pPr>
        <w:spacing w:before="0" w:after="200" w:lineRule="auto" w:line="276"/>
      </w:pPr>
      <w:r>
        <w:rPr>
          <w:b/>
        </w:rPr>
        <w:t xml:space="preserve">Abstract (EN): </w:t>
      </w:r>
      <w:r>
        <w:t>As made evident by severe acute respiratory syndrome coronavirus 1 (SARS-CoV-1) and SARS-CoV-2 pandemics, the possibility of a SARS-like coronavirus (SL-CoV) emerging again in humankind after zoonotic spillover represents a significant global health threat. Given the role of spike (S) glycoprotein in mediating SL-CoV cell entry and cross-species transmission, there remains urgent need of structural information on SL-CoV S to guide therapeutic countermeasure development. Among SL-CoVs, bat-derived WIV1 is capable of using as receptor the angiotensin converting enzyme 2 (ACE2) from a variety of mammals, thereby representing a prototype model for studying SL-CoV precursors to future pandemics. We present a WIV1 S cryo-EM structure in prefusion state which reveals molecular signatures reminiscent of the tightly-packed locked-1 conformation described for SARS-CoV-1 and SARS-CoV-2. To decipher the molecular basis for bat SL-CoV WIV1 host range tropism, we performed molecular dynamics (MD) simulations of WIV1 S-ACE2 interaction across reservoir bat, potentially intermediate hosts civet, raccoon dog and pangolin, and accidental human hosts. We found that, in all interactions, upon complex formation with ACE2, the linoleic acid responsible for locking the S receptor binding domain (RBD) dynamically persists in its binding pocket, however repositioning to potentially unlock the system. Complex formation between WIV1 S-RBD and ACE2 from different hosts was characterized in vitro by mass photometry and microscale thermophoresis, revealing that interaction is stronger with ACE2 from bat and human than other hosts, within the latter stronger for the Thr92Ile polymorphism correlated to higher SARS-CoV-2 infection susceptibility. These findings provide critical insights with crucial implications for pandemic preparedness.</w:t>
      </w:r>
    </w:p>
    <w:p>
      <w:pPr>
        <w:spacing w:before="120" w:after="120"/>
      </w:pPr>
      <w:r>
        <w:rPr>
          <w:sz w:val="18"/>
        </w:rPr>
        <w:t>——————————————————————————————————————————————————————————————————————</w:t>
      </w:r>
    </w:p>
    <w:p>
      <w:pPr>
        <w:spacing w:before="160" w:after="40" w:line="240" w:lineRule="auto"/>
      </w:pPr>
      <w:r>
        <w:rPr>
          <w:b/>
        </w:rPr>
        <w:t xml:space="preserve">[473] </w:t>
      </w:r>
      <w:hyperlink r:id="rId755">
        <w:r>
          <w:rPr>
            <w:color w:val="1155CC"/>
            <w:u w:val="single"/>
          </w:rPr>
          <w:t>人类的内阴膜编码为电动执行的索马托同位素表示,带有一种与初级运动皮层相连接的特有电动连接仪图。</w:t>
        </w:r>
      </w:hyperlink>
    </w:p>
    <w:p>
      <w:pPr>
        <w:spacing w:before="0" w:after="80"/>
      </w:pPr>
      <w:r>
        <w:rPr>
          <w:i/>
          <w:sz w:val="20"/>
        </w:rPr>
        <w:t>EN: The human insula encodes somatotopic representation of motor execution with an effector-specific connectome map to primary motor cortex</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56">
        <w:r>
          <w:rPr>
            <w:color w:val="1155CC"/>
            <w:u w:val="single"/>
          </w:rPr>
          <w:t>10.1073/pnas.2517734123</w:t>
        </w:r>
      </w:hyperlink>
    </w:p>
    <w:p>
      <w:pPr>
        <w:spacing w:before="0" w:after="120"/>
      </w:pPr>
      <w:r>
        <w:rPr>
          <w:b/>
        </w:rPr>
        <w:t xml:space="preserve">Notes: </w:t>
      </w:r>
      <w:r>
        <w:t>abstract_source=crossref</w:t>
      </w:r>
    </w:p>
    <w:p>
      <w:pPr>
        <w:spacing w:before="0" w:after="80" w:lineRule="auto" w:line="276"/>
      </w:pPr>
      <w:r>
        <w:rPr>
          <w:b/>
        </w:rPr>
        <w:t xml:space="preserve">摘要（ZH）: </w:t>
      </w:r>
      <w:r>
        <w:t>人体大脑中了解运动的代言面要求除主要运动皮层外,在协调复杂运动的分布式网络中绘制图象,通过临床观察和神经成形与运动控制有牵连,而与初级感官处理的确切关系仍然是运动神经生理学中最不为人所知的方面之一。为了缩小这一差距,我们用数量表示在从事简单运动任务的病人中植入深度电极所产生的电子生理变化,并配以单脉动电动刺激(SPES),以绘制有效连接图。移动数据显示在单脉动上特定的代表性是双边的,以及相互影响区域。</w:t>
      </w:r>
    </w:p>
    <w:p>
      <w:pPr>
        <w:spacing w:before="0" w:after="200" w:lineRule="auto" w:line="276"/>
      </w:pPr>
      <w:r>
        <w:rPr>
          <w:b/>
        </w:rPr>
        <w:t xml:space="preserve">Abstract (EN): </w:t>
      </w:r>
      <w:r>
        <w:t>Understanding motor representation in the human brain requires mapping beyond the primary motor cortex, into the distributed networks that coordinate complex movements. The insular cortex, a multifunctional hub buried within the Sylvian fissure, has been implicated in motor control through clinical observations and neuroimaging. Yet its precise relation to primary sensorimotor processing remains one of the least understood aspects of motor neurophysiology. To address this gap, we quantified electrophysiological changes from implanted depth electrodes in patients performing simple movement tasks combined with single-pulse electrical stimulation (SPES) to map effective connectivity. The movement data reveal somatotopically specific representation bilaterally, as well as intereffector regions that are active for different movement types. Hand representation is centered along the contralateral ventral aspect of the middle and posterior short gyri bilaterally, while tongue/mouth tuned sites cluster in the dorsal posterior short gyrus and the dorsal long gyri. Insular activity temporally follows the primary motor cortex (M1) and precedes movement onset. SPES revealed somatotopically specific connectivity between corresponding sites in M1 and insula (hand-to-hand, tongue-to-tongue) and between bilateral insulae. These observations establish that somatotopy is a conserved property of distributed motor control incorporating the insular representations and connectivity.</w:t>
      </w:r>
    </w:p>
    <w:p>
      <w:pPr>
        <w:spacing w:before="120" w:after="120"/>
      </w:pPr>
      <w:r>
        <w:rPr>
          <w:sz w:val="18"/>
        </w:rPr>
        <w:t>——————————————————————————————————————————————————————————————————————</w:t>
      </w:r>
    </w:p>
    <w:p>
      <w:pPr>
        <w:spacing w:before="160" w:after="40" w:line="240" w:lineRule="auto"/>
      </w:pPr>
      <w:r>
        <w:rPr>
          <w:b/>
        </w:rPr>
        <w:t xml:space="preserve">[474] </w:t>
      </w:r>
      <w:hyperlink r:id="rId757">
        <w:r>
          <w:rPr>
            <w:color w:val="1155CC"/>
            <w:u w:val="single"/>
          </w:rPr>
          <w:t>利用基于NMR化学转移的重新加权,精确的内在有病蛋白分解组装,以NMR化学转移为基础</w:t>
        </w:r>
      </w:hyperlink>
    </w:p>
    <w:p>
      <w:pPr>
        <w:spacing w:before="0" w:after="80"/>
      </w:pPr>
      <w:r>
        <w:rPr>
          <w:i/>
          <w:sz w:val="20"/>
        </w:rPr>
        <w:t>EN: Accurate conformational ensembles of intrinsically disordered proteins using reweighting based on NMR chemical shifts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58">
        <w:r>
          <w:rPr>
            <w:color w:val="1155CC"/>
            <w:u w:val="single"/>
          </w:rPr>
          <w:t>10.1073/pnas.2518125123</w:t>
        </w:r>
      </w:hyperlink>
    </w:p>
    <w:p>
      <w:pPr>
        <w:spacing w:before="0" w:after="120"/>
      </w:pPr>
      <w:r>
        <w:rPr>
          <w:b/>
        </w:rPr>
        <w:t xml:space="preserve">Notes: </w:t>
      </w:r>
      <w:r>
        <w:t>abstract_source=crossref</w:t>
      </w:r>
    </w:p>
    <w:p>
      <w:pPr>
        <w:spacing w:before="0" w:after="80" w:lineRule="auto" w:line="276"/>
      </w:pPr>
      <w:r>
        <w:rPr>
          <w:b/>
        </w:rPr>
        <w:t xml:space="preserve">摘要（ZH）: </w:t>
      </w:r>
      <w:r>
        <w:t>自然无序蛋白和蛋白区域(IDRs)是一系列重要生物过程的基础,但呈现出动态和多样性的异质。 目前,许多计算工作都力求阐明这些无序蛋白的相容组合,但大多数方法仍难以完全捕捉到它们的结构多样性。 在这里,我们整合了各种IDR的结构图书馆,这些图书馆来自粗粒分子动态模拟(MD)和机器学习模型 — 与从NMR光谱学获得的实验性化学转移。我们通过一种最大倍增再加权方法,获得了更准确地反映观察到的化学变化并揭示短暂状态的可靠的聚合物。我们的结果突出了全面取样层的重要性。</w:t>
      </w:r>
    </w:p>
    <w:p>
      <w:pPr>
        <w:spacing w:before="0" w:after="200" w:lineRule="auto" w:line="276"/>
      </w:pPr>
      <w:r>
        <w:rPr>
          <w:b/>
        </w:rPr>
        <w:t xml:space="preserve">Abstract (EN): </w:t>
      </w:r>
      <w:r>
        <w:t>Intrinsically disordered proteins and protein regions (IDRs) underpin a wide range of vital biological processes but exhibit dynamic and heterogeneous conformations. Currently, many computational efforts seek to elucidate the conformational ensembles of these disordered proteins, yet most methods still struggle to fully capture their structural diversity. Here, we integrate structural libraries of various IDRs—derived from coarse-grained molecular dynamics (MD) simulations and machine learning models—with experimental chemical shifts obtained from NMR spectroscopy. Through a maximum entropy reweighting approach, we obtain reliable ensembles that more accurately reflect observed chemical shifts and reveal transient states. Our results highlight the importance of comprehensive sampling strategies for capturing diverse conformational states. Furthermore, we show that these weighted ensembles faithfully track conformational rearrangements under various conditions such as temperature, mutational effects, and environment, which are not fully captured by experiments alone. This approach provides a dataset encompassing each IDR’s specific structures along with their weights, offering a foundation for systematically exploring IDR structural landscapes, refining our understanding of their functional roles, and shedding light on processes related to misfolding and aggregation.</w:t>
      </w:r>
    </w:p>
    <w:p>
      <w:pPr>
        <w:spacing w:before="120" w:after="120"/>
      </w:pPr>
      <w:r>
        <w:rPr>
          <w:sz w:val="18"/>
        </w:rPr>
        <w:t>——————————————————————————————————————————————————————————————————————</w:t>
      </w:r>
    </w:p>
    <w:p>
      <w:pPr>
        <w:spacing w:before="160" w:after="40" w:line="240" w:lineRule="auto"/>
      </w:pPr>
      <w:r>
        <w:rPr>
          <w:b/>
        </w:rPr>
        <w:t xml:space="preserve">[475] </w:t>
      </w:r>
      <w:hyperlink r:id="rId759">
        <w:r>
          <w:rPr>
            <w:color w:val="1155CC"/>
            <w:u w:val="single"/>
          </w:rPr>
          <w:t>GrIN2b 3’UTR是合成可塑性和空间学习所必需的</w:t>
        </w:r>
      </w:hyperlink>
    </w:p>
    <w:p>
      <w:pPr>
        <w:spacing w:before="0" w:after="80"/>
      </w:pPr>
      <w:r>
        <w:rPr>
          <w:i/>
          <w:sz w:val="20"/>
        </w:rPr>
        <w:t>EN: Grin2b 3’UTR is necessary for synaptic plasticity and spatial learning</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60">
        <w:r>
          <w:rPr>
            <w:color w:val="1155CC"/>
            <w:u w:val="single"/>
          </w:rPr>
          <w:t>10.1073/pnas.2518282123</w:t>
        </w:r>
      </w:hyperlink>
    </w:p>
    <w:p>
      <w:pPr>
        <w:spacing w:before="0" w:after="120"/>
      </w:pPr>
      <w:r>
        <w:rPr>
          <w:b/>
        </w:rPr>
        <w:t xml:space="preserve">Notes: </w:t>
      </w:r>
      <w:r>
        <w:t>abstract_source=crossref</w:t>
      </w:r>
    </w:p>
    <w:p>
      <w:pPr>
        <w:spacing w:before="0" w:after="80" w:lineRule="auto" w:line="276"/>
      </w:pPr>
      <w:r>
        <w:rPr>
          <w:b/>
        </w:rPr>
        <w:t xml:space="preserve">摘要（ZH）: </w:t>
      </w:r>
      <w:r>
        <w:t>空间精确蛋白合成对于合成合成可塑性和认知功能至关重要。 GRIN2B 笔录将N-甲基D-partate(NMDA)受体的GluN2B子单位编码成,并有一个25千磅长3个未翻译区域(3'UTR)的未知功能。为了调查它的作用,我们在保存编码序列的同时,删除了Grin2b 3'UTR的Grin2b 3'UTR 鼠标线,从而生成了“3'UTR”鼠标线。尽管3'UTR小鼠的Grin2b mRNA水平没有改变,但GluN2B蛋白却减少了50 %。在野生型小鼠(WT)中,Grin2b mRNA在合成体中被浓缩,但这种浓缩在+3'UTR小鼠身上和减少的GluN2B磷酸化作用中受损。值得注意的是,“3'UTR”</w:t>
      </w:r>
    </w:p>
    <w:p>
      <w:pPr>
        <w:spacing w:before="0" w:after="200" w:lineRule="auto" w:line="276"/>
      </w:pPr>
      <w:r>
        <w:rPr>
          <w:b/>
        </w:rPr>
        <w:t xml:space="preserve">Abstract (EN): </w:t>
      </w:r>
      <w:r>
        <w:t>Spatially precise protein synthesis is critical for synaptic plasticity and cognitive function. The</w:t>
      </w:r>
      <w:r>
        <w:t xml:space="preserve"> </w:t>
      </w:r>
      <w:r>
        <w:t>GRIN2B</w:t>
      </w:r>
      <w:r>
        <w:t xml:space="preserve"> </w:t>
      </w:r>
      <w:r>
        <w:t>transcript encodes the GluN2B subunit of N-methyl-D-aspartate (NMDA) receptors and has a 25 kb-long 3’-untranslated region (3’UTR) of unknown function. To investigate its role, we generated a ∆3’UTR mouse line by deleting the</w:t>
      </w:r>
      <w:r>
        <w:t xml:space="preserve"> </w:t>
      </w:r>
      <w:r>
        <w:t>Grin2b</w:t>
      </w:r>
      <w:r>
        <w:t xml:space="preserve"> </w:t>
      </w:r>
      <w:r>
        <w:t>3’UTR while preserving the coding sequence. Despite unchanged</w:t>
      </w:r>
      <w:r>
        <w:t xml:space="preserve"> </w:t>
      </w:r>
      <w:r>
        <w:t>Grin2b</w:t>
      </w:r>
      <w:r>
        <w:t xml:space="preserve"> </w:t>
      </w:r>
      <w:r>
        <w:t>mRNA levels in ∆3’UTR mice, GluN2B protein was reduced 50%. In wildtype (WT) mice,</w:t>
      </w:r>
      <w:r>
        <w:t xml:space="preserve"> </w:t>
      </w:r>
      <w:r>
        <w:t>Grin2b</w:t>
      </w:r>
      <w:r>
        <w:t xml:space="preserve"> </w:t>
      </w:r>
      <w:r>
        <w:t>mRNA was enriched in synaptosomes, but this enrichment was impaired in ∆3’UTR mice along with reduced GluN2B phosphorylation. Notably, ∆3’UTR mice had no long-term potentiation (LTP) and exhibited hippocampal-dependent spatial learning impairments. Together, these findings demonstrate that the 3’UTR is critical for</w:t>
      </w:r>
      <w:r>
        <w:t xml:space="preserve"> </w:t>
      </w:r>
      <w:r>
        <w:t>Grin2b</w:t>
      </w:r>
      <w:r>
        <w:t xml:space="preserve"> </w:t>
      </w:r>
      <w:r>
        <w:t>mRNA function, ultimately influencing synaptic composition and plasticity.</w:t>
      </w:r>
    </w:p>
    <w:p>
      <w:pPr>
        <w:spacing w:before="120" w:after="120"/>
      </w:pPr>
      <w:r>
        <w:rPr>
          <w:sz w:val="18"/>
        </w:rPr>
        <w:t>——————————————————————————————————————————————————————————————————————</w:t>
      </w:r>
    </w:p>
    <w:p>
      <w:pPr>
        <w:spacing w:before="160" w:after="40" w:line="240" w:lineRule="auto"/>
      </w:pPr>
      <w:r>
        <w:rPr>
          <w:b/>
        </w:rPr>
        <w:t xml:space="preserve">[476] </w:t>
      </w:r>
      <w:hyperlink r:id="rId761">
        <w:r>
          <w:rPr>
            <w:color w:val="1155CC"/>
            <w:u w:val="single"/>
          </w:rPr>
          <w:t>按数字分列的低温电子断层摄影图: 结构细胞生物学中探索不足的线条图</w:t>
        </w:r>
      </w:hyperlink>
    </w:p>
    <w:p>
      <w:pPr>
        <w:spacing w:before="0" w:after="80"/>
      </w:pPr>
      <w:r>
        <w:rPr>
          <w:i/>
          <w:sz w:val="20"/>
        </w:rPr>
        <w:t>EN: Cryogenic electron tomography by the numbers: Charting underexplored lineages in structural cell biology</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62">
        <w:r>
          <w:rPr>
            <w:color w:val="1155CC"/>
            <w:u w:val="single"/>
          </w:rPr>
          <w:t>10.1073/pnas.2518350123</w:t>
        </w:r>
      </w:hyperlink>
    </w:p>
    <w:p>
      <w:pPr>
        <w:spacing w:before="0" w:after="120"/>
      </w:pPr>
      <w:r>
        <w:rPr>
          <w:b/>
        </w:rPr>
        <w:t xml:space="preserve">Notes: </w:t>
      </w:r>
      <w:r>
        <w:t>abstract_source=crossref</w:t>
      </w:r>
    </w:p>
    <w:p>
      <w:pPr>
        <w:spacing w:before="0" w:after="80" w:lineRule="auto" w:line="276"/>
      </w:pPr>
      <w:r>
        <w:rPr>
          <w:b/>
        </w:rPr>
        <w:t xml:space="preserve">摘要（ZH）: </w:t>
      </w:r>
      <w:r>
        <w:t>利用分子分辨率成像细胞及其在整个生物圈中的相互作用,是理解结构功能关系的关键。低温电子断层摄影(cryo-ET)是获取这一关键信息的有力方法。然而,冷冻电子断层摄影(cryo-ET)研究具有挑战性,而且往往局限于每个研究的少量细胞类型。 我们在此将来自整个生物圈数百个细胞和组织的冷冻-ET数据核对到一)确定新出现的方法趋势,(二)确定降低成像时间和成本的战略,(三)从数量上比较细胞冻结和分离的方法,以及(四)对生活所有领域的冷冻-ET物种进行普查。</w:t>
      </w:r>
    </w:p>
    <w:p>
      <w:pPr>
        <w:spacing w:before="0" w:after="200" w:lineRule="auto" w:line="276"/>
      </w:pPr>
      <w:r>
        <w:rPr>
          <w:b/>
        </w:rPr>
        <w:t xml:space="preserve">Abstract (EN): </w:t>
      </w:r>
      <w:r>
        <w:t>Imaging cells and their interactions across the whole biosphere with molecular-scale resolution is key for understanding structure–function relations. Cryogenic electron tomography (cryo-ET) is a powerful method for obtaining this critical information. However, cryo-ET studies are challenging and often limited to a small number of cell types per study. Here, we collate cryo-ET data from hundreds of cells and tissues across the biosphere to i) identify emerging methodological trends, ii) pinpoint strategies to reduce imaging time and costs, iii) quantitatively compare methods for cell freezing and sectioning, and iv) census cryo-ET species coverage across all domains of life. Comparing the fraction of cellular material within a single lamella across all domains of life reveals an order of magnitude difference between eukaryotes (1%) compared to bacteria (9%) and archaea (14%). We calculate the fraction of cellular material which can be imaged using distinct sectioning methods on multicellular communities and tissues—identifying serial lift-out as a powerful approach for obtaining more complete cellular depictions. Finally, we show that the biodiversity of current cryo-ET studies is 2 to 3 orders of magnitude lower than in sequence libraries and 4 to 5 lower than the total predicted on Earth. Our analyses reveal major evolutionary lineages which remain critically understudied and highlight where future cryo-ET research would be most impactful.</w:t>
      </w:r>
    </w:p>
    <w:p>
      <w:pPr>
        <w:spacing w:before="120" w:after="120"/>
      </w:pPr>
      <w:r>
        <w:rPr>
          <w:sz w:val="18"/>
        </w:rPr>
        <w:t>——————————————————————————————————————————————————————————————————————</w:t>
      </w:r>
    </w:p>
    <w:p>
      <w:pPr>
        <w:spacing w:before="160" w:after="40" w:line="240" w:lineRule="auto"/>
      </w:pPr>
      <w:r>
        <w:rPr>
          <w:b/>
        </w:rPr>
        <w:t xml:space="preserve">[477] </w:t>
      </w:r>
      <w:hyperlink r:id="rId763">
        <w:r>
          <w:rPr>
            <w:color w:val="1155CC"/>
            <w:u w:val="single"/>
          </w:rPr>
          <w:t>在种族化合物中解析隐藏的对称性断裂</w:t>
        </w:r>
      </w:hyperlink>
    </w:p>
    <w:p>
      <w:pPr>
        <w:spacing w:before="0" w:after="80"/>
      </w:pPr>
      <w:r>
        <w:rPr>
          <w:i/>
          <w:sz w:val="20"/>
        </w:rPr>
        <w:t>EN: Unraveling hidden symmetry breaking in racemic compounds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64">
        <w:r>
          <w:rPr>
            <w:color w:val="1155CC"/>
            <w:u w:val="single"/>
          </w:rPr>
          <w:t>10.1073/pnas.2531804123</w:t>
        </w:r>
      </w:hyperlink>
    </w:p>
    <w:p>
      <w:pPr>
        <w:spacing w:before="0" w:after="120"/>
      </w:pPr>
      <w:r>
        <w:rPr>
          <w:b/>
        </w:rPr>
        <w:t xml:space="preserve">Notes: </w:t>
      </w:r>
      <w:r>
        <w:t>abstract_source=crossref</w:t>
      </w:r>
    </w:p>
    <w:p>
      <w:pPr>
        <w:spacing w:before="0" w:after="80" w:lineRule="auto" w:line="276"/>
      </w:pPr>
      <w:r>
        <w:rPr>
          <w:b/>
        </w:rPr>
        <w:t xml:space="preserve">摘要（ZH）: </w:t>
      </w:r>
      <w:r>
        <w:t>由晶状形式的对等分子混合体组成的种族化合物,由晶状形式的对等体组成,通常被认为是完全对称的,由于数量丰富,往往被视为一种微不足道的现象,因为它们占结构数据库条目的相当部分(90-95%),这里我们发现种族化合物中的对称性分级组织:单手分子首先自组成同质域,然后用与手性相反的领域定期自我组织形成最后晶体。我们通过应用一个折叠式平面模型,采用一个定量描述器(矩形)来探测种族化合物的对称性断裂,直接从晶体对称和单位细胞中衍生出来。</w:t>
      </w:r>
    </w:p>
    <w:p>
      <w:pPr>
        <w:spacing w:before="0" w:after="200" w:lineRule="auto" w:line="276"/>
      </w:pPr>
      <w:r>
        <w:rPr>
          <w:b/>
        </w:rPr>
        <w:t xml:space="preserve">Abstract (EN): </w:t>
      </w:r>
      <w:r>
        <w:t>Racemic compounds, consisting of an equimolar mixture of enantiomers in crystalline form, are conventionally regarded as fully symmetric and are often dismissed as a trivial phenomenon due to their abundance—as they account for a substantial fraction (90 to 95%) of entries in structural databases. Here, we uncover the symmetry-breaking hierarchical organization within racemic compounds: single-handed molecules first self-assemble into homochiral domains, which then periodically self-organize with domains of opposite chirality to form the final crystal. Using a folded-plane model by applying isometry, we introduce a quantitative descriptor (angle</w:t>
      </w:r>
      <w:r>
        <w:t xml:space="preserve"> </w:t>
      </w:r>
      <w:r>
        <w:t>θ</w:t>
      </w:r>
      <w:r>
        <w:t xml:space="preserve"> </w:t>
      </w:r>
      <w:r>
        <w:t>) to probe symmetry breaking in racemic compounds, directly derived from crystal symmetry and unit cell parameters. We further develop a big-data analysis tool based on coset decomposition (a method of group theory) to comprehensively examine structural data from Cambridge Structural Database. Our analysis confirms the widespread occurrence of symmetry breaking in racemic compounds. This finding challenges the traditional view of racemic crystals as inherently symmetric, revealing their hidden complexity and potential implications for crystallography, materials science, and so on.</w:t>
      </w:r>
    </w:p>
    <w:p>
      <w:pPr>
        <w:spacing w:before="120" w:after="120"/>
      </w:pPr>
      <w:r>
        <w:rPr>
          <w:sz w:val="18"/>
        </w:rPr>
        <w:t>——————————————————————————————————————————————————————————————————————</w:t>
      </w:r>
    </w:p>
    <w:p>
      <w:pPr>
        <w:spacing w:before="160" w:after="40" w:line="240" w:lineRule="auto"/>
      </w:pPr>
      <w:r>
        <w:rPr>
          <w:b/>
        </w:rPr>
        <w:t xml:space="preserve">[478] </w:t>
      </w:r>
      <w:hyperlink r:id="rId765">
        <w:r>
          <w:rPr>
            <w:color w:val="1155CC"/>
            <w:u w:val="single"/>
          </w:rPr>
          <w:t>CA1中的位置单元格缺乏射击地点的地形组织</w:t>
        </w:r>
      </w:hyperlink>
    </w:p>
    <w:p>
      <w:pPr>
        <w:spacing w:before="0" w:after="80"/>
      </w:pPr>
      <w:r>
        <w:rPr>
          <w:i/>
          <w:sz w:val="20"/>
        </w:rPr>
        <w:t>EN: Place cells in CA1 lack topographical organization of firing locations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66">
        <w:r>
          <w:rPr>
            <w:color w:val="1155CC"/>
            <w:u w:val="single"/>
          </w:rPr>
          <w:t>10.1073/pnas.2528601123</w:t>
        </w:r>
      </w:hyperlink>
    </w:p>
    <w:p>
      <w:pPr>
        <w:spacing w:before="0" w:after="120"/>
      </w:pPr>
      <w:r>
        <w:rPr>
          <w:b/>
        </w:rPr>
        <w:t xml:space="preserve">Notes: </w:t>
      </w:r>
      <w:r>
        <w:t>abstract_source=crossref</w:t>
      </w:r>
    </w:p>
    <w:p>
      <w:pPr>
        <w:spacing w:before="0" w:after="80" w:lineRule="auto" w:line="276"/>
      </w:pPr>
      <w:r>
        <w:rPr>
          <w:b/>
        </w:rPr>
        <w:t xml:space="preserve">摘要（ZH）: </w:t>
      </w:r>
      <w:r>
        <w:t>地形学是哺乳动物大脑初级感官和运动骨骼中传授组织的一个非常明确和广为人知的概念,在诸如河马坎普斯等大多数较高级的关联地区,没有类似的环境地貌制图;然而,一些研究表明,在河马坎普斯河马峰地区,空间调控的细胞可以组织成小解剖学集群,在类似的射击场地点有类似的发射场。在这里,我们利用两枚硫化钙成像所提供的高空间分辨率来探测在自由移动的小鼠中河马坎地细胞的局部功能组合的程度。 几乎每只老鼠同时记录了1000个高度包装的CA1神经元,而在开放的竞技场中,它们可以自由被淘汰。</w:t>
      </w:r>
    </w:p>
    <w:p>
      <w:pPr>
        <w:spacing w:before="0" w:after="200" w:lineRule="auto" w:line="276"/>
      </w:pPr>
      <w:r>
        <w:rPr>
          <w:b/>
        </w:rPr>
        <w:t xml:space="preserve">Abstract (EN): </w:t>
      </w:r>
      <w:r>
        <w:t>Topography is a well-described and well-known concept for cortical organization in primary sensory and motor cortices of mammalian brains. Similar isomorphic mapping of the environment is absent in most higher association areas such as the hippocampus; however, some studies have suggested that in hippocampal regions spatially tuned cells may be organized in small anatomical clusters with similar firing field locations. Here, we take advantage of the high spatial resolution provided by two-photon calcium imaging to probe the extent of local functional clustering of hippocampal place cells in freely moving mice. Almost one thousand highly packed CA1 neurons were recorded simultaneously per mouse while they foraged freely in open arenas. Among pairs of place cells, there was no relation between preferred firing position and anatomical proximity. Firing fields were no more similar for nearest neighbors than distant cell pairs. When place cells remapped between different arenas, there was no tendency for correlations in one environment to be transferred to the other. A similar lack of relationship between function and anatomical position was expressed in CA1 cells with firing fields tuned to local objects in the environment. The findings suggest that the encoding of location in CA1 place cells is likely fully nontopographical.</w:t>
      </w:r>
    </w:p>
    <w:p>
      <w:pPr>
        <w:spacing w:before="120" w:after="120"/>
      </w:pPr>
      <w:r>
        <w:rPr>
          <w:sz w:val="18"/>
        </w:rPr>
        <w:t>——————————————————————————————————————————————————————————————————————</w:t>
      </w:r>
    </w:p>
    <w:p>
      <w:pPr>
        <w:spacing w:before="160" w:after="40" w:line="240" w:lineRule="auto"/>
      </w:pPr>
      <w:r>
        <w:rPr>
          <w:b/>
        </w:rPr>
        <w:t xml:space="preserve">[479] </w:t>
      </w:r>
      <w:hyperlink r:id="rId767">
        <w:r>
          <w:rPr>
            <w:color w:val="1155CC"/>
            <w:u w:val="single"/>
          </w:rPr>
          <w:t>微电路组织</w:t>
        </w:r>
      </w:hyperlink>
    </w:p>
    <w:p>
      <w:pPr>
        <w:spacing w:before="0" w:after="80"/>
      </w:pPr>
      <w:r>
        <w:rPr>
          <w:i/>
          <w:sz w:val="20"/>
        </w:rPr>
        <w:t>EN: Neuropixels reveal laminar microcircuit organization in monkey V1 in vivo</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68">
        <w:r>
          <w:rPr>
            <w:color w:val="1155CC"/>
            <w:u w:val="single"/>
          </w:rPr>
          <w:t>10.1073/pnas.2521556123</w:t>
        </w:r>
      </w:hyperlink>
    </w:p>
    <w:p>
      <w:pPr>
        <w:spacing w:before="0" w:after="120"/>
      </w:pPr>
      <w:r>
        <w:rPr>
          <w:b/>
        </w:rPr>
        <w:t xml:space="preserve">Notes: </w:t>
      </w:r>
      <w:r>
        <w:t>abstract_source=crossref</w:t>
      </w:r>
    </w:p>
    <w:p>
      <w:pPr>
        <w:spacing w:before="0" w:after="80" w:lineRule="auto" w:line="276"/>
      </w:pPr>
      <w:r>
        <w:rPr>
          <w:b/>
        </w:rPr>
        <w:t xml:space="preserve">摘要（ZH）: </w:t>
      </w:r>
      <w:r>
        <w:t>猴子初级视觉皮层中不同细胞群及其在视觉功能中的作用之间的关系没有完全解决。我们将这些细胞组层的高密度神经节象记录与波形上最先进的非线性分解法相结合,以划定9个推定细胞类:4个狭小喷射(NS)、4个宽喷射(BS)和1个三角(TP)。然后,我们对这些细胞组进行了定向分析,分析了峰值组织、峰值膨胀、多通道空间特征、功能特性和网络连通性。这些分析揭示了V1千米微电路的四个基本方面,这些基本方面在生命中从未得到充分显示。</w:t>
      </w:r>
    </w:p>
    <w:p>
      <w:pPr>
        <w:spacing w:before="0" w:after="200" w:lineRule="auto" w:line="276"/>
      </w:pPr>
      <w:r>
        <w:rPr>
          <w:b/>
        </w:rPr>
        <w:t xml:space="preserve">Abstract (EN): </w:t>
      </w:r>
      <w:r>
        <w:t>The relationship between different cell populations in monkey primary visual cortex and their role in visual function is not fully resolved. We combined high-density Neuropixels recordings across layers of macaque V1, and a state-of-the-art nonlinear dimensionality reduction approach on waveform shape to delineate nine putative cell classes: 4 narrow-spiking (NS), 4 broad-spiking (BS), and 1 triphasic (TP). Then, we performed targeted analyses of laminar organization, spike amplitude, multichannel spatial features, functional properties, and network connectivity of these cell classes. These analyses have uncovered four fundamental aspects of V1 laminar microcircuitry never fully demonstrated before in vivo. First, NS neurons were most concentrated in layer 4 and outnumbered parvalbumin positive neurons, consistent with findings on potassium channel expression in excitatory neurons in V1. Second, a large-amplitude NS cell class in layer 4b was strongly direction selective, with multichannel waveforms suggestive of a stellate morphology, a likely functional correlate of anatomical descriptions of neurons projecting from V1 to MT. Third, another NS cell class in layer 4b showed robust bursting activity and strong orientation selectivity. Finally, cross-correlation analysis revealed distinct feedforward interactions between cell classes in layer 4 and layer 5/6 and those in layer 2/3. These results demonstrate how high-resolution electrophysiology can reveal links between laminar organization and in vivo function of neurons. Our findings offer key insights for biologically realistic microcircuit models of primate V1 and may generalize to other regions.</w:t>
      </w:r>
    </w:p>
    <w:p>
      <w:pPr>
        <w:spacing w:before="120" w:after="120"/>
      </w:pPr>
      <w:r>
        <w:rPr>
          <w:sz w:val="18"/>
        </w:rPr>
        <w:t>——————————————————————————————————————————————————————————————————————</w:t>
      </w:r>
    </w:p>
    <w:p>
      <w:pPr>
        <w:spacing w:before="160" w:after="40" w:line="240" w:lineRule="auto"/>
      </w:pPr>
      <w:r>
        <w:rPr>
          <w:b/>
        </w:rPr>
        <w:t xml:space="preserve">[480] </w:t>
      </w:r>
      <w:hyperlink r:id="rId769">
        <w:r>
          <w:rPr>
            <w:color w:val="1155CC"/>
            <w:u w:val="single"/>
          </w:rPr>
          <w:t>对Fitzgerald等人的答复:错误描述我们的调查结果;精英足球运动员的认知状况依然强劲</w:t>
        </w:r>
      </w:hyperlink>
    </w:p>
    <w:p>
      <w:pPr>
        <w:spacing w:before="0" w:after="80"/>
      </w:pPr>
      <w:r>
        <w:rPr>
          <w:i/>
          <w:sz w:val="20"/>
        </w:rPr>
        <w:t>EN: Reply to Fitzgerald et al.: Mischaracterizing our findings; the cognitive profile of elite footballers remains robust</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70">
        <w:r>
          <w:rPr>
            <w:color w:val="1155CC"/>
            <w:u w:val="single"/>
          </w:rPr>
          <w:t>10.1073/pnas.2521662123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[481] </w:t>
      </w:r>
      <w:hyperlink r:id="rId771">
        <w:r>
          <w:rPr>
            <w:color w:val="1155CC"/>
            <w:u w:val="single"/>
          </w:rPr>
          <w:t>MYCN在肝肿瘤生成中的肿瘤功能和转录动态</w:t>
        </w:r>
      </w:hyperlink>
    </w:p>
    <w:p>
      <w:pPr>
        <w:spacing w:before="0" w:after="80"/>
      </w:pPr>
      <w:r>
        <w:rPr>
          <w:i/>
          <w:sz w:val="20"/>
        </w:rPr>
        <w:t>EN: Oncogenic function and transcriptional dynamics of MYCN in liver tumorigenesis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72">
        <w:r>
          <w:rPr>
            <w:color w:val="1155CC"/>
            <w:u w:val="single"/>
          </w:rPr>
          <w:t>10.1073/pnas.2521923123</w:t>
        </w:r>
      </w:hyperlink>
    </w:p>
    <w:p>
      <w:pPr>
        <w:spacing w:before="0" w:after="120"/>
      </w:pPr>
      <w:r>
        <w:rPr>
          <w:b/>
        </w:rPr>
        <w:t xml:space="preserve">Notes: </w:t>
      </w:r>
      <w:r>
        <w:t>abstract_source=crossref</w:t>
      </w:r>
    </w:p>
    <w:p>
      <w:pPr>
        <w:spacing w:before="0" w:after="80" w:lineRule="auto" w:line="276"/>
      </w:pPr>
      <w:r>
        <w:rPr>
          <w:b/>
        </w:rPr>
        <w:t xml:space="preserve">摘要（ZH）: </w:t>
      </w:r>
      <w:r>
        <w:t>虽然慢性肝炎和代谢功能障碍是肿瘤发源的致癌因素,但将微环境压力与恶性变异联系起来的分子机制仍然不为人所知。MYCN,原生致癌转录因子,已成为癌症干细胞症的潜在生物标志。然而,它在肝癌发源中的作用仍然不明确。在这项研究中,我们阐明了MYCN的致癌作用及其肝肿瘤发源期间的动态转录调节。我们用老鼠的流体动力尾静脉注射转基因系统证明,MYCN过度表情共生关系。</w:t>
      </w:r>
    </w:p>
    <w:p>
      <w:pPr>
        <w:spacing w:before="0" w:after="200" w:lineRule="auto" w:line="276"/>
      </w:pPr>
      <w:r>
        <w:rPr>
          <w:b/>
        </w:rPr>
        <w:t xml:space="preserve">Abstract (EN): </w:t>
      </w:r>
      <w:r>
        <w:t>Hepatocellular carcinoma (HCC) is a leading cause of cancer-related mortality. It is often diagnosed at advanced stages and characterized by high recurrence rates. Although chronic liver inflammation and metabolic dysfunction are established contributors to tumorigenesis, the molecular mechanisms that link microenvironmental stress to malignant transformation remain poorly understood. MYCN, a proto-oncogenic transcription factor, has emerged as a potential biomarker of cancer stemness. However, its role in hepatocarcinogenesis remains unclear. In this study, we elucidated the oncogenic role of MYCN and its dynamic transcriptional regulation during liver tumorigenesis. Using a hydrodynamic tail vein injection-based transposon system in mice, we demonstrated that MYCN overexpression synergizes with AKT activation to promote liver tumorigenesis. Transcriptomic profiling revealed that MYCN-driven tumors exhibited features of human HCC subtypes enriched in stress-adaptive transcriptional programs. Time-resolved spatial transcriptomics further uncovered a MYCN-enriched niche characterized by epithelial–mesenchymal transition (EMT) and Wnt/β-catenin signaling, which expanded during tumor progression and was spatially proximate to transformed malignant cells. To translate these findings to human HCC, we developed a machine learning-based MYCN niche score and validated its clinical relevance across multiple human HCC cohorts. This score reliably predicted recurrence risk and identified EMT-prone microenvironments, with stronger predictive performance in nontumor tissues, suggesting its potential in detecting precancerous niches predisposed to de novo tumorigenesis. Collectively, our findings establish MYCN as a functional driver and spatial marker of tumor-promoting microenvironments in liver tumorigenesis; additionally, we propose a clinically actionable strategy to identify high-risk patients through transcriptomic profiling of nontumor liver tissue.</w:t>
      </w:r>
    </w:p>
    <w:p>
      <w:pPr>
        <w:spacing w:before="120" w:after="120"/>
      </w:pPr>
      <w:r>
        <w:rPr>
          <w:sz w:val="18"/>
        </w:rPr>
        <w:t>——————————————————————————————————————————————————————————————————————</w:t>
      </w:r>
    </w:p>
    <w:p>
      <w:pPr>
        <w:spacing w:before="160" w:after="40" w:line="240" w:lineRule="auto"/>
      </w:pPr>
      <w:r>
        <w:rPr>
          <w:b/>
        </w:rPr>
        <w:t xml:space="preserve">[482] </w:t>
      </w:r>
      <w:hyperlink r:id="rId773">
        <w:r>
          <w:rPr>
            <w:color w:val="1155CC"/>
            <w:u w:val="single"/>
          </w:rPr>
          <w:t>寄主源的挥发性质素在寄生虫线性线虫中通过有色相联神经路径根据环境进行诱因行为</w:t>
        </w:r>
      </w:hyperlink>
    </w:p>
    <w:p>
      <w:pPr>
        <w:spacing w:before="0" w:after="80"/>
      </w:pPr>
      <w:r>
        <w:rPr>
          <w:i/>
          <w:sz w:val="20"/>
        </w:rPr>
        <w:t>EN: A host-derived volatile primes context-dependent foraging behavior in parasitic nematodes via a lysosome-associated neural pathway</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74">
        <w:r>
          <w:rPr>
            <w:color w:val="1155CC"/>
            <w:u w:val="single"/>
          </w:rPr>
          <w:t>10.1073/pnas.2520778123</w:t>
        </w:r>
      </w:hyperlink>
    </w:p>
    <w:p>
      <w:pPr>
        <w:spacing w:before="0" w:after="120"/>
      </w:pPr>
      <w:r>
        <w:rPr>
          <w:b/>
        </w:rPr>
        <w:t xml:space="preserve">Notes: </w:t>
      </w:r>
      <w:r>
        <w:t>abstract_source=crossref</w:t>
      </w:r>
    </w:p>
    <w:p>
      <w:pPr>
        <w:spacing w:before="0" w:after="80" w:lineRule="auto" w:line="276"/>
      </w:pPr>
      <w:r>
        <w:rPr>
          <w:b/>
        </w:rPr>
        <w:t xml:space="preserve">摘要（ZH）: </w:t>
      </w:r>
      <w:r>
        <w:t>昆虫病原线虫(EPNS)受到可持续虫害防治的重视,但其功效取决于匹配生态环境的容留行为。 线虫施泰纳内马卡波卡普萨(the nematodes Steinernema carpocapsae),长期被视为伏击者,自相矛盾地感染了植物组织深处的隐秘的红棕榈网虫(Rhychophophorus ferruguineus ),它存在于植物组织中。 这里,我们表明,这一矛盾源于一种基于环境的饲料相关行为调控调节,由丁基化氢氧基甲苯(BHT)(R. ferrugine larvae) 引发的宿主源性挥发性。 BHT 功能在行为上非常活跃,增加移动、跳跃、宿主吸引和感染成功。</w:t>
      </w:r>
    </w:p>
    <w:p>
      <w:pPr>
        <w:spacing w:before="0" w:after="200" w:lineRule="auto" w:line="276"/>
      </w:pPr>
      <w:r>
        <w:rPr>
          <w:b/>
        </w:rPr>
        <w:t xml:space="preserve">Abstract (EN): </w:t>
      </w:r>
      <w:r>
        <w:t>Entomopathogenic nematodes (EPNs) are valued for sustainable pest control, yet their efficacy hinges on matching foraging behavior to host ecology. The nematode</w:t>
      </w:r>
      <w:r>
        <w:t xml:space="preserve"> </w:t>
      </w:r>
      <w:r>
        <w:t>Steinernema carpocapsae</w:t>
      </w:r>
      <w:r>
        <w:t xml:space="preserve"> </w:t>
      </w:r>
      <w:r>
        <w:t>, long regarded as an ambusher, paradoxically infects the cryptic red palm weevil (</w:t>
      </w:r>
      <w:r>
        <w:t xml:space="preserve"> </w:t>
      </w:r>
      <w:r>
        <w:t>Rhynchophorus ferrugineus</w:t>
      </w:r>
      <w:r>
        <w:t xml:space="preserve"> </w:t>
      </w:r>
      <w:r>
        <w:t>), which resides deep in plant tissue. Here, we show that this contradiction stems from a context-dependent modulation of foraging-related behaviors, triggered by butylated hydroxytoluene (BHT)—a host-derived volatile emitted by</w:t>
      </w:r>
      <w:r>
        <w:t xml:space="preserve"> </w:t>
      </w:r>
      <w:r>
        <w:t>R. ferrugineus</w:t>
      </w:r>
      <w:r>
        <w:t xml:space="preserve"> </w:t>
      </w:r>
      <w:r>
        <w:t>larvae. BHT functions as a potent behaviorally active volatile, increasing locomotion, jumping, host attraction, and infection success in</w:t>
      </w:r>
      <w:r>
        <w:t xml:space="preserve"> </w:t>
      </w:r>
      <w:r>
        <w:t>S. carpocapsae</w:t>
      </w:r>
      <w:r>
        <w:t xml:space="preserve"> </w:t>
      </w:r>
      <w:r>
        <w:t>. Mechanistically, BHT engages a lysosome-associated signaling pathway involving</w:t>
      </w:r>
      <w:r>
        <w:t xml:space="preserve"> </w:t>
      </w:r>
      <w:r>
        <w:t>mfsd8</w:t>
      </w:r>
      <w:r>
        <w:t xml:space="preserve"> </w:t>
      </w:r>
      <w:r>
        <w:t>,</w:t>
      </w:r>
      <w:r>
        <w:t xml:space="preserve"> </w:t>
      </w:r>
      <w:r>
        <w:t>SLC17A5</w:t>
      </w:r>
      <w:r>
        <w:t xml:space="preserve"> </w:t>
      </w:r>
      <w:r>
        <w:t>, and</w:t>
      </w:r>
      <w:r>
        <w:t xml:space="preserve"> </w:t>
      </w:r>
      <w:r>
        <w:t>ptr</w:t>
      </w:r>
      <w:r>
        <w:t xml:space="preserve"> </w:t>
      </w:r>
      <w:r>
        <w:t>. Knockdown of these genes disrupted BHT-induced behavioral changes, supporting their functional involvement. Our findings extend existing context-dependent models of nematode foraging by providing mechanistic insight into chemically induced behavioral modulation. This work opens possibilities for improving EPN biocontrol efficacy via ecological or molecular priming.</w:t>
      </w:r>
    </w:p>
    <w:p>
      <w:pPr>
        <w:spacing w:before="120" w:after="120"/>
      </w:pPr>
      <w:r>
        <w:rPr>
          <w:sz w:val="18"/>
        </w:rPr>
        <w:t>——————————————————————————————————————————————————————————————————————</w:t>
      </w:r>
    </w:p>
    <w:p>
      <w:pPr>
        <w:spacing w:before="160" w:after="40" w:line="240" w:lineRule="auto"/>
      </w:pPr>
      <w:r>
        <w:rPr>
          <w:b/>
        </w:rPr>
        <w:t xml:space="preserve">[483] </w:t>
      </w:r>
      <w:hyperlink r:id="rId775">
        <w:r>
          <w:rPr>
            <w:color w:val="1155CC"/>
            <w:u w:val="single"/>
          </w:rPr>
          <w:t>通过一个纯DNA编码的浸泡物图书馆进行强化筛选,该图书馆借助于对Fmoc的修改</w:t>
        </w:r>
      </w:hyperlink>
    </w:p>
    <w:p>
      <w:pPr>
        <w:spacing w:before="0" w:after="80"/>
      </w:pPr>
      <w:r>
        <w:rPr>
          <w:i/>
          <w:sz w:val="20"/>
        </w:rPr>
        <w:t>EN: Enhanced screening via a pure DNA-encoded peptide library enabled by an Fmoc modification</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76">
        <w:r>
          <w:rPr>
            <w:color w:val="1155CC"/>
            <w:u w:val="single"/>
          </w:rPr>
          <w:t>10.1073/pnas.2524999123</w:t>
        </w:r>
      </w:hyperlink>
    </w:p>
    <w:p>
      <w:pPr>
        <w:spacing w:before="0" w:after="120"/>
      </w:pPr>
      <w:r>
        <w:rPr>
          <w:b/>
        </w:rPr>
        <w:t xml:space="preserve">Notes: </w:t>
      </w:r>
      <w:r>
        <w:t>abstract_source=crossref</w:t>
      </w:r>
    </w:p>
    <w:p>
      <w:pPr>
        <w:spacing w:before="0" w:after="80" w:lineRule="auto" w:line="276"/>
      </w:pPr>
      <w:r>
        <w:rPr>
          <w:b/>
        </w:rPr>
        <w:t xml:space="preserve">摘要（ZH）: </w:t>
      </w:r>
      <w:r>
        <w:t>Peptide基分子具有广泛的治疗用途,因为它们具有很强的结合性和相对的代谢安全性。Peptide治疗方法是通过图书馆筛选开发的,在初级序列和二级结构相容范围内对不同的化学空间进行取样。DNA编码的peptide库(PDELs)是开发Peptide基治疗方法作为新型构件的理想场所,而且各种化学改变很容易被结合。然而,目前的PDEL结构受到降水净化的限制,由于每一步合成步骤的质量下降,图书馆将图书馆限制在三或四个长的建筑块。我们在这里开发了一种固态的基于捕捉的净化方法,以产生更纯度更长的PDEL。</w:t>
      </w:r>
    </w:p>
    <w:p>
      <w:pPr>
        <w:spacing w:before="0" w:after="200" w:lineRule="auto" w:line="276"/>
      </w:pPr>
      <w:r>
        <w:rPr>
          <w:b/>
        </w:rPr>
        <w:t xml:space="preserve">Abstract (EN): </w:t>
      </w:r>
      <w:r>
        <w:t>Peptide-based molecules have widespread therapeutic applications due to their potent binding affinity and relative metabolic safety. Peptide therapeutics are developed using library screening that samples a diverse chemical space within primary sequences and secondary structural conformations. DNA-encoded peptide libraries (PDELs) are ideal for the development of peptide-based therapeutics as novel building blocks, and diverse chemical modifications are easily incorporated. However, current PDEL construction is limited by precipitation-based purification, which constrains libraries to three or four building blocks in length due to decreasing quality with each synthetic step. Herein, we developed a solid-phase capture-based purification method to generate longer PDELs with increased purity. We modified the conventional Fmoc protecting group with an azido handle to introduce click chemistry for selective immobilization during purification. Using this method, we achieved &amp;gt;95% purity in the synthesis of a five-round PDEL that showed great efficiency in identifying high nanomolar binders against transferrin receptor protein 1. This work delivers a scalable and robust platform for generating high-quality, noncanonical peptide libraries, which marks a major breakthrough in peptide-based drug discovery.</w:t>
      </w:r>
    </w:p>
    <w:p>
      <w:pPr>
        <w:spacing w:before="120" w:after="120"/>
      </w:pPr>
      <w:r>
        <w:rPr>
          <w:sz w:val="18"/>
        </w:rPr>
        <w:t>——————————————————————————————————————————————————————————————————————</w:t>
      </w:r>
    </w:p>
    <w:p>
      <w:pPr>
        <w:spacing w:before="160" w:after="40" w:line="240" w:lineRule="auto"/>
      </w:pPr>
      <w:r>
        <w:rPr>
          <w:b/>
        </w:rPr>
        <w:t xml:space="preserve">[484] </w:t>
      </w:r>
      <w:hyperlink r:id="rId777">
        <w:r>
          <w:rPr>
            <w:color w:val="1155CC"/>
            <w:u w:val="single"/>
          </w:rPr>
          <w:t>合作环境在部落、团队和组织中增强自主感</w:t>
        </w:r>
      </w:hyperlink>
    </w:p>
    <w:p>
      <w:pPr>
        <w:spacing w:before="0" w:after="80"/>
      </w:pPr>
      <w:r>
        <w:rPr>
          <w:i/>
          <w:sz w:val="20"/>
        </w:rPr>
        <w:t>EN: Cooperative environments bolster feelings of autonomy in dyads, teams, and organizations</w:t>
      </w:r>
    </w:p>
    <w:p>
      <w:pPr>
        <w:spacing w:before="0" w:after="120"/>
      </w:pPr>
      <w:r>
        <w:rPr>
          <w:b/>
        </w:rPr>
        <w:t xml:space="preserve">Source: </w:t>
      </w:r>
      <w:r>
        <w:t>Proceedings of the National Academy of Sciences: Keyword search for query</w:t>
      </w:r>
      <w:r>
        <w:t xml:space="preserve">    </w:t>
      </w:r>
      <w:r>
        <w:rPr>
          <w:b/>
        </w:rPr>
        <w:t xml:space="preserve">Pub date: </w:t>
      </w:r>
      <w:r>
        <w:t>2026-02-18 08:00:00+00:00</w:t>
      </w:r>
      <w:r>
        <w:t xml:space="preserve">    </w:t>
      </w:r>
      <w:r>
        <w:rPr>
          <w:b/>
        </w:rPr>
        <w:t xml:space="preserve">DOI: </w:t>
      </w:r>
      <w:hyperlink r:id="rId778">
        <w:r>
          <w:rPr>
            <w:color w:val="1155CC"/>
            <w:u w:val="single"/>
          </w:rPr>
          <w:t>10.1073/pnas.2524773123</w:t>
        </w:r>
      </w:hyperlink>
    </w:p>
    <w:p>
      <w:pPr>
        <w:spacing w:before="0" w:after="120"/>
      </w:pPr>
      <w:r>
        <w:rPr>
          <w:b/>
        </w:rPr>
        <w:t xml:space="preserve">Notes: </w:t>
      </w:r>
      <w:r>
        <w:t>abstract_source=crossref</w:t>
      </w:r>
    </w:p>
    <w:p>
      <w:pPr>
        <w:spacing w:before="0" w:after="80" w:lineRule="auto" w:line="276"/>
      </w:pPr>
      <w:r>
        <w:rPr>
          <w:b/>
        </w:rPr>
        <w:t xml:space="preserve">摘要（ZH）: </w:t>
      </w:r>
      <w:r>
        <w:t>虽然合作与竞争是社会互动的基石,但对于它们如何在部落、团队和工作组织中形成自主的感觉却知之甚少。 我们假设合作解放了与竞争和竞争无关的竞争和情况。我们推测这种效果之所以产生,是因为合作有利于社会支持和心理安全,而竞争则助长社会威胁和压力。我们在九项研究(总共N=16 669)中发现了这一假设的支持,这些研究使用了调查、档案和实验方法、不同样本以及不同的合作和竞争性内容操作。</w:t>
      </w:r>
    </w:p>
    <w:p>
      <w:pPr>
        <w:spacing w:before="0" w:after="200" w:lineRule="auto" w:line="276"/>
      </w:pPr>
      <w:r>
        <w:rPr>
          <w:b/>
        </w:rPr>
        <w:t xml:space="preserve">Abstract (EN): </w:t>
      </w:r>
      <w:r>
        <w:t>Autonomy promotes important psychological outcomes. Although cooperation and competition are the building blocks of social interactions, little is known about how they shape feelings of autonomy in dyads, teams, and work organizations. We hypothesize that cooperation liberates relative to competition and situations that are neither cooperative nor competitive. We theorize that this effect emerges because cooperation facilitates social support and psychological safety, whereas competition promotes social threat and stress. We found support for this hypothesis in nine studies (</w:t>
      </w:r>
      <w:r>
        <w:t xml:space="preserve"> </w:t>
      </w:r>
      <w:r>
        <w:t>N</w:t>
      </w:r>
      <w:r>
        <w:t xml:space="preserve"> </w:t>
      </w:r>
      <w:r>
        <w:t>total</w:t>
      </w:r>
      <w:r>
        <w:t xml:space="preserve"> </w:t>
      </w:r>
      <w:r>
        <w:t>= 16,669) that used survey, archival, and experimental methods, diverse samples, and different operationalizations of cooperative and competitive environments, as well as two kinds of environments that are neither cooperative nor competitive (i.e., independence and unknown interdependence). Studies 1 to 3 found that perceived situational cooperation correlated positively with feelings of autonomy among varsity athletes and employees. Study 3 also provided initial evidence for the proposed mechanisms. To provide causal evidence, Study 4 used an incentivized decision-making task in which we experimentally created cooperative, competitive, and independent situations. Participants felt greater autonomy under cooperative vs. competitive and independent incentive structures. Study 5 found evidence for our hypothesized mechanisms in an experiment conducted in the context of negotiation. Four supplemental studies replicated our experimental findings, extended them to another incentivized decision-making task, and established the causal effect of social threat and stress on autonomy. Overall, our findings underscore the liberating effects of cooperative situations relative to competitive situations and situations that are neither cooperative nor competitive, with consequences for people’s feelings, motivation, and well-being.</w:t>
      </w:r>
    </w:p>
    <w:p>
      <w:pPr>
        <w:spacing w:before="120" w:after="120"/>
      </w:pPr>
      <w:r>
        <w:rPr>
          <w:sz w:val="18"/>
        </w:rPr>
        <w:t>——————————————————————————————————————————————————————————————————————</w:t>
      </w:r>
    </w:p>
    <w:p>
      <w:pPr>
        <w:spacing w:before="160" w:after="40" w:line="240" w:lineRule="auto"/>
      </w:pPr>
      <w:r>
        <w:rPr>
          <w:b/>
        </w:rPr>
        <w:t xml:space="preserve">[485] </w:t>
      </w:r>
      <w:hyperlink r:id="rId779">
        <w:r>
          <w:rPr>
            <w:color w:val="1155CC"/>
            <w:u w:val="single"/>
          </w:rPr>
          <w:t>[ASAP] 高稳定二氯二氯氯丙烷醇氧化酶的计算设计</w:t>
        </w:r>
      </w:hyperlink>
    </w:p>
    <w:p>
      <w:pPr>
        <w:spacing w:before="0" w:after="80"/>
      </w:pPr>
      <w:r>
        <w:rPr>
          <w:i/>
          <w:sz w:val="20"/>
        </w:rPr>
        <w:t>EN: [ASAP] Computational Design of a Highly Stable Dicopper Catechol Oxidase</w:t>
      </w:r>
    </w:p>
    <w:p>
      <w:pPr>
        <w:spacing w:before="0" w:after="120"/>
      </w:pPr>
      <w:r>
        <w:rPr>
          <w:b/>
        </w:rPr>
        <w:t xml:space="preserve">Source: </w:t>
      </w:r>
      <w:r>
        <w:t>Journal of the American Chemical Society: Latest Articles (ACS Publications)</w:t>
      </w:r>
      <w:r>
        <w:t xml:space="preserve">    </w:t>
      </w:r>
      <w:r>
        <w:rPr>
          <w:b/>
        </w:rPr>
        <w:t xml:space="preserve">Pub date: </w:t>
      </w:r>
      <w:r>
        <w:t>2026-02-18 10:04:49+00:00</w:t>
      </w:r>
      <w:r>
        <w:t xml:space="preserve">    </w:t>
      </w:r>
      <w:r>
        <w:rPr>
          <w:b/>
        </w:rPr>
        <w:t xml:space="preserve">DOI: </w:t>
      </w:r>
      <w:hyperlink r:id="rId780">
        <w:r>
          <w:rPr>
            <w:color w:val="1155CC"/>
            <w:u w:val="single"/>
          </w:rPr>
          <w:t>10.1021/jacs.5c18979</w:t>
        </w:r>
      </w:hyperlink>
    </w:p>
    <w:p>
      <w:pPr>
        <w:spacing w:before="0" w:after="120"/>
      </w:pPr>
      <w:r>
        <w:rPr>
          <w:b/>
        </w:rPr>
        <w:t xml:space="preserve">Notes: </w:t>
      </w:r>
      <w:r>
        <w:t>abstract_source=pubmed</w:t>
      </w:r>
    </w:p>
    <w:p>
      <w:pPr>
        <w:spacing w:before="0" w:after="80" w:lineRule="auto" w:line="276"/>
      </w:pPr>
      <w:r>
        <w:rPr>
          <w:b/>
        </w:rPr>
        <w:t xml:space="preserve">摘要（ZH）: </w:t>
      </w:r>
      <w:r>
        <w:t>3型(T3) 3型库蛋白在装订和激活分子氧(O2)方面起着关键作用,并且在所有生活领域都普遍存在。尽管分享了相同的协调点,T3库蛋白却表现出不同的功能:Hemocyanin运输O2,而强聚酶催化单酚的氢氧化作用以及随后对二酚和二乙酚氧化酶的氧化作用仅使二酚氧化。在这里,我们报告了受天然T3库蛋白活性点启发的二氯(Cu-HC4)蛋白(Cu-HC4)的设计和定性,以调查促进催化氧化酶活动的结构性特征。Cu-HC4大约是商业上可获得的蘑菇抗体大小的五分之一,仅与T3 库蛋白模板分享大约20%的序列特性。特别是Cu-HC4 diplapela。</w:t>
      </w:r>
    </w:p>
    <w:p>
      <w:pPr>
        <w:spacing w:before="0" w:after="200" w:lineRule="auto" w:line="276"/>
      </w:pPr>
      <w:r>
        <w:rPr>
          <w:b/>
        </w:rPr>
        <w:t xml:space="preserve">Abstract (EN): </w:t>
      </w:r>
      <w:r>
        <w:t>Type 3 (T3) Cu proteins play essential roles in binding and activating molecular oxygen (O2) and are prevalent across all domains of life. Despite sharing the same coordination motif, T3 Cu proteins display divergent functions: hemocyanin transports O2, while tyrosinase catalyzes the hydroxylation of monophenols and the subsequent oxidation of diphenols and catechol oxidase oxidizes only diphenols. Here, we report the design and characterization of a di-Cu protein (Cu-HC4) inspired by the active sites of natural T3 Cu proteins to investigate the structural features that facilitate catalytic oxidase activity. Cu-HC4 is roughly 1/5th the size of the commercially available mushroom tyrosinase and shares only around 20% sequence identity with the T3 Cu protein templates. Notably, Cu-HC4 displays high thermostability and exhibits diphenol oxidation activity at ambient and elevated temperatures (≥60 °C). Cu-HC4 also initiates the formation of melanin polymers, mimicking melanin biosynthesis of natural tyrosinases. Mechanistic investigations demonstrate that Cu-HC4 utilizes both Cu centers cooperatively for diphenol oxidation and requires O2 for catalysis like natural Cu oxidases but follows a distinct catalytic pathway compared to those enzymes. Cryo-EM characterization of a tetrameric form of HC4 reveals slight deviations in the relative positions of the active site His residues that may account for differences in reactivity between Cu-HC4 and natural T3 Cu enzymes.</w:t>
      </w:r>
    </w:p>
    <w:p>
      <w:pPr>
        <w:spacing w:before="120" w:after="120"/>
      </w:pPr>
      <w:r>
        <w:rPr>
          <w:sz w:val="18"/>
        </w:rPr>
        <w:t>——————————————————————————————————————————————————————————————————————</w:t>
      </w:r>
    </w:p>
    <w:p>
      <w:pPr>
        <w:spacing w:before="160" w:after="40" w:line="240" w:lineRule="auto"/>
      </w:pPr>
      <w:r>
        <w:rPr>
          <w:b/>
        </w:rPr>
        <w:t xml:space="preserve">[486] </w:t>
      </w:r>
      <w:hyperlink r:id="rId781">
        <w:r>
          <w:rPr>
            <w:color w:val="1155CC"/>
            <w:u w:val="single"/>
          </w:rPr>
          <w:t>[ASAP] 通过CO转让实现Alkenes镍-Catalyzed对称性碳化剖析</w:t>
        </w:r>
      </w:hyperlink>
    </w:p>
    <w:p>
      <w:pPr>
        <w:spacing w:before="0" w:after="80"/>
      </w:pPr>
      <w:r>
        <w:rPr>
          <w:i/>
          <w:sz w:val="20"/>
        </w:rPr>
        <w:t>EN: [ASAP] Nickel-Catalyzed Asymmetric Carboacylation of Alkenes via CO Transfer</w:t>
      </w:r>
    </w:p>
    <w:p>
      <w:pPr>
        <w:spacing w:before="0" w:after="120"/>
      </w:pPr>
      <w:r>
        <w:rPr>
          <w:b/>
        </w:rPr>
        <w:t xml:space="preserve">Source: </w:t>
      </w:r>
      <w:r>
        <w:t>Journal of the American Chemical Society: Latest Articles (ACS Publications)</w:t>
      </w:r>
      <w:r>
        <w:t xml:space="preserve">    </w:t>
      </w:r>
      <w:r>
        <w:rPr>
          <w:b/>
        </w:rPr>
        <w:t xml:space="preserve">Pub date: </w:t>
      </w:r>
      <w:r>
        <w:t>2026-02-18 11:11:18+00:00</w:t>
      </w:r>
      <w:r>
        <w:t xml:space="preserve">    </w:t>
      </w:r>
      <w:r>
        <w:rPr>
          <w:b/>
        </w:rPr>
        <w:t xml:space="preserve">DOI: </w:t>
      </w:r>
      <w:hyperlink r:id="rId782">
        <w:r>
          <w:rPr>
            <w:color w:val="1155CC"/>
            <w:u w:val="single"/>
          </w:rPr>
          <w:t>10.1021/jacs.5c23037</w:t>
        </w:r>
      </w:hyperlink>
    </w:p>
    <w:p>
      <w:pPr>
        <w:spacing w:before="0" w:after="120"/>
      </w:pPr>
      <w:r>
        <w:rPr>
          <w:b/>
        </w:rPr>
        <w:t xml:space="preserve">Notes: </w:t>
      </w:r>
      <w:r>
        <w:t>abstract_source=pubmed</w:t>
      </w:r>
    </w:p>
    <w:p>
      <w:pPr>
        <w:spacing w:before="0" w:after="80" w:lineRule="auto" w:line="276"/>
      </w:pPr>
      <w:r>
        <w:rPr>
          <w:b/>
        </w:rPr>
        <w:t xml:space="preserve">摘要（ZH）: </w:t>
      </w:r>
      <w:r>
        <w:t>我们报告,使用乙基氯作为双功能碳和碳基来源的硫化烷对烷进行了镍催化的非对称碳代谢。反应通过功能性群体转移机制进行,使在不使用有毒二氧化碳气体的情况下能够有效地获取对等浓缩的氯酮。对二氧化碳挤压和重新安插的精确控制具有广泛的基底范围和高对等选择性,对类似药物分子中常见的功能群体有着良好的容忍度。机械学研究,包括激进抑制实验、同位素标签和DFT计算,支持N0/NiII/NiIII/NiI的催化循环,包括可逆的CO转移和立体控制的移入。机械学研究,包括激进抑制实验、同位素标签和DFT计算,支持N0/NiII/NiIII/NiI的催化循环。</w:t>
      </w:r>
    </w:p>
    <w:p>
      <w:pPr>
        <w:spacing w:before="0" w:after="200" w:lineRule="auto" w:line="276"/>
      </w:pPr>
      <w:r>
        <w:rPr>
          <w:b/>
        </w:rPr>
        <w:t xml:space="preserve">Abstract (EN): </w:t>
      </w:r>
      <w:r>
        <w:t>We report a nickel-catalyzed asymmetric carboacylation of alkenes using acyl chlorides as bifunctional carbon and carbonyl sources. The reaction proceeds via a functional group transfer mechanism, enabling efficient access to enantioenriched ketones without the use of toxic CO gas. Precise control of CO extrusion and reinsertion affords broad substrate scope and high enantioselectivity, with good tolerance of functional groups commonly found in drug-like molecules. Mechanistic studies, including radical inhibition experiments, isotopic labeling, and DFT calculations, support a Ni0/NiII/NiIII/NiI catalytic cycle involving reversible CO transfer and stereocontrolled migratory insertion.</w:t>
      </w:r>
    </w:p>
    <w:p>
      <w:pPr>
        <w:spacing w:before="120" w:after="120"/>
      </w:pPr>
      <w:r>
        <w:rPr>
          <w:sz w:val="18"/>
        </w:rPr>
        <w:t>——————————————————————————————————————————————————————————————————————</w:t>
      </w:r>
    </w:p>
    <w:p>
      <w:pPr>
        <w:spacing w:before="160" w:after="40" w:line="240" w:lineRule="auto"/>
      </w:pPr>
      <w:r>
        <w:rPr>
          <w:b/>
        </w:rPr>
        <w:t xml:space="preserve">[487] </w:t>
      </w:r>
      <w:hyperlink r:id="rId783">
        <w:r>
          <w:rPr>
            <w:color w:val="1155CC"/>
            <w:u w:val="single"/>
          </w:rPr>
          <w:t>[ASAP] 混合纳米材料中的等离子体-减低共振能能源转让</w:t>
        </w:r>
      </w:hyperlink>
    </w:p>
    <w:p>
      <w:pPr>
        <w:spacing w:before="0" w:after="80"/>
      </w:pPr>
      <w:r>
        <w:rPr>
          <w:i/>
          <w:sz w:val="20"/>
        </w:rPr>
        <w:t>EN: [ASAP] Plasmon-Induced Resonance Energy Transfer in Hybrid Nanomaterials</w:t>
      </w:r>
    </w:p>
    <w:p>
      <w:pPr>
        <w:spacing w:before="0" w:after="120"/>
      </w:pPr>
      <w:r>
        <w:rPr>
          <w:b/>
        </w:rPr>
        <w:t xml:space="preserve">Source: </w:t>
      </w:r>
      <w:r>
        <w:t>ACS Energy Letters: Latest Articles (ACS Publications)</w:t>
      </w:r>
      <w:r>
        <w:t xml:space="preserve">    </w:t>
      </w:r>
      <w:r>
        <w:rPr>
          <w:b/>
        </w:rPr>
        <w:t xml:space="preserve">Pub date: </w:t>
      </w:r>
      <w:r>
        <w:t>2026-02-18 12:00:58+00:00</w:t>
      </w:r>
      <w:r>
        <w:t xml:space="preserve">    </w:t>
      </w:r>
      <w:r>
        <w:rPr>
          <w:b/>
        </w:rPr>
        <w:t xml:space="preserve">DOI: </w:t>
      </w:r>
      <w:hyperlink r:id="rId784">
        <w:r>
          <w:rPr>
            <w:color w:val="1155CC"/>
            <w:u w:val="single"/>
          </w:rPr>
          <w:t>10.1021/acsenergylett.5c03907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[488] </w:t>
      </w:r>
      <w:hyperlink r:id="rId785">
        <w:r>
          <w:rPr>
            <w:color w:val="1155CC"/>
            <w:u w:val="single"/>
          </w:rPr>
          <w:t>2. 从退化到稳定 走向持久太阳能电池</w:t>
        </w:r>
      </w:hyperlink>
    </w:p>
    <w:p>
      <w:pPr>
        <w:spacing w:before="0" w:after="80"/>
      </w:pPr>
      <w:r>
        <w:rPr>
          <w:i/>
          <w:sz w:val="20"/>
        </w:rPr>
        <w:t>EN: Decoding High‐voltage LiCoO2: From Degradation to Stabilization Toward Durable Li‐ion Batteries</w:t>
      </w:r>
    </w:p>
    <w:p>
      <w:pPr>
        <w:spacing w:before="0" w:after="120"/>
      </w:pPr>
      <w:r>
        <w:rPr>
          <w:b/>
        </w:rPr>
        <w:t xml:space="preserve">Source: </w:t>
      </w:r>
      <w:r>
        <w:t>Wiley: Advanced Materials: Table of Contents</w:t>
      </w:r>
      <w:r>
        <w:t xml:space="preserve">    </w:t>
      </w:r>
      <w:r>
        <w:rPr>
          <w:b/>
        </w:rPr>
        <w:t xml:space="preserve">Pub date: </w:t>
      </w:r>
      <w:r>
        <w:t>2026-02-18 12:01:14+00:00</w:t>
      </w:r>
      <w:r>
        <w:t xml:space="preserve">    </w:t>
      </w:r>
      <w:r>
        <w:rPr>
          <w:b/>
        </w:rPr>
        <w:t xml:space="preserve">DOI: </w:t>
      </w:r>
      <w:hyperlink r:id="rId786">
        <w:r>
          <w:rPr>
            <w:color w:val="1155CC"/>
            <w:u w:val="single"/>
          </w:rPr>
          <w:t>10.1002/adma.202523570</w:t>
        </w:r>
      </w:hyperlink>
    </w:p>
    <w:p>
      <w:pPr>
        <w:spacing w:before="0" w:after="120"/>
      </w:pPr>
      <w:r>
        <w:rPr>
          <w:b/>
        </w:rPr>
        <w:t xml:space="preserve">Notes: </w:t>
      </w:r>
      <w:r>
        <w:t>abstract_source=crossref</w:t>
      </w:r>
    </w:p>
    <w:p>
      <w:pPr>
        <w:spacing w:before="0" w:after="80" w:lineRule="auto" w:line="276"/>
      </w:pPr>
      <w:r>
        <w:rPr>
          <w:b/>
        </w:rPr>
        <w:t xml:space="preserve">摘要（ZH）: </w:t>
      </w:r>
      <w:r>
        <w:t>Li电池(LIBs)利用商业上建立的LICO 2 (LCO)阴极,继续主导便携式电子装置市场,提高其体积能量密度对于延长先进智能装置的运行时间至关重要,提高特定容量和能量密度的一个直接办法就是将切断电压的电压提高到4.6V(vs Li/Li+)。然而,高压操作导致严重的材料退化和电池故障,妨碍高压LCO技术的进一步发展。</w:t>
      </w:r>
    </w:p>
    <w:p>
      <w:pPr>
        <w:spacing w:before="0" w:after="200" w:lineRule="auto" w:line="276"/>
      </w:pPr>
      <w:r>
        <w:rPr>
          <w:b/>
        </w:rPr>
        <w:t xml:space="preserve">Abstract (EN): </w:t>
      </w:r>
      <w:r>
        <w:t>Li‐ion batteries (LIBs) employing the commercially established LiCoO</w:t>
      </w:r>
      <w:r>
        <w:rPr>
          <w:vertAlign w:val="subscript"/>
        </w:rPr>
        <w:t>2</w:t>
      </w:r>
      <w:r>
        <w:t>(LCO) cathode continue to dominate the market for portable electronic devices. Enhancing their volumetric energy density is crucial for extending the operational duration of advanced smart devices. One direct approach to increasing both specific capacity and energy density involves elevating the cut‐off charging voltage to above 4.6 V (vs Li/Li</w:t>
      </w:r>
      <w:r>
        <w:t xml:space="preserve"> </w:t>
      </w:r>
      <w:r>
        <w:t>+</w:t>
      </w:r>
      <w:r>
        <w:t xml:space="preserve"> </w:t>
      </w:r>
      <w:r>
        <w:t>). However, high‐voltage operation induces severe material degradation and battery failure, impeding further development of high‐voltage LCO technologies. This review first emphasizes the growing necessity for high‐voltage cathodes in contemporary LIBs, followed by a detailed exploration of the failure mechanisms of LCO at voltages up to 4.6 V. A systematic evaluation of emerging stabilization strategies is provided, covering foreign‐ion (co‐)doping, surface modifications, structural design, and electrolyte additives, all aimed at enhancing their structural integrity and electrochemical performance. Innovative battery design approaches and modification strategies for LCO‐based full cells are also discussed. Finally, the review concludes by identifying key scientific challenges and proposing targeted research avenues to enable high‐energy and durable LIBs using high‐voltage LCO. This review aims to offer guiding principles with significant implications for the rational design and development of high‐voltage cathode materials for advanced LIBs.</w:t>
      </w:r>
    </w:p>
    <w:p>
      <w:pPr>
        <w:spacing w:before="120" w:after="120"/>
      </w:pPr>
      <w:r>
        <w:rPr>
          <w:sz w:val="18"/>
        </w:rPr>
        <w:t>——————————————————————————————————————————————————————————————————————</w:t>
      </w:r>
    </w:p>
    <w:p>
      <w:pPr>
        <w:spacing w:before="160" w:after="40" w:line="240" w:lineRule="auto"/>
      </w:pPr>
      <w:r>
        <w:rPr>
          <w:b/>
        </w:rPr>
        <w:t xml:space="preserve">[489] </w:t>
      </w:r>
      <w:hyperlink r:id="rId787">
        <w:r>
          <w:rPr>
            <w:color w:val="1155CC"/>
            <w:u w:val="single"/>
          </w:rPr>
          <w:t>用于 siMMMP13 的单子鼻膜炎和红外炎的发病和纤维化肺炎</w:t>
        </w:r>
      </w:hyperlink>
    </w:p>
    <w:p>
      <w:pPr>
        <w:spacing w:before="0" w:after="80"/>
      </w:pPr>
      <w:r>
        <w:rPr>
          <w:i/>
          <w:sz w:val="20"/>
        </w:rPr>
        <w:t>EN: Engineering Asymmetric and Highly Exposed Fe Single‐Atom Nanozymes for siMMP13 Delivery and Ferroptosis Inhibition in Osteoarthritis Therapy</w:t>
      </w:r>
    </w:p>
    <w:p>
      <w:pPr>
        <w:spacing w:before="0" w:after="120"/>
      </w:pPr>
      <w:r>
        <w:rPr>
          <w:b/>
        </w:rPr>
        <w:t xml:space="preserve">Source: </w:t>
      </w:r>
      <w:r>
        <w:t>Wiley: Advanced Materials: Table of Contents</w:t>
      </w:r>
      <w:r>
        <w:t xml:space="preserve">    </w:t>
      </w:r>
      <w:r>
        <w:rPr>
          <w:b/>
        </w:rPr>
        <w:t xml:space="preserve">Pub date: </w:t>
      </w:r>
      <w:r>
        <w:t>2026-02-18 12:02:03+00:00</w:t>
      </w:r>
      <w:r>
        <w:t xml:space="preserve">    </w:t>
      </w:r>
      <w:r>
        <w:rPr>
          <w:b/>
        </w:rPr>
        <w:t xml:space="preserve">DOI: </w:t>
      </w:r>
      <w:hyperlink r:id="rId788">
        <w:r>
          <w:rPr>
            <w:color w:val="1155CC"/>
            <w:u w:val="single"/>
          </w:rPr>
          <w:t>10.1002/adma.202520951</w:t>
        </w:r>
      </w:hyperlink>
    </w:p>
    <w:p>
      <w:pPr>
        <w:spacing w:before="0" w:after="120"/>
      </w:pPr>
      <w:r>
        <w:rPr>
          <w:b/>
        </w:rPr>
        <w:t xml:space="preserve">Notes: </w:t>
      </w:r>
      <w:r>
        <w:t>abstract_source=crossref</w:t>
      </w:r>
    </w:p>
    <w:p>
      <w:pPr>
        <w:spacing w:before="0" w:after="80" w:lineRule="auto" w:line="276"/>
      </w:pPr>
      <w:r>
        <w:rPr>
          <w:b/>
        </w:rPr>
        <w:t xml:space="preserve">摘要（ZH）: </w:t>
      </w:r>
      <w:r>
        <w:t>由红氧化物失衡驱动的ABSTACT Ferroptis(ABSTACT)在骨质炎(OA)的进化中发挥着关键作用。尽管抗氧化剂纳米酶具有治疗潜力,但设计高效和有针对性的系统以抑制铁质中毒仍具有挑战性。在这里,我们开发了一个2D氮-deped石墨类似纳米(NGM),配有不对称和高度暴露的Fe单体原子,配有以WYRGRL Peptide 和 SIRNA(si MMP13)为靶子,形成Fe SAzymes(SieSA/NGMW)作为铁质抑制剂以缓解OA。通过混合熔盐和Zn除去,将ZnIF分解为超丁2D级高等级多孔NGM,带有表质缺陷和等级结构,我们为固定不对称和高度暴露的Fe罪创建了一条护栏杆。</w:t>
      </w:r>
    </w:p>
    <w:p>
      <w:pPr>
        <w:spacing w:before="0" w:after="200" w:lineRule="auto" w:line="276"/>
      </w:pPr>
      <w:r>
        <w:rPr>
          <w:b/>
        </w:rPr>
        <w:t xml:space="preserve">Abstract (EN): </w:t>
      </w:r>
      <w:r>
        <w:t>Ferroptosis, driven by redox imbalance, plays a critical role in osteoarthritis (OA) progression. Although antioxidant nanozymes hold therapeutic potential, designing highly efficient and targeted systems to inhibit ferroptosis remains challenging. Here, we developed a 2D nitrogen‐doped graphene‐like nanomesh (NGM) loaded with asymmetric and highly exposed Fe single atoms, carried with the cartilage‐targeting WYRGRL peptide and siRNA (siMMP13) to form Fe SAzymes (si‐FeSA/NGM‐W) as ferroptosis inhibitors to alleviate OA. By mixed molten salt and Zn removal, exfoliating Zn‐ZIF into an ultrathin 2D hierarchical porous NGM with topological defects and hierarchical structure, we created a scaffold for anchoring asymmetric and highly exposed Fe single atoms. The abundant Fe‐N</w:t>
      </w:r>
      <w:r>
        <w:rPr>
          <w:vertAlign w:val="subscript"/>
        </w:rPr>
        <w:t>4</w:t>
      </w:r>
      <w:r>
        <w:t>‐Cl coordination active sites then introduce strain and defects, which facilitate electron transfer, enhance radical adsorption, and lower reaction barriers, thereby augmenting multi‐enzyme (SOD/CAT/GPx) activities. This enables the functionalized si‐FeSA/NGM‐W to target cartilage, where it inhibits ferroptosis by downregulating MMP13, upregulating GPX4, restoring mitochondrial function, and modulating inflammation, ultimately achieving targeted OA therapy. Mechanistically, this process involves suppression of the IL‐17 pathway and enhancement of glutathione metabolism. This work presents a targeted nanozyme platform for precise OA therapy via ferroptosis inhibition.</w:t>
      </w:r>
    </w:p>
    <w:p>
      <w:pPr>
        <w:spacing w:before="120" w:after="120"/>
      </w:pPr>
      <w:r>
        <w:rPr>
          <w:sz w:val="18"/>
        </w:rPr>
        <w:t>——————————————————————————————————————————————————————————————————————</w:t>
      </w:r>
    </w:p>
    <w:p>
      <w:pPr>
        <w:spacing w:before="160" w:after="40" w:line="240" w:lineRule="auto"/>
      </w:pPr>
      <w:r>
        <w:rPr>
          <w:b/>
        </w:rPr>
        <w:t xml:space="preserve">[490] </w:t>
      </w:r>
      <w:hyperlink r:id="rId789">
        <w:r>
          <w:rPr>
            <w:color w:val="1155CC"/>
            <w:u w:val="single"/>
          </w:rPr>
          <w:t>改为“人工人工皮肤:用于慢性创伤愈合的对照片敏化剂和细胞三明治细菌纤维素纤维素”</w:t>
        </w:r>
      </w:hyperlink>
    </w:p>
    <w:p>
      <w:pPr>
        <w:spacing w:before="0" w:after="80"/>
      </w:pPr>
      <w:r>
        <w:rPr>
          <w:i/>
          <w:sz w:val="20"/>
        </w:rPr>
        <w:t>EN: Correction to “Living Artificial Skin: Photosensitizer and Cell Sandwiched Bacterial Cellulose for Chronic Wound Healing”</w:t>
      </w:r>
    </w:p>
    <w:p>
      <w:pPr>
        <w:spacing w:before="0" w:after="120"/>
      </w:pPr>
      <w:r>
        <w:rPr>
          <w:b/>
        </w:rPr>
        <w:t xml:space="preserve">Source: </w:t>
      </w:r>
      <w:r>
        <w:t>Wiley: Advanced Materials: Table of Contents</w:t>
      </w:r>
      <w:r>
        <w:t xml:space="preserve">    </w:t>
      </w:r>
      <w:r>
        <w:rPr>
          <w:b/>
        </w:rPr>
        <w:t xml:space="preserve">Pub date: </w:t>
      </w:r>
      <w:r>
        <w:t>2026-02-18 12:04:18+00:00</w:t>
      </w:r>
      <w:r>
        <w:t xml:space="preserve">    </w:t>
      </w:r>
      <w:r>
        <w:rPr>
          <w:b/>
        </w:rPr>
        <w:t xml:space="preserve">DOI: </w:t>
      </w:r>
      <w:hyperlink r:id="rId790">
        <w:r>
          <w:rPr>
            <w:color w:val="1155CC"/>
            <w:u w:val="single"/>
          </w:rPr>
          <w:t>10.1002/adma.72577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[491] </w:t>
      </w:r>
      <w:hyperlink r:id="rId791">
        <w:r>
          <w:rPr>
            <w:color w:val="1155CC"/>
            <w:u w:val="single"/>
          </w:rPr>
          <w:t>[ASAP]通过干涉分散式微镜分析将能源材料的动态过程视像化</w:t>
        </w:r>
      </w:hyperlink>
    </w:p>
    <w:p>
      <w:pPr>
        <w:spacing w:before="0" w:after="80"/>
      </w:pPr>
      <w:r>
        <w:rPr>
          <w:i/>
          <w:sz w:val="20"/>
        </w:rPr>
        <w:t>EN: [ASAP] Visualizing Dynamic Processes in Energy Materials by Interferometric Scattering Microscopy</w:t>
      </w:r>
    </w:p>
    <w:p>
      <w:pPr>
        <w:spacing w:before="0" w:after="120"/>
      </w:pPr>
      <w:r>
        <w:rPr>
          <w:b/>
        </w:rPr>
        <w:t xml:space="preserve">Source: </w:t>
      </w:r>
      <w:r>
        <w:t>ACS Energy Letters: Latest Articles (ACS Publications)</w:t>
      </w:r>
      <w:r>
        <w:t xml:space="preserve">    </w:t>
      </w:r>
      <w:r>
        <w:rPr>
          <w:b/>
        </w:rPr>
        <w:t xml:space="preserve">Pub date: </w:t>
      </w:r>
      <w:r>
        <w:t>2026-02-18 12:45:43+00:00</w:t>
      </w:r>
      <w:r>
        <w:t xml:space="preserve">    </w:t>
      </w:r>
      <w:r>
        <w:rPr>
          <w:b/>
        </w:rPr>
        <w:t xml:space="preserve">DOI: </w:t>
      </w:r>
      <w:hyperlink r:id="rId792">
        <w:r>
          <w:rPr>
            <w:color w:val="1155CC"/>
            <w:u w:val="single"/>
          </w:rPr>
          <w:t>10.1021/acsenergylett.5c03495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[492] </w:t>
      </w:r>
      <w:hyperlink r:id="rId793">
        <w:r>
          <w:rPr>
            <w:color w:val="1155CC"/>
            <w:u w:val="single"/>
          </w:rPr>
          <w:t>[ASAP]通过化学蒸气沉积 -- -- Derived硅 -- -- 碳线极材料的就地生长和转化,建立功能性锂-离子运输界面</w:t>
        </w:r>
      </w:hyperlink>
    </w:p>
    <w:p>
      <w:pPr>
        <w:spacing w:before="0" w:after="80"/>
      </w:pPr>
      <w:r>
        <w:rPr>
          <w:i/>
          <w:sz w:val="20"/>
        </w:rPr>
        <w:t>EN: [ASAP] Constructing Functional Lithium-Ion Transport Interfaces by In-Situ Growth and Transformation on Chemical Vapor Deposition-Derived Silicon–Carbon Anode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2026-02-18 14:13:02+00:00</w:t>
      </w:r>
      <w:r>
        <w:t xml:space="preserve">    </w:t>
      </w:r>
      <w:r>
        <w:rPr>
          <w:b/>
        </w:rPr>
        <w:t xml:space="preserve">DOI: </w:t>
      </w:r>
      <w:hyperlink r:id="rId794">
        <w:r>
          <w:rPr>
            <w:color w:val="1155CC"/>
            <w:u w:val="single"/>
          </w:rPr>
          <w:t>10.1021/jacs.6c00202</w:t>
        </w:r>
      </w:hyperlink>
    </w:p>
    <w:p>
      <w:pPr>
        <w:spacing w:before="0" w:after="120"/>
      </w:pPr>
      <w:r>
        <w:rPr>
          <w:b/>
        </w:rPr>
        <w:t xml:space="preserve">Notes: </w:t>
      </w:r>
      <w:r>
        <w:t>abstract_source=pubmed</w:t>
      </w:r>
    </w:p>
    <w:p>
      <w:pPr>
        <w:spacing w:before="0" w:after="80" w:lineRule="auto" w:line="276"/>
      </w:pPr>
      <w:r>
        <w:rPr>
          <w:b/>
        </w:rPr>
        <w:t xml:space="preserve">摘要（ZH）: </w:t>
      </w:r>
      <w:r>
        <w:t>通过化学蒸气沉积技术制造的硅碳材料在具体能力、初始库温效率(ICICE)和体积扩展控制方面取得了显著进展,使这些材料目前成为下一代高性能锂离锂电池(LIBs)最有前景的基于Si的材料。然而,在高度多孔的碳框架范围内,纳米大小的Si的内在不连续分布往往阻碍Li+的运输,从而限制了其快速充电能力。在这里,开发了具有连续和加速的Li+运输界面的新型硅碳阳极材料(SSC@LSO),通过硅热解将纳米规模的Si装入多孔的碳,然后将表层Si层转化为一个</w:t>
      </w:r>
    </w:p>
    <w:p>
      <w:pPr>
        <w:spacing w:before="0" w:after="200" w:lineRule="auto" w:line="276"/>
      </w:pPr>
      <w:r>
        <w:rPr>
          <w:b/>
        </w:rPr>
        <w:t xml:space="preserve">Abstract (EN): </w:t>
      </w:r>
      <w:r>
        <w:t>Silicon-carbon materials fabricated through the chemical vapor deposition technique have achieved remarkable progress in specific capacity, initial Coulombic efficiency (ICE), and volume expansion control, making them currently the most promising Si-based materials for the next-generation high-performance lithium-ion batteries (LIBs). However, the intrinsic discontinuous distribution of nanosized Si within a highly porous carbon framework tends to impede Li+ transport, thereby limiting its fast-charging capability. Herein, a novel silicon-carbon anode material (SSC@LSO) with a continuous and accelerated Li+ transport interface was developed. This material was synthesized by depositing nanosized Si into porous carbon via silane pyrolysis, followed by transforming the surface Si layer into a LixSiOy layer through surface oxidation and lithiation. The LixSiOy layer could penetrate into SSC@LSO, forming continuous Li+ transport channels, mitigating volume expansion, and minimizing side reactions with the electrolyte. As a result, SSC@LSO exhibits significantly improved rate capability and cycling stability, maintaining a high specific capacity (1959.7 mA h g-1) and ICE (91.9%). An Ah-level pouch cell using SSC@LSO demonstrates excellent cycling stability (91.7% at 25 °C and 83.7% at 45 °C capacity retention after 1000 cycles) and high-rate performance (86.9% capacity utilization rate under 5C), highlighting its high practical value for high-performance LIBs.</w:t>
      </w:r>
    </w:p>
    <w:p>
      <w:pPr>
        <w:spacing w:before="120" w:after="120"/>
      </w:pPr>
      <w:r>
        <w:rPr>
          <w:sz w:val="18"/>
        </w:rPr>
        <w:t>——————————————————————————————————————————————————————————————————————</w:t>
      </w:r>
    </w:p>
    <w:p>
      <w:pPr>
        <w:spacing w:before="160" w:after="40" w:line="240" w:lineRule="auto"/>
      </w:pPr>
      <w:r>
        <w:rPr>
          <w:b/>
        </w:rPr>
        <w:t xml:space="preserve">[493] </w:t>
      </w:r>
      <w:hyperlink r:id="rId795">
        <w:r>
          <w:rPr>
            <w:color w:val="1155CC"/>
            <w:u w:val="single"/>
          </w:rPr>
          <w:t>[ASAP] 将机械透视投入单五氯苯-甲基相互作用能够稳定聚集和触发响应性五氯苯基活化物</w:t>
        </w:r>
      </w:hyperlink>
    </w:p>
    <w:p>
      <w:pPr>
        <w:spacing w:before="0" w:after="80"/>
      </w:pPr>
      <w:r>
        <w:rPr>
          <w:i/>
          <w:sz w:val="20"/>
        </w:rPr>
        <w:t>EN: [ASAP] Mechanistic Insights into Unary Peptide–Membrane Interactions Enable Stable Encapsulation and Trigger-Responsive Peptidyl Liposomes</w:t>
      </w:r>
    </w:p>
    <w:p>
      <w:pPr>
        <w:spacing w:before="0" w:after="120"/>
      </w:pPr>
      <w:r>
        <w:rPr>
          <w:b/>
        </w:rPr>
        <w:t xml:space="preserve">Source: </w:t>
      </w:r>
      <w:r>
        <w:t>Journal of the American Chemical Society: Latest Articles (ACS Publications)</w:t>
      </w:r>
      <w:r>
        <w:t xml:space="preserve">    </w:t>
      </w:r>
      <w:r>
        <w:rPr>
          <w:b/>
        </w:rPr>
        <w:t xml:space="preserve">Pub date: </w:t>
      </w:r>
      <w:r>
        <w:t>2026-02-18 14:30:38+00:00</w:t>
      </w:r>
      <w:r>
        <w:t xml:space="preserve">    </w:t>
      </w:r>
      <w:r>
        <w:rPr>
          <w:b/>
        </w:rPr>
        <w:t xml:space="preserve">DOI: </w:t>
      </w:r>
      <w:hyperlink r:id="rId796">
        <w:r>
          <w:rPr>
            <w:color w:val="1155CC"/>
            <w:u w:val="single"/>
          </w:rPr>
          <w:t>10.1021/jacs.5c21158</w:t>
        </w:r>
      </w:hyperlink>
    </w:p>
    <w:p>
      <w:pPr>
        <w:spacing w:before="0" w:after="120"/>
      </w:pPr>
      <w:r>
        <w:rPr>
          <w:b/>
        </w:rPr>
        <w:t xml:space="preserve">Notes: </w:t>
      </w:r>
      <w:r>
        <w:t>abstract_source=pubmed</w:t>
      </w:r>
    </w:p>
    <w:p>
      <w:pPr>
        <w:spacing w:before="0" w:after="80" w:lineRule="auto" w:line="276"/>
      </w:pPr>
      <w:r>
        <w:rPr>
          <w:b/>
        </w:rPr>
        <w:t xml:space="preserve">摘要（ZH）: </w:t>
      </w:r>
      <w:r>
        <w:t>在历史上,设计能引发触发反应的peptidyl脂质球体的努力历来受到限制,原因是在peptide同化后过早释放,这反映了对系紧pitide-membrane相互作用的不完全理解。在这里,我们建立了一个统一的机械化框架,通过阐明膜-anchoredpeptides如何与膜膜相互作用来设计封装可稳定但能触发反应的脂质球体。筛选发现MAG2是迄今为止唯一一个在保持隐性peptidide-membrane 脂质系统中以前无法取得的结果,而在单性peptidyl 脂质系统中,这种结果本来是无法取得的。Cryo-EM/cryo-ET、SAXS、CD、FLIM/floescence成像和MTT认为共同揭示了分子事件的等级级级链:蒙面的pited-mbrane conju。</w:t>
      </w:r>
    </w:p>
    <w:p>
      <w:pPr>
        <w:spacing w:before="0" w:after="200" w:lineRule="auto" w:line="276"/>
      </w:pPr>
      <w:r>
        <w:rPr>
          <w:b/>
        </w:rPr>
        <w:t xml:space="preserve">Abstract (EN): </w:t>
      </w:r>
      <w:r>
        <w:t>Efforts to engineer trigger-responsive peptidyl liposomes have historically been limited by premature release following peptide conjugation, reflecting an incomplete understanding of tethered peptide-membrane interactions. Here, we establish a unified mechanistic framework for designing encapsulation-stable yet trigger-responsive liposomes by elucidating how membrane-anchored peptides interact with membranes. Screening identified MAG2 as, thus far, the only AMP backbone that can be surface-masked without liposome leakage while preserving latent lytic activity─-an outcome previously unattainable in unary peptidyl liposome systems. Cryo-EM/cryo-ET, SAXS, CD, FLIM/fluorescence imaging, and MTT assays collectively unveil a hierarchical cascade of molecular events: masked peptide-membrane conjugation with stable liposome encapsulation, lateral-diffusion-driven outer leaflet PEG-layer expansion, trigger-induced peptide unmasking, aggregation-mediated membrane defect formation, and outer leaflet PEG-layer collapse, culminating in liposomal content release, intracellular distribution, and trigger-induced cell-killing efficacy. These findings uncover a unary peptide-membrane interaction mechanism that will redefine the design principles of trigger-responsive therapeutic peptidyl liposomes.</w:t>
      </w:r>
    </w:p>
    <w:p>
      <w:pPr>
        <w:spacing w:before="120" w:after="120"/>
      </w:pPr>
      <w:r>
        <w:rPr>
          <w:sz w:val="18"/>
        </w:rPr>
        <w:t>——————————————————————————————————————————————————————————————————————</w:t>
      </w:r>
    </w:p>
    <w:p>
      <w:pPr>
        <w:spacing w:before="160" w:after="40" w:line="240" w:lineRule="auto"/>
      </w:pPr>
      <w:r>
        <w:rPr>
          <w:b/>
        </w:rPr>
        <w:t xml:space="preserve">[494] </w:t>
      </w:r>
      <w:hyperlink r:id="rId797">
        <w:r>
          <w:rPr>
            <w:color w:val="1155CC"/>
            <w:u w:val="single"/>
          </w:rPr>
          <w:t>[ASAP]通过在Proteobacteria启动非血球合成合成物工程工程组获取探索不到的生物合成潜力[ASAP]</w:t>
        </w:r>
      </w:hyperlink>
    </w:p>
    <w:p>
      <w:pPr>
        <w:spacing w:before="0" w:after="80"/>
      </w:pPr>
      <w:r>
        <w:rPr>
          <w:i/>
          <w:sz w:val="20"/>
        </w:rPr>
        <w:t>EN: [ASAP] Accessing Underexplored Biosynthetic Potential by Initiation Unit Engineering of Nonribosomal Peptide Synthetases in Proteobacteria</w:t>
      </w:r>
    </w:p>
    <w:p>
      <w:pPr>
        <w:spacing w:before="0" w:after="120"/>
      </w:pPr>
      <w:r>
        <w:rPr>
          <w:b/>
        </w:rPr>
        <w:t xml:space="preserve">Source: </w:t>
      </w:r>
      <w:r>
        <w:t>Journal of the American Chemical Society: Latest Articles (ACS Publications)</w:t>
      </w:r>
      <w:r>
        <w:t xml:space="preserve">    </w:t>
      </w:r>
      <w:r>
        <w:rPr>
          <w:b/>
        </w:rPr>
        <w:t xml:space="preserve">Pub date: </w:t>
      </w:r>
      <w:r>
        <w:t>2026-02-18 14:49:37+00:00</w:t>
      </w:r>
      <w:r>
        <w:t xml:space="preserve">    </w:t>
      </w:r>
      <w:r>
        <w:rPr>
          <w:b/>
        </w:rPr>
        <w:t xml:space="preserve">DOI: </w:t>
      </w:r>
      <w:hyperlink r:id="rId798">
        <w:r>
          <w:rPr>
            <w:color w:val="1155CC"/>
            <w:u w:val="single"/>
          </w:rPr>
          <w:t>10.1021/jacs.6c01193</w:t>
        </w:r>
      </w:hyperlink>
    </w:p>
    <w:p>
      <w:pPr>
        <w:spacing w:before="0" w:after="120"/>
      </w:pPr>
      <w:r>
        <w:rPr>
          <w:b/>
        </w:rPr>
        <w:t xml:space="preserve">Notes: </w:t>
      </w:r>
      <w:r>
        <w:t>abstract_source=pubmed</w:t>
      </w:r>
    </w:p>
    <w:p>
      <w:pPr>
        <w:spacing w:before="0" w:after="80" w:lineRule="auto" w:line="276"/>
      </w:pPr>
      <w:r>
        <w:rPr>
          <w:b/>
        </w:rPr>
        <w:t xml:space="preserve">摘要（ZH）: </w:t>
      </w:r>
      <w:r>
        <w:t>非血清浸泡物合成物(NPS)是生产生物活性天然产品的宝贵但勘探不足的资源,但是,大多数NRPS由于启动单位功能失调等因素,仍然可能保持沉默。启动单位的起始凝聚(Cs)领域通过纳入N-终点脂肪乙基乙基乙酰胺链,催化非血清乙酰胺的脂化。在此引入的启动单位工程概念包括替换NRPS的本地启动单位,代之以一个外国和功能精良的Cs域内含Cs的初始启动单位,以激活NRPS并优化其表达方式。在此,该战略被用来成功进入Mycetohabtan rhizoxnica六条先前无声的NRPPS途径中的三条。</w:t>
      </w:r>
    </w:p>
    <w:p>
      <w:pPr>
        <w:spacing w:before="0" w:after="200" w:lineRule="auto" w:line="276"/>
      </w:pPr>
      <w:r>
        <w:rPr>
          <w:b/>
        </w:rPr>
        <w:t xml:space="preserve">Abstract (EN): </w:t>
      </w:r>
      <w:r>
        <w:t>Nonribosomal peptide synthetases (NRPSs) represent a valuable yet underexplored resource for producing bioactive natural products. However, most NRPSs remain silenced potentially due to factors such as dysfunction of the initiation unit. The starter condensation (Cs) domain of the initiation unit catalyzes the lipoinitiation of nonribosomal peptides via the incorporation of an N-terminal fatty acyl chain. The concept of initiation unit engineering introduced herein encompasses the replacement of the native initiation unit of NRPSs with a foreign and well-characterized Cs domain-containing initiation unit to activate the NRPS and optimize its expression. This strategy was employed herein to successfully access three of the six previously silent NRPS pathways in Mycetohabitans rhizoxinica HKI 454, a bacterium of the class β-proteobacteria, resulting in the identification of three classes of lipopeptides. This strategy was then extended to access two NRPS pathways in Pseudomonas syringae (γ-proteobacteria) and obtain novel lipopeptides, thereby establishing a feasible complement to existing genome mining strategies for natural product discovery. Furthermore, change of the initiation regions of biosynthetic pathways of nonlipidated chitinimide (β-proteobacteria) and pseudotetraivprolide (γ-proteobacteria) with heterologous Cs-containing initiation units enabled the successful incorporation of fatty acyl chains into the N-terminus of both peptide backbones, launching a workable approach to create artificial lipopeptides. Overall, this study provides a practical strategy for the rational recovery of silent BGCs and introduction of fatty acyl chains into nonribosomal peptides, at least in Proteobacteria, thereby enriching genome mining and combinatorial biosynthesis approaches for accessing the underexplored biosynthetic potential of NRPSs from various bacteria.</w:t>
      </w:r>
    </w:p>
    <w:p>
      <w:pPr>
        <w:spacing w:before="120" w:after="120"/>
      </w:pPr>
      <w:r>
        <w:rPr>
          <w:sz w:val="18"/>
        </w:rPr>
        <w:t>——————————————————————————————————————————————————————————————————————</w:t>
      </w:r>
    </w:p>
    <w:p>
      <w:pPr>
        <w:spacing w:before="160" w:after="40" w:line="240" w:lineRule="auto"/>
      </w:pPr>
      <w:r>
        <w:rPr>
          <w:b/>
        </w:rPr>
        <w:t xml:space="preserve">[495] </w:t>
      </w:r>
      <w:hyperlink r:id="rId799">
        <w:r>
          <w:rPr>
            <w:color w:val="1155CC"/>
            <w:u w:val="single"/>
          </w:rPr>
          <w:t>[ASAP] 由主-主包件主-主包件组成的千兆子圆极极极极极化圆形圆形圆形圆形圆形圆形圆形圆形圆形圆环</w:t>
        </w:r>
      </w:hyperlink>
    </w:p>
    <w:p>
      <w:pPr>
        <w:spacing w:before="0" w:after="80"/>
      </w:pPr>
      <w:r>
        <w:rPr>
          <w:i/>
          <w:sz w:val="20"/>
        </w:rPr>
        <w:t>EN: [ASAP] Achiral Guest-Modulated Circularly Polarized Luminescence of Chiral Macrocycles by Host–Guest Encapsulation</w:t>
      </w:r>
    </w:p>
    <w:p>
      <w:pPr>
        <w:spacing w:before="0" w:after="120"/>
      </w:pPr>
      <w:r>
        <w:rPr>
          <w:b/>
        </w:rPr>
        <w:t xml:space="preserve">Source: </w:t>
      </w:r>
      <w:r>
        <w:t>Journal of the American Chemical Society: Latest Articles (ACS Publications)</w:t>
      </w:r>
      <w:r>
        <w:t xml:space="preserve">    </w:t>
      </w:r>
      <w:r>
        <w:rPr>
          <w:b/>
        </w:rPr>
        <w:t xml:space="preserve">Pub date: </w:t>
      </w:r>
      <w:r>
        <w:t>2026-02-18 14:59:26+00:00</w:t>
      </w:r>
      <w:r>
        <w:t xml:space="preserve">    </w:t>
      </w:r>
      <w:r>
        <w:rPr>
          <w:b/>
        </w:rPr>
        <w:t xml:space="preserve">DOI: </w:t>
      </w:r>
      <w:hyperlink r:id="rId800">
        <w:r>
          <w:rPr>
            <w:color w:val="1155CC"/>
            <w:u w:val="single"/>
          </w:rPr>
          <w:t>10.1021/jacs.5c20599</w:t>
        </w:r>
      </w:hyperlink>
    </w:p>
    <w:p>
      <w:pPr>
        <w:spacing w:before="0" w:after="120"/>
      </w:pPr>
      <w:r>
        <w:rPr>
          <w:b/>
        </w:rPr>
        <w:t xml:space="preserve">Notes: </w:t>
      </w:r>
      <w:r>
        <w:t>abstract_source=pubmed</w:t>
      </w:r>
    </w:p>
    <w:p>
      <w:pPr>
        <w:spacing w:before="0" w:after="80" w:lineRule="auto" w:line="276"/>
      </w:pPr>
      <w:r>
        <w:rPr>
          <w:b/>
        </w:rPr>
        <w:t xml:space="preserve">摘要（ZH）: </w:t>
      </w:r>
      <w:r>
        <w:t>在这项研究中,我们提出了一种对容人欢迎的复杂方法,以微调手动宏观循环的CPL特性。手动大型周期主机R/S-BINOL[2] 的光度可以从蓝色到青色、绿色、红色和紫色,通过与异质宾客的复合来调节,使客人能够对其发光特征进行基于客人的调控。对宿主-访客综合体的单一晶体X射线分解分析,加上理论计算,有助于推断富电的R/S-BINOL[2]主机将电子缺失的客人封装成由电子丰富的R/S-BINOL[2]通过多种非共价互动,特别是单面-单面互动所调节的空间电荷转移。</w:t>
      </w:r>
    </w:p>
    <w:p>
      <w:pPr>
        <w:spacing w:before="0" w:after="200" w:lineRule="auto" w:line="276"/>
      </w:pPr>
      <w:r>
        <w:rPr>
          <w:b/>
        </w:rPr>
        <w:t xml:space="preserve">Abstract (EN): </w:t>
      </w:r>
      <w:r>
        <w:t>Developing concise strategies to modulate circularly polarized luminescence (CPL) remains a significant challenge. In this study, we present a host-guest complexation approach to fine-tune the CPL properties of chiral macrocycles. The luminescence of the chiral macrocyclic hosts R/S-BINOL[2] can be modulated from blue to cyan, green, red, and purple via complexation with achiral guests, enabling guest-based regulation of their luminescence features. Single crystal X-ray diffraction analyses of the host-guest complexes coupled with theoretical calculations provide support for the inference that encapsulation of electron-deficient guests by the electron-rich R/S-BINOL[2] hosts induces through-space charge transfer that is mediated by multiple noncovalent interactions, particularly lone-pair-π interactions. The highest occupied molecular orbital (HOMO)-lowest unoccupied molecular orbital (LUMO) energy gaps of the host-guest complexes can be tuned by varying the electronic nature of the guests, which translates to differences in the observed emission. This work provides a novel approach to the construction and modulation of CPL-active materials.</w:t>
      </w:r>
    </w:p>
    <w:p>
      <w:pPr>
        <w:spacing w:before="120" w:after="120"/>
      </w:pPr>
      <w:r>
        <w:rPr>
          <w:sz w:val="18"/>
        </w:rPr>
        <w:t>——————————————————————————————————————————————————————————————————————</w:t>
      </w:r>
    </w:p>
    <w:p>
      <w:pPr>
        <w:spacing w:before="160" w:after="40" w:line="240" w:lineRule="auto"/>
      </w:pPr>
      <w:r>
        <w:rPr>
          <w:b/>
        </w:rPr>
        <w:t xml:space="preserve">[496] </w:t>
      </w:r>
      <w:hyperlink r:id="rId801">
        <w:r>
          <w:rPr>
            <w:color w:val="1155CC"/>
            <w:u w:val="single"/>
          </w:rPr>
          <w:t>[ASAP]通过光学和电化方法对氨基硅烷-丙基硫化铅Halide Perovskites的浅水排泄限制进行量化</w:t>
        </w:r>
      </w:hyperlink>
    </w:p>
    <w:p>
      <w:pPr>
        <w:spacing w:before="0" w:after="80"/>
      </w:pPr>
      <w:r>
        <w:rPr>
          <w:i/>
          <w:sz w:val="20"/>
        </w:rPr>
        <w:t>EN: [ASAP] Quantification of Shallow Defect Suppression in Aminosilane-Passivated Lead Halide Perovskites via Optical and Electrochemical Methods</w:t>
      </w:r>
    </w:p>
    <w:p>
      <w:pPr>
        <w:spacing w:before="0" w:after="120"/>
      </w:pPr>
      <w:r>
        <w:rPr>
          <w:b/>
        </w:rPr>
        <w:t xml:space="preserve">Source: </w:t>
      </w:r>
      <w:r>
        <w:t>ACS Energy Letters: Latest Articles (ACS Publications)</w:t>
      </w:r>
      <w:r>
        <w:t xml:space="preserve">    </w:t>
      </w:r>
      <w:r>
        <w:rPr>
          <w:b/>
        </w:rPr>
        <w:t xml:space="preserve">Pub date: </w:t>
      </w:r>
      <w:r>
        <w:t>2026-02-18 16:05:18+00:00</w:t>
      </w:r>
      <w:r>
        <w:t xml:space="preserve">    </w:t>
      </w:r>
      <w:r>
        <w:rPr>
          <w:b/>
        </w:rPr>
        <w:t xml:space="preserve">DOI: </w:t>
      </w:r>
      <w:hyperlink r:id="rId802">
        <w:r>
          <w:rPr>
            <w:color w:val="1155CC"/>
            <w:u w:val="single"/>
          </w:rPr>
          <w:t>10.1021/acsenergylett.5c03869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[497] </w:t>
      </w:r>
      <w:hyperlink r:id="rId803">
        <w:r>
          <w:rPr>
            <w:color w:val="1155CC"/>
            <w:u w:val="single"/>
          </w:rPr>
          <w:t>[ASAP] C-H活性-基于激活的多成分多成分聚氨酯,用于日光驱动抗菌涂层的荧光日光热热化学多元电解聚乙烯</w:t>
        </w:r>
      </w:hyperlink>
    </w:p>
    <w:p>
      <w:pPr>
        <w:spacing w:before="0" w:after="80"/>
      </w:pPr>
      <w:r>
        <w:rPr>
          <w:i/>
          <w:sz w:val="20"/>
        </w:rPr>
        <w:t>EN: [ASAP] C–H Activation-Based Multicomponent Polyannulations toward Fluorescent Heteroaromatic Polyelectrolytes for Sunlight-Driven Antibacterial Coatings</w:t>
      </w:r>
    </w:p>
    <w:p>
      <w:pPr>
        <w:spacing w:before="0" w:after="120"/>
      </w:pPr>
      <w:r>
        <w:rPr>
          <w:b/>
        </w:rPr>
        <w:t xml:space="preserve">Source: </w:t>
      </w:r>
      <w:r>
        <w:t>Journal of the American Chemical Society: Latest Articles (ACS Publications)</w:t>
      </w:r>
      <w:r>
        <w:t xml:space="preserve">    </w:t>
      </w:r>
      <w:r>
        <w:rPr>
          <w:b/>
        </w:rPr>
        <w:t xml:space="preserve">Pub date: </w:t>
      </w:r>
      <w:r>
        <w:t>2026-02-18 16:09:53+00:00</w:t>
      </w:r>
      <w:r>
        <w:t xml:space="preserve">    </w:t>
      </w:r>
      <w:r>
        <w:rPr>
          <w:b/>
        </w:rPr>
        <w:t xml:space="preserve">DOI: </w:t>
      </w:r>
      <w:hyperlink r:id="rId804">
        <w:r>
          <w:rPr>
            <w:color w:val="1155CC"/>
            <w:u w:val="single"/>
          </w:rPr>
          <w:t>10.1021/jacs.5c20679</w:t>
        </w:r>
      </w:hyperlink>
    </w:p>
    <w:p>
      <w:pPr>
        <w:spacing w:before="0" w:after="120"/>
      </w:pPr>
      <w:r>
        <w:rPr>
          <w:b/>
        </w:rPr>
        <w:t xml:space="preserve">Notes: </w:t>
      </w:r>
      <w:r>
        <w:t>abstract_source=pubmed</w:t>
      </w:r>
    </w:p>
    <w:p>
      <w:pPr>
        <w:spacing w:before="0" w:after="80" w:lineRule="auto" w:line="276"/>
      </w:pPr>
      <w:r>
        <w:rPr>
          <w:b/>
        </w:rPr>
        <w:t xml:space="preserve">摘要（ZH）: </w:t>
      </w:r>
      <w:r>
        <w:t>开发功能性多元电子元体在主链中充电的便孔和高效合成方法是一项重要但具有挑战性的任务。 我们在此开发了直截了当的C-H活化基多成分聚氨酯法,能够有效地将随时可用的内部二元、甲和胺转化为多种功能性主链,其分子重量高(Mw至55000克/摩尔),高产量高达99.2%。多替代多周期性多氧芳烃凝聚体骨架通过连续的C-H活化/凝聚过程以一罐方式生成,难以通过常规方法实现。从独特结构中受益,获得的多电子化体均展示出各种外表。</w:t>
      </w:r>
    </w:p>
    <w:p>
      <w:pPr>
        <w:spacing w:before="0" w:after="200" w:lineRule="auto" w:line="276"/>
      </w:pPr>
      <w:r>
        <w:rPr>
          <w:b/>
        </w:rPr>
        <w:t xml:space="preserve">Abstract (EN): </w:t>
      </w:r>
      <w:r>
        <w:t>The development of facile and efficient synthetic methods for functional polyelectrolytes bearing charges on main chains is an important, yet challenging task. Herein, we develop a straightforward C-H activation-based multicomponent polyannulation method that can efficiently transform readily available internal diynes, aldehydes, and amines into diverse functional main-chain charged polyelectrolytes with high molecular weights (Mw up to 55000 g/mol) in high yields of up to 99.2%. Multisubstituted polycyclic heteroaromatic cations are generated in situ in polymer backbones as π spacers via successive C-H activation/annulation processes in a one-pot manner, which are hard to achieve by conventional methods. Benefiting from the unique structures, the obtained polyelectrolytes all exhibit excellent solubility and film-forming ability, high thermal and morphological stability, and readily tunable aggregate-state luminescence properties. Remarkable light-enhanced bactericidal activity against Gram-positive bacteria was achieved due to the efficient reactive oxygen species generation capability of the polycations. Furthermore, the polyelectrolyte thin films can function as good sunlight-triggered antibacterial coating materials on various substrates, demonstrating application potential for the gentle sunlight sterilization of medical facilities.</w:t>
      </w:r>
    </w:p>
    <w:p>
      <w:pPr>
        <w:spacing w:before="120" w:after="120"/>
      </w:pPr>
      <w:r>
        <w:rPr>
          <w:sz w:val="18"/>
        </w:rPr>
        <w:t>——————————————————————————————————————————————————————————————————————</w:t>
      </w:r>
    </w:p>
    <w:p>
      <w:pPr>
        <w:spacing w:before="160" w:after="40" w:line="240" w:lineRule="auto"/>
      </w:pPr>
      <w:r>
        <w:rPr>
          <w:b/>
        </w:rPr>
        <w:t xml:space="preserve">[498] </w:t>
      </w:r>
      <w:hyperlink r:id="rId805">
        <w:r>
          <w:rPr>
            <w:color w:val="1155CC"/>
            <w:u w:val="single"/>
          </w:rPr>
          <w:t>切莫机械故障和强化实用固电解胶片,用于实用Al-Solidá State Li金属袋电池</w:t>
        </w:r>
      </w:hyperlink>
    </w:p>
    <w:p>
      <w:pPr>
        <w:spacing w:before="0" w:after="80"/>
      </w:pPr>
      <w:r>
        <w:rPr>
          <w:i/>
          <w:sz w:val="20"/>
        </w:rPr>
        <w:t>EN: Chemo‐Mechanical Failure and Reinforcement of Solid Electrolyte Films for Practical All‐Solid‐State Li Metal Pouch Cells</w:t>
      </w:r>
    </w:p>
    <w:p>
      <w:pPr>
        <w:spacing w:before="0" w:after="120"/>
      </w:pPr>
      <w:r>
        <w:rPr>
          <w:b/>
        </w:rPr>
        <w:t xml:space="preserve">Source: </w:t>
      </w:r>
      <w:r>
        <w:t>Wiley: Advanced Materials: Table of Contents</w:t>
      </w:r>
      <w:r>
        <w:t xml:space="preserve">    </w:t>
      </w:r>
      <w:r>
        <w:rPr>
          <w:b/>
        </w:rPr>
        <w:t xml:space="preserve">Pub date: </w:t>
      </w:r>
      <w:r>
        <w:t>2026-02-18 17:01:20+00:00</w:t>
      </w:r>
      <w:r>
        <w:t xml:space="preserve">    </w:t>
      </w:r>
      <w:r>
        <w:rPr>
          <w:b/>
        </w:rPr>
        <w:t xml:space="preserve">DOI: </w:t>
      </w:r>
      <w:hyperlink r:id="rId806">
        <w:r>
          <w:rPr>
            <w:color w:val="1155CC"/>
            <w:u w:val="single"/>
          </w:rPr>
          <w:t>10.1002/adma.202518655</w:t>
        </w:r>
      </w:hyperlink>
    </w:p>
    <w:p>
      <w:pPr>
        <w:spacing w:before="0" w:after="120"/>
      </w:pPr>
      <w:r>
        <w:rPr>
          <w:b/>
        </w:rPr>
        <w:t xml:space="preserve">Notes: </w:t>
      </w:r>
      <w:r>
        <w:t>abstract_source=crossref</w:t>
      </w:r>
    </w:p>
    <w:p>
      <w:pPr>
        <w:spacing w:before="0" w:after="80" w:lineRule="auto" w:line="276"/>
      </w:pPr>
      <w:r>
        <w:rPr>
          <w:b/>
        </w:rPr>
        <w:t xml:space="preserve">摘要（ZH）: </w:t>
      </w:r>
      <w:r>
        <w:t>ALSTACT 所有固体李固体金属电池(ALSMBs)是实现高能量密度的关键;然而,关于实际相关的邮袋型电池的研究仍然很少。一个关键的挑战是如何结合薄实固电解胶片,特别是在细胞组装所需的高压力下,而这种压力基本上被忽视。在这里,我们揭示了常规硫化固态电解胶片在邮袋电池组装过程中与李金属的内在不兼容性。为了应对这一挑战,我们引入了一个简单而有效的后工程战略,改变Li 6 PS 5 Cl和硝基丁二烯橡胶夹子之间的化学相互作用。</w:t>
      </w:r>
    </w:p>
    <w:p>
      <w:pPr>
        <w:spacing w:before="0" w:after="200" w:lineRule="auto" w:line="276"/>
      </w:pPr>
      <w:r>
        <w:rPr>
          <w:b/>
        </w:rPr>
        <w:t xml:space="preserve">Abstract (EN): </w:t>
      </w:r>
      <w:r>
        <w:t>All‐solid‐state Li metal batteries (ASLMBs) are the key to achieving high energy densities; however, studies on practically relevant pouch‐type cells remain scarce. A critical challenge lies in integrating thin solid electrolyte films, particularly under the high pressures required for cell assembly, which has been largely overlooked. Here, we reveal the inherent incompatibility of conventional sulfide solid electrolyte films with Li metal during pouch cell assembly. To address this challenge, we introduce a simple yet effective post‐engineering strategy that modifies the chemical interactions between Li</w:t>
      </w:r>
      <w:r>
        <w:rPr>
          <w:vertAlign w:val="subscript"/>
        </w:rPr>
        <w:t>6</w:t>
      </w:r>
      <w:r>
        <w:t>PS</w:t>
      </w:r>
      <w:r>
        <w:rPr>
          <w:vertAlign w:val="subscript"/>
        </w:rPr>
        <w:t>5</w:t>
      </w:r>
      <w:r>
        <w:t>Cl and nitrile butadiene rubber binders, significantly enhancing the mechanical robustness and Li metal compatibility, even under 450 MPa isostatic pressing. Complementary experimental analyses and finite element method simulations identify the underlying enhancement mechanism as the improvement of mechanical properties, which increases the interfacial friction. Leveraging these advancements, we successfully assemble LiNi</w:t>
      </w:r>
      <w:r>
        <w:t xml:space="preserve"> </w:t>
      </w:r>
      <w:r>
        <w:t>0.70</w:t>
      </w:r>
      <w:r>
        <w:t xml:space="preserve"> </w:t>
      </w:r>
      <w:r>
        <w:t>Co</w:t>
      </w:r>
      <w:r>
        <w:t xml:space="preserve"> </w:t>
      </w:r>
      <w:r>
        <w:t>0.15</w:t>
      </w:r>
      <w:r>
        <w:t xml:space="preserve"> </w:t>
      </w:r>
      <w:r>
        <w:t>Mn||Li ASLMB pouch cells without any interlayers through single‐step pressurization, achieving remarkable performance at 3 MPa, with 400‐cycle stability at 60°C and reliable operation at 30°C. Finally, we demonstrate a proof‐of‐concept bipolar‐stacked ASLMB pouch cell, showcasing its scalability and practicality. These findings establish a new benchmark for ASLMBs and provide key design principles for advancing practical high‐energy all‐solid‐state technologies.</w:t>
      </w:r>
    </w:p>
    <w:p>
      <w:pPr>
        <w:spacing w:before="120" w:after="120"/>
      </w:pPr>
      <w:r>
        <w:rPr>
          <w:sz w:val="18"/>
        </w:rPr>
        <w:t>——————————————————————————————————————————————————————————————————————</w:t>
      </w:r>
    </w:p>
    <w:p>
      <w:pPr>
        <w:spacing w:before="160" w:after="40" w:line="240" w:lineRule="auto"/>
      </w:pPr>
      <w:r>
        <w:rPr>
          <w:b/>
        </w:rPr>
        <w:t xml:space="preserve">[499] </w:t>
      </w:r>
      <w:hyperlink r:id="rId807">
        <w:r>
          <w:rPr>
            <w:color w:val="1155CC"/>
            <w:u w:val="single"/>
          </w:rPr>
          <w:t>动态适应性MOF催化器:结构进化机制和海水电解中的工业翻译途径</w:t>
        </w:r>
      </w:hyperlink>
    </w:p>
    <w:p>
      <w:pPr>
        <w:spacing w:before="0" w:after="80"/>
      </w:pPr>
      <w:r>
        <w:rPr>
          <w:i/>
          <w:sz w:val="20"/>
        </w:rPr>
        <w:t>EN: Machine‐Learning‐Driven Design of Dynamically Adaptive MOF Catalysts: Structural Evolution Mechanisms and Industrial Translation Pathways in Seawater Electrolysis</w:t>
      </w:r>
    </w:p>
    <w:p>
      <w:pPr>
        <w:spacing w:before="0" w:after="120"/>
      </w:pPr>
      <w:r>
        <w:rPr>
          <w:b/>
        </w:rPr>
        <w:t xml:space="preserve">Source: </w:t>
      </w:r>
      <w:r>
        <w:t>Wiley: Advanced Energy Materials: Table of Contents</w:t>
      </w:r>
      <w:r>
        <w:t xml:space="preserve">    </w:t>
      </w:r>
      <w:r>
        <w:rPr>
          <w:b/>
        </w:rPr>
        <w:t xml:space="preserve">Pub date: </w:t>
      </w:r>
      <w:r>
        <w:t>2026-02-18 17:01:46+00:00</w:t>
      </w:r>
      <w:r>
        <w:t xml:space="preserve">    </w:t>
      </w:r>
      <w:r>
        <w:rPr>
          <w:b/>
        </w:rPr>
        <w:t xml:space="preserve">DOI: </w:t>
      </w:r>
      <w:hyperlink r:id="rId808">
        <w:r>
          <w:rPr>
            <w:color w:val="1155CC"/>
            <w:u w:val="single"/>
          </w:rPr>
          <w:t>10.1002/aenm.202506002</w:t>
        </w:r>
      </w:hyperlink>
    </w:p>
    <w:p>
      <w:pPr>
        <w:spacing w:before="0" w:after="120"/>
      </w:pPr>
      <w:r>
        <w:rPr>
          <w:b/>
        </w:rPr>
        <w:t xml:space="preserve">Notes: </w:t>
      </w:r>
      <w:r>
        <w:t>abstract_source=crossref</w:t>
      </w:r>
    </w:p>
    <w:p>
      <w:pPr>
        <w:spacing w:before="0" w:after="80" w:lineRule="auto" w:line="276"/>
      </w:pPr>
      <w:r>
        <w:rPr>
          <w:b/>
        </w:rPr>
        <w:t xml:space="preserve">摘要（ZH）: </w:t>
      </w:r>
      <w:r>
        <w:t>金属有机框架(MOF)已成为海水电解的有希望的电催化剂,这主要是因为其结构可蓄金枪鱼性和高度孔隙性,然而,在严酷的海水条件下,包括氯化腐蚀、微生物攻击、pH值波动和电场引起的重建等严酷的海水条件下,MOF系统化地阐明了海水电解过程中MOF的动态进化机制,重点是腐蚀力驱动降解、电场电流活性活性振荡和悬浮重组。我们探索了自热、导引力工程、缺陷控制、协调调节和空间组合等适应性设计战略。</w:t>
      </w:r>
    </w:p>
    <w:p>
      <w:pPr>
        <w:spacing w:before="0" w:after="200" w:lineRule="auto" w:line="276"/>
      </w:pPr>
      <w:r>
        <w:rPr>
          <w:b/>
        </w:rPr>
        <w:t xml:space="preserve">Abstract (EN): </w:t>
      </w:r>
      <w:r>
        <w:t>Metal‐organic frameworks (MOFs) have emerged as promising electrocatalysts for seawater electrolysis, primarily owing to their structural tunability and high porosity. However, the practical application of MOFs is hindered by severe structural degradation under harsh seawater conditions, which includes chloride corrosion, microbial attack, pH fluctuations, and electric field‐induced reconstruction. This review systematically elucidates the dynamic evolution mechanisms of MOFs during seawater electrolysis, with a focus on corrosion‐driven degradation, electric field‐mediated valence oscillation, and ligand reconfiguration. We explore adaptive design strategies such as self‐healing, heterojunction engineering, defect control, coordination modulation, and spatial confinement that enhance the durability and activity of MOF‐based catalysts. Notably, the paper highlights the transformative role of machine learning in accelerating the discovery and optimization of corrosion‐resistant MOFs through high‐throughput screening, inverse design, and dynamic descriptor integration. By bridging fundamental mechanisms with industrial‐scale applications, this work provides a comprehensive roadmap for designing dynamically adaptive MOF catalysts, thereby paving the way for sustainable and efficient green hydrogen production from seawater.</w:t>
      </w:r>
    </w:p>
    <w:p>
      <w:pPr>
        <w:spacing w:before="120" w:after="120"/>
      </w:pPr>
      <w:r>
        <w:rPr>
          <w:sz w:val="18"/>
        </w:rPr>
        <w:t>——————————————————————————————————————————————————————————————————————</w:t>
      </w:r>
    </w:p>
    <w:p>
      <w:pPr>
        <w:spacing w:before="160" w:after="40" w:line="240" w:lineRule="auto"/>
      </w:pPr>
      <w:r>
        <w:rPr>
          <w:b/>
        </w:rPr>
        <w:t xml:space="preserve">[500] </w:t>
      </w:r>
      <w:hyperlink r:id="rId809">
        <w:r>
          <w:rPr>
            <w:color w:val="1155CC"/>
            <w:u w:val="single"/>
          </w:rPr>
          <w:t>[ASAP]在Situ单晶片X射线X射线中,在金属-组织框架内合作捕获氨的碎片确定</w:t>
        </w:r>
      </w:hyperlink>
    </w:p>
    <w:p>
      <w:pPr>
        <w:spacing w:before="0" w:after="80"/>
      </w:pPr>
      <w:r>
        <w:rPr>
          <w:i/>
          <w:sz w:val="20"/>
        </w:rPr>
        <w:t>EN: [ASAP] In Situ Single-Crystal X-ray Diffraction Determinations of Cooperative Ammonia Capture in a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2026-02-18 17:18:41+00:00</w:t>
      </w:r>
      <w:r>
        <w:t xml:space="preserve">    </w:t>
      </w:r>
      <w:r>
        <w:rPr>
          <w:b/>
        </w:rPr>
        <w:t xml:space="preserve">DOI: </w:t>
      </w:r>
      <w:hyperlink r:id="rId810">
        <w:r>
          <w:rPr>
            <w:color w:val="1155CC"/>
            <w:u w:val="single"/>
          </w:rPr>
          <w:t>10.1021/jacs.5c21955</w:t>
        </w:r>
      </w:hyperlink>
    </w:p>
    <w:p>
      <w:pPr>
        <w:spacing w:before="0" w:after="120"/>
      </w:pPr>
      <w:r>
        <w:rPr>
          <w:b/>
        </w:rPr>
        <w:t xml:space="preserve">Notes: </w:t>
      </w:r>
      <w:r>
        <w:t>abstract_source=pubmed</w:t>
      </w:r>
    </w:p>
    <w:p>
      <w:pPr>
        <w:spacing w:before="0" w:after="80" w:lineRule="auto" w:line="276"/>
      </w:pPr>
      <w:r>
        <w:rPr>
          <w:b/>
        </w:rPr>
        <w:t xml:space="preserve">摘要（ZH）: </w:t>
      </w:r>
      <w:r>
        <w:t>有机金属-有机框架(MOFs)是氨(NH3)储存和捕捉的很有希望的吸附剂;然而,精确地界定活跃点的作用,并确立对NH3约束领域的原子层面的洞察力,仍然具有挑战性。在这里,我们报告了一个强大的锌-allapurinol-imidazole框架,ALP-MOF-3, 展示出特殊的热稳定性和耐腐蚀性NH3. 使用现场单晶体X射线分解(SCXRD),辅之以Fourier-traffor红外线(FT-IR)光谱仪和计算分析,我们直接解决了吸附式NH3分子的捆绑性领域。结果显示,与Brønsted基本碳基和微米氮功能合作,开放Zn(II)点作为NH3的强大锚定点。</w:t>
      </w:r>
    </w:p>
    <w:p>
      <w:pPr>
        <w:spacing w:before="0" w:after="200" w:lineRule="auto" w:line="276"/>
      </w:pPr>
      <w:r>
        <w:rPr>
          <w:b/>
        </w:rPr>
        <w:t xml:space="preserve">Abstract (EN): </w:t>
      </w:r>
      <w:r>
        <w:t>Porous metal-organic frameworks (MOFs) are promising sorbents for ammonia (NH3) storage and capture; however, precisely defining the roles of active sites and establishing atomic-level insight into NH3 binding domains remain challenging. Here, we report a robust zinc-allopurinol-imidazole framework, ALP-MOF-3, exhibiting exceptional thermal stability and tolerance to corrosive NH3. Using in situ single-crystal X-ray diffraction (SCXRD), complemented by Fourier-transform infrared (FT-IR) spectroscopy and computational analysis, we directly resolve the binding domains of adsorbed NH3 molecules. The results reveal that open Zn(II) sites, in concert with Brønsted basic carbonyl and pyrimidine nitrogen functionalities, act cooperatively as strong anchoring sites for NH3. This synergistic capture enables energy-efficient uptake of trace NH3 (1000 ppm) under both dry and humid (30-80% RH) conditions. The excellent structural integrity and recyclability of ALP-MOF-3 highlight its potential as a durable NH3 sorbent and provide design principles for next generation MOFs with tailored active-site environments for selective gas capture.</w:t>
      </w:r>
    </w:p>
    <w:p>
      <w:pPr>
        <w:spacing w:before="120" w:after="120"/>
      </w:pPr>
      <w:r>
        <w:rPr>
          <w:sz w:val="18"/>
        </w:rPr>
        <w:t>——————————————————————————————————————————————————————————————————————</w:t>
      </w:r>
    </w:p>
    <w:p>
      <w:pPr>
        <w:spacing w:before="160" w:after="40" w:line="240" w:lineRule="auto"/>
      </w:pPr>
      <w:r>
        <w:rPr>
          <w:b/>
        </w:rPr>
        <w:t xml:space="preserve">[501] </w:t>
      </w:r>
      <w:hyperlink r:id="rId811">
        <w:r>
          <w:rPr>
            <w:color w:val="1155CC"/>
            <w:u w:val="single"/>
          </w:rPr>
          <w:t>[ASAP] 通过纳米水渠的封闭水电解解能便利水输送[ASAP]</w:t>
        </w:r>
      </w:hyperlink>
    </w:p>
    <w:p>
      <w:pPr>
        <w:spacing w:before="0" w:after="80"/>
      </w:pPr>
      <w:r>
        <w:rPr>
          <w:i/>
          <w:sz w:val="20"/>
        </w:rPr>
        <w:t>EN: [ASAP] Amphiphile Confined Water Electrolyte Enables Facilitated Cation Transport through Nanometric Water Channels</w:t>
      </w:r>
    </w:p>
    <w:p>
      <w:pPr>
        <w:spacing w:before="0" w:after="120"/>
      </w:pPr>
      <w:r>
        <w:rPr>
          <w:b/>
        </w:rPr>
        <w:t xml:space="preserve">Source: </w:t>
      </w:r>
      <w:r>
        <w:t>Journal of the American Chemical Society: Latest Articles (ACS Publications)</w:t>
      </w:r>
      <w:r>
        <w:t xml:space="preserve">    </w:t>
      </w:r>
      <w:r>
        <w:rPr>
          <w:b/>
        </w:rPr>
        <w:t xml:space="preserve">Pub date: </w:t>
      </w:r>
      <w:r>
        <w:t>2026-02-18 17:19:52+00:00</w:t>
      </w:r>
      <w:r>
        <w:t xml:space="preserve">    </w:t>
      </w:r>
      <w:r>
        <w:rPr>
          <w:b/>
        </w:rPr>
        <w:t xml:space="preserve">DOI: </w:t>
      </w:r>
      <w:hyperlink r:id="rId812">
        <w:r>
          <w:rPr>
            <w:color w:val="1155CC"/>
            <w:u w:val="single"/>
          </w:rPr>
          <w:t>10.1021/jacs.5c21201</w:t>
        </w:r>
      </w:hyperlink>
    </w:p>
    <w:p>
      <w:pPr>
        <w:spacing w:before="0" w:after="120"/>
      </w:pPr>
      <w:r>
        <w:rPr>
          <w:b/>
        </w:rPr>
        <w:t xml:space="preserve">Notes: </w:t>
      </w:r>
      <w:r>
        <w:t>abstract_source=pubmed</w:t>
      </w:r>
    </w:p>
    <w:p>
      <w:pPr>
        <w:spacing w:before="0" w:after="80" w:lineRule="auto" w:line="276"/>
      </w:pPr>
      <w:r>
        <w:rPr>
          <w:b/>
        </w:rPr>
        <w:t xml:space="preserve">摘要（ZH）: </w:t>
      </w:r>
      <w:r>
        <w:t>水分电解液解管中散积液化气壳的流行往往导致缓慢的电化迁移和积极的相互反应。在这里,我们提议使用一个水分封闭水电解法,水分在水分基体内重组成纳米领域,从而将水分在水管中的水分输送与惰性电解法阶段脱钩。为实现这一目标,分子筛选集中在线性 n-alkanol上,将一个氢氧基头(-OH)与一个缺水的正烷基[-R(CH2)-CH3]尾部结合起来。水分层头有效地与位于这些水分层周围的水分子捆绑在一起,扰乱水氢气瓶网络,而疏水性尾被打成一个连续的基体,将多余的水从大片阶段排出。</w:t>
      </w:r>
    </w:p>
    <w:p>
      <w:pPr>
        <w:spacing w:before="0" w:after="200" w:lineRule="auto" w:line="276"/>
      </w:pPr>
      <w:r>
        <w:rPr>
          <w:b/>
        </w:rPr>
        <w:t xml:space="preserve">Abstract (EN): </w:t>
      </w:r>
      <w:r>
        <w:t>The prevalence of bulky cation hydration shells in aqueous electrolytes often leads to sluggish cation transport and aggressive interfacial reactions. Here, we propose an amphiphile confined water electrolyte in which the aqueous phase reorganizes into nanoscale domains within an amphiphilic matrix, resulting in decoupling of the cation transport in water channels from the inert amphiphile phase. To achieve this, molecular screening converged on linear n-alkanols that combine one hydroxyl head (-OH) with a hydrophobic n-alkyl [-R(CH2)-CH3] tail. The hydrophilic head effectively binds with the water molecules residing around the cations and disrupts the water hydrogen-bond network, whereas the hydrophobic tails pack into a continuous matrix that expels excess water from the bulk phase. Via further tuning of the water-to-amphiphile ratio, nanometric water channels at a size of ∼1.8 nm are formed, yielding a Zn2+ transference number of 0.79. The Zn||KFeMnHCF full cell was able to cycle for 15,000 cycles with a capacity retention of 78.4%, and a discharge capacity of 68.4 mAh/g can be delivered even at -60 °C. This work demonstrates a successful application of amphiphile-driven structuring to confine the aqueous phase in an electrolyte, providing a viable route to mitigate cation migration penalties and reduce water parasitic reactions.</w:t>
      </w:r>
    </w:p>
    <w:p>
      <w:pPr>
        <w:spacing w:before="120" w:after="120"/>
      </w:pPr>
      <w:r>
        <w:rPr>
          <w:sz w:val="18"/>
        </w:rPr>
        <w:t>——————————————————————————————————————————————————————————————————————</w:t>
      </w:r>
    </w:p>
    <w:p>
      <w:pPr>
        <w:spacing w:before="160" w:after="40" w:line="240" w:lineRule="auto"/>
      </w:pPr>
      <w:r>
        <w:rPr>
          <w:b/>
        </w:rPr>
        <w:t xml:space="preserve">[502] </w:t>
      </w:r>
      <w:hyperlink r:id="rId813">
        <w:r>
          <w:rPr>
            <w:color w:val="1155CC"/>
            <w:u w:val="single"/>
          </w:rPr>
          <w:t>为高效和可持续减少氮化电到氨而将氢氢化物物种迁移起来</w:t>
        </w:r>
      </w:hyperlink>
    </w:p>
    <w:p>
      <w:pPr>
        <w:spacing w:before="0" w:after="80"/>
      </w:pPr>
      <w:r>
        <w:rPr>
          <w:i/>
          <w:sz w:val="20"/>
        </w:rPr>
        <w:t>EN: Modulating Hydrogen Species for Efficient and Sustainable Nitrate Electroreduction to Ammonia</w:t>
      </w:r>
    </w:p>
    <w:p>
      <w:pPr>
        <w:spacing w:before="0" w:after="120"/>
      </w:pPr>
      <w:r>
        <w:rPr>
          <w:b/>
        </w:rPr>
        <w:t xml:space="preserve">Source: </w:t>
      </w:r>
      <w:r>
        <w:t>Wiley: Angewandte Chemie International Edition: Table of Contents</w:t>
      </w:r>
      <w:r>
        <w:t xml:space="preserve">    </w:t>
      </w:r>
      <w:r>
        <w:rPr>
          <w:b/>
        </w:rPr>
        <w:t xml:space="preserve">Pub date: </w:t>
      </w:r>
      <w:r>
        <w:t>2026-02-18 18:10:42+00:00</w:t>
      </w:r>
      <w:r>
        <w:t xml:space="preserve">    </w:t>
      </w:r>
      <w:r>
        <w:rPr>
          <w:b/>
        </w:rPr>
        <w:t xml:space="preserve">DOI: </w:t>
      </w:r>
      <w:hyperlink r:id="rId814">
        <w:r>
          <w:rPr>
            <w:color w:val="1155CC"/>
            <w:u w:val="single"/>
          </w:rPr>
          <w:t>10.1002/anie.202524803</w:t>
        </w:r>
      </w:hyperlink>
    </w:p>
    <w:p>
      <w:pPr>
        <w:spacing w:before="0" w:after="120"/>
      </w:pPr>
      <w:r>
        <w:rPr>
          <w:b/>
        </w:rPr>
        <w:t xml:space="preserve">Notes: </w:t>
      </w:r>
      <w:r>
        <w:t>abstract_source=crossref</w:t>
      </w:r>
    </w:p>
    <w:p>
      <w:pPr>
        <w:spacing w:before="0" w:after="80" w:lineRule="auto" w:line="276"/>
      </w:pPr>
      <w:r>
        <w:rPr>
          <w:b/>
        </w:rPr>
        <w:t xml:space="preserve">摘要（ZH）: </w:t>
      </w:r>
      <w:r>
        <w:t>电化学硝酸减少反应(NO 3 RR)是可持续NH 3合成和环境补救的一项很有希望的战略,然而,由于电极表面电极3号电磁强烈击退以及高电极密度的氢进化反应相互竞争,因此开发一个能达到当前高密度和法拉达效率(FE)的NH 3生产过程具有挑战性。</w:t>
      </w:r>
    </w:p>
    <w:p>
      <w:pPr>
        <w:spacing w:before="0" w:after="200" w:lineRule="auto" w:line="276"/>
      </w:pPr>
      <w:r>
        <w:rPr>
          <w:b/>
        </w:rPr>
        <w:t xml:space="preserve">Abstract (EN): </w:t>
      </w:r>
      <w:r>
        <w:t>The electrochemical nitrate reduction reaction (NO</w:t>
      </w:r>
      <w:r>
        <w:rPr>
          <w:vertAlign w:val="subscript"/>
        </w:rPr>
        <w:t>3</w:t>
      </w:r>
      <w:r>
        <w:t>RR) represents a promising strategy for sustainable NH</w:t>
      </w:r>
      <w:r>
        <w:rPr>
          <w:vertAlign w:val="subscript"/>
        </w:rPr>
        <w:t>3</w:t>
      </w:r>
      <w:r>
        <w:t>synthesis and environmental remediation. However, developing an NH</w:t>
      </w:r>
      <w:r>
        <w:rPr>
          <w:vertAlign w:val="subscript"/>
        </w:rPr>
        <w:t>3</w:t>
      </w:r>
      <w:r>
        <w:t>production process that achieves both high current density and Faradaic efficiency (FE) is challenging owing to the strong electrostatic repulsion of NO</w:t>
      </w:r>
      <w:r>
        <w:rPr>
          <w:vertAlign w:val="subscript"/>
        </w:rPr>
        <w:t>3</w:t>
      </w:r>
      <w:r>
        <w:t>−</w:t>
      </w:r>
      <w:r>
        <w:t>from the electrode surface and the competing hydrogen evolution reaction at high current densities. Here, Cu/C electrode, modified using 1‐dodecanol (C</w:t>
      </w:r>
      <w:r>
        <w:rPr>
          <w:vertAlign w:val="subscript"/>
        </w:rPr>
        <w:t>12</w:t>
      </w:r>
      <w:r>
        <w:t>OH), achieves an exceptional NH</w:t>
      </w:r>
      <w:r>
        <w:rPr>
          <w:vertAlign w:val="subscript"/>
        </w:rPr>
        <w:t>3</w:t>
      </w:r>
      <w:r>
        <w:t>yield rate of 4.50 mmol cm</w:t>
      </w:r>
      <w:r>
        <w:t xml:space="preserve"> </w:t>
      </w:r>
      <w:r>
        <w:t>−2</w:t>
      </w:r>
      <w:r>
        <w:t xml:space="preserve"> </w:t>
      </w:r>
      <w:r>
        <w:t>h</w:t>
      </w:r>
      <w:r>
        <w:t xml:space="preserve"> </w:t>
      </w:r>
      <w:r>
        <w:t>−1</w:t>
      </w:r>
      <w:r>
        <w:t xml:space="preserve"> </w:t>
      </w:r>
      <w:r>
        <w:t>and FE</w:t>
      </w:r>
      <w:r>
        <w:t xml:space="preserve"> </w:t>
      </w:r>
      <w:r>
        <w:t>NH3</w:t>
      </w:r>
      <w:r>
        <w:t xml:space="preserve"> </w:t>
      </w:r>
      <w:r>
        <w:t>of 98.9% at 1.0 A cm</w:t>
      </w:r>
      <w:r>
        <w:t xml:space="preserve"> </w:t>
      </w:r>
      <w:r>
        <w:t>−2</w:t>
      </w:r>
      <w:r>
        <w:t xml:space="preserve"> </w:t>
      </w:r>
      <w:r>
        <w:t>. This performance significantly surpasses that of the pristine Cu/C catalyst and most reported state‐of‐the‐art catalysts. C</w:t>
      </w:r>
      <w:r>
        <w:rPr>
          <w:vertAlign w:val="subscript"/>
        </w:rPr>
        <w:t>12</w:t>
      </w:r>
      <w:r>
        <w:t>OH modification, which induces the reconstruction of the hydrogen‐bonded network on the electrode surface, not only enhances NO</w:t>
      </w:r>
      <w:r>
        <w:rPr>
          <w:vertAlign w:val="subscript"/>
        </w:rPr>
        <w:t>3</w:t>
      </w:r>
      <w:r>
        <w:t>−</w:t>
      </w:r>
      <w:r>
        <w:t>enrichment but also promotes H</w:t>
      </w:r>
      <w:r>
        <w:t xml:space="preserve"> </w:t>
      </w:r>
      <w:r>
        <w:t>•</w:t>
      </w:r>
      <w:r>
        <w:t xml:space="preserve"> </w:t>
      </w:r>
      <w:r>
        <w:t>radical generation. This new pathway, mediated by H</w:t>
      </w:r>
      <w:r>
        <w:t xml:space="preserve"> </w:t>
      </w:r>
      <w:r>
        <w:t>•</w:t>
      </w:r>
      <w:r>
        <w:t xml:space="preserve"> </w:t>
      </w:r>
      <w:r>
        <w:t>radicals, is both thermodynamically and kinetically favorable and underlies the promoted NH</w:t>
      </w:r>
      <w:r>
        <w:rPr>
          <w:vertAlign w:val="subscript"/>
        </w:rPr>
        <w:t>3</w:t>
      </w:r>
      <w:r>
        <w:t>production.</w:t>
      </w:r>
    </w:p>
    <w:p>
      <w:pPr>
        <w:spacing w:before="120" w:after="120"/>
      </w:pPr>
      <w:r>
        <w:rPr>
          <w:sz w:val="18"/>
        </w:rPr>
        <w:t>——————————————————————————————————————————————————————————————————————</w:t>
      </w:r>
    </w:p>
    <w:p>
      <w:pPr>
        <w:spacing w:before="160" w:after="40" w:line="240" w:lineRule="auto"/>
      </w:pPr>
      <w:r>
        <w:rPr>
          <w:b/>
        </w:rPr>
        <w:t xml:space="preserve">[503] </w:t>
      </w:r>
      <w:hyperlink r:id="rId815">
        <w:r>
          <w:rPr>
            <w:color w:val="1155CC"/>
            <w:u w:val="single"/>
          </w:rPr>
          <w:t>使用氨氨基甲基甲基二氧基二硝化铜对硫硝化物的亚丙基烷基化</w:t>
        </w:r>
      </w:hyperlink>
    </w:p>
    <w:p>
      <w:pPr>
        <w:spacing w:before="0" w:after="80"/>
      </w:pPr>
      <w:r>
        <w:rPr>
          <w:i/>
          <w:sz w:val="20"/>
        </w:rPr>
        <w:t>EN: Enantioselective S‐Alkylation of Sulfenamides With Copper‐Catalyzed Amino‐Radical‐Transfer Deboronation</w:t>
      </w:r>
    </w:p>
    <w:p>
      <w:pPr>
        <w:spacing w:before="0" w:after="120"/>
      </w:pPr>
      <w:r>
        <w:rPr>
          <w:b/>
        </w:rPr>
        <w:t xml:space="preserve">Source: </w:t>
      </w:r>
      <w:r>
        <w:t>Wiley: Angewandte Chemie International Edition: Table of Contents</w:t>
      </w:r>
      <w:r>
        <w:t xml:space="preserve">    </w:t>
      </w:r>
      <w:r>
        <w:rPr>
          <w:b/>
        </w:rPr>
        <w:t xml:space="preserve">Pub date: </w:t>
      </w:r>
      <w:r>
        <w:t>2026-02-18 18:13:42+00:00</w:t>
      </w:r>
      <w:r>
        <w:t xml:space="preserve">    </w:t>
      </w:r>
      <w:r>
        <w:rPr>
          <w:b/>
        </w:rPr>
        <w:t xml:space="preserve">DOI: </w:t>
      </w:r>
      <w:hyperlink r:id="rId816">
        <w:r>
          <w:rPr>
            <w:color w:val="1155CC"/>
            <w:u w:val="single"/>
          </w:rPr>
          <w:t>10.1002/anie.6304086</w:t>
        </w:r>
      </w:hyperlink>
    </w:p>
    <w:p>
      <w:pPr>
        <w:spacing w:before="0" w:after="120"/>
      </w:pPr>
      <w:r>
        <w:rPr>
          <w:b/>
        </w:rPr>
        <w:t xml:space="preserve">Notes: </w:t>
      </w:r>
      <w:r>
        <w:t>abstract_source=crossref</w:t>
      </w:r>
    </w:p>
    <w:p>
      <w:pPr>
        <w:spacing w:before="0" w:after="80" w:lineRule="auto" w:line="276"/>
      </w:pPr>
      <w:r>
        <w:rPr>
          <w:b/>
        </w:rPr>
        <w:t xml:space="preserve">摘要（ZH）: </w:t>
      </w:r>
      <w:r>
        <w:t>这项工作报告称,通过氨基氨基氨基氨基氨基氨基甲酸转移途径,硫酰胺的铜催化反应了对应选择性硫硝酸酯,在温和条件下,在高产量(高达95%)和抗电性(高达98%ee)中取得了甲硫磺酰胺,在铜催化基苯与硫硝酸酯的联动中,一种可异构体(氧化线)离子体和具有架桥式CH2单位的双丁二烯基和立体选择性被确定为反应和立体选择性的关键因素,该方法为访问具有液态亚体分体的对氮浓缩S(IV)结构提供了一个一般平台,并展示了在医药化学应用方面的强大潜力。</w:t>
      </w:r>
    </w:p>
    <w:p>
      <w:pPr>
        <w:spacing w:before="0" w:after="200" w:lineRule="auto" w:line="276"/>
      </w:pPr>
      <w:r>
        <w:rPr>
          <w:b/>
        </w:rPr>
        <w:t xml:space="preserve">Abstract (EN): </w:t>
      </w:r>
      <w:r>
        <w:t>This work reports a copper‐catalyzed enantioselective S‐alkylation of sulfenamides enabled by an amino‐radical‐transfer deboronation pathway. Chiral sulfilimines are obtained in high yields (up to 95%) and enantioselectivities (up to 98% ee) under mild conditions. An isomerizable bis(oxazoline) ligand bearing a bridging CH</w:t>
      </w:r>
      <w:r>
        <w:rPr>
          <w:vertAlign w:val="subscript"/>
        </w:rPr>
        <w:t>2</w:t>
      </w:r>
      <w:r>
        <w:t>unit is identified as the key factor for both reactivity and stereoselectivity in the copper‐catalyzed radical‐relay coupling with sulfenamides. The method offers a general platform for accessing enantioenriched S(IV) architectures with aliphatic substituents and demonstrates strong potential for applications in medicinal chemistry.</w:t>
      </w:r>
    </w:p>
    <w:p>
      <w:pPr>
        <w:spacing w:before="120" w:after="120"/>
      </w:pPr>
      <w:r>
        <w:rPr>
          <w:sz w:val="18"/>
        </w:rPr>
        <w:t>——————————————————————————————————————————————————————————————————————</w:t>
      </w:r>
    </w:p>
    <w:p>
      <w:pPr>
        <w:spacing w:before="160" w:after="40" w:line="240" w:lineRule="auto"/>
      </w:pPr>
      <w:r>
        <w:rPr>
          <w:b/>
        </w:rPr>
        <w:t xml:space="preserve">[504] </w:t>
      </w:r>
      <w:hyperlink r:id="rId817">
        <w:r>
          <w:rPr>
            <w:color w:val="1155CC"/>
            <w:u w:val="single"/>
          </w:rPr>
          <w:t>为高效CO2光化甲烷化而在Alkaline地点有针对性地形成单碳酸碳酸盐</w:t>
        </w:r>
      </w:hyperlink>
    </w:p>
    <w:p>
      <w:pPr>
        <w:spacing w:before="0" w:after="80"/>
      </w:pPr>
      <w:r>
        <w:rPr>
          <w:i/>
          <w:sz w:val="20"/>
        </w:rPr>
        <w:t>EN: Targeted Formation of Bidentate Carbonates at Alkaline Sites for Efficient CO2 Photomethanation</w:t>
      </w:r>
    </w:p>
    <w:p>
      <w:pPr>
        <w:spacing w:before="0" w:after="120"/>
      </w:pPr>
      <w:r>
        <w:rPr>
          <w:b/>
        </w:rPr>
        <w:t xml:space="preserve">Source: </w:t>
      </w:r>
      <w:r>
        <w:t>Wiley: Angewandte Chemie International Edition: Table of Contents</w:t>
      </w:r>
      <w:r>
        <w:t xml:space="preserve">    </w:t>
      </w:r>
      <w:r>
        <w:rPr>
          <w:b/>
        </w:rPr>
        <w:t xml:space="preserve">Pub date: </w:t>
      </w:r>
      <w:r>
        <w:t>2026-02-18 18:13:45+00:00</w:t>
      </w:r>
      <w:r>
        <w:t xml:space="preserve">    </w:t>
      </w:r>
      <w:r>
        <w:rPr>
          <w:b/>
        </w:rPr>
        <w:t xml:space="preserve">DOI: </w:t>
      </w:r>
      <w:hyperlink r:id="rId818">
        <w:r>
          <w:rPr>
            <w:color w:val="1155CC"/>
            <w:u w:val="single"/>
          </w:rPr>
          <w:t>10.1002/anie.202524978</w:t>
        </w:r>
      </w:hyperlink>
    </w:p>
    <w:p>
      <w:pPr>
        <w:spacing w:before="0" w:after="120"/>
      </w:pPr>
      <w:r>
        <w:rPr>
          <w:b/>
        </w:rPr>
        <w:t xml:space="preserve">Notes: </w:t>
      </w:r>
      <w:r>
        <w:t>abstract_source=crossref</w:t>
      </w:r>
    </w:p>
    <w:p>
      <w:pPr>
        <w:spacing w:before="0" w:after="80" w:lineRule="auto" w:line="276"/>
      </w:pPr>
      <w:r>
        <w:rPr>
          <w:b/>
        </w:rPr>
        <w:t xml:space="preserve">摘要（ZH）: </w:t>
      </w:r>
      <w:r>
        <w:t>活动地点的精确设计对于发展高效和选择性高的催化剂至关重要,然而,在CO2转换中,对CO2促进者缺乏系统评价,更重要的是,对其相互作用的原子级了解限制了CO2反转催化剂的持续进展。在这里,我们提出了一个经过定制功能性地点改造的COAl氧化物,并使用CO2光化成像作为示范反应,以探究反应者与活跃地点之间的互动。具体来说,实验和理论结果说明促进效果。</w:t>
      </w:r>
    </w:p>
    <w:p>
      <w:pPr>
        <w:spacing w:before="0" w:after="200" w:lineRule="auto" w:line="276"/>
      </w:pPr>
      <w:r>
        <w:rPr>
          <w:b/>
        </w:rPr>
        <w:t xml:space="preserve">Abstract (EN): </w:t>
      </w:r>
      <w:r>
        <w:t>Precise design of active sites is crucial for developing highly efficient and selective catalysts. However, in CO</w:t>
      </w:r>
      <w:r>
        <w:rPr>
          <w:vertAlign w:val="subscript"/>
        </w:rPr>
        <w:t>2</w:t>
      </w:r>
      <w:r>
        <w:t>conversion, the lack of systematic evaluation of CO</w:t>
      </w:r>
      <w:r>
        <w:rPr>
          <w:vertAlign w:val="subscript"/>
        </w:rPr>
        <w:t>2</w:t>
      </w:r>
      <w:r>
        <w:t>promoters and more importantly the atomic‐level understanding of their interactions has limited the continuous progress of CO</w:t>
      </w:r>
      <w:r>
        <w:rPr>
          <w:vertAlign w:val="subscript"/>
        </w:rPr>
        <w:t>2</w:t>
      </w:r>
      <w:r>
        <w:t>‐conversion catalysts. Here, we present a CoAl oxide modified with tailored functional sites and employ CO</w:t>
      </w:r>
      <w:r>
        <w:rPr>
          <w:vertAlign w:val="subscript"/>
        </w:rPr>
        <w:t>2</w:t>
      </w:r>
      <w:r>
        <w:t>photomethanation as a model reaction to probe the interactions between reactants and active sites. Specifically, experimental and theoretical results elucidate that the promotion effects of alkaline sites (Li, Na, K, and Cs) originate from their ability to activate CO</w:t>
      </w:r>
      <w:r>
        <w:rPr>
          <w:vertAlign w:val="subscript"/>
        </w:rPr>
        <w:t>2</w:t>
      </w:r>
      <w:r>
        <w:t>into effective species of bidentate carbonates (b‐CO</w:t>
      </w:r>
      <w:r>
        <w:rPr>
          <w:vertAlign w:val="subscript"/>
        </w:rPr>
        <w:t>3</w:t>
      </w:r>
      <w:r>
        <w:t>*). Meanwhile, the introduced Ru species enable the heterolytic H</w:t>
      </w:r>
      <w:r>
        <w:rPr>
          <w:vertAlign w:val="subscript"/>
        </w:rPr>
        <w:t>2</w:t>
      </w:r>
      <w:r>
        <w:t>dissociation and the as‐formed H</w:t>
      </w:r>
      <w:r>
        <w:t xml:space="preserve"> </w:t>
      </w:r>
      <w:r>
        <w:t>δ−</w:t>
      </w:r>
      <w:r>
        <w:t>species, then efficiently drive the successive hydrogenation of b‐CO</w:t>
      </w:r>
      <w:r>
        <w:rPr>
          <w:vertAlign w:val="subscript"/>
        </w:rPr>
        <w:t>3</w:t>
      </w:r>
      <w:r>
        <w:t>* intermediates into CH</w:t>
      </w:r>
      <w:r>
        <w:rPr>
          <w:vertAlign w:val="subscript"/>
        </w:rPr>
        <w:t>4</w:t>
      </w:r>
      <w:r>
        <w:t>. Based on this targeted activation of CO</w:t>
      </w:r>
      <w:r>
        <w:rPr>
          <w:vertAlign w:val="subscript"/>
        </w:rPr>
        <w:t>2</w:t>
      </w:r>
      <w:r>
        <w:t>into b‐CO</w:t>
      </w:r>
      <w:r>
        <w:rPr>
          <w:vertAlign w:val="subscript"/>
        </w:rPr>
        <w:t>3</w:t>
      </w:r>
      <w:r>
        <w:t>* (and H</w:t>
      </w:r>
      <w:r>
        <w:rPr>
          <w:vertAlign w:val="subscript"/>
        </w:rPr>
        <w:t>2</w:t>
      </w:r>
      <w:r>
        <w:t>into H</w:t>
      </w:r>
      <w:r>
        <w:t xml:space="preserve"> </w:t>
      </w:r>
      <w:r>
        <w:t>δ−</w:t>
      </w:r>
      <w:r>
        <w:t>), the catalyst delivers an excellent single‐pass CO</w:t>
      </w:r>
      <w:r>
        <w:rPr>
          <w:vertAlign w:val="subscript"/>
        </w:rPr>
        <w:t>2</w:t>
      </w:r>
      <w:r>
        <w:t>conversion of ∼77% and CH</w:t>
      </w:r>
      <w:r>
        <w:rPr>
          <w:vertAlign w:val="subscript"/>
        </w:rPr>
        <w:t>4</w:t>
      </w:r>
      <w:r>
        <w:t>selectivity of ∼97.7% at a WHSV of 30,000 mL g</w:t>
      </w:r>
      <w:r>
        <w:t xml:space="preserve"> </w:t>
      </w:r>
      <w:r>
        <w:t>cat</w:t>
      </w:r>
      <w:r>
        <w:t xml:space="preserve"> </w:t>
      </w:r>
      <w:r>
        <w:t>−1</w:t>
      </w:r>
      <w:r>
        <w:t xml:space="preserve"> </w:t>
      </w:r>
      <w:r>
        <w:t>h</w:t>
      </w:r>
      <w:r>
        <w:t xml:space="preserve"> </w:t>
      </w:r>
      <w:r>
        <w:t>−1</w:t>
      </w:r>
      <w:r>
        <w:t xml:space="preserve"> </w:t>
      </w:r>
      <w:r>
        <w:t>(2.6 W cm</w:t>
      </w:r>
      <w:r>
        <w:t xml:space="preserve"> </w:t>
      </w:r>
      <w:r>
        <w:t>−2</w:t>
      </w:r>
      <w:r>
        <w:t xml:space="preserve"> </w:t>
      </w:r>
      <w:r>
        <w:t>irradiation), with stable operation for nearly 400 h. This work provides valuable insights into targeted activation of CO</w:t>
      </w:r>
      <w:r>
        <w:rPr>
          <w:vertAlign w:val="subscript"/>
        </w:rPr>
        <w:t>2</w:t>
      </w:r>
      <w:r>
        <w:t>and offers a new perspective for CO</w:t>
      </w:r>
      <w:r>
        <w:rPr>
          <w:vertAlign w:val="subscript"/>
        </w:rPr>
        <w:t>2</w:t>
      </w:r>
      <w:r>
        <w:t>conversion into value‐added chemicals.</w:t>
      </w:r>
    </w:p>
    <w:p>
      <w:pPr>
        <w:spacing w:before="120" w:after="120"/>
      </w:pPr>
      <w:r>
        <w:rPr>
          <w:sz w:val="18"/>
        </w:rPr>
        <w:t>——————————————————————————————————————————————————————————————————————</w:t>
      </w:r>
    </w:p>
    <w:p>
      <w:pPr>
        <w:spacing w:before="160" w:after="40" w:line="240" w:lineRule="auto"/>
      </w:pPr>
      <w:r>
        <w:rPr>
          <w:b/>
        </w:rPr>
        <w:t xml:space="preserve">[505] </w:t>
      </w:r>
      <w:hyperlink r:id="rId819">
        <w:r>
          <w:rPr>
            <w:color w:val="1155CC"/>
            <w:u w:val="single"/>
          </w:rPr>
          <w:t>PEO电解器的多规模工程,用于高压和超常固态锂电池的电解解器,具有特殊室室-温度性能</w:t>
        </w:r>
      </w:hyperlink>
    </w:p>
    <w:p>
      <w:pPr>
        <w:spacing w:before="0" w:after="80"/>
      </w:pPr>
      <w:r>
        <w:rPr>
          <w:i/>
          <w:sz w:val="20"/>
        </w:rPr>
        <w:t>EN: Multiscale Engineering of PEO Electrolytes for High‐Voltage and Ultrastable Solid‐State Lithium Batteries With Exceptional Room‐Temperature Performance</w:t>
      </w:r>
    </w:p>
    <w:p>
      <w:pPr>
        <w:spacing w:before="0" w:after="120"/>
      </w:pPr>
      <w:r>
        <w:rPr>
          <w:b/>
        </w:rPr>
        <w:t xml:space="preserve">Source: </w:t>
      </w:r>
      <w:r>
        <w:t>Wiley: Angewandte Chemie International Edition: Table of Contents</w:t>
      </w:r>
      <w:r>
        <w:t xml:space="preserve">    </w:t>
      </w:r>
      <w:r>
        <w:rPr>
          <w:b/>
        </w:rPr>
        <w:t xml:space="preserve">Pub date: </w:t>
      </w:r>
      <w:r>
        <w:t>2026-02-18 18:15:32+00:00</w:t>
      </w:r>
      <w:r>
        <w:t xml:space="preserve">    </w:t>
      </w:r>
      <w:r>
        <w:rPr>
          <w:b/>
        </w:rPr>
        <w:t xml:space="preserve">DOI: </w:t>
      </w:r>
      <w:hyperlink r:id="rId820">
        <w:r>
          <w:rPr>
            <w:color w:val="1155CC"/>
            <w:u w:val="single"/>
          </w:rPr>
          <w:t>10.1002/anie.202523382</w:t>
        </w:r>
      </w:hyperlink>
    </w:p>
    <w:p>
      <w:pPr>
        <w:spacing w:before="0" w:after="120"/>
      </w:pPr>
      <w:r>
        <w:rPr>
          <w:b/>
        </w:rPr>
        <w:t xml:space="preserve">Notes: </w:t>
      </w:r>
      <w:r>
        <w:t>abstract_source=crossref</w:t>
      </w:r>
    </w:p>
    <w:p>
      <w:pPr>
        <w:spacing w:before="0" w:after="80" w:lineRule="auto" w:line="276"/>
      </w:pPr>
      <w:r>
        <w:rPr>
          <w:b/>
        </w:rPr>
        <w:t xml:space="preserve">摘要（ZH）: </w:t>
      </w:r>
      <w:r>
        <w:t>ABSTACT 聚(环氧乙烷)电解解层显示出灵活固态电池的巨大前景,但面临离子传动动力学和干涉稳定性不足。在这里,我们提出一个多尺度的工程,通过结合聚(环氧乙烷)聚(2-二甲基氨基乙基甲基丙烯酸盐)硝酸酯(PEGPMAEMAH + □NO 3-)添加剂,协同调节大型红外聚物聚合物结构和微粒溶化结构。</w:t>
      </w:r>
    </w:p>
    <w:p>
      <w:pPr>
        <w:spacing w:before="0" w:after="200" w:lineRule="auto" w:line="276"/>
      </w:pPr>
      <w:r>
        <w:rPr>
          <w:b/>
        </w:rPr>
        <w:t xml:space="preserve">Abstract (EN): </w:t>
      </w:r>
      <w:r>
        <w:t>Poly(ethylene oxide) (PEO) electrolytes show significant promise for flexible solid‐state batteries, yet face insufficient ion transport kinetics and interfacial stability. Herein, we propose a multiscale engineering that synergistically modulates both macro‐mesoscopic polymer architectures and microscopic solvation configurations by incorporating poly(ethylene oxide)‐poly(2‐dimethylaminoethyl methacrylate) nitrate (PEG‐PDMAEMAH</w:t>
      </w:r>
      <w:r>
        <w:t xml:space="preserve"> </w:t>
      </w:r>
      <w:r>
        <w:t>+</w:t>
      </w:r>
      <w:r>
        <w:t xml:space="preserve"> </w:t>
      </w:r>
      <w:r>
        <w:t>·NO</w:t>
      </w:r>
      <w:r>
        <w:rPr>
          <w:vertAlign w:val="subscript"/>
        </w:rPr>
        <w:t>3</w:t>
      </w:r>
      <w:r>
        <w:t>−</w:t>
      </w:r>
      <w:r>
        <w:t>) additives. The introduced polycationic chains effectively disrupt PEO crystallinity, promote segmental motion and enhance the solubility of NO</w:t>
      </w:r>
      <w:r>
        <w:rPr>
          <w:vertAlign w:val="subscript"/>
        </w:rPr>
        <w:t>3</w:t>
      </w:r>
      <w:r>
        <w:t>−</w:t>
      </w:r>
      <w:r>
        <w:t>. Importantly, NO</w:t>
      </w:r>
      <w:r>
        <w:rPr>
          <w:vertAlign w:val="subscript"/>
        </w:rPr>
        <w:t>3</w:t>
      </w:r>
      <w:r>
        <w:t>−</w:t>
      </w:r>
      <w:r>
        <w:t>with high donor number can competitively coordinate with Li</w:t>
      </w:r>
      <w:r>
        <w:t xml:space="preserve"> </w:t>
      </w:r>
      <w:r>
        <w:t>+</w:t>
      </w:r>
      <w:r>
        <w:t xml:space="preserve"> </w:t>
      </w:r>
      <w:r>
        <w:t>, weakening the ethylene oxide‐Li</w:t>
      </w:r>
      <w:r>
        <w:t xml:space="preserve"> </w:t>
      </w:r>
      <w:r>
        <w:t>+</w:t>
      </w:r>
      <w:r>
        <w:t xml:space="preserve"> </w:t>
      </w:r>
      <w:r>
        <w:t>chelation and thereby boosting bulk Li</w:t>
      </w:r>
      <w:r>
        <w:t xml:space="preserve"> </w:t>
      </w:r>
      <w:r>
        <w:t>+</w:t>
      </w:r>
      <w:r>
        <w:t xml:space="preserve"> </w:t>
      </w:r>
      <w:r>
        <w:t>mobility. The resulting anion‐rich solvation structure lowers the desolvation energy barrier and fosters the formation of robust, highly conductive inorganic‐rich solid electrolyte interlayers at both the cathode and anode, which enhances the interfacial kinetics and high‐voltage tolerance. Consequently, the engineered PEO electrolyte enables lithium metal batteries to operate stably at near‐room temperature (30°C) without liquid plasticizers. Correspondingly, the 4.3 V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cell achieves stable cycling over 500 cycles at 0.2 C with a high capacity retention (82.7%), while the LiFePO</w:t>
      </w:r>
      <w:r>
        <w:rPr>
          <w:vertAlign w:val="subscript"/>
        </w:rPr>
        <w:t>4</w:t>
      </w:r>
      <w:r>
        <w:t>cell maintains stable operation for 1200 cycles at 0.5 C (30°C). The proposed strategy creates an avenue to accelerate the eventual commercialization of the polymer electrolytes for solid‐state lithium batteries.</w:t>
      </w:r>
    </w:p>
    <w:p>
      <w:pPr>
        <w:spacing w:before="120" w:after="120"/>
      </w:pPr>
      <w:r>
        <w:rPr>
          <w:sz w:val="18"/>
        </w:rPr>
        <w:t>——————————————————————————————————————————————————————————————————————</w:t>
      </w:r>
    </w:p>
    <w:p>
      <w:pPr>
        <w:spacing w:before="160" w:after="40" w:line="240" w:lineRule="auto"/>
      </w:pPr>
      <w:r>
        <w:rPr>
          <w:b/>
        </w:rPr>
        <w:t xml:space="preserve">[506] </w:t>
      </w:r>
      <w:hyperlink r:id="rId821">
        <w:r>
          <w:rPr>
            <w:color w:val="1155CC"/>
            <w:u w:val="single"/>
          </w:rPr>
          <w:t>利用阵间集中场和电子场进行Alkynol电催化半湿湿性脱氧化</w:t>
        </w:r>
      </w:hyperlink>
    </w:p>
    <w:p>
      <w:pPr>
        <w:spacing w:before="0" w:after="80"/>
      </w:pPr>
      <w:r>
        <w:rPr>
          <w:i/>
          <w:sz w:val="20"/>
        </w:rPr>
        <w:t>EN: Concerted Harnessing of Interfacial Concentration Field and Electronic Field for Boosting Electrocatalytic Semi‐Hydrogenation of Alkynol</w:t>
      </w:r>
    </w:p>
    <w:p>
      <w:pPr>
        <w:spacing w:before="0" w:after="120"/>
      </w:pPr>
      <w:r>
        <w:rPr>
          <w:b/>
        </w:rPr>
        <w:t xml:space="preserve">Source: </w:t>
      </w:r>
      <w:r>
        <w:t>Wiley: Angewandte Chemie International Edition: Table of Contents</w:t>
      </w:r>
      <w:r>
        <w:t xml:space="preserve">    </w:t>
      </w:r>
      <w:r>
        <w:rPr>
          <w:b/>
        </w:rPr>
        <w:t xml:space="preserve">Pub date: </w:t>
      </w:r>
      <w:r>
        <w:t>2026-02-18 18:21:42+00:00</w:t>
      </w:r>
      <w:r>
        <w:t xml:space="preserve">    </w:t>
      </w:r>
      <w:r>
        <w:rPr>
          <w:b/>
        </w:rPr>
        <w:t xml:space="preserve">DOI: </w:t>
      </w:r>
      <w:hyperlink r:id="rId822">
        <w:r>
          <w:rPr>
            <w:color w:val="1155CC"/>
            <w:u w:val="single"/>
          </w:rPr>
          <w:t>10.1002/anie.1360507</w:t>
        </w:r>
      </w:hyperlink>
    </w:p>
    <w:p>
      <w:pPr>
        <w:spacing w:before="0" w:after="120"/>
      </w:pPr>
      <w:r>
        <w:rPr>
          <w:b/>
        </w:rPr>
        <w:t xml:space="preserve">Notes: </w:t>
      </w:r>
      <w:r>
        <w:t>abstract_source=crossref</w:t>
      </w:r>
    </w:p>
    <w:p>
      <w:pPr>
        <w:spacing w:before="0" w:after="80" w:lineRule="auto" w:line="276"/>
      </w:pPr>
      <w:r>
        <w:rPr>
          <w:b/>
        </w:rPr>
        <w:t xml:space="preserve">摘要（ZH）: </w:t>
      </w:r>
      <w:r>
        <w:t>电动催化半氢氢化提供了一种可持续和原子经济途径,使 alkynes转换为藻类。然而,一种流行的活动 — — 选择性交换 — — 困扰完全依靠电子结构调整的电动催化器设计。 因此,为了实现高法拉达效率(FE)和在电催化烷基醇半氢化过程中的选择性,提出了一种双向双向协同战略。 水化K+和引入Pd原子的顶端诱发积累和引入Pd原子通过理论筛选得到验证,以此作为获得浓度和电子场协同作用的有效方法。 在其指导下,存放在Pd原子集群中的Cu纳米喇叭是很好的。</w:t>
      </w:r>
    </w:p>
    <w:p>
      <w:pPr>
        <w:spacing w:before="0" w:after="200" w:lineRule="auto" w:line="276"/>
      </w:pPr>
      <w:r>
        <w:rPr>
          <w:b/>
        </w:rPr>
        <w:t xml:space="preserve">Abstract (EN): </w:t>
      </w:r>
      <w:r>
        <w:t>Electrocatalytic semi‐hydrogenation offers a sustainable and atom‐economical route for alkynes to alkenes conversion. However, a prevalent activity–selectivity trade‐off plagues the electrocatalyst design that relies exclusively on electronic structure tuning. Herein, an interfacial dual‐field synergy strategy was proposed for achieving high Faradaic efficiency (FE) and selectivity in electrocatalytic alkynol semi‐hydrogenation. The tip‐induced accumulation of hydrated K</w:t>
      </w:r>
      <w:r>
        <w:t xml:space="preserve"> </w:t>
      </w:r>
      <w:r>
        <w:t>+</w:t>
      </w:r>
      <w:r>
        <w:t xml:space="preserve"> </w:t>
      </w:r>
      <w:r>
        <w:t>and the introduction of Pd atoms were verified by theoretical screening as an effective method to acquire the concentration and electronic field synergy. Guided by it, the Cu nanothorns deposited with Pd atomic clusters were well‐constructed, which delivered high selectivity of 99% and FE of 96.5% toward alkenol with robust stability at a low potential of −0.18 V versus RHE. Detailed analysis was demonstrated to rationalize the interfacial alkynol and hydrated K</w:t>
      </w:r>
      <w:r>
        <w:t xml:space="preserve"> </w:t>
      </w:r>
      <w:r>
        <w:t>+</w:t>
      </w:r>
      <w:r>
        <w:t xml:space="preserve"> </w:t>
      </w:r>
      <w:r>
        <w:t>accumulation by concentration field regulation, as well as the electron divergence of Pd</w:t>
      </w:r>
      <w:r>
        <w:t xml:space="preserve"> </w:t>
      </w:r>
      <w:r>
        <w:t>δ+</w:t>
      </w:r>
      <w:r>
        <w:t xml:space="preserve"> </w:t>
      </w:r>
      <w:r>
        <w:t>and Cu</w:t>
      </w:r>
      <w:r>
        <w:t xml:space="preserve"> </w:t>
      </w:r>
      <w:r>
        <w:t>δ</w:t>
      </w:r>
      <w:r>
        <w:t xml:space="preserve"> </w:t>
      </w:r>
      <w:r>
        <w:t>−</w:t>
      </w:r>
      <w:r>
        <w:t>atoms with concerted C≡C and H binding on Pd</w:t>
      </w:r>
      <w:r>
        <w:t xml:space="preserve"> </w:t>
      </w:r>
      <w:r>
        <w:t>δ+</w:t>
      </w:r>
      <w:r>
        <w:t xml:space="preserve"> </w:t>
      </w:r>
      <w:r>
        <w:t>sites by electronic field modulation. Benefiting from the interfacial dual‐field synergy building a favorable reactant‐rich and intermediate‐coordinating microenvironment, the origin of dual achievement in both high FE and selectivity was illustrated. Our work provides a technically feasible and economically valuable solution for transcending the activity–selectivity dilemma for electrocatalysis.</w:t>
      </w:r>
    </w:p>
    <w:p>
      <w:pPr>
        <w:spacing w:before="120" w:after="120"/>
      </w:pPr>
      <w:r>
        <w:rPr>
          <w:sz w:val="18"/>
        </w:rPr>
        <w:t>——————————————————————————————————————————————————————————————————————</w:t>
      </w:r>
    </w:p>
    <w:p>
      <w:pPr>
        <w:spacing w:before="160" w:after="40" w:line="240" w:lineRule="auto"/>
      </w:pPr>
      <w:r>
        <w:rPr>
          <w:b/>
        </w:rPr>
        <w:t xml:space="preserve">[507] </w:t>
      </w:r>
      <w:hyperlink r:id="rId823">
        <w:r>
          <w:rPr>
            <w:color w:val="1155CC"/>
            <w:u w:val="single"/>
          </w:rPr>
          <w:t>能源级别 选择性Dye 敏感度 增强紫外线反向释放</w:t>
        </w:r>
      </w:hyperlink>
    </w:p>
    <w:p>
      <w:pPr>
        <w:spacing w:before="0" w:after="80"/>
      </w:pPr>
      <w:r>
        <w:rPr>
          <w:i/>
          <w:sz w:val="20"/>
        </w:rPr>
        <w:t>EN: Energy‐Level‐Selective Dye Sensitization Enables Enhanced Ultraviolet Upconversion Emission</w:t>
      </w:r>
    </w:p>
    <w:p>
      <w:pPr>
        <w:spacing w:before="0" w:after="120"/>
      </w:pPr>
      <w:r>
        <w:rPr>
          <w:b/>
        </w:rPr>
        <w:t xml:space="preserve">Source: </w:t>
      </w:r>
      <w:r>
        <w:t>Wiley: Angewandte Chemie International Edition: Table of Contents</w:t>
      </w:r>
      <w:r>
        <w:t xml:space="preserve">    </w:t>
      </w:r>
      <w:r>
        <w:rPr>
          <w:b/>
        </w:rPr>
        <w:t xml:space="preserve">Pub date: </w:t>
      </w:r>
      <w:r>
        <w:t>2026-02-18 18:23:30+00:00</w:t>
      </w:r>
      <w:r>
        <w:t xml:space="preserve">    </w:t>
      </w:r>
      <w:r>
        <w:rPr>
          <w:b/>
        </w:rPr>
        <w:t xml:space="preserve">DOI: </w:t>
      </w:r>
      <w:hyperlink r:id="rId824">
        <w:r>
          <w:rPr>
            <w:color w:val="1155CC"/>
            <w:u w:val="single"/>
          </w:rPr>
          <w:t>10.1002/anie.2067337</w:t>
        </w:r>
      </w:hyperlink>
    </w:p>
    <w:p>
      <w:pPr>
        <w:spacing w:before="0" w:after="120"/>
      </w:pPr>
      <w:r>
        <w:rPr>
          <w:b/>
        </w:rPr>
        <w:t xml:space="preserve">Notes: </w:t>
      </w:r>
      <w:r>
        <w:t>abstract_source=crossref</w:t>
      </w:r>
    </w:p>
    <w:p>
      <w:pPr>
        <w:spacing w:before="0" w:after="80" w:lineRule="auto" w:line="276"/>
      </w:pPr>
      <w:r>
        <w:rPr>
          <w:b/>
        </w:rPr>
        <w:t xml:space="preserve">摘要（ZH）: </w:t>
      </w:r>
      <w:r>
        <w:t>ABSTACT Ultiolet (UV) 反转排放具有吸引力,因为高能光子可引发长期辐照无法取得的光物理和光化学转化,然而,常规Yb 3+敏化的反转纳米粒子(UCNPs)在4f4f吸收和多种能源水平之间的大量能源分散方面内在薄弱,限制了它们产生密集、光谱聚焦的紫外辐射的能力。在此,我们引入了直接染色敏化战略,大大增强了Tm 3+基UV的反转排放。使用氰酸染色Cy5作为分子天线,635nm Excurence 选择i。</w:t>
      </w:r>
    </w:p>
    <w:p>
      <w:pPr>
        <w:spacing w:before="0" w:after="200" w:lineRule="auto" w:line="276"/>
      </w:pPr>
      <w:r>
        <w:rPr>
          <w:b/>
        </w:rPr>
        <w:t xml:space="preserve">Abstract (EN): </w:t>
      </w:r>
      <w:r>
        <w:t>Ultraviolet (UV) upconversion emission is attractive because high‐energy photons can initiate photophysical and photochemical transformations that are inaccessible with longer‐wavelength irradiation. However, conventional Yb</w:t>
      </w:r>
      <w:r>
        <w:t xml:space="preserve"> </w:t>
      </w:r>
      <w:r>
        <w:t>3+</w:t>
      </w:r>
      <w:r>
        <w:t xml:space="preserve"> </w:t>
      </w:r>
      <w:r>
        <w:t>‐sensitized upconversion nanoparticles (UCNPs) exhibit intrinsically weak 4f‐4f absorption and significant energy dispersion among multiple energy levels, limiting their ability to generate intense, spectrally focused UV emission. Here, we introduce a direct dye‐sensitization strategy that dramatically enhances Tm</w:t>
      </w:r>
      <w:r>
        <w:rPr>
          <w:vertAlign w:val="subscript"/>
        </w:rPr>
        <w:t>3</w:t>
      </w:r>
      <w:r>
        <w:t>+</w:t>
      </w:r>
      <w:r>
        <w:t xml:space="preserve"> </w:t>
      </w:r>
      <w:r>
        <w:t>‐based UV upconversion emission. Using cyanine dye Cy5 as a molecular antenna, 635 nm excitation selectively populates the Tm</w:t>
      </w:r>
      <w:r>
        <w:t xml:space="preserve"> </w:t>
      </w:r>
      <w:r>
        <w:t>3+ 1</w:t>
      </w:r>
      <w:r>
        <w:t xml:space="preserve"> </w:t>
      </w:r>
      <w:r>
        <w:t>D</w:t>
      </w:r>
      <w:r>
        <w:rPr>
          <w:vertAlign w:val="subscript"/>
        </w:rPr>
        <w:t>2</w:t>
      </w:r>
      <w:r>
        <w:t>state, yielding intense emission at 361 and 451 nm. Mechanistic studies revealed a direct energy transfer from photo‐excited Cy5 to Tm</w:t>
      </w:r>
      <w:r>
        <w:t xml:space="preserve"> </w:t>
      </w:r>
      <w:r>
        <w:t>3+</w:t>
      </w:r>
      <w:r>
        <w:t xml:space="preserve"> </w:t>
      </w:r>
      <w:r>
        <w:t>, in which a</w:t>
      </w:r>
      <w:r>
        <w:rPr>
          <w:vertAlign w:val="subscript"/>
        </w:rPr>
        <w:t>3</w:t>
      </w:r>
      <w:r>
        <w:t>F</w:t>
      </w:r>
      <w:r>
        <w:t xml:space="preserve"> </w:t>
      </w:r>
      <w:r>
        <w:t>2,3</w:t>
      </w:r>
      <w:r>
        <w:t xml:space="preserve"> </w:t>
      </w:r>
      <w:r>
        <w:t>‐mediated two‐photon upconversion process efficiently populates the</w:t>
      </w:r>
      <w:r>
        <w:rPr>
          <w:vertAlign w:val="subscript"/>
        </w:rPr>
        <w:t>1</w:t>
      </w:r>
      <w:r>
        <w:t>D</w:t>
      </w:r>
      <w:r>
        <w:rPr>
          <w:vertAlign w:val="subscript"/>
        </w:rPr>
        <w:t>2</w:t>
      </w:r>
      <w:r>
        <w:t>level. Subsequent radiative relaxation generates well‐defined UV and blue emissions. Compared with conventional 980 nm excitation, this dye‐sensitized Tm</w:t>
      </w:r>
      <w:r>
        <w:t xml:space="preserve"> </w:t>
      </w:r>
      <w:r>
        <w:t>3+</w:t>
      </w:r>
      <w:r>
        <w:t xml:space="preserve"> </w:t>
      </w:r>
      <w:r>
        <w:t>UV emission shows a three‐orders‐of‐magnitude enhancement from ultrasmall ∼7 nm UCNPs. Furthermore, we demonstrated that Cy5 sensitized Tm</w:t>
      </w:r>
      <w:r>
        <w:t xml:space="preserve"> </w:t>
      </w:r>
      <w:r>
        <w:t>3+</w:t>
      </w:r>
      <w:r>
        <w:t xml:space="preserve"> </w:t>
      </w:r>
      <w:r>
        <w:t>UV emission can facilitate the photochemical reaction in a microreactor, underscoring its practical utility. This generalizable approach provides a versatile platform for creating bright, spectrally concentrated UV upconversion systems for photochemical, photocatalytic, and photonic applications.</w:t>
      </w:r>
    </w:p>
    <w:p>
      <w:pPr>
        <w:spacing w:before="120" w:after="120"/>
      </w:pPr>
      <w:r>
        <w:rPr>
          <w:sz w:val="18"/>
        </w:rPr>
        <w:t>——————————————————————————————————————————————————————————————————————</w:t>
      </w:r>
    </w:p>
    <w:p>
      <w:pPr>
        <w:spacing w:before="160" w:after="40" w:line="240" w:lineRule="auto"/>
      </w:pPr>
      <w:r>
        <w:rPr>
          <w:b/>
        </w:rPr>
        <w:t xml:space="preserve">[508] </w:t>
      </w:r>
      <w:hyperlink r:id="rId825">
        <w:r>
          <w:rPr>
            <w:color w:val="1155CC"/>
            <w:u w:val="single"/>
          </w:rPr>
          <w:t>作为复合聚聚物电解解解层间调控全球战略,消除稀释的残余效应</w:t>
        </w:r>
      </w:hyperlink>
    </w:p>
    <w:p>
      <w:pPr>
        <w:spacing w:before="0" w:after="80"/>
      </w:pPr>
      <w:r>
        <w:rPr>
          <w:i/>
          <w:sz w:val="20"/>
        </w:rPr>
        <w:t>EN: Unveiling the Dilution‐Shielding Effect as a Universal Strategy for Interfacial Regulation in Composite Polymer Electrolytes</w:t>
      </w:r>
    </w:p>
    <w:p>
      <w:pPr>
        <w:spacing w:before="0" w:after="120"/>
      </w:pPr>
      <w:r>
        <w:rPr>
          <w:b/>
        </w:rPr>
        <w:t xml:space="preserve">Source: </w:t>
      </w:r>
      <w:r>
        <w:t>Wiley: Angewandte Chemie International Edition: Table of Contents</w:t>
      </w:r>
      <w:r>
        <w:t xml:space="preserve">    </w:t>
      </w:r>
      <w:r>
        <w:rPr>
          <w:b/>
        </w:rPr>
        <w:t xml:space="preserve">Pub date: </w:t>
      </w:r>
      <w:r>
        <w:t>2026-02-18 18:32:24+00:00</w:t>
      </w:r>
      <w:r>
        <w:t xml:space="preserve">    </w:t>
      </w:r>
      <w:r>
        <w:rPr>
          <w:b/>
        </w:rPr>
        <w:t xml:space="preserve">DOI: </w:t>
      </w:r>
      <w:hyperlink r:id="rId826">
        <w:r>
          <w:rPr>
            <w:color w:val="1155CC"/>
            <w:u w:val="single"/>
          </w:rPr>
          <w:t>10.1002/anie.8139928</w:t>
        </w:r>
      </w:hyperlink>
    </w:p>
    <w:p>
      <w:pPr>
        <w:spacing w:before="0" w:after="120"/>
      </w:pPr>
      <w:r>
        <w:rPr>
          <w:b/>
        </w:rPr>
        <w:t xml:space="preserve">Notes: </w:t>
      </w:r>
      <w:r>
        <w:t>abstract_source=crossref</w:t>
      </w:r>
    </w:p>
    <w:p>
      <w:pPr>
        <w:spacing w:before="0" w:after="80" w:lineRule="auto" w:line="276"/>
      </w:pPr>
      <w:r>
        <w:rPr>
          <w:b/>
        </w:rPr>
        <w:t xml:space="preserve">摘要（ZH）: </w:t>
      </w:r>
      <w:r>
        <w:t>ABSTACT ABSTACT 将聚(乙烯氟化碳-co-六氟丙烯)(PVDF-HFP)与garnet型陶瓷填充器结合的聚(乙烯-氟化碳-六氟丙烯)(PVDF-HFP)合成固态电解液在机械灵活性和电传导性之间保持平衡,但寄生体间反应会损害长期化学和电化学稳定。PVDFHFP 与极地溶剂协调,形成碱性微环境,加速聚合物的降解。我们在此揭示了一种稀释作用,它提供了一种促进复合聚合物电解解解液(CPEs)间消化和促成统一的李+运输的通用战略。具体地说,我们吸收了氟。</w:t>
      </w:r>
    </w:p>
    <w:p>
      <w:pPr>
        <w:spacing w:before="0" w:after="200" w:lineRule="auto" w:line="276"/>
      </w:pPr>
      <w:r>
        <w:rPr>
          <w:b/>
        </w:rPr>
        <w:t xml:space="preserve">Abstract (EN): </w:t>
      </w:r>
      <w:r>
        <w:t>Composite solid electrolytes integrating poly(vinylidene fluoride‐co‐hexafluoropropylene) (PVDF‐HFP) with garnet‐type ceramic fillers offer a balance of mechanical flexibility and ionic conductivity, yet parasitic interfacial reactions compromise long‐term chemical and electrochemical stabilities. PVDF‐HFP undergoes dehydrofluorination when lanthanum (La) sites on garnet fillers coordinate with polar solvents, creating alkaline microenvironments that accelerate polymer degradation. Here, we unravel a dilution‐shielding effect that offers a universal strategy for promoting interfacial passivation of composite polymer electrolytes (CPEs) and enabling uniform Li</w:t>
      </w:r>
      <w:r>
        <w:t xml:space="preserve"> </w:t>
      </w:r>
      <w:r>
        <w:t>+</w:t>
      </w:r>
      <w:r>
        <w:t xml:space="preserve"> </w:t>
      </w:r>
      <w:r>
        <w:t>transport. Specifically, incorporating fluoroethylene carbonate (FEC) with an ultrahigh dielectric constant effectively attenuates the activity of strongly basic coordinating solvents and electrostatically shields La sites, thereby effectively preventing the formation of alkaline microenvironments and alleviating dehydrofluorination. This simple strategy also concurrently drives in situ formation of a LiF‐rich protective interphase. Comprehensive in situ characterizations substantiate that the resulting FEC‐modified CPE enables enhanced interfacial passivation and stable Li</w:t>
      </w:r>
      <w:r>
        <w:t xml:space="preserve"> </w:t>
      </w:r>
      <w:r>
        <w:t>+</w:t>
      </w:r>
      <w:r>
        <w:t xml:space="preserve"> </w:t>
      </w:r>
      <w:r>
        <w:t>transport. Consequently, Li|Li symmetric cells achieve stable cycling for over 700 h at 0.1 mA cm</w:t>
      </w:r>
      <w:r>
        <w:t xml:space="preserve"> </w:t>
      </w:r>
      <w:r>
        <w:t>−2</w:t>
      </w:r>
      <w:r>
        <w:t xml:space="preserve"> </w:t>
      </w:r>
      <w:r>
        <w:t>, and LiFePO</w:t>
      </w:r>
      <w:r>
        <w:rPr>
          <w:vertAlign w:val="subscript"/>
        </w:rPr>
        <w:t>4</w:t>
      </w:r>
      <w:r>
        <w:t>|Li full cells deliver more than 1200 cycles at 1C with 90.2% capacity retention. This work establishes the dilution‐shielding effect as a transferable interfacial regulation strategy, providing new insights into the design of chemically and electrochemically stable solid‐state lithium metal batteries (ssLMBs).</w:t>
      </w:r>
    </w:p>
    <w:p>
      <w:pPr>
        <w:spacing w:before="120" w:after="120"/>
      </w:pPr>
      <w:r>
        <w:rPr>
          <w:sz w:val="18"/>
        </w:rPr>
        <w:t>——————————————————————————————————————————————————————————————————————</w:t>
      </w:r>
    </w:p>
    <w:p>
      <w:pPr>
        <w:spacing w:before="160" w:after="40" w:line="240" w:lineRule="auto"/>
      </w:pPr>
      <w:r>
        <w:rPr>
          <w:b/>
        </w:rPr>
        <w:t xml:space="preserve">[509] </w:t>
      </w:r>
      <w:hyperlink r:id="rId827">
        <w:r>
          <w:rPr>
            <w:color w:val="1155CC"/>
            <w:u w:val="single"/>
          </w:rPr>
          <w:t>眼部健康管理和加强眼部功能的无线智能接触镜头的最新进展</w:t>
        </w:r>
      </w:hyperlink>
    </w:p>
    <w:p>
      <w:pPr>
        <w:spacing w:before="0" w:after="80"/>
      </w:pPr>
      <w:r>
        <w:rPr>
          <w:i/>
          <w:sz w:val="20"/>
        </w:rPr>
        <w:t>EN: Recent Advances in Wireless Smart Contact Lenses for Ophthalmic Health Management and Eye‐Function Enhancement</w:t>
      </w:r>
    </w:p>
    <w:p>
      <w:pPr>
        <w:spacing w:before="0" w:after="120"/>
      </w:pPr>
      <w:r>
        <w:rPr>
          <w:b/>
        </w:rPr>
        <w:t xml:space="preserve">Source: </w:t>
      </w:r>
      <w:r>
        <w:t>Wiley: Advanced Materials: Table of Contents</w:t>
      </w:r>
      <w:r>
        <w:t xml:space="preserve">    </w:t>
      </w:r>
      <w:r>
        <w:rPr>
          <w:b/>
        </w:rPr>
        <w:t xml:space="preserve">Pub date: </w:t>
      </w:r>
      <w:r>
        <w:t>2026-02-18 18:35:08+00:00</w:t>
      </w:r>
      <w:r>
        <w:t xml:space="preserve">    </w:t>
      </w:r>
      <w:r>
        <w:rPr>
          <w:b/>
        </w:rPr>
        <w:t xml:space="preserve">DOI: </w:t>
      </w:r>
      <w:hyperlink r:id="rId828">
        <w:r>
          <w:rPr>
            <w:color w:val="1155CC"/>
            <w:u w:val="single"/>
          </w:rPr>
          <w:t>10.1002/adma.202516945</w:t>
        </w:r>
      </w:hyperlink>
    </w:p>
    <w:p>
      <w:pPr>
        <w:spacing w:before="0" w:after="120"/>
      </w:pPr>
      <w:r>
        <w:rPr>
          <w:b/>
        </w:rPr>
        <w:t xml:space="preserve">Notes: </w:t>
      </w:r>
      <w:r>
        <w:t>abstract_source=crossref</w:t>
      </w:r>
    </w:p>
    <w:p>
      <w:pPr>
        <w:spacing w:before="0" w:after="80" w:lineRule="auto" w:line="276"/>
      </w:pPr>
      <w:r>
        <w:rPr>
          <w:b/>
        </w:rPr>
        <w:t xml:space="preserve">摘要（ZH）: </w:t>
      </w:r>
      <w:r>
        <w:t>通过连续的物理、化学和生理信号监测和眼睛运动编码,可视装置需要更加舒适、无线和集成。 无线智能隐形眼镜(WSCLs)作为非侵入性无线多功能眼眼功能平台,充分满足了监测眼部信息并治疗眼病的要求,已经引起了人们的极大关注。 这一全面审查总结了设计、制造和应用WSCLs的最新进展。 首先,我们通过系统分析子体、多功能连接器和功能性部件(特别是空域),引入了设计方法。</w:t>
      </w:r>
    </w:p>
    <w:p>
      <w:pPr>
        <w:spacing w:before="0" w:after="200" w:lineRule="auto" w:line="276"/>
      </w:pPr>
      <w:r>
        <w:rPr>
          <w:b/>
        </w:rPr>
        <w:t xml:space="preserve">Abstract (EN): </w:t>
      </w:r>
      <w:r>
        <w:t>Realizing the full potential of ophthalmic health management and eye–machine interaction via continuous physical, chemical, and physiological signal monitoring and eye movement encoding, eye‐wearable devices necessitate more comfort, wireless, and integration. Wireless smart contact lenses (WSCLs), as a non‐invasive wireless multifunctional eye‐wearable platform that fully satisfies the requirements of monitoring ocular information and treating eye diseases, have garnered significant attention. This comprehensive review summarizes the recent progress in the design, fabrication, and application of WSCLs. First, we introduce the design methodology through a systematic analysis of the substrates, multifunctional coils, and capacitive components, with particular emphasis on the interrelationships among material selection, structural optimization, and performance parameters. Subsequently, the circuit configurations of WSCLs are delineated, focusing on the functional contributions of individual components within the circuitry. Following the fabrication processes employed in WSCLs production are analyzed, with specific attention to the processing techniques tailored for diverse material types. Finally, the application prospects of WSCLs in health monitoring, disease treatment, and human–machine interaction are comprehensively summarized, accompanied by a forward‐looking perspective on future developmental trajectories.</w:t>
      </w:r>
    </w:p>
    <w:p>
      <w:pPr>
        <w:spacing w:before="120" w:after="120"/>
      </w:pPr>
      <w:r>
        <w:rPr>
          <w:sz w:val="18"/>
        </w:rPr>
        <w:t>——————————————————————————————————————————————————————————————————————</w:t>
      </w:r>
    </w:p>
    <w:p>
      <w:pPr>
        <w:spacing w:before="160" w:after="40" w:line="240" w:lineRule="auto"/>
      </w:pPr>
      <w:r>
        <w:rPr>
          <w:b/>
        </w:rPr>
        <w:t xml:space="preserve">[510] </w:t>
      </w:r>
      <w:hyperlink r:id="rId829">
        <w:r>
          <w:rPr>
            <w:color w:val="1155CC"/>
            <w:u w:val="single"/>
          </w:rPr>
          <w:t>极快截取锂电池的双二元晶体 AlkyneRich 混合碳气框架</w:t>
        </w:r>
      </w:hyperlink>
    </w:p>
    <w:p>
      <w:pPr>
        <w:spacing w:before="0" w:after="80"/>
      </w:pPr>
      <w:r>
        <w:rPr>
          <w:i/>
          <w:sz w:val="20"/>
        </w:rPr>
        <w:t>EN: Two‐Dimensional Crystalline Alkyne‐Rich Conjugated Carbonaceous Framework for Extremely Fast‐Charging Lithium‐Ion Batteries</w:t>
      </w:r>
    </w:p>
    <w:p>
      <w:pPr>
        <w:spacing w:before="0" w:after="120"/>
      </w:pPr>
      <w:r>
        <w:rPr>
          <w:b/>
        </w:rPr>
        <w:t xml:space="preserve">Source: </w:t>
      </w:r>
      <w:r>
        <w:t>Wiley: Advanced Materials: Table of Contents</w:t>
      </w:r>
      <w:r>
        <w:t xml:space="preserve">    </w:t>
      </w:r>
      <w:r>
        <w:rPr>
          <w:b/>
        </w:rPr>
        <w:t xml:space="preserve">Pub date: </w:t>
      </w:r>
      <w:r>
        <w:t>2026-02-18 18:36:24+00:00</w:t>
      </w:r>
      <w:r>
        <w:t xml:space="preserve">    </w:t>
      </w:r>
      <w:r>
        <w:rPr>
          <w:b/>
        </w:rPr>
        <w:t xml:space="preserve">DOI: </w:t>
      </w:r>
      <w:hyperlink r:id="rId830">
        <w:r>
          <w:rPr>
            <w:color w:val="1155CC"/>
            <w:u w:val="single"/>
          </w:rPr>
          <w:t>10.1002/adma.202522979</w:t>
        </w:r>
      </w:hyperlink>
    </w:p>
    <w:p>
      <w:pPr>
        <w:spacing w:before="0" w:after="120"/>
      </w:pPr>
      <w:r>
        <w:rPr>
          <w:b/>
        </w:rPr>
        <w:t xml:space="preserve">Notes: </w:t>
      </w:r>
      <w:r>
        <w:t>abstract_source=crossref</w:t>
      </w:r>
    </w:p>
    <w:p>
      <w:pPr>
        <w:spacing w:before="0" w:after="80" w:lineRule="auto" w:line="276"/>
      </w:pPr>
      <w:r>
        <w:rPr>
          <w:b/>
        </w:rPr>
        <w:t xml:space="preserve">摘要（ZH）: </w:t>
      </w:r>
      <w:r>
        <w:t>使用快速大规模运输动能学开发高品质的同质碳素材料对于快速充电锂(Li)-离子电池(LIBs)十分重要。在这里,我们报告了一项“分子锁定和编织”战略,以合成2D烷富李氏碳酸酯(LCACF)同质碳化框架(LCACF),大型地区超丁LCCF拥有高晶体性、定序堆叠和内在的共振结构,从而创建了相近和LCcribed快利离扩散渠道。LC组的整合极大地改变了同质框架的电子结构,以改善地表电荷和电子导性,使LCACF具有促进电动效应,以提振力传输动能。</w:t>
      </w:r>
    </w:p>
    <w:p>
      <w:pPr>
        <w:spacing w:before="0" w:after="200" w:lineRule="auto" w:line="276"/>
      </w:pPr>
      <w:r>
        <w:rPr>
          <w:b/>
        </w:rPr>
        <w:t xml:space="preserve">Abstract (EN): </w:t>
      </w:r>
      <w:r>
        <w:t>The development of high‐quality conjugated carbonaceous materials with fast mass transport kinetics is important for fast‐charging lithium (Li)‐ion batteries (LIBs). Here, we report a “molecular locking‐weaving” strategy to synthesize 2D alkyne‐rich Li carboxylate (LC) conjugated carbonaceous framework (LC‐ACF). Large‐area ultrathin LC‐ACF possesses high crystallinity, ordered stacking, and intrinsic mesoporous structure, creating well‐aligned and LC‐bridged fast Li‐ion diffusion channels. The incorporation of LC groups significantly changes the electronic structure of the conjugated framework to improve surface charge and electronic conductivity, endowing LC‐ACF with promoted electrokinetic effects to boost Li‐ion transport kinetics. Consequently, LC‐ACF shows exceptional fast‐charging capability, achieving high capacity (360.2 mA h g</w:t>
      </w:r>
      <w:r>
        <w:t xml:space="preserve"> </w:t>
      </w:r>
      <w:r>
        <w:t>−1</w:t>
      </w:r>
      <w:r>
        <w:t xml:space="preserve"> </w:t>
      </w:r>
      <w:r>
        <w:t>, corresponding to 89.6% of the capacity at 0.2 A g</w:t>
      </w:r>
      <w:r>
        <w:t xml:space="preserve"> </w:t>
      </w:r>
      <w:r>
        <w:t>−1</w:t>
      </w:r>
      <w:r>
        <w:t xml:space="preserve"> </w:t>
      </w:r>
      <w:r>
        <w:t>delivered in 1 min) and negligible capacity decay (30 000 cycles) at a high current density of 20 A g</w:t>
      </w:r>
      <w:r>
        <w:t xml:space="preserve"> </w:t>
      </w:r>
      <w:r>
        <w:t>−1</w:t>
      </w:r>
      <w:r>
        <w:t xml:space="preserve"> </w:t>
      </w:r>
      <w:r>
        <w:t>. LC‐ACF||LiNi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full cells deliver an attractive capacity of 118.4 mA h g</w:t>
      </w:r>
      <w:r>
        <w:t xml:space="preserve"> </w:t>
      </w:r>
      <w:r>
        <w:t>−1</w:t>
      </w:r>
      <w:r>
        <w:t xml:space="preserve"> </w:t>
      </w:r>
      <w:r>
        <w:t>(achieving 62.3% state‐of‐charge within 1.5 min) and a capacity retention of 90.3% after 3000 cycles at an extremely high rate of 20 C (1 C = 210 mA g</w:t>
      </w:r>
      <w:r>
        <w:t xml:space="preserve"> </w:t>
      </w:r>
      <w:r>
        <w:t>−1</w:t>
      </w:r>
      <w:r>
        <w:t xml:space="preserve"> </w:t>
      </w:r>
      <w:r>
        <w:t>). LC‐ACF||NCM811 pouch cells with outstanding fast‐charging performance were also achieved.</w:t>
      </w:r>
    </w:p>
    <w:p>
      <w:pPr>
        <w:spacing w:before="120" w:after="120"/>
      </w:pPr>
      <w:r>
        <w:rPr>
          <w:sz w:val="18"/>
        </w:rPr>
        <w:t>——————————————————————————————————————————————————————————————————————</w:t>
      </w:r>
    </w:p>
    <w:p>
      <w:pPr>
        <w:spacing w:before="160" w:after="40" w:line="240" w:lineRule="auto"/>
      </w:pPr>
      <w:r>
        <w:rPr>
          <w:b/>
        </w:rPr>
        <w:t xml:space="preserve">[511] </w:t>
      </w:r>
      <w:hyperlink r:id="rId831">
        <w:r>
          <w:rPr>
            <w:color w:val="1155CC"/>
            <w:u w:val="single"/>
          </w:rPr>
          <w:t>通过声学排放和机器学习检测在统一载负下合金中的变形机制</w:t>
        </w:r>
      </w:hyperlink>
    </w:p>
    <w:p>
      <w:pPr>
        <w:spacing w:before="0" w:after="80"/>
      </w:pPr>
      <w:r>
        <w:rPr>
          <w:i/>
          <w:sz w:val="20"/>
        </w:rPr>
        <w:t>EN: Detecting Deformation Mechanisms in Alloys Under Uniaxial Loading via Acoustic Emission and Machine Learning</w:t>
      </w:r>
    </w:p>
    <w:p>
      <w:pPr>
        <w:spacing w:before="0" w:after="120"/>
      </w:pPr>
      <w:r>
        <w:rPr>
          <w:b/>
        </w:rPr>
        <w:t xml:space="preserve">Source: </w:t>
      </w:r>
      <w:r>
        <w:t>Wiley: Advanced Materials: Table of Contents</w:t>
      </w:r>
      <w:r>
        <w:t xml:space="preserve">    </w:t>
      </w:r>
      <w:r>
        <w:rPr>
          <w:b/>
        </w:rPr>
        <w:t xml:space="preserve">Pub date: </w:t>
      </w:r>
      <w:r>
        <w:t>2026-02-18 18:36:30+00:00</w:t>
      </w:r>
      <w:r>
        <w:t xml:space="preserve">    </w:t>
      </w:r>
      <w:r>
        <w:rPr>
          <w:b/>
        </w:rPr>
        <w:t xml:space="preserve">DOI: </w:t>
      </w:r>
      <w:hyperlink r:id="rId832">
        <w:r>
          <w:rPr>
            <w:color w:val="1155CC"/>
            <w:u w:val="single"/>
          </w:rPr>
          <w:t>10.1002/adma.202520368</w:t>
        </w:r>
      </w:hyperlink>
    </w:p>
    <w:p>
      <w:pPr>
        <w:spacing w:before="0" w:after="120"/>
      </w:pPr>
      <w:r>
        <w:rPr>
          <w:b/>
        </w:rPr>
        <w:t xml:space="preserve">Notes: </w:t>
      </w:r>
      <w:r>
        <w:t>abstract_source=crossref</w:t>
      </w:r>
    </w:p>
    <w:p>
      <w:pPr>
        <w:spacing w:before="0" w:after="80" w:lineRule="auto" w:line="276"/>
      </w:pPr>
      <w:r>
        <w:rPr>
          <w:b/>
        </w:rPr>
        <w:t xml:space="preserve">摘要（ZH）: </w:t>
      </w:r>
      <w:r>
        <w:t>破解同时发生的变形机制的复杂的声学排放信号(AE),对于推进对金属和合金的基本理解和预测健康监测至关重要。虽然AE技术特别适合这种动态、非侵入性探测,但从多个积极机制中发出的信号的叠加和相互交织对可靠识别构成巨大的挑战。本审查突出了变形机制物理统计模型和先进机器学习技术之间新出现的协同效应是如何形成新途径,在非轴承载下解析这些变形机制的。我们首先在具体的AE特征和基本变形底线之间建立基本联系。</w:t>
      </w:r>
    </w:p>
    <w:p>
      <w:pPr>
        <w:spacing w:before="0" w:after="200" w:lineRule="auto" w:line="276"/>
      </w:pPr>
      <w:r>
        <w:rPr>
          <w:b/>
        </w:rPr>
        <w:t xml:space="preserve">Abstract (EN): </w:t>
      </w:r>
      <w:r>
        <w:t>Deciphering the complex acoustic emission (AE) signals of coexisting deformation mechanisms is critical for advancing the fundamental understanding and predictive health monitoring of metals and alloys. While AE technology is uniquely suited for this dynamic, non‐invasive probing, the superposition and intertwining of signals from multiple active mechanisms present a formidable challenge for reliable identification. This review highlights how emerging synergies between physical statistical models of deformation mechanisms and advanced machine learning (ML) techniques are forging new pathways to deconvolute these deformation mechanisms under uniaxial loading. We first establish the foundational correlation between specific AE features and underlying deformation processes under uniaxial loading. We then critically evaluate ML‐driven strategies for mechanism discrimination, assess progress in real‐time monitoring and failure prognostics, and conclude by outlining key challenges and future opportunities aimed at transitioning this methodology from laboratory insight to engineered application.</w:t>
      </w:r>
    </w:p>
    <w:p>
      <w:pPr>
        <w:spacing w:before="120" w:after="120"/>
      </w:pPr>
      <w:r>
        <w:rPr>
          <w:sz w:val="18"/>
        </w:rPr>
        <w:t>——————————————————————————————————————————————————————————————————————</w:t>
      </w:r>
    </w:p>
    <w:p>
      <w:pPr>
        <w:spacing w:before="160" w:after="40" w:line="240" w:lineRule="auto"/>
      </w:pPr>
      <w:r>
        <w:rPr>
          <w:b/>
        </w:rPr>
        <w:t xml:space="preserve">[512] </w:t>
      </w:r>
      <w:hyperlink r:id="rId833">
        <w:r>
          <w:rPr>
            <w:color w:val="1155CC"/>
            <w:u w:val="single"/>
          </w:rPr>
          <w:t>时空波浪同步 Terahertz 地表</w:t>
        </w:r>
      </w:hyperlink>
    </w:p>
    <w:p>
      <w:pPr>
        <w:spacing w:before="0" w:after="80"/>
      </w:pPr>
      <w:r>
        <w:rPr>
          <w:i/>
          <w:sz w:val="20"/>
        </w:rPr>
        <w:t>EN: Space‐Time Wavefront Synchronized Terahertz Metasurface</w:t>
      </w:r>
    </w:p>
    <w:p>
      <w:pPr>
        <w:spacing w:before="0" w:after="120"/>
      </w:pPr>
      <w:r>
        <w:rPr>
          <w:b/>
        </w:rPr>
        <w:t xml:space="preserve">Source: </w:t>
      </w:r>
      <w:r>
        <w:t>Wiley: Advanced Materials: Table of Contents</w:t>
      </w:r>
      <w:r>
        <w:t xml:space="preserve">    </w:t>
      </w:r>
      <w:r>
        <w:rPr>
          <w:b/>
        </w:rPr>
        <w:t xml:space="preserve">Pub date: </w:t>
      </w:r>
      <w:r>
        <w:t>2026-02-18 18:43:19+00:00</w:t>
      </w:r>
      <w:r>
        <w:t xml:space="preserve">    </w:t>
      </w:r>
      <w:r>
        <w:rPr>
          <w:b/>
        </w:rPr>
        <w:t xml:space="preserve">DOI: </w:t>
      </w:r>
      <w:hyperlink r:id="rId834">
        <w:r>
          <w:rPr>
            <w:color w:val="1155CC"/>
            <w:u w:val="single"/>
          </w:rPr>
          <w:t>10.1002/adma.202520890</w:t>
        </w:r>
      </w:hyperlink>
    </w:p>
    <w:p>
      <w:pPr>
        <w:spacing w:before="0" w:after="120"/>
      </w:pPr>
      <w:r>
        <w:rPr>
          <w:b/>
        </w:rPr>
        <w:t xml:space="preserve">Notes: </w:t>
      </w:r>
      <w:r>
        <w:t>abstract_source=crossref</w:t>
      </w:r>
    </w:p>
    <w:p>
      <w:pPr>
        <w:spacing w:before="0" w:after="80" w:lineRule="auto" w:line="276"/>
      </w:pPr>
      <w:r>
        <w:rPr>
          <w:b/>
        </w:rPr>
        <w:t xml:space="preserve">摘要（ZH）: </w:t>
      </w:r>
      <w:r>
        <w:t>ABSTACT无线通信要求未来应用的高数据率、低潜延度和超可靠性能。 这就要求开发高高速和可编程阵列,横跨空间、时空和波浪域,以弥补路径丢失、扩展光谱连接和扩大空间覆盖。 目前的工作面临若干挑战,包括开关速度缓慢、带宽窄,以及无连接传输-反光整合连接中限制的双空间覆盖。 这里,我们从能量-时间和频率-时间角度分别展示了两种类型的梯赫兹元表层,在脉冲光振动下分别具有脉冲调控速度和时空同步传输功能。</w:t>
      </w:r>
    </w:p>
    <w:p>
      <w:pPr>
        <w:spacing w:before="0" w:after="200" w:lineRule="auto" w:line="276"/>
      </w:pPr>
      <w:r>
        <w:rPr>
          <w:b/>
        </w:rPr>
        <w:t xml:space="preserve">Abstract (EN): </w:t>
      </w:r>
      <w:r>
        <w:t>Wireless communications demand high data rates, low latency, and ultra‐reliable performance for future applications. This necessitates the development of high‐speed, and programmable arrays across the spatial, temporal, and wave domains to compensate for path loss, extend spectral links, and expand spatial coverage. The current works face several challenges, including slow switch speed, narrow bandwidth, and constrained dual‐space coverage in unconnected transmission–reflection integrated links. Here, we demonstrate two types of terahertz metasurfaces from the angle of energy‐time and frequency‐time functions, respectively, both have the ps‐scale modulation speed under pulsed light excitations, and the space‐time synchronized transmission and reflection links. In these devices, the terahertz wavefront can be modulated for energy covering 81.4% bandwidth using pump light with fluence of 100 µJ/cm</w:t>
      </w:r>
      <w:r>
        <w:rPr>
          <w:vertAlign w:val="subscript"/>
        </w:rPr>
        <w:t>2</w:t>
      </w:r>
      <w:r>
        <w:t>, exhibiting dual‐space synchronization with up to 92.2% similarity in holographic experiments. Our space‐time ultrafast modulations enable dynamic beam steering, achieving over 88.6% modulation depth with a 4 × 42° field‐of‐view. Further, ultrafast beam steering with 21.8° dynamic range is experimentally characterized for the first time within a single pump pulse duration, approximately 250 ps. This novel scheme holds promise for the active manipulation of terahertz signals, which is crucial for photonics‐terahertz systems in next‐generation communications by smart structure materials.</w:t>
      </w:r>
    </w:p>
    <w:p>
      <w:pPr>
        <w:spacing w:before="120" w:after="120"/>
      </w:pPr>
      <w:r>
        <w:rPr>
          <w:sz w:val="18"/>
        </w:rPr>
        <w:t>——————————————————————————————————————————————————————————————————————</w:t>
      </w:r>
    </w:p>
    <w:p>
      <w:pPr>
        <w:spacing w:before="160" w:after="40" w:line="240" w:lineRule="auto"/>
      </w:pPr>
      <w:r>
        <w:rPr>
          <w:b/>
        </w:rPr>
        <w:t xml:space="preserve">[513] </w:t>
      </w:r>
      <w:hyperlink r:id="rId835">
        <w:r>
          <w:rPr>
            <w:color w:val="1155CC"/>
            <w:u w:val="single"/>
          </w:rPr>
          <w:t>[ASAP] 冶金性能增强通过位于西图的平行有机金属1D链条进行电子运输</w:t>
        </w:r>
      </w:hyperlink>
    </w:p>
    <w:p>
      <w:pPr>
        <w:spacing w:before="0" w:after="80"/>
      </w:pPr>
      <w:r>
        <w:rPr>
          <w:i/>
          <w:sz w:val="20"/>
        </w:rPr>
        <w:t>EN: [ASAP] Metallophilicity Enhances Electron Transport through Parallel Organometallic 1D Chains Formed in Situ</w:t>
      </w:r>
    </w:p>
    <w:p>
      <w:pPr>
        <w:spacing w:before="0" w:after="120"/>
      </w:pPr>
      <w:r>
        <w:rPr>
          <w:b/>
        </w:rPr>
        <w:t xml:space="preserve">Source: </w:t>
      </w:r>
      <w:r>
        <w:t>Journal of the American Chemical Society: Latest Articles (ACS Publications)</w:t>
      </w:r>
      <w:r>
        <w:t xml:space="preserve">    </w:t>
      </w:r>
      <w:r>
        <w:rPr>
          <w:b/>
        </w:rPr>
        <w:t xml:space="preserve">Pub date: </w:t>
      </w:r>
      <w:r>
        <w:t>2026-02-18 19:03:47+00:00</w:t>
      </w:r>
      <w:r>
        <w:t xml:space="preserve">    </w:t>
      </w:r>
      <w:r>
        <w:rPr>
          <w:b/>
        </w:rPr>
        <w:t xml:space="preserve">DOI: </w:t>
      </w:r>
      <w:hyperlink r:id="rId836">
        <w:r>
          <w:rPr>
            <w:color w:val="1155CC"/>
            <w:u w:val="single"/>
          </w:rPr>
          <w:t>10.1021/jacs.5c21701</w:t>
        </w:r>
      </w:hyperlink>
    </w:p>
    <w:p>
      <w:pPr>
        <w:spacing w:before="0" w:after="120"/>
      </w:pPr>
      <w:r>
        <w:rPr>
          <w:b/>
        </w:rPr>
        <w:t xml:space="preserve">Notes: </w:t>
      </w:r>
      <w:r>
        <w:t>abstract_source=pubmed</w:t>
      </w:r>
    </w:p>
    <w:p>
      <w:pPr>
        <w:spacing w:before="0" w:after="80" w:lineRule="auto" w:line="276"/>
      </w:pPr>
      <w:r>
        <w:rPr>
          <w:b/>
        </w:rPr>
        <w:t xml:space="preserve">摘要（ZH）: </w:t>
      </w:r>
      <w:r>
        <w:t>具体地说,我们通过1D单串电子运输签名,其中含有一系列(AuCN)链接的金氰化物AuCN的单倍重复数,并通过平行连接的相邻分子线。当串联时,破坏性量子干扰导致(AuCN)n 1-3型1D型电线在(AuCN)n = 1-3型电线中发生快速衰变。但是,如果同时结合,通过相邻链条的金原子重组电子状态并导致显著增强行为能力,我们的工作表明,冶金性能可以发挥多种作用。</w:t>
      </w:r>
    </w:p>
    <w:p>
      <w:pPr>
        <w:spacing w:before="0" w:after="200" w:lineRule="auto" w:line="276"/>
      </w:pPr>
      <w:r>
        <w:rPr>
          <w:b/>
        </w:rPr>
        <w:t xml:space="preserve">Abstract (EN): </w:t>
      </w:r>
      <w:r>
        <w:t>We reveal the role of aurophilic interactions in the formation and conductance of gold cyanide molecular wires of variable length-to-width ratios assembled at the tip of an STM break junction in ambient conditions. Specifically, we identify electron transport signatures through 1D single chains containing variable number of monomeric repeats of gold cyanide AuCN, linked in series (AuCN)n, and through adjacent molecular wires linked in parallel. When bound in series, destructive quantum interference causes an exponential decay of conductance in (AuCN)n 1D wires for n = 1-3. But when bound in parallel, aurophilic coupling through the gold atoms of neighboring chains reorders electronic states and results in significant enhancement of conductance. Our work reveals that metallophilicity can play a significant role in junction assembly and electron transport characteristics.</w:t>
      </w:r>
    </w:p>
    <w:p>
      <w:pPr>
        <w:spacing w:before="120" w:after="120"/>
      </w:pPr>
      <w:r>
        <w:rPr>
          <w:sz w:val="18"/>
        </w:rPr>
        <w:t>——————————————————————————————————————————————————————————————————————</w:t>
      </w:r>
    </w:p>
    <w:p>
      <w:pPr>
        <w:spacing w:before="160" w:after="40" w:line="240" w:lineRule="auto"/>
      </w:pPr>
      <w:r>
        <w:rPr>
          <w:b/>
        </w:rPr>
        <w:t xml:space="preserve">[514] </w:t>
      </w:r>
      <w:hyperlink r:id="rId837">
        <w:r>
          <w:rPr>
            <w:color w:val="1155CC"/>
            <w:u w:val="single"/>
          </w:rPr>
          <w:t>通过硬体和异粒体氢凝质质化来利用链流</w:t>
        </w:r>
      </w:hyperlink>
    </w:p>
    <w:p>
      <w:pPr>
        <w:spacing w:before="0" w:after="80"/>
      </w:pPr>
      <w:r>
        <w:rPr>
          <w:i/>
          <w:sz w:val="20"/>
        </w:rPr>
        <w:t>EN: Harnessing Chain Mobility via Protonation for Tough and Isotropic Hydrogel</w:t>
      </w:r>
    </w:p>
    <w:p>
      <w:pPr>
        <w:spacing w:before="0" w:after="120"/>
      </w:pPr>
      <w:r>
        <w:rPr>
          <w:b/>
        </w:rPr>
        <w:t xml:space="preserve">Source: </w:t>
      </w:r>
      <w:r>
        <w:t>Wiley: Advanced Materials: Table of Contents</w:t>
      </w:r>
      <w:r>
        <w:t xml:space="preserve">    </w:t>
      </w:r>
      <w:r>
        <w:rPr>
          <w:b/>
        </w:rPr>
        <w:t xml:space="preserve">Pub date: </w:t>
      </w:r>
      <w:r>
        <w:t>2026-02-18 19:06:16+00:00</w:t>
      </w:r>
      <w:r>
        <w:t xml:space="preserve">    </w:t>
      </w:r>
      <w:r>
        <w:rPr>
          <w:b/>
        </w:rPr>
        <w:t xml:space="preserve">DOI: </w:t>
      </w:r>
      <w:hyperlink r:id="rId838">
        <w:r>
          <w:rPr>
            <w:color w:val="1155CC"/>
            <w:u w:val="single"/>
          </w:rPr>
          <w:t>10.1002/adma.202517407</w:t>
        </w:r>
      </w:hyperlink>
    </w:p>
    <w:p>
      <w:pPr>
        <w:spacing w:before="0" w:after="120"/>
      </w:pPr>
      <w:r>
        <w:rPr>
          <w:b/>
        </w:rPr>
        <w:t xml:space="preserve">Notes: </w:t>
      </w:r>
      <w:r>
        <w:t>abstract_source=crossref</w:t>
      </w:r>
    </w:p>
    <w:p>
      <w:pPr>
        <w:spacing w:before="0" w:after="80" w:lineRule="auto" w:line="276"/>
      </w:pPr>
      <w:r>
        <w:rPr>
          <w:b/>
        </w:rPr>
        <w:t xml:space="preserve">摘要（ZH）: </w:t>
      </w:r>
      <w:r>
        <w:t>ABSTACT 制造具有同位素高度抗拉强度、可伸缩性和坚硬性等水凝胶,对于组织工程、可伸展生物电子和软机器人的应用至关重要,然而,许多强化战略,包括机械培训、定向冻结和溶剂交换,往往诱发厌食性或未能同时增强所有这些测量值。 我们在此报告一项通过协同调节聚合物链流动性和通过连续酸化、冻结和盐化进行物理交叉连接,来制造超临界体、异氧聚(乙烯醇)和异氧体水凝胶的战略。</w:t>
      </w:r>
    </w:p>
    <w:p>
      <w:pPr>
        <w:spacing w:before="0" w:after="200" w:lineRule="auto" w:line="276"/>
      </w:pPr>
      <w:r>
        <w:rPr>
          <w:b/>
        </w:rPr>
        <w:t xml:space="preserve">Abstract (EN): </w:t>
      </w:r>
      <w:r>
        <w:t>Fabricating hydrogels with isotropically high tensile strength, stretchability, and toughness is crucial for applications in tissue engineering, stretchable bioelectronics and soft robots. However, many toughening strategies, including mechanical training, directional freezing, and solvent exchange, often induce anisotropy or fail to enhance all these metrics simultaneously. Herein, we report a strategy to fabricate ultra‐tough, isotropic poly(vinyl alcohol) (PVA) hydrogels by synergistically modulating polymer chain mobility and physical crosslinking through sequential acidification, freeze‐thawing, and salting‐out. Acidification protonates the hydroxyl groups, suppressing premature interchain hydrogen bonding and promoting network homogenization. Subsequent salting‐out deprotonates the hydroxyl groups to strengthen the interpolymer hydrogen bonds, forming crystalline domains that act as strong, reversible physical crosslinks. The resulting hydrogel achieves a high tensile strength of 29.5 MPa, stretchability of 2683%, and record‐high toughness of 424 MJ m</w:t>
      </w:r>
      <w:r>
        <w:t xml:space="preserve"> </w:t>
      </w:r>
      <w:r>
        <w:t>−3</w:t>
      </w:r>
      <w:r>
        <w:t xml:space="preserve"> </w:t>
      </w:r>
      <w:r>
        <w:t>among isotropic hydrogels, even surpassing most anisotropic hydrogels in their reinforced direction. This strategy offers a generalizable platform for engineering tough, isotropic hydrogels with broad potential across bioengineering, additive manufacturing, and soft robotics.</w:t>
      </w:r>
    </w:p>
    <w:p>
      <w:pPr>
        <w:spacing w:before="120" w:after="120"/>
      </w:pPr>
      <w:r>
        <w:rPr>
          <w:sz w:val="18"/>
        </w:rPr>
        <w:t>——————————————————————————————————————————————————————————————————————</w:t>
      </w:r>
    </w:p>
    <w:p>
      <w:pPr>
        <w:spacing w:before="160" w:after="40" w:line="240" w:lineRule="auto"/>
      </w:pPr>
      <w:r>
        <w:rPr>
          <w:b/>
        </w:rPr>
        <w:t xml:space="preserve">[515] </w:t>
      </w:r>
      <w:hyperlink r:id="rId839">
        <w:r>
          <w:rPr>
            <w:color w:val="1155CC"/>
            <w:u w:val="single"/>
          </w:rPr>
          <w:t>Sable Cathollyte 界面使基于硫化的全硅国家金属电池实际操作(Adv. Energy Matter. 7/2026)</w:t>
        </w:r>
      </w:hyperlink>
    </w:p>
    <w:p>
      <w:pPr>
        <w:spacing w:before="0" w:after="80"/>
      </w:pPr>
      <w:r>
        <w:rPr>
          <w:i/>
          <w:sz w:val="20"/>
        </w:rPr>
        <w:t>EN: Stable Catholyte Interface Enables Practical Operation of Sulfide‐Based All‐Solid‐State Li Metal Batteries (Adv. Energy Mater. 7/2026)</w:t>
      </w:r>
    </w:p>
    <w:p>
      <w:pPr>
        <w:spacing w:before="0" w:after="120"/>
      </w:pPr>
      <w:r>
        <w:rPr>
          <w:b/>
        </w:rPr>
        <w:t xml:space="preserve">Source: </w:t>
      </w:r>
      <w:r>
        <w:t>Wiley: Advanced Energy Materials: Table of Contents</w:t>
      </w:r>
      <w:r>
        <w:t xml:space="preserve">    </w:t>
      </w:r>
      <w:r>
        <w:rPr>
          <w:b/>
        </w:rPr>
        <w:t xml:space="preserve">Pub date: </w:t>
      </w:r>
      <w:r>
        <w:t>2026-02-18 19:11:13+00:00</w:t>
      </w:r>
      <w:r>
        <w:t xml:space="preserve">    </w:t>
      </w:r>
      <w:r>
        <w:rPr>
          <w:b/>
        </w:rPr>
        <w:t xml:space="preserve">DOI: </w:t>
      </w:r>
      <w:hyperlink r:id="rId840">
        <w:r>
          <w:rPr>
            <w:color w:val="1155CC"/>
            <w:u w:val="single"/>
          </w:rPr>
          <w:t>10.1002/aenm.70572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[516] </w:t>
      </w:r>
      <w:hyperlink r:id="rId841">
        <w:r>
          <w:rPr>
            <w:color w:val="1155CC"/>
            <w:u w:val="single"/>
          </w:rPr>
          <w:t>[ASAP] 热临界共振有机框架能够对抗选择性地表湿化</w:t>
        </w:r>
      </w:hyperlink>
    </w:p>
    <w:p>
      <w:pPr>
        <w:spacing w:before="0" w:after="80"/>
      </w:pPr>
      <w:r>
        <w:rPr>
          <w:i/>
          <w:sz w:val="20"/>
        </w:rPr>
        <w:t>EN: [ASAP] Helical Chiral Covalent Organic Frameworks Enable Enantioselective Surface Wetting</w:t>
      </w:r>
    </w:p>
    <w:p>
      <w:pPr>
        <w:spacing w:before="0" w:after="120"/>
      </w:pPr>
      <w:r>
        <w:rPr>
          <w:b/>
        </w:rPr>
        <w:t xml:space="preserve">Source: </w:t>
      </w:r>
      <w:r>
        <w:t>Journal of the American Chemical Society: Latest Articles (ACS Publications)</w:t>
      </w:r>
      <w:r>
        <w:t xml:space="preserve">    </w:t>
      </w:r>
      <w:r>
        <w:rPr>
          <w:b/>
        </w:rPr>
        <w:t xml:space="preserve">Pub date: </w:t>
      </w:r>
      <w:r>
        <w:t>2026-02-18 19:21:33+00:00</w:t>
      </w:r>
      <w:r>
        <w:t xml:space="preserve">    </w:t>
      </w:r>
      <w:r>
        <w:rPr>
          <w:b/>
        </w:rPr>
        <w:t xml:space="preserve">DOI: </w:t>
      </w:r>
      <w:hyperlink r:id="rId842">
        <w:r>
          <w:rPr>
            <w:color w:val="1155CC"/>
            <w:u w:val="single"/>
          </w:rPr>
          <w:t>10.1021/jacs.5c22048</w:t>
        </w:r>
      </w:hyperlink>
    </w:p>
    <w:p>
      <w:pPr>
        <w:spacing w:before="0" w:after="120"/>
      </w:pPr>
      <w:r>
        <w:rPr>
          <w:b/>
        </w:rPr>
        <w:t xml:space="preserve">Notes: </w:t>
      </w:r>
      <w:r>
        <w:t>abstract_source=pubmed</w:t>
      </w:r>
    </w:p>
    <w:p>
      <w:pPr>
        <w:spacing w:before="0" w:after="80" w:lineRule="auto" w:line="276"/>
      </w:pPr>
      <w:r>
        <w:rPr>
          <w:b/>
        </w:rPr>
        <w:t xml:space="preserve">摘要（ZH）: </w:t>
      </w:r>
      <w:r>
        <w:t>对称选择性表面湿湿度是一种很有希望的手力识别方法,但受到常规和无序材料相互作用薄弱和接触角度小变小的限制。在这里,我们利用晶晶体手性共价有机框架(CCOFs)来应对这一挑战,这些硬性、有条理的框架使固定的立体选择性互动得以实现,从而导致显著增强湿度差异。通过2,2,2'-二氢氧-1,1'binaphyl的2,2,2'-二氢氧-1,1'binaphyds的凝聚,将两种三维三维CCOFs(35-2F和35-4F)综合在一起。这些氟化的CFOFs对(S)采用独特的直升机式棒式右手,对(R)则采用左手,由1,1,1,2,2,2,2,2'-二氟-二氟-二氟-四氟基钻石网络融合而不同其非纤维化。</w:t>
      </w:r>
    </w:p>
    <w:p>
      <w:pPr>
        <w:spacing w:before="0" w:after="200" w:lineRule="auto" w:line="276"/>
      </w:pPr>
      <w:r>
        <w:rPr>
          <w:b/>
        </w:rPr>
        <w:t xml:space="preserve">Abstract (EN): </w:t>
      </w:r>
      <w:r>
        <w:t>Enantioselective surface wetting is a promising approach for chiral recognition but is limited by weak interactions and small contact angle shifts in conventional, disordered materials. Here, we address this challenge using crystalline chiral covalent organic frameworks (CCOFs), whose rigid, ordered frameworks enable confined stereoselective interactions, resulting in significantly enhanced wettability differences. Two helical 3D CCOFs (35-2F and 35-4F) are synthesized via the condensation of enantiopure di- and tetrafluorobenzaldehydes of 2,2'-dihydroxy-1,1'-binaphthyl with a tetramine. These fluorinated CCOFs adopt distinct helical rod-like morphologies─right-handed for (S)-CCOF and left-handed for (R)-CCOF─stabilized by an 11-fold interpenetrating diamond network, unlike their nonfluorinated analogs, which lack helicity. The periodic arrangement of chiral dihydroxy groups and electron-withdrawing fluorine substituents on the pore surfaces creates highly defined recognition environments that promote strong stereospecific interactions. Consequently, when fabricated into solid surfaces, these helical CCOFs exhibited remarkable enantioselective wetting behavior, achieving contact angle differences of up to 26.9° for sugars, amino acids and their methyl esters, far surpassing the nonhelical counterparts and previous amorphous systems. This enhanced discrimination arises from the helical chiral architectures, which promote stronger and more selective chiral interactions through its periodic, confined pore geometry. This study pioneers the use of crystalline porous materials in enantioselective wetting, establishing a robust platform for chiral sensing and interface engineering.</w:t>
      </w:r>
    </w:p>
    <w:p>
      <w:pPr>
        <w:spacing w:before="120" w:after="120"/>
      </w:pPr>
      <w:r>
        <w:rPr>
          <w:sz w:val="18"/>
        </w:rPr>
        <w:t>——————————————————————————————————————————————————————————————————————</w:t>
      </w:r>
    </w:p>
    <w:p>
      <w:pPr>
        <w:spacing w:before="160" w:after="40" w:line="240" w:lineRule="auto"/>
      </w:pPr>
      <w:r>
        <w:rPr>
          <w:b/>
        </w:rPr>
        <w:t xml:space="preserve">[517] </w:t>
      </w:r>
      <w:hyperlink r:id="rId843">
        <w:r>
          <w:rPr>
            <w:color w:val="1155CC"/>
            <w:u w:val="single"/>
          </w:rPr>
          <w:t>[ASAP]通过催化性对称性C-C混合酒精对等性C-C混合物合成的异粒-Gladiolin 甲基乙酯(甲基甲基乙酯)综合总量</w:t>
        </w:r>
      </w:hyperlink>
    </w:p>
    <w:p>
      <w:pPr>
        <w:spacing w:before="0" w:after="80"/>
      </w:pPr>
      <w:r>
        <w:rPr>
          <w:i/>
          <w:sz w:val="20"/>
        </w:rPr>
        <w:t>EN: [ASAP] Total Synthesis of iso-Gladiolin Methyl Ester (Lagriene Methyl Ester) via Catalytic Asymmetric C–C Coupling of Alcohols</w:t>
      </w:r>
    </w:p>
    <w:p>
      <w:pPr>
        <w:spacing w:before="0" w:after="120"/>
      </w:pPr>
      <w:r>
        <w:rPr>
          <w:b/>
        </w:rPr>
        <w:t xml:space="preserve">Source: </w:t>
      </w:r>
      <w:r>
        <w:t>Journal of the American Chemical Society: Latest Articles (ACS Publications)</w:t>
      </w:r>
      <w:r>
        <w:t xml:space="preserve">    </w:t>
      </w:r>
      <w:r>
        <w:rPr>
          <w:b/>
        </w:rPr>
        <w:t xml:space="preserve">Pub date: </w:t>
      </w:r>
      <w:r>
        <w:t>2026-02-18 19:22:13+00:00</w:t>
      </w:r>
      <w:r>
        <w:t xml:space="preserve">    </w:t>
      </w:r>
      <w:r>
        <w:rPr>
          <w:b/>
        </w:rPr>
        <w:t xml:space="preserve">DOI: </w:t>
      </w:r>
      <w:hyperlink r:id="rId844">
        <w:r>
          <w:rPr>
            <w:color w:val="1155CC"/>
            <w:u w:val="single"/>
          </w:rPr>
          <w:t>10.1021/jacs.5c22672</w:t>
        </w:r>
      </w:hyperlink>
    </w:p>
    <w:p>
      <w:pPr>
        <w:spacing w:before="0" w:after="120"/>
      </w:pPr>
      <w:r>
        <w:rPr>
          <w:b/>
        </w:rPr>
        <w:t xml:space="preserve">Notes: </w:t>
      </w:r>
      <w:r>
        <w:t>abstract_source=pubmed</w:t>
      </w:r>
    </w:p>
    <w:p>
      <w:pPr>
        <w:spacing w:before="0" w:after="80" w:lineRule="auto" w:line="276"/>
      </w:pPr>
      <w:r>
        <w:rPr>
          <w:b/>
        </w:rPr>
        <w:t xml:space="preserve">摘要（ZH）: </w:t>
      </w:r>
      <w:r>
        <w:t>Lagriene是一种由24名成员组成的大型硫化物,它与B. Gladioli的替代菌株分离,并如本文所示,是Gradiolin(Gladiol)的环状接触异构体。Gladiolin在形成环状大型硫化物的异构化方面不稳定,它暗示Gladiolin的生物活动可能来自Iso-gladiolin。这里,我们报告通过Gladiolin甲基酯(LLS)在16个步骤中采用四倍趋同的路径,其中每个碎片都是由催化性不对称物制成的。</w:t>
      </w:r>
    </w:p>
    <w:p>
      <w:pPr>
        <w:spacing w:before="0" w:after="200" w:lineRule="auto" w:line="276"/>
      </w:pPr>
      <w:r>
        <w:rPr>
          <w:b/>
        </w:rPr>
        <w:t xml:space="preserve">Abstract (EN): </w:t>
      </w:r>
      <w:r>
        <w:t>Gladiolin, a specialized metabolite of Burkholderia gladioli, is an antitubercular 22-membered macrolide that inhibits RNA polymerase at a site distinct from rifampicin, making it effective against drug resistant strains of Mtb. Lagriene is a 24-membered macrolide isolated from an alternate strain of B. gladioli and as demonstrated herein is the ring-expanded isomer of gladiolin, termed iso-gladiolin. Gladiolin is unstable with respect to isomerization to form the ring-expanded macrolide iso-gladiolin, suggesting that the biological activity of gladiolin may derive from iso-gladiolin. Here, we report the total synthesis of iso-gladiolin methyl ester via gladiolin methyl ester in 16 steps (LLS) using a quadruply convergent route, in which each fragment is prepared by catalytic asymmetric alcohol-mediated C-C coupling. Comparison of synthetic and natural iso-gladiolin methyl ester corroborates the assigned structure of both gladiolin and iso-gladiolin.</w:t>
      </w:r>
    </w:p>
    <w:p>
      <w:pPr>
        <w:spacing w:before="120" w:after="120"/>
      </w:pPr>
      <w:r>
        <w:rPr>
          <w:sz w:val="18"/>
        </w:rPr>
        <w:t>——————————————————————————————————————————————————————————————————————</w:t>
      </w:r>
    </w:p>
    <w:p>
      <w:pPr>
        <w:spacing w:before="160" w:after="40" w:line="240" w:lineRule="auto"/>
      </w:pPr>
      <w:r>
        <w:rPr>
          <w:b/>
        </w:rPr>
        <w:t xml:space="preserve">[518] </w:t>
      </w:r>
      <w:hyperlink r:id="rId845">
        <w:r>
          <w:rPr>
            <w:color w:val="1155CC"/>
            <w:u w:val="single"/>
          </w:rPr>
          <w:t>[ASAP]人工球球铬化磷Mimmimicking LH2和LH1-RC 用于高高效光催化氢生产,转机号为&gt;667,000</w:t>
        </w:r>
      </w:hyperlink>
    </w:p>
    <w:p>
      <w:pPr>
        <w:spacing w:before="0" w:after="80"/>
      </w:pPr>
      <w:r>
        <w:rPr>
          <w:i/>
          <w:sz w:val="20"/>
        </w:rPr>
        <w:t>EN: [ASAP] Artificial Spherical Chromatophore Mimicking LH2 and LH1–RC for Highly Efficient Photocatalytic Hydrogen Production with Turnover Number &gt;667,000</w:t>
      </w:r>
    </w:p>
    <w:p>
      <w:pPr>
        <w:spacing w:before="0" w:after="120"/>
      </w:pPr>
      <w:r>
        <w:rPr>
          <w:b/>
        </w:rPr>
        <w:t xml:space="preserve">Source: </w:t>
      </w:r>
      <w:r>
        <w:t>Journal of the American Chemical Society: Latest Articles (ACS Publications)</w:t>
      </w:r>
      <w:r>
        <w:t xml:space="preserve">    </w:t>
      </w:r>
      <w:r>
        <w:rPr>
          <w:b/>
        </w:rPr>
        <w:t xml:space="preserve">Pub date: </w:t>
      </w:r>
      <w:r>
        <w:t>2026-02-18 19:58:48+00:00</w:t>
      </w:r>
      <w:r>
        <w:t xml:space="preserve">    </w:t>
      </w:r>
      <w:r>
        <w:rPr>
          <w:b/>
        </w:rPr>
        <w:t xml:space="preserve">DOI: </w:t>
      </w:r>
      <w:hyperlink r:id="rId846">
        <w:r>
          <w:rPr>
            <w:color w:val="1155CC"/>
            <w:u w:val="single"/>
          </w:rPr>
          <w:t>10.1021/jacs.5c19395</w:t>
        </w:r>
      </w:hyperlink>
    </w:p>
    <w:p>
      <w:pPr>
        <w:spacing w:before="0" w:after="120"/>
      </w:pPr>
      <w:r>
        <w:rPr>
          <w:b/>
        </w:rPr>
        <w:t xml:space="preserve">Notes: </w:t>
      </w:r>
      <w:r>
        <w:t>abstract_source=pubmed</w:t>
      </w:r>
    </w:p>
    <w:p>
      <w:pPr>
        <w:spacing w:before="0" w:after="80" w:lineRule="auto" w:line="276"/>
      </w:pPr>
      <w:r>
        <w:rPr>
          <w:b/>
        </w:rPr>
        <w:t xml:space="preserve">摘要（ZH）: </w:t>
      </w:r>
      <w:r>
        <w:t>光收获复合体2 (LH2) 和光收获复合1反应中心(LH1-RC) 复合体的超分子结构构成是紫细菌光合作用近统一量子效率的基础。 构建在结构上和功能上模仿这些自然组件的人工光合系统仍是一个严峻的挑战。 我们在此报告一个在水中模仿LH2和LH1-RC的球状铬磷纳米体系统。 这个系统是通过一个以闪光性激素为基础的细菌-氯素模拟体和碳化分子镍催化剂的等级组合构建的。 低温电子显微镜直接解决纳米表面高分辨率环状结构, 提供了生物模拟弧的首次视觉确认。</w:t>
      </w:r>
    </w:p>
    <w:p>
      <w:pPr>
        <w:spacing w:before="0" w:after="200" w:lineRule="auto" w:line="276"/>
      </w:pPr>
      <w:r>
        <w:rPr>
          <w:b/>
        </w:rPr>
        <w:t xml:space="preserve">Abstract (EN): </w:t>
      </w:r>
      <w:r>
        <w:t>The supramolecular architecture of light-harvesting complex 2 (LH2) and light-harvesting complex 1-reaction center (LH1-RC) complexes underpins the near-unity quantum efficiency of photosynthesis in purple bacteria. Constructing artificial photosynthetic systems that structurally and functionally mimic these natural assemblies remains a critical challenge. Here, we report a spherical chromatophore nanomicelle system that mimics both LH2 and LH1-RC in water. This system is constructed through hierarchical coassembly of an amphiphilic porphyrin-based bacteriochlorophyll analogue and a cationic molecular nickel catalyst. Cryogenic electron microscopy directly resolves high-resolution ring-like structures on the nanomicelle surface, providing the first visual confirmation of the biomimetic architecture. The system achieves photocatalytic hydrogen evolution with a turnover number exceeding 667,000 over 72 h and a turnover frequency of above 9000 h-1 with an absolute hydrogen yield of 1.34 μmol─40 times greater than the nonassembled free molecular system─along with an initial external quantum efficiency of 6.8% at 435 nm. This outstanding performance originates from the well-defined spatial organization of the photosensitizers and catalysts, which facilitates efficient light harvesting and directional energy/electron transfer. Our work establishes a promising strategy for constructing high-performance artificial photosynthetic systems through rational biomimetic design.</w:t>
      </w:r>
    </w:p>
    <w:p>
      <w:pPr>
        <w:spacing w:before="120" w:after="120"/>
      </w:pPr>
      <w:r>
        <w:rPr>
          <w:sz w:val="18"/>
        </w:rPr>
        <w:t>——————————————————————————————————————————————————————————————————————</w:t>
      </w:r>
    </w:p>
    <w:p>
      <w:pPr>
        <w:spacing w:before="160" w:after="40" w:line="240" w:lineRule="auto"/>
      </w:pPr>
      <w:r>
        <w:rPr>
          <w:b/>
        </w:rPr>
        <w:t xml:space="preserve">[519] </w:t>
      </w:r>
      <w:hyperlink r:id="rId847">
        <w:r>
          <w:rPr>
            <w:color w:val="1155CC"/>
            <w:u w:val="single"/>
          </w:rPr>
          <w:t>建立可追踪的报废光光伏发电废物全球系统</w:t>
        </w:r>
      </w:hyperlink>
    </w:p>
    <w:p>
      <w:pPr>
        <w:spacing w:before="0" w:after="80"/>
      </w:pPr>
      <w:r>
        <w:rPr>
          <w:i/>
          <w:sz w:val="20"/>
        </w:rPr>
        <w:t>EN: Toward traceable global systems for end-of-life photovoltaic waste</w:t>
      </w:r>
    </w:p>
    <w:p>
      <w:pPr>
        <w:spacing w:before="0" w:after="120"/>
      </w:pPr>
      <w:r>
        <w:rPr>
          <w:b/>
        </w:rPr>
        <w:t xml:space="preserve">Source: </w:t>
      </w:r>
      <w:r>
        <w:t>Nature Communications</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[520] </w:t>
      </w:r>
      <w:hyperlink r:id="rId848">
        <w:r>
          <w:rPr>
            <w:color w:val="1155CC"/>
            <w:u w:val="single"/>
          </w:rPr>
          <w:t>评估对冰岛输电和配电系统充电电池-电力HDDV的影响评估</w:t>
        </w:r>
      </w:hyperlink>
    </w:p>
    <w:p>
      <w:pPr>
        <w:spacing w:before="0" w:after="80"/>
      </w:pPr>
      <w:r>
        <w:rPr>
          <w:i/>
          <w:sz w:val="20"/>
        </w:rPr>
        <w:t>EN: Impact assessment of battery-electric HDVs charging loads on the transmission and distribution system in Iceland</w:t>
      </w:r>
    </w:p>
    <w:p>
      <w:pPr>
        <w:spacing w:before="0" w:after="120"/>
      </w:pPr>
      <w:r>
        <w:rPr>
          <w:b/>
        </w:rPr>
        <w:t xml:space="preserve">Source: </w:t>
      </w:r>
      <w:r>
        <w:t>ScienceDirect Publication: Applied Energy</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[521] </w:t>
      </w:r>
      <w:hyperlink r:id="rId849">
        <w:r>
          <w:rPr>
            <w:color w:val="1155CC"/>
            <w:u w:val="single"/>
          </w:rPr>
          <w:t>有活性物质损失的利离电池电池的电热利用模型</w:t>
        </w:r>
      </w:hyperlink>
    </w:p>
    <w:p>
      <w:pPr>
        <w:spacing w:before="0" w:after="80"/>
      </w:pPr>
      <w:r>
        <w:rPr>
          <w:i/>
          <w:sz w:val="20"/>
        </w:rPr>
        <w:t>EN: Electro-thermal-aging modeling of Li-ion batteries with active-material loss</w:t>
      </w:r>
    </w:p>
    <w:p>
      <w:pPr>
        <w:spacing w:before="0" w:after="120"/>
      </w:pPr>
      <w:r>
        <w:rPr>
          <w:b/>
        </w:rPr>
        <w:t xml:space="preserve">Source: </w:t>
      </w:r>
      <w:r>
        <w:t>ScienceDirect Publication: Applied Energy</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[522] </w:t>
      </w:r>
      <w:hyperlink r:id="rId850">
        <w:r>
          <w:rPr>
            <w:color w:val="1155CC"/>
            <w:u w:val="single"/>
          </w:rPr>
          <w:t>系统综合地面太阳辐照预报的天空图像增强技术</w:t>
        </w:r>
      </w:hyperlink>
    </w:p>
    <w:p>
      <w:pPr>
        <w:spacing w:before="0" w:after="80"/>
      </w:pPr>
      <w:r>
        <w:rPr>
          <w:i/>
          <w:sz w:val="20"/>
        </w:rPr>
        <w:t>EN: A systematic synthesis of sky image enhancement techniques for ground-based solar irradiance forecasting</w:t>
      </w:r>
    </w:p>
    <w:p>
      <w:pPr>
        <w:spacing w:before="0" w:after="120"/>
      </w:pPr>
      <w:r>
        <w:rPr>
          <w:b/>
        </w:rPr>
        <w:t xml:space="preserve">Source: </w:t>
      </w:r>
      <w:r>
        <w:t>ScienceDirect Publication: Applied Energy</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[523] </w:t>
      </w:r>
      <w:hyperlink r:id="rId851">
        <w:r>
          <w:rPr>
            <w:color w:val="1155CC"/>
            <w:u w:val="single"/>
          </w:rPr>
          <w:t>能源独立和经济复原力</w:t>
        </w:r>
      </w:hyperlink>
    </w:p>
    <w:p>
      <w:pPr>
        <w:spacing w:before="0" w:after="80"/>
      </w:pPr>
      <w:r>
        <w:rPr>
          <w:i/>
          <w:sz w:val="20"/>
        </w:rPr>
        <w:t>EN: Energy independence and economic resilience</w:t>
      </w:r>
    </w:p>
    <w:p>
      <w:pPr>
        <w:spacing w:before="0" w:after="120"/>
      </w:pPr>
      <w:r>
        <w:rPr>
          <w:b/>
        </w:rPr>
        <w:t xml:space="preserve">Source: </w:t>
      </w:r>
      <w:r>
        <w:t>ScienceDirect Publication: Energy Policy</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[524] </w:t>
      </w:r>
      <w:hyperlink r:id="rId852">
        <w:r>
          <w:rPr>
            <w:color w:val="1155CC"/>
            <w:u w:val="single"/>
          </w:rPr>
          <w:t>尼泊尔家庭烹饪:经济分析</w:t>
        </w:r>
      </w:hyperlink>
    </w:p>
    <w:p>
      <w:pPr>
        <w:spacing w:before="0" w:after="80"/>
      </w:pPr>
      <w:r>
        <w:rPr>
          <w:i/>
          <w:sz w:val="20"/>
        </w:rPr>
        <w:t>EN: Household cooking in Nepal: An economic analysis</w:t>
      </w:r>
    </w:p>
    <w:p>
      <w:pPr>
        <w:spacing w:before="0" w:after="120"/>
      </w:pPr>
      <w:r>
        <w:rPr>
          <w:b/>
        </w:rPr>
        <w:t xml:space="preserve">Source: </w:t>
      </w:r>
      <w:r>
        <w:t>ScienceDirect Publication: Energy Policy</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[525] </w:t>
      </w:r>
      <w:hyperlink r:id="rId853">
        <w:r>
          <w:rPr>
            <w:color w:val="1155CC"/>
            <w:u w:val="single"/>
          </w:rPr>
          <w:t>通过蛋白质域域扩展对一个PDZ域进行全光和强力改造</w:t>
        </w:r>
      </w:hyperlink>
    </w:p>
    <w:p>
      <w:pPr>
        <w:spacing w:before="0" w:after="80"/>
      </w:pPr>
      <w:r>
        <w:rPr>
          <w:i/>
          <w:sz w:val="20"/>
        </w:rPr>
        <w:t>EN: Allosteric and energetic remodeling of a PDZ domain by protein domain extensions</w:t>
      </w:r>
    </w:p>
    <w:p>
      <w:pPr>
        <w:spacing w:before="0" w:after="120"/>
      </w:pPr>
      <w:r>
        <w:rPr>
          <w:b/>
        </w:rPr>
        <w:t xml:space="preserve">Source: </w:t>
      </w:r>
      <w:r>
        <w:t>Nature Communications</w:t>
      </w:r>
      <w:r>
        <w:t xml:space="preserve">    </w:t>
      </w:r>
      <w:r>
        <w:rPr>
          <w:b/>
        </w:rPr>
        <w:t xml:space="preserve">Pub date: </w:t>
      </w:r>
      <w:r>
        <w:t>2026-02-19 00:00:00+00:00</w:t>
      </w:r>
    </w:p>
    <w:p>
      <w:pPr>
        <w:spacing w:before="0" w:after="120"/>
      </w:pPr>
      <w:r>
        <w:rPr>
          <w:b/>
        </w:rPr>
        <w:t xml:space="preserve">Notes: </w:t>
      </w:r>
      <w:r>
        <w:t>abstract_source=nature_html</w:t>
      </w:r>
    </w:p>
    <w:p>
      <w:pPr>
        <w:spacing w:before="0" w:after="80" w:lineRule="auto" w:line="276"/>
      </w:pPr>
      <w:r>
        <w:rPr>
          <w:b/>
        </w:rPr>
        <w:t xml:space="preserve">摘要（ZH）: </w:t>
      </w:r>
      <w:r>
        <w:t>蛋白质的许多功能是由独立折叠结构单位(称为域)来履行的。 这些领域在结构上是保护的, 但在不同蛋白质中并不完全相同。 在此, 要了解域扩展的调节和演化后果, 我们量化一个模型蛋白域内两个扩展的能量效应。 量化富性和绑定大于190,000蛋白变量的离子( 190,000 蛋白变量), 使我们能够测量整个 PDZ 域内突变的自由能量变化, 以及这些突变和两个域扩展之间的~ 7000 能量组合。 无论是结构化扩展, 还是更动态的扩展, 但具体地重塑能源景观。 特别是, 删除 - helix 改变了 &gt; 50 s 的能量后果 400 突变的能量效应 。</w:t>
      </w:r>
    </w:p>
    <w:p>
      <w:pPr>
        <w:spacing w:before="0" w:after="200" w:lineRule="auto" w:line="276"/>
      </w:pPr>
      <w:r>
        <w:rPr>
          <w:b/>
        </w:rPr>
        <w:t xml:space="preserve">Abstract (EN): </w:t>
      </w:r>
      <w:r>
        <w:t>Many functions of proteins are performed by independently folding structural units called domains. These domains are structurally conserved but not identical in different proteins. Here, to understand the consequences for regulation and evolvability of domain extensions, we quantify the energetic effects of two extensions in a model protein domain. Quantifying abundance and ligand binding for &gt;190,000 protein variants allows us to measure the free energy changes for mutations throughout a PDZ domain and ~7000 energetic couplings between these mutations and two domain extensions. Both a structured extension and a more dynamic extension substantially but specifically re-shape the energy landscape. In particular, deleting an ɑ-helix alters the energetic consequences of &gt;400 mutations in &gt;50 sites on fold stability or binding energy, and the effects of &gt;300 allosteric mutations, including at solvent-accessible surface sites. Extending or pruning the domain therefore reshapes its energetic and allosteric landscape, adding and removing opportunities for the allosteric control of protein function.</w:t>
      </w:r>
    </w:p>
    <w:p>
      <w:pPr>
        <w:spacing w:before="120" w:after="120"/>
      </w:pPr>
      <w:r>
        <w:rPr>
          <w:sz w:val="18"/>
        </w:rPr>
        <w:t>——————————————————————————————————————————————————————————————————————</w:t>
      </w:r>
    </w:p>
    <w:p>
      <w:pPr>
        <w:spacing w:before="160" w:after="40" w:line="240" w:lineRule="auto"/>
      </w:pPr>
      <w:r>
        <w:rPr>
          <w:b/>
        </w:rPr>
        <w:t xml:space="preserve">[526] </w:t>
      </w:r>
      <w:hyperlink r:id="rId854">
        <w:r>
          <w:rPr>
            <w:color w:val="1155CC"/>
            <w:u w:val="single"/>
          </w:rPr>
          <w:t>对微型电网中分配的能源资源进行具有攻击抗力和通信高效的分布式二级控制:方法和行内硬件验证</w:t>
        </w:r>
      </w:hyperlink>
    </w:p>
    <w:p>
      <w:pPr>
        <w:spacing w:before="0" w:after="80"/>
      </w:pPr>
      <w:r>
        <w:rPr>
          <w:i/>
          <w:sz w:val="20"/>
        </w:rPr>
        <w:t>EN: Attack-resilient and communication-efficient distributed secondary control of distributed energy resources in microgrids: Methods and hardware-in-the-loop validations</w:t>
      </w:r>
    </w:p>
    <w:p>
      <w:pPr>
        <w:spacing w:before="0" w:after="120"/>
      </w:pPr>
      <w:r>
        <w:rPr>
          <w:b/>
        </w:rPr>
        <w:t xml:space="preserve">Source: </w:t>
      </w:r>
      <w:r>
        <w:t>ScienceDirect Publication: Applied Energy</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[527] </w:t>
      </w:r>
      <w:hyperlink r:id="rId855">
        <w:r>
          <w:rPr>
            <w:color w:val="1155CC"/>
            <w:u w:val="single"/>
          </w:rPr>
          <w:t>硫化多孔有机聚合物:战略设计、合成以及催解、吸附和与能源有关的工艺中的应用</w:t>
        </w:r>
      </w:hyperlink>
    </w:p>
    <w:p>
      <w:pPr>
        <w:spacing w:before="0" w:after="80"/>
      </w:pPr>
      <w:r>
        <w:rPr>
          <w:i/>
          <w:sz w:val="20"/>
        </w:rPr>
        <w:t>EN: Sulfonated porous organic polymers: strategic design, synthesis, and applications in catalysis, adsorption, and energy-related processes</w:t>
      </w:r>
    </w:p>
    <w:p>
      <w:pPr>
        <w:spacing w:before="0" w:after="120"/>
      </w:pPr>
      <w:r>
        <w:rPr>
          <w:b/>
        </w:rPr>
        <w:t xml:space="preserve">Source: </w:t>
      </w:r>
      <w:r>
        <w:t>RSC - Chem. Soc. Rev. latest articles</w:t>
      </w:r>
      <w:r>
        <w:t xml:space="preserve">    </w:t>
      </w:r>
      <w:r>
        <w:rPr>
          <w:b/>
        </w:rPr>
        <w:t xml:space="preserve">Pub date: </w:t>
      </w:r>
      <w:r>
        <w:t>2026-02-19 00:00:00+00:00</w:t>
      </w:r>
    </w:p>
    <w:p>
      <w:pPr>
        <w:spacing w:before="0" w:after="120"/>
      </w:pPr>
      <w:r>
        <w:rPr>
          <w:b/>
        </w:rPr>
        <w:t xml:space="preserve">Notes: </w:t>
      </w:r>
      <w:r>
        <w:t>abstract_source=rsc_html</w:t>
      </w:r>
    </w:p>
    <w:p>
      <w:pPr>
        <w:spacing w:before="0" w:after="80" w:lineRule="auto" w:line="276"/>
      </w:pPr>
      <w:r>
        <w:rPr>
          <w:b/>
        </w:rPr>
        <w:t xml:space="preserve">摘要（ZH）: </w:t>
      </w:r>
      <w:r>
        <w:t>有机有机聚合物(POPs)已经成为一种创新型的定制材料类别,包括各种框架,从高晶状到完全不固定的结构,如共价有机框架(COFs)、共价三氮框架(CTFs)、多孔芳香框架(PAFs)、共聚微聚聚合物(CMPs)、内在微聚物聚合物(PIPMs)和超链接聚合物(HCPs),尽管它们固有的孔隙性和稳定性令人印象深刻,但持久性有机污染物的真正力量在于战略功能化,在报告的各种方法中,将全氟辛烷磺酸(-SO3H)群体纳入这些多孔的松饼架中增加了功能。</w:t>
      </w:r>
    </w:p>
    <w:p>
      <w:pPr>
        <w:spacing w:before="0" w:after="200" w:lineRule="auto" w:line="276"/>
      </w:pPr>
      <w:r>
        <w:rPr>
          <w:b/>
        </w:rPr>
        <w:t xml:space="preserve">Abstract (EN): </w:t>
      </w:r>
      <w:r>
        <w:t>Porous organic polymers (POPs) have become an innovative class of tailor-made materials, encompassing a variety of frameworks that range from highly crystalline to fully amorphous structures such as covalent organic frameworks (COFs), covalent triazine frameworks (CTFs), porous aromatic frameworks (PAFs), conjugated microporous polymers (CMPs), polymers of intrinsic microporosity (PIMs), and hyper-cross-linked polymers (HCPs). While their inherent porosity and stability are impressive, the true strength of POPs lies in strategic functionalization. Among the various methods reported, the incorporation of sulfonic acid (–SO3H) groups in these porous scaffolds introduces additional functionality. This review explores a comprehensive overview of sulfonated POPs (SPOPs), where robust frameworks are combined with the strong Brønsted acidity of –SO3H groups. We describe the design and synthesis of SPOPs, highlighting how this functionalization tailors their properties for innovative applications. Moving beyond their well-known role as superior heterogeneous acid catalysts for organic transformations, SPOPs are now emerging as key materials for addressing global challenges. Their remarkable capabilities are evident in environmental applications, including their deployment as high-performance adsorbents for the removal of dyes, antibiotics, and heavy metals from water, as well as functional porous solids for selective gas separation. We also explore their pioneering applications as next-generation proton-conducting membranes for high-performance fuel cells and advanced energy storage systems, offering alternatives to fluorinated membranes. This review delivers both a critical analysis of the current state-of-the-art and a forward-looking perspective on the challenges and opportunities ahead, serving as a roadmap for leveraging the multifunctional properties of SPOPs to advance sustainable chemistry, environmental remediation, and energy technologies.</w:t>
      </w:r>
    </w:p>
    <w:p>
      <w:pPr>
        <w:spacing w:before="120" w:after="120"/>
      </w:pPr>
      <w:r>
        <w:rPr>
          <w:sz w:val="18"/>
        </w:rPr>
        <w:t>——————————————————————————————————————————————————————————————————————</w:t>
      </w:r>
    </w:p>
    <w:p>
      <w:pPr>
        <w:spacing w:before="160" w:after="40" w:line="240" w:lineRule="auto"/>
      </w:pPr>
      <w:r>
        <w:rPr>
          <w:b/>
        </w:rPr>
        <w:t xml:space="preserve">[528] </w:t>
      </w:r>
      <w:hyperlink r:id="rId856">
        <w:r>
          <w:rPr>
            <w:color w:val="1155CC"/>
            <w:u w:val="single"/>
          </w:rPr>
          <w:t>用于下调的癌症生物标志成像的放射性同位素分子除草探测器</w:t>
        </w:r>
      </w:hyperlink>
    </w:p>
    <w:p>
      <w:pPr>
        <w:spacing w:before="0" w:after="80"/>
      </w:pPr>
      <w:r>
        <w:rPr>
          <w:i/>
          <w:sz w:val="20"/>
        </w:rPr>
        <w:t>EN: Radioisotope-mimetic molecular afterglow probe for downregulated cancer biomarker imaging</w:t>
      </w:r>
    </w:p>
    <w:p>
      <w:pPr>
        <w:spacing w:before="0" w:after="120"/>
      </w:pPr>
      <w:r>
        <w:rPr>
          <w:b/>
        </w:rPr>
        <w:t xml:space="preserve">Source: </w:t>
      </w:r>
      <w:r>
        <w:t>Nature Materials</w:t>
      </w:r>
      <w:r>
        <w:t xml:space="preserve">    </w:t>
      </w:r>
      <w:r>
        <w:rPr>
          <w:b/>
        </w:rPr>
        <w:t xml:space="preserve">Pub date: </w:t>
      </w:r>
      <w:r>
        <w:t>2026-02-19 00:00:00+00:00</w:t>
      </w:r>
    </w:p>
    <w:p>
      <w:pPr>
        <w:spacing w:before="0" w:after="120"/>
      </w:pPr>
      <w:r>
        <w:rPr>
          <w:b/>
        </w:rPr>
        <w:t xml:space="preserve">Notes: </w:t>
      </w:r>
      <w:r>
        <w:t>abstract_source=nature_html</w:t>
      </w:r>
    </w:p>
    <w:p>
      <w:pPr>
        <w:spacing w:before="0" w:after="80" w:lineRule="auto" w:line="276"/>
      </w:pPr>
      <w:r>
        <w:rPr>
          <w:b/>
        </w:rPr>
        <w:t xml:space="preserve">摘要（ZH）: </w:t>
      </w:r>
      <w:r>
        <w:t>分子后光成像是一种具有高度敏感性和特殊性的生物医学模式,然而,由于现有后光剂的短半衰期,纵向成像往往需要多种现场再生。在这里,我们报告了一个为期一个月的后光光光和瞄准低调肝脏肿瘤生物标志的探测器。这个低调生物标记活性后哥洛探测器(DROP)通过一种自可持续光能循环反应运作,在这种反应中,后光共振能将后光能再向后光再生的单一氧释放出源。这一过程启动了新的后光后共振能转移周期,将后光期延长至40天以上。DROP的长光后光使活性成像在8小时以上的光光光中能够进行。</w:t>
      </w:r>
    </w:p>
    <w:p>
      <w:pPr>
        <w:spacing w:before="0" w:after="200" w:lineRule="auto" w:line="276"/>
      </w:pPr>
      <w:r>
        <w:rPr>
          <w:b/>
        </w:rPr>
        <w:t xml:space="preserve">Abstract (EN): </w:t>
      </w:r>
      <w:r>
        <w:t>Molecular afterglow imaging is a biomedical modality with high sensitivity and specificity. However, due to the short half-lives of existing afterglow agents, longitudinal imaging often requires multiple on-site reinductions. Here we report a probe with month-long afterglow luminescence and the ability to target a downregulated liver tumour biomarker. This downregulated-biomarker-activatable afterglow probe (DROP) operates through a self-sustainable photoenergy cycling reaction, during which afterglow resonance energy transfer re-excites the afterglow initiator to regenerate singlet oxygen. This process initiates new afterglow resonance energy transfer cycles, extending the afterglow duration to over 40 days. The long afterglow of DROP enables in vivo imaging over 8 h with a single light preinduction, mimicking the imaging process of radioisotopes. Moreover, DROP quickly becomes inactive in healthy liver tissues due to cytochrome P450 enzyme activity, detecting and delineating tumours as small as 1 mm in diameter for complete surgical resection in both murine and rabbit models. Overall, we provide fundamental guidelines to develop radioisotope-mimetic afterglow luminescence probes and highlight the targeting of downregulated biomarkers as a promising approach in cancer theranostics.</w:t>
      </w:r>
    </w:p>
    <w:p>
      <w:pPr>
        <w:spacing w:before="120" w:after="120"/>
      </w:pPr>
      <w:r>
        <w:rPr>
          <w:sz w:val="18"/>
        </w:rPr>
        <w:t>——————————————————————————————————————————————————————————————————————</w:t>
      </w:r>
    </w:p>
    <w:p>
      <w:pPr>
        <w:spacing w:before="160" w:after="40" w:line="240" w:lineRule="auto"/>
      </w:pPr>
      <w:r>
        <w:rPr>
          <w:b/>
        </w:rPr>
        <w:t xml:space="preserve">[529] </w:t>
      </w:r>
      <w:hyperlink r:id="rId857">
        <w:r>
          <w:rPr>
            <w:color w:val="1155CC"/>
            <w:u w:val="single"/>
          </w:rPr>
          <w:t>光伏驱动多级膜膜蒸馏系统模型框架和绩效分析,以促进高效水电联合供应</w:t>
        </w:r>
      </w:hyperlink>
    </w:p>
    <w:p>
      <w:pPr>
        <w:spacing w:before="0" w:after="80"/>
      </w:pPr>
      <w:r>
        <w:rPr>
          <w:i/>
          <w:sz w:val="20"/>
        </w:rPr>
        <w:t>EN: Model framework and performance analysis of photovoltaic-driven multistage membrane distillation systems for efficient water-power co-supply</w:t>
      </w:r>
    </w:p>
    <w:p>
      <w:pPr>
        <w:spacing w:before="0" w:after="120"/>
      </w:pPr>
      <w:r>
        <w:rPr>
          <w:b/>
        </w:rPr>
        <w:t xml:space="preserve">Source: </w:t>
      </w:r>
      <w:r>
        <w:t>ScienceDirect Publication: Applied Energy</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[530] </w:t>
      </w:r>
      <w:hyperlink r:id="rId858">
        <w:r>
          <w:rPr>
            <w:color w:val="1155CC"/>
            <w:u w:val="single"/>
          </w:rPr>
          <w:t>原子级的lanthanides熔盐散散</w:t>
        </w:r>
      </w:hyperlink>
    </w:p>
    <w:p>
      <w:pPr>
        <w:spacing w:before="0" w:after="80"/>
      </w:pPr>
      <w:r>
        <w:rPr>
          <w:i/>
          <w:sz w:val="20"/>
        </w:rPr>
        <w:t>EN: A molten-salt dispersion of lanthanides at the atomic scale</w:t>
      </w:r>
    </w:p>
    <w:p>
      <w:pPr>
        <w:spacing w:before="0" w:after="120"/>
      </w:pPr>
      <w:r>
        <w:rPr>
          <w:b/>
        </w:rPr>
        <w:t xml:space="preserve">Source: </w:t>
      </w:r>
      <w:r>
        <w:t>Nature Materials</w:t>
      </w:r>
      <w:r>
        <w:t xml:space="preserve">    </w:t>
      </w:r>
      <w:r>
        <w:rPr>
          <w:b/>
        </w:rPr>
        <w:t xml:space="preserve">Pub date: </w:t>
      </w:r>
      <w:r>
        <w:t>2026-02-19 00:00:00+00:00</w:t>
      </w:r>
    </w:p>
    <w:p>
      <w:pPr>
        <w:spacing w:before="0" w:after="120"/>
      </w:pPr>
      <w:r>
        <w:rPr>
          <w:b/>
        </w:rPr>
        <w:t xml:space="preserve">Notes: </w:t>
      </w:r>
      <w:r>
        <w:t>abstract_source=nature_html</w:t>
      </w:r>
    </w:p>
    <w:p>
      <w:pPr>
        <w:spacing w:before="0" w:after="80" w:lineRule="auto" w:line="276"/>
      </w:pPr>
      <w:r>
        <w:rPr>
          <w:b/>
        </w:rPr>
        <w:t xml:space="preserve">摘要（ZH）: </w:t>
      </w:r>
      <w:r>
        <w:t>Lanthanide (Ln) 元素具有独特的电子结构和化学行为,在作为孤立原子改性剂引进时,可以用来调节电动催化性能,但是,这些元素的更广泛使用仍然有限,因为其高回活性和极低的减少潜力使得难以制定能够以原子方式在不同基质上散布Ln原子的一般合成战略。我们在这里开发了一种熔化硝化法,产生Ln 单原子催化剂,允许在各种支撑物,包括金属、金属氧化物和碳材料上将多种lanthanids原子隔离。从系统控制实验中获得的机械学见解表明,熔化硝酸的Ln单原子催化剂形成由三个因素决定:Lu。</w:t>
      </w:r>
    </w:p>
    <w:p>
      <w:pPr>
        <w:spacing w:before="0" w:after="200" w:lineRule="auto" w:line="276"/>
      </w:pPr>
      <w:r>
        <w:rPr>
          <w:b/>
        </w:rPr>
        <w:t xml:space="preserve">Abstract (EN): </w:t>
      </w:r>
      <w:r>
        <w:t>Lanthanide (Ln) elements have distinctive electronic structures and chemical behaviours that can be used to tune electrocatalytic performance when they are introduced as isolated atomic modifiers. However, their broader use remains limited because their high reactivity and ultralow reduction potentials make it difficult to develop general synthesis strategies that can atomically disperse Ln atoms on diverse substrates. Here we develop a molten-nitrite method that yields Ln single-atom catalysts, permitting the atomic isolation of multiple lanthanides on various supports, including metals, metal oxides and carbon materials. Mechanistic insights obtained from systematic control experiments indicate that Ln single-atom catalyst formation in molten nitrites is dictated by three factors: the Lux–Flood basicity effect, mass-diffusion resistance and molten-salt shielding. As a demonstration, Dy1/Pt shows an overpotential of 20 mV at a current density of −10 mA cm−2 in 0.5-M H2SO4 for acidic hydrogen evolution, which is superior to commercial Pt/C catalysts. This work establishes a framework for synthesizing Ln single-atom catalysts and positions molten-nitrite systems as a versatile platform for electrocatalyst synthesis.</w:t>
      </w:r>
    </w:p>
    <w:p>
      <w:pPr>
        <w:spacing w:before="120" w:after="120"/>
      </w:pPr>
      <w:r>
        <w:rPr>
          <w:sz w:val="18"/>
        </w:rPr>
        <w:t>——————————————————————————————————————————————————————————————————————</w:t>
      </w:r>
    </w:p>
    <w:p>
      <w:pPr>
        <w:spacing w:before="160" w:after="40" w:line="240" w:lineRule="auto"/>
      </w:pPr>
      <w:r>
        <w:rPr>
          <w:b/>
        </w:rPr>
        <w:t xml:space="preserve">[531] </w:t>
      </w:r>
      <w:hyperlink r:id="rId859">
        <w:r>
          <w:rPr>
            <w:color w:val="1155CC"/>
            <w:u w:val="single"/>
          </w:rPr>
          <w:t>分子深入了解真菌Inositol 磷酰环丙氨酰胺合成及其受抗氟烷磺酰胺A抑制的情况</w:t>
        </w:r>
      </w:hyperlink>
    </w:p>
    <w:p>
      <w:pPr>
        <w:spacing w:before="0" w:after="80"/>
      </w:pPr>
      <w:r>
        <w:rPr>
          <w:i/>
          <w:sz w:val="20"/>
        </w:rPr>
        <w:t>EN: Molecular insights into fungal inositol phosphorylceramide synthesis and its inhibition by antifungal aureobasidin A</w:t>
      </w:r>
    </w:p>
    <w:p>
      <w:pPr>
        <w:spacing w:before="0" w:after="120"/>
      </w:pPr>
      <w:r>
        <w:rPr>
          <w:b/>
        </w:rPr>
        <w:t xml:space="preserve">Source: </w:t>
      </w:r>
      <w:r>
        <w:t>Nature Communications</w:t>
      </w:r>
      <w:r>
        <w:t xml:space="preserve">    </w:t>
      </w:r>
      <w:r>
        <w:rPr>
          <w:b/>
        </w:rPr>
        <w:t xml:space="preserve">Pub date: </w:t>
      </w:r>
      <w:r>
        <w:t>2026-02-19 00:00:00+00:00</w:t>
      </w:r>
    </w:p>
    <w:p>
      <w:pPr>
        <w:spacing w:before="0" w:after="120"/>
      </w:pPr>
      <w:r>
        <w:rPr>
          <w:b/>
        </w:rPr>
        <w:t xml:space="preserve">Notes: </w:t>
      </w:r>
      <w:r>
        <w:t>abstract_source=nature_html</w:t>
      </w:r>
    </w:p>
    <w:p>
      <w:pPr>
        <w:spacing w:before="0" w:after="80" w:lineRule="auto" w:line="276"/>
      </w:pPr>
      <w:r>
        <w:rPr>
          <w:b/>
        </w:rPr>
        <w:t xml:space="preserve">摘要（ZH）: </w:t>
      </w:r>
      <w:r>
        <w:t>共聚物磷化磷酰胺(IPC)合成酶是一个重要的酶复合体,催化了素片类生物合成物的关键步骤,是强效抗氟酸乙胺A(AbA)的分子目标。尽管具有治疗相关性,但缺乏对国际氯酸酯合成酶功能和抑制作用的结构性和机械性洞见,阻碍了合理的抗芬基药物开发。在这里,我们展示了萨查罗密斯精液合成酶合成酶的冷冻-EM结构,在两个不同的功能状态中:一种是环丙胺形式,一种是AbA抑制的复合体。我们的研究揭示了由Aur1和Kei1形成的一种节能的杂质结构,通过广泛的蛋白质-蛋白和脂-介质相互作用而稳定下来。在催化剂Aur1中,我们发现了一个含有金属的混合反应室,窝藏着一个锥状物。</w:t>
      </w:r>
    </w:p>
    <w:p>
      <w:pPr>
        <w:spacing w:before="0" w:after="200" w:lineRule="auto" w:line="276"/>
      </w:pPr>
      <w:r>
        <w:rPr>
          <w:b/>
        </w:rPr>
        <w:t xml:space="preserve">Abstract (EN): </w:t>
      </w:r>
      <w:r>
        <w:t>Fungal inositol phosphorylceramide (IPC) synthase is an essential enzyme complex that catalyzes a critical step in sphingolipid biosynthesis. It is the molecular target of potent antifungal aureobasidin A (AbA). Despite its therapeutic relevance, the lack of structural and mechanistic insights into IPC synthase function and inhibition has impeded rational antifungal drug development. Here, we present cryo-EM structures of Saccharomyces cerevisiae IPC synthase in two distinct functional states: a ceramide-bound form and an AbA-inhibited complex. Our study reveals a conserved heterodimeric architecture formed by Aur1 and Kei1, stabilized through extensive protein-protein and lipid-mediated interactions. Within catalytic Aur1, we identify a membrane-embedded reaction chamber harboring a conserved H-H-D catalytic triad (H255, H294, and D298) essential for IPC synthesis. Structural comparisons illuminate the mechanism of ceramide recognition and reveal how AbA acts as a competitive inhibitor by occupying the substrate-binding pocket. Further analyses identify key residues involved in AbA binding and explain the molecular basis of drug resistance. Together, these findings advance the mechanistic understanding of fungal IPC biosynthesis and inhibition, and establish a foundation for developing new antifungal drugs targeting IPC synthase.</w:t>
      </w:r>
    </w:p>
    <w:p>
      <w:pPr>
        <w:spacing w:before="120" w:after="120"/>
      </w:pPr>
      <w:r>
        <w:rPr>
          <w:sz w:val="18"/>
        </w:rPr>
        <w:t>——————————————————————————————————————————————————————————————————————</w:t>
      </w:r>
    </w:p>
    <w:p>
      <w:pPr>
        <w:spacing w:before="160" w:after="40" w:line="240" w:lineRule="auto"/>
      </w:pPr>
      <w:r>
        <w:rPr>
          <w:b/>
        </w:rPr>
        <w:t xml:space="preserve">[532] </w:t>
      </w:r>
      <w:hyperlink r:id="rId860">
        <w:r>
          <w:rPr>
            <w:color w:val="1155CC"/>
            <w:u w:val="single"/>
          </w:rPr>
          <w:t>Pymidinergic 钙信号连接管状新陈代谢与肾脏疾病纤维化的联系</w:t>
        </w:r>
      </w:hyperlink>
    </w:p>
    <w:p>
      <w:pPr>
        <w:spacing w:before="0" w:after="80"/>
      </w:pPr>
      <w:r>
        <w:rPr>
          <w:i/>
          <w:sz w:val="20"/>
        </w:rPr>
        <w:t>EN: Pyrimidinergic calcium signaling links tubular metabolism to fibrosis in kidney disease</w:t>
      </w:r>
    </w:p>
    <w:p>
      <w:pPr>
        <w:spacing w:before="0" w:after="120"/>
      </w:pPr>
      <w:r>
        <w:rPr>
          <w:b/>
        </w:rPr>
        <w:t xml:space="preserve">Source: </w:t>
      </w:r>
      <w:r>
        <w:t>Nature Communications</w:t>
      </w:r>
      <w:r>
        <w:t xml:space="preserve">    </w:t>
      </w:r>
      <w:r>
        <w:rPr>
          <w:b/>
        </w:rPr>
        <w:t xml:space="preserve">Pub date: </w:t>
      </w:r>
      <w:r>
        <w:t>2026-02-19 00:00:00+00:00</w:t>
      </w:r>
    </w:p>
    <w:p>
      <w:pPr>
        <w:spacing w:before="0" w:after="120"/>
      </w:pPr>
      <w:r>
        <w:rPr>
          <w:b/>
        </w:rPr>
        <w:t xml:space="preserve">Notes: </w:t>
      </w:r>
      <w:r>
        <w:t>abstract_source=nature_html</w:t>
      </w:r>
    </w:p>
    <w:p>
      <w:pPr>
        <w:spacing w:before="0" w:after="80" w:lineRule="auto" w:line="276"/>
      </w:pPr>
      <w:r>
        <w:rPr>
          <w:b/>
        </w:rPr>
        <w:t xml:space="preserve">摘要（ZH）: </w:t>
      </w:r>
      <w:r>
        <w:t>慢性肾脏疾病(CKD)是全球的一个主要健康问题,具有大量相关的发病率和死亡率。纤维化是CKD中器官损伤的最后常见途径,因此了解肾损伤期间如何发生,对于建立病理发源的全面图象至关重要。在这里,利用基因表达数据、小鼠体内的活性显微镜和现实的细胞模型,我们发现了一种信号路径的证据,它连接了输卵管杆杆杆状水酰胺新陈代谢和受伤后受精的外细胞二酸二磷酸酯(UDP)释放,以激活周围纤维块中的P2Y6受体(P2Y6R)。我们显示,P2Y6R活化触发细胞内钙的上升,刺激纤维块状扩散、迁移和转化成一分子状细胞细胞型。相反,基因Knoc。</w:t>
      </w:r>
    </w:p>
    <w:p>
      <w:pPr>
        <w:spacing w:before="0" w:after="200" w:lineRule="auto" w:line="276"/>
      </w:pPr>
      <w:r>
        <w:rPr>
          <w:b/>
        </w:rPr>
        <w:t xml:space="preserve">Abstract (EN): </w:t>
      </w:r>
      <w:r>
        <w:t>Chronic kidney disease (CKD) is a major global health problem, with substantial associated morbidity and mortality. Fibrosis is the final common pathway of organ damage in CKD, so understanding how this arises during kidney injury is critical for building a holistic picture of the pathogenesis. Here, using gene expression data, intravital microscopy in mice and realistic cell models, we uncover evidence of a signaling pathway linking tubular pyrimidine metabolism and injury-evoked extracellular uridine diphosphate (UDP) release to activation of the P2Y6 receptor (P2Y6R) in surrounding fibroblasts. We show that P2Y6R activation triggers intracellular calcium rises, which stimulate fibroblast proliferation, migration, and conversion towards a myofibroblast phenotype. Conversely, genetic knockout or pharmacological blockade of the P2Y6R reduces fibrosis in mice with CKD. Thus, we reveal that pyrimidinergic calcium signaling couples fibroblast responses to changes in tubular metabolism in disease states, and represents a potential new target for therapeutic intervention.</w:t>
      </w:r>
    </w:p>
    <w:p>
      <w:pPr>
        <w:spacing w:before="120" w:after="120"/>
      </w:pPr>
      <w:r>
        <w:rPr>
          <w:sz w:val="18"/>
        </w:rPr>
        <w:t>——————————————————————————————————————————————————————————————————————</w:t>
      </w:r>
    </w:p>
    <w:p>
      <w:pPr>
        <w:spacing w:before="160" w:after="40" w:line="240" w:lineRule="auto"/>
      </w:pPr>
      <w:r>
        <w:rPr>
          <w:b/>
        </w:rPr>
        <w:t xml:space="preserve">[533] </w:t>
      </w:r>
      <w:hyperlink r:id="rId861">
        <w:r>
          <w:rPr>
            <w:color w:val="1155CC"/>
            <w:u w:val="single"/>
          </w:rPr>
          <w:t>在前硝基转移酶中诱导芳香笼笼套,可以有选择性和高效率地生产稀有的丙烯酸甲状氟氯素</w:t>
        </w:r>
      </w:hyperlink>
    </w:p>
    <w:p>
      <w:pPr>
        <w:spacing w:before="0" w:after="80"/>
      </w:pPr>
      <w:r>
        <w:rPr>
          <w:i/>
          <w:sz w:val="20"/>
        </w:rPr>
        <w:t>EN: Tuning aromatic cage occupancy in prenyltransferases enables selective and efficient production of rare c-prenylated flavonoids</w:t>
      </w:r>
    </w:p>
    <w:p>
      <w:pPr>
        <w:spacing w:before="0" w:after="120"/>
      </w:pPr>
      <w:r>
        <w:rPr>
          <w:b/>
        </w:rPr>
        <w:t xml:space="preserve">Source: </w:t>
      </w:r>
      <w:r>
        <w:t>Nature Communications</w:t>
      </w:r>
      <w:r>
        <w:t xml:space="preserve">    </w:t>
      </w:r>
      <w:r>
        <w:rPr>
          <w:b/>
        </w:rPr>
        <w:t xml:space="preserve">Pub date: </w:t>
      </w:r>
      <w:r>
        <w:t>2026-02-19 00:00:00+00:00</w:t>
      </w:r>
    </w:p>
    <w:p>
      <w:pPr>
        <w:spacing w:before="0" w:after="120"/>
      </w:pPr>
      <w:r>
        <w:rPr>
          <w:b/>
        </w:rPr>
        <w:t xml:space="preserve">Notes: </w:t>
      </w:r>
      <w:r>
        <w:t>abstract_source=nature_html</w:t>
      </w:r>
    </w:p>
    <w:p>
      <w:pPr>
        <w:spacing w:before="0" w:after="80" w:lineRule="auto" w:line="276"/>
      </w:pPr>
      <w:r>
        <w:rPr>
          <w:b/>
        </w:rPr>
        <w:t xml:space="preserve">摘要（ZH）: </w:t>
      </w:r>
      <w:r>
        <w:t>甲状腺素具有显著的制药潜力,但其生产却受到不稳定的多酚核心具有挑战性的选择性诱杀作用的阻碍。天然甲状腺转移酶提供了一条直接路线,但活动少,机械理解不完全。在这里,我们报告了一项定向进化战略,以重塑甲状腺转移酶AttAPT的活口,发现一个调节视象选择性和捐赠者特性的芳香笼子。通过调整笼子占用,我们改造了三个具有高化化和再生选择性的变异体,以转向二甲基二甲酸酯或甘醇热磷酸盐。结构分析和分子模拟证实了笼子在引导花状体前恋方面的作用。值得注意的是,在Att所观察到的芳香笼子机制。</w:t>
      </w:r>
    </w:p>
    <w:p>
      <w:pPr>
        <w:spacing w:before="0" w:after="200" w:lineRule="auto" w:line="276"/>
      </w:pPr>
      <w:r>
        <w:rPr>
          <w:b/>
        </w:rPr>
        <w:t xml:space="preserve">Abstract (EN): </w:t>
      </w:r>
      <w:r>
        <w:t>C-prenylated flavonoids possess notable pharmaceutical potential, but their production is hindered by the challenging selective prenylation of their unstable polyphenolic cores. Natural prenyltransferases offer a direct route but suffer from low activity and incomplete mechanistic understanding. Here, we report a directed evolution strategy to reshape the active pocket of the prenyltransferase AtaPT, uncovering an aromatic cage that governs both regioselectivity and donor specificity. By tuning cage occupancy, we engineer three mutants with high chemo- and regioselectivity toward dimethylallyl diphosphate or geranyl pyrophosphate. Structural analysis and molecular simulations validate the role of the cage in guiding flavonoid prenylation. Notably, the aromatic cage mechanism observed in AtaPT is not unique and can be recapitulated in homologous enzymes. Introduction of the aromatic cage consistently enhances both activity and selectivity, confirming its crucial role. AtaPT mutants enable the efficient and scalable synthesis of 27 C-prenylated flavonoids, including 8 previously unreported compounds. With an integrated donor regeneration system, preparative-scale biotransformations achieve product titers up to 400 mg/L. This study establishes a selective and scalable biocatalytic platform for flavonoid prenylation and offers mechanistic insights for enzyme engineering.</w:t>
      </w:r>
    </w:p>
    <w:p>
      <w:pPr>
        <w:spacing w:before="120" w:after="120"/>
      </w:pPr>
      <w:r>
        <w:rPr>
          <w:sz w:val="18"/>
        </w:rPr>
        <w:t>——————————————————————————————————————————————————————————————————————</w:t>
      </w:r>
    </w:p>
    <w:p>
      <w:pPr>
        <w:spacing w:before="160" w:after="40" w:line="240" w:lineRule="auto"/>
      </w:pPr>
      <w:r>
        <w:rPr>
          <w:b/>
        </w:rPr>
        <w:t xml:space="preserve">[534] </w:t>
      </w:r>
      <w:hyperlink r:id="rId862">
        <w:r>
          <w:rPr>
            <w:color w:val="1155CC"/>
            <w:u w:val="single"/>
          </w:rPr>
          <w:t>揭示(光化)电化学反应中的超潜能值和低潜能值</w:t>
        </w:r>
      </w:hyperlink>
    </w:p>
    <w:p>
      <w:pPr>
        <w:spacing w:before="0" w:after="80"/>
      </w:pPr>
      <w:r>
        <w:rPr>
          <w:i/>
          <w:sz w:val="20"/>
        </w:rPr>
        <w:t>EN: Shedding light on overpotentials and underpotentials in (photo)electrochemical reactions</w:t>
      </w:r>
    </w:p>
    <w:p>
      <w:pPr>
        <w:spacing w:before="0" w:after="120"/>
      </w:pPr>
      <w:r>
        <w:rPr>
          <w:b/>
        </w:rPr>
        <w:t xml:space="preserve">Source: </w:t>
      </w:r>
      <w:r>
        <w:t>RSC - Chem. Soc. Rev. latest articles</w:t>
      </w:r>
      <w:r>
        <w:t xml:space="preserve">    </w:t>
      </w:r>
      <w:r>
        <w:rPr>
          <w:b/>
        </w:rPr>
        <w:t xml:space="preserve">Pub date: </w:t>
      </w:r>
      <w:r>
        <w:t>2026-02-19 00:00:00+00:00</w:t>
      </w:r>
    </w:p>
    <w:p>
      <w:pPr>
        <w:spacing w:before="0" w:after="120"/>
      </w:pPr>
      <w:r>
        <w:rPr>
          <w:b/>
        </w:rPr>
        <w:t xml:space="preserve">Notes: </w:t>
      </w:r>
      <w:r>
        <w:t>abstract_source=rsc_html</w:t>
      </w:r>
    </w:p>
    <w:p>
      <w:pPr>
        <w:spacing w:before="0" w:after="80" w:lineRule="auto" w:line="276"/>
      </w:pPr>
      <w:r>
        <w:rPr>
          <w:b/>
        </w:rPr>
        <w:t xml:space="preserve">摘要（ZH）: </w:t>
      </w:r>
      <w:r>
        <w:t>超潜能概念对于评估电化学和光电化学转化催化剂的性能至关重要,这种热力测量指标在电极所涉电化学反应中作了明确界定,其中,超潜能是应用偏差潜力(确定电极的电极水平的能/潜能)和平衡潜力(由散装溶液中氧化和减少化学物种混合物所设定)之间的差别,并确定了应用偏差潜力,在这种潜力中,没有净流流动,即开路潜能),不过,至少有两种方法使用了超潜能(或在某些情况下 " 低潜能 " )这一术语来描述光电化学反应。</w:t>
      </w:r>
    </w:p>
    <w:p>
      <w:pPr>
        <w:spacing w:before="0" w:after="200" w:lineRule="auto" w:line="276"/>
      </w:pPr>
      <w:r>
        <w:rPr>
          <w:b/>
        </w:rPr>
        <w:t xml:space="preserve">Abstract (EN): </w:t>
      </w:r>
      <w:r>
        <w:t>The concept of overpotential is central to evaluating the performance of catalysts for electrochemical and photoelectrochemical transformations. This thermodynamic metric is well defined in the context of electrochemical reactions involving conducting electrodes, where the overpotential is the difference between an applied bias potential (which sets the energetics/potential of the electrode's Fermi level) and the equilibrium potential (which is set by the mixture of oxidized and reduced chemical species in the bulk solution and establishes the applied bias potential at which no net current flows, i.e., the open-circuit potential). Nonetheless, there are at least two ways the term overpotential—or in some cases “underpotential”—has been used to describe photoelectrochemical reactions involving semiconducting electrodes, where illumination results in a splitting of the photoelectrode's Fermi level into majority- and minority-carrier quasi-Fermi levels. In one approach, the overpotential/underpotential remains defined as the difference between an applied bias potential and the equilibrium potential. In the alternative approach, the overpotential is defined as the difference between the minority-carrier quasi-Fermi-level potential at the semiconductor surface and the equilibrium potential, thereby accounting for the surface photovoltage generated upon illumination of a semiconductor electrode. This article provides an overview of conceptual differences involving overpotentials and underpotentials in (photo)electrochemical reactions and considers applied electrode potentials in terms of their enthalpic versus entropic contributions.</w:t>
      </w:r>
    </w:p>
    <w:p>
      <w:pPr>
        <w:spacing w:before="120" w:after="120"/>
      </w:pPr>
      <w:r>
        <w:rPr>
          <w:sz w:val="18"/>
        </w:rPr>
        <w:t>——————————————————————————————————————————————————————————————————————</w:t>
      </w:r>
    </w:p>
    <w:p>
      <w:pPr>
        <w:spacing w:before="160" w:after="40" w:line="240" w:lineRule="auto"/>
      </w:pPr>
      <w:r>
        <w:rPr>
          <w:b/>
        </w:rPr>
        <w:t xml:space="preserve">[535] </w:t>
      </w:r>
      <w:hyperlink r:id="rId863">
        <w:r>
          <w:rPr>
            <w:color w:val="1155CC"/>
            <w:u w:val="single"/>
          </w:rPr>
          <w:t>在HVAC系统中进行轻重量和自动发现故障和诊断的自监督学习</w:t>
        </w:r>
      </w:hyperlink>
    </w:p>
    <w:p>
      <w:pPr>
        <w:spacing w:before="0" w:after="80"/>
      </w:pPr>
      <w:r>
        <w:rPr>
          <w:i/>
          <w:sz w:val="20"/>
        </w:rPr>
        <w:t>EN: Contrastive self-supervised learning for lightweight and automated fault detection and diagnosis in HVAC systems</w:t>
      </w:r>
    </w:p>
    <w:p>
      <w:pPr>
        <w:spacing w:before="0" w:after="120"/>
      </w:pPr>
      <w:r>
        <w:rPr>
          <w:b/>
        </w:rPr>
        <w:t xml:space="preserve">Source: </w:t>
      </w:r>
      <w:r>
        <w:t>ScienceDirect Publication: Applied Energy</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[536] </w:t>
      </w:r>
      <w:hyperlink r:id="rId864">
        <w:r>
          <w:rPr>
            <w:color w:val="1155CC"/>
            <w:u w:val="single"/>
          </w:rPr>
          <w:t>学术界的家长陷阱:研究人员母亲面临的挣扎</w:t>
        </w:r>
      </w:hyperlink>
    </w:p>
    <w:p>
      <w:pPr>
        <w:spacing w:before="0" w:after="80"/>
      </w:pPr>
      <w:r>
        <w:rPr>
          <w:i/>
          <w:sz w:val="20"/>
        </w:rPr>
        <w:t>EN: Academia’s parent trap: the struggles faced by researcher mothers</w:t>
      </w:r>
    </w:p>
    <w:p>
      <w:pPr>
        <w:spacing w:before="0" w:after="120"/>
      </w:pPr>
      <w:r>
        <w:rPr>
          <w:b/>
        </w:rPr>
        <w:t xml:space="preserve">Source: </w:t>
      </w:r>
      <w:r>
        <w:t>Nature</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[537] </w:t>
      </w:r>
      <w:hyperlink r:id="rId865">
        <w:r>
          <w:rPr>
            <w:color w:val="1155CC"/>
            <w:u w:val="single"/>
          </w:rPr>
          <w:t>将领导美国国家科学基金会的生物技术投资者</w:t>
        </w:r>
      </w:hyperlink>
    </w:p>
    <w:p>
      <w:pPr>
        <w:spacing w:before="0" w:after="80"/>
      </w:pPr>
      <w:r>
        <w:rPr>
          <w:i/>
          <w:sz w:val="20"/>
        </w:rPr>
        <w:t>EN: Biotech investor set to lead US National Science Foundation</w:t>
      </w:r>
    </w:p>
    <w:p>
      <w:pPr>
        <w:spacing w:before="0" w:after="120"/>
      </w:pPr>
      <w:r>
        <w:rPr>
          <w:b/>
        </w:rPr>
        <w:t xml:space="preserve">Source: </w:t>
      </w:r>
      <w:r>
        <w:t>Nature</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[538] </w:t>
      </w:r>
      <w:hyperlink r:id="rId866">
        <w:r>
          <w:rPr>
            <w:color w:val="1155CC"/>
            <w:u w:val="single"/>
          </w:rPr>
          <w:t>血液测试有望预测阿尔茨海默氏症的症状何时开始</w:t>
        </w:r>
      </w:hyperlink>
    </w:p>
    <w:p>
      <w:pPr>
        <w:spacing w:before="0" w:after="80"/>
      </w:pPr>
      <w:r>
        <w:rPr>
          <w:i/>
          <w:sz w:val="20"/>
        </w:rPr>
        <w:t>EN: Blood test holds promise for predicting when Alzheimer’s symptoms will start</w:t>
      </w:r>
    </w:p>
    <w:p>
      <w:pPr>
        <w:spacing w:before="0" w:after="120"/>
      </w:pPr>
      <w:r>
        <w:rPr>
          <w:b/>
        </w:rPr>
        <w:t xml:space="preserve">Source: </w:t>
      </w:r>
      <w:r>
        <w:t>Nature</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[539] </w:t>
      </w:r>
      <w:hyperlink r:id="rId867">
        <w:r>
          <w:rPr>
            <w:color w:val="1155CC"/>
            <w:u w:val="single"/>
          </w:rPr>
          <w:t>" 通用疫苗 " 保护小鼠免受多种病原体的危害</w:t>
        </w:r>
      </w:hyperlink>
    </w:p>
    <w:p>
      <w:pPr>
        <w:spacing w:before="0" w:after="80"/>
      </w:pPr>
      <w:r>
        <w:rPr>
          <w:i/>
          <w:sz w:val="20"/>
        </w:rPr>
        <w:t>EN: ‘Universal vaccine’ protects mice against multiple pathogens</w:t>
      </w:r>
    </w:p>
    <w:p>
      <w:pPr>
        <w:spacing w:before="0" w:after="120"/>
      </w:pPr>
      <w:r>
        <w:rPr>
          <w:b/>
        </w:rPr>
        <w:t xml:space="preserve">Source: </w:t>
      </w:r>
      <w:r>
        <w:t>Nature</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[540] </w:t>
      </w:r>
      <w:hyperlink r:id="rId868">
        <w:r>
          <w:rPr>
            <w:color w:val="1155CC"/>
            <w:u w:val="single"/>
          </w:rPr>
          <w:t>`A an AlphaFold 4'— — 科学家们对DeepMind药物副产品独家的新AI感到惊奇。</w:t>
        </w:r>
      </w:hyperlink>
    </w:p>
    <w:p>
      <w:pPr>
        <w:spacing w:before="0" w:after="80"/>
      </w:pPr>
      <w:r>
        <w:rPr>
          <w:i/>
          <w:sz w:val="20"/>
        </w:rPr>
        <w:t>EN: ‘An AlphaFold 4’ – scientists marvel at DeepMind drug spin-off’s exclusive new AI</w:t>
      </w:r>
    </w:p>
    <w:p>
      <w:pPr>
        <w:spacing w:before="0" w:after="120"/>
      </w:pPr>
      <w:r>
        <w:rPr>
          <w:b/>
        </w:rPr>
        <w:t xml:space="preserve">Source: </w:t>
      </w:r>
      <w:r>
        <w:t>Nature</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[541] </w:t>
      </w:r>
      <w:hyperlink r:id="rId869">
        <w:r>
          <w:rPr>
            <w:color w:val="1155CC"/>
            <w:u w:val="single"/>
          </w:rPr>
          <w:t>Epstein-Barr病毒持续感染的宿主控制</w:t>
        </w:r>
      </w:hyperlink>
    </w:p>
    <w:p>
      <w:pPr>
        <w:spacing w:before="0" w:after="80"/>
      </w:pPr>
      <w:r>
        <w:rPr>
          <w:i/>
          <w:sz w:val="20"/>
        </w:rPr>
        <w:t>EN: Host control of persistent Epstein–Barr virus infection</w:t>
      </w:r>
    </w:p>
    <w:p>
      <w:pPr>
        <w:spacing w:before="0" w:after="120"/>
      </w:pPr>
      <w:r>
        <w:rPr>
          <w:b/>
        </w:rPr>
        <w:t xml:space="preserve">Source: </w:t>
      </w:r>
      <w:r>
        <w:t>Nature</w:t>
      </w:r>
      <w:r>
        <w:t xml:space="preserve">    </w:t>
      </w:r>
      <w:r>
        <w:rPr>
          <w:b/>
        </w:rPr>
        <w:t xml:space="preserve">Pub date: </w:t>
      </w:r>
      <w:r>
        <w:t>2026-02-19 00:00:00+00:00</w:t>
      </w:r>
    </w:p>
    <w:p>
      <w:pPr>
        <w:spacing w:before="0" w:after="120"/>
      </w:pPr>
      <w:r>
        <w:rPr>
          <w:b/>
        </w:rPr>
        <w:t xml:space="preserve">Notes: </w:t>
      </w:r>
      <w:r>
        <w:t>abstract_source=nature_html</w:t>
      </w:r>
    </w:p>
    <w:p>
      <w:pPr>
        <w:spacing w:before="0" w:after="80" w:lineRule="auto" w:line="276"/>
      </w:pPr>
      <w:r>
        <w:rPr>
          <w:b/>
        </w:rPr>
        <w:t xml:space="preserve">摘要（ZH）: </w:t>
      </w:r>
      <w:r>
        <w:t>Epstein-Barr病毒(Ebstein-Barr病毒)感染者占全球人口的90-95%,1 2 并一直作为终身感染在B细胞中。3 先前的EbV感染与自免疫和肿瘤疾病有关4。然而,在EBV持久性期间宿主控制的生物基础仍然不清楚。这里,我们报告了在持续感染期间与控制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w:t>
      </w:r>
    </w:p>
    <w:p>
      <w:pPr>
        <w:spacing w:before="0" w:after="200" w:lineRule="auto" w:line="276"/>
      </w:pPr>
      <w:r>
        <w:rPr>
          <w:b/>
        </w:rPr>
        <w:t xml:space="preserve">Abstract (EN): </w:t>
      </w:r>
      <w:r>
        <w:t>Epstein–Barr virus (EBV) infects ≈90-95% of the global population1,2 and persists in B cells as a life-long infection3. Prior EBV-infection is associated with autoimmune and neoplastic disease4. Still, the biological basis of host control during EBV persistence remains unclear. Here, we report the identification of non-genetic and genetic factors that are associated with EBV control during persistent infection. Using blood-based genome sequence (GS) data from 486,315 UK Biobank and 336,123 All of Us participants, we identified short read-pairs mapping to the EBV genome in 16.2% and 21.8% of individuals, respectively. EBV-read detection (EBVread+) reflects increased viral load in blood cells, as shown by orthogonal measurements, and was associated with HIV infection, immunosuppressive drug intake, and current smoking. Genome-wide analyses of EBVread+ identified strong associations at the Major Histocompatibility Complex (MHC), including 54 independent HLA-alleles of MHC class I and II, and at 27 genomic regions outside MHC. Epistasis with distinct HLA-alleles of MHC class I was observed at the ERAP2 locus. Analysis of individuals with EBV-associated diseases4 revealed a higher polygenic burden of EBVread+ for HLA-alleles at MHC class I in multiple sclerosis (driven by HLA-A*02:01), and at MHC class II in rheumatoid arthritis. Phenome-wide analyses identified a polygenic overlap of EBVread+ with inflammatory bowel disease, hypothyroidism, and type 1 diabetes. Our study establishes by-products of human GS as a surrogate marker of EBV viral load. This will facilitate investigation and treatment for EBV and other persistent viral infections.</w:t>
      </w:r>
    </w:p>
    <w:p>
      <w:pPr>
        <w:spacing w:before="120" w:after="120"/>
      </w:pPr>
      <w:r>
        <w:rPr>
          <w:sz w:val="18"/>
        </w:rPr>
        <w:t>——————————————————————————————————————————————————————————————————————</w:t>
      </w:r>
    </w:p>
    <w:p>
      <w:pPr>
        <w:spacing w:before="160" w:after="40" w:line="240" w:lineRule="auto"/>
      </w:pPr>
      <w:r>
        <w:rPr>
          <w:b/>
        </w:rPr>
        <w:t xml:space="preserve">[542] </w:t>
      </w:r>
      <w:hyperlink r:id="rId870">
        <w:r>
          <w:rPr>
            <w:color w:val="1155CC"/>
            <w:u w:val="single"/>
          </w:rPr>
          <w:t>在用于光催化能源和环境应用的纳米纳米材料中进行空缺互动连接</w:t>
        </w:r>
      </w:hyperlink>
    </w:p>
    <w:p>
      <w:pPr>
        <w:spacing w:before="0" w:after="80"/>
      </w:pPr>
      <w:r>
        <w:rPr>
          <w:i/>
          <w:sz w:val="20"/>
        </w:rPr>
        <w:t>EN: Vacancy-interface coupling in nanomaterials for photocatalytic energy and environmental applications</w:t>
      </w:r>
    </w:p>
    <w:p>
      <w:pPr>
        <w:spacing w:before="0" w:after="120"/>
      </w:pPr>
      <w:r>
        <w:rPr>
          <w:b/>
        </w:rPr>
        <w:t xml:space="preserve">Source: </w:t>
      </w:r>
      <w:r>
        <w:t>Chem</w:t>
      </w:r>
      <w:r>
        <w:t xml:space="preserve">    </w:t>
      </w:r>
      <w:r>
        <w:rPr>
          <w:b/>
        </w:rPr>
        <w:t xml:space="preserve">Pub date: </w:t>
      </w:r>
      <w:r>
        <w:t>2026-02-19 00:00:00+00:00</w:t>
      </w:r>
    </w:p>
    <w:p>
      <w:pPr>
        <w:spacing w:before="0" w:after="120"/>
      </w:pPr>
      <w:r>
        <w:rPr>
          <w:b/>
        </w:rPr>
        <w:t xml:space="preserve">Notes: </w:t>
      </w:r>
      <w:r>
        <w:t>abstract_source=rss_cell</w:t>
      </w:r>
    </w:p>
    <w:p>
      <w:pPr>
        <w:spacing w:before="0" w:after="80" w:lineRule="auto" w:line="276"/>
      </w:pPr>
      <w:r>
        <w:rPr>
          <w:b/>
        </w:rPr>
        <w:t xml:space="preserve">摘要（ZH）: </w:t>
      </w:r>
      <w:r>
        <w:t>空隙界面连接将缺陷化学与跨频带调制相结合,以引导电荷分离,加强红氧化物路径,并加强光催化变异。 这一战略使得高效光催化H2生产、H2O2演化、二氧化碳减少和污染物降解成为可能,同时通过协同效应的由空隙引发的波段重组和干扰电场推动塑料和生物量的光改型。</w:t>
      </w:r>
    </w:p>
    <w:p>
      <w:pPr>
        <w:spacing w:before="0" w:after="200" w:lineRule="auto" w:line="276"/>
      </w:pPr>
      <w:r>
        <w:rPr>
          <w:b/>
        </w:rPr>
        <w:t xml:space="preserve">Abstract (EN): </w:t>
      </w:r>
      <w:r>
        <w:t>Vacancy-interface coupling integrates defect chemistry with interfacial band modulation to steer charge separation, strengthen redox pathways, and enhance photocatalytic transformations. This strategy enables efficient photocatalytic H2 production, H2O2 evolution, CO2 reduction, and pollutant degradation while driving the photoreforming of plastics and biomass through synergistic vacancy-induced band restructuring and interfacial electric fields.</w:t>
      </w:r>
    </w:p>
    <w:p>
      <w:pPr>
        <w:spacing w:before="120" w:after="120"/>
      </w:pPr>
      <w:r>
        <w:rPr>
          <w:sz w:val="18"/>
        </w:rPr>
        <w:t>——————————————————————————————————————————————————————————————————————</w:t>
      </w:r>
    </w:p>
    <w:p>
      <w:pPr>
        <w:spacing w:before="160" w:after="40" w:line="240" w:lineRule="auto"/>
      </w:pPr>
      <w:r>
        <w:rPr>
          <w:b/>
        </w:rPr>
        <w:t xml:space="preserve">[543] </w:t>
      </w:r>
      <w:hyperlink r:id="rId871">
        <w:r>
          <w:rPr>
            <w:color w:val="1155CC"/>
            <w:u w:val="single"/>
          </w:rPr>
          <w:t>含有寄生性盐-疏盐网络的电解电解石使得无阳无阳性无阴极锂电池能够使用寿命长、周期长、热稳定性强的电池</w:t>
        </w:r>
      </w:hyperlink>
    </w:p>
    <w:p>
      <w:pPr>
        <w:spacing w:before="0" w:after="80"/>
      </w:pPr>
      <w:r>
        <w:rPr>
          <w:i/>
          <w:sz w:val="20"/>
        </w:rPr>
        <w:t>EN: Gel electrolyte featuring parasitic salt-phobic network enables anode-free lithium batteries with long cycle life and enhanced thermal stability</w:t>
      </w:r>
    </w:p>
    <w:p>
      <w:pPr>
        <w:spacing w:before="0" w:after="120"/>
      </w:pPr>
      <w:r>
        <w:rPr>
          <w:b/>
        </w:rPr>
        <w:t xml:space="preserve">Source: </w:t>
      </w:r>
      <w:r>
        <w:t>Joule</w:t>
      </w:r>
      <w:r>
        <w:t xml:space="preserve">    </w:t>
      </w:r>
      <w:r>
        <w:rPr>
          <w:b/>
        </w:rPr>
        <w:t xml:space="preserve">Pub date: </w:t>
      </w:r>
      <w:r>
        <w:t>2026-02-19 00:00:00+00:00</w:t>
      </w:r>
    </w:p>
    <w:p>
      <w:pPr>
        <w:spacing w:before="0" w:after="120"/>
      </w:pPr>
      <w:r>
        <w:rPr>
          <w:b/>
        </w:rPr>
        <w:t xml:space="preserve">Notes: </w:t>
      </w:r>
      <w:r>
        <w:t>abstract_source=rss_cell</w:t>
      </w:r>
    </w:p>
    <w:p>
      <w:pPr>
        <w:spacing w:before="0" w:after="80" w:lineRule="auto" w:line="276"/>
      </w:pPr>
      <w:r>
        <w:rPr>
          <w:b/>
        </w:rPr>
        <w:t xml:space="preserve">摘要（ZH）: </w:t>
      </w:r>
      <w:r>
        <w:t>推进安全和耐久锂电池需要更清晰地了解电解槽如何调节离子行为。 这项工作表明,理性聚合物设计可以重塑电池优化中一个基本上被忽视的杠杆,即锂离子溶液。 通过设计一个能促进稳定的阴离子丰富环境的凝胶电解液,这项工作可以改善无阴极细胞的循环稳定性和热稳定性。 这些发现凸显分子级溶液控制的重要性,并为下一代高能电池提供实用战略。</w:t>
      </w:r>
    </w:p>
    <w:p>
      <w:pPr>
        <w:spacing w:before="0" w:after="200" w:lineRule="auto" w:line="276"/>
      </w:pPr>
      <w:r>
        <w:rPr>
          <w:b/>
        </w:rPr>
        <w:t xml:space="preserve">Abstract (EN): </w:t>
      </w:r>
      <w:r>
        <w:t>Advancing safe and durable lithium batteries requires clearer insight into how electrolytes govern ion behavior. This work demonstrates that rational polymer design can reshape lithium-ion solvation, a largely overlooked lever in battery optimization. By engineering a gel electrolyte that promotes a stable anion-rich environment, the work enables improved cycling stability and thermal stability in anode-free cells. These findings highlight the importance of molecular-level solvation control and offer a practical strategy for next-generation high-energy batteries.</w:t>
      </w:r>
    </w:p>
    <w:p>
      <w:pPr>
        <w:spacing w:before="120" w:after="120"/>
      </w:pPr>
      <w:r>
        <w:rPr>
          <w:sz w:val="18"/>
        </w:rPr>
        <w:t>——————————————————————————————————————————————————————————————————————</w:t>
      </w:r>
    </w:p>
    <w:p>
      <w:pPr>
        <w:spacing w:before="160" w:after="40" w:line="240" w:lineRule="auto"/>
      </w:pPr>
      <w:r>
        <w:rPr>
          <w:b/>
        </w:rPr>
        <w:t xml:space="preserve">[544] </w:t>
      </w:r>
      <w:hyperlink r:id="rId872">
        <w:r>
          <w:rPr>
            <w:color w:val="1155CC"/>
            <w:u w:val="single"/>
          </w:rPr>
          <w:t>以碳为基础的千伏伏伏光伏用双分子工程对缺陷、充电载体和离子的协同管制</w:t>
        </w:r>
      </w:hyperlink>
    </w:p>
    <w:p>
      <w:pPr>
        <w:spacing w:before="0" w:after="80"/>
      </w:pPr>
      <w:r>
        <w:rPr>
          <w:i/>
          <w:sz w:val="20"/>
        </w:rPr>
        <w:t>EN: Synergistic regulation of defects, charge carriers, and ions via bimolecular engineering in carbon-based perovskite photovoltaics</w:t>
      </w:r>
    </w:p>
    <w:p>
      <w:pPr>
        <w:spacing w:before="0" w:after="120"/>
      </w:pPr>
      <w:r>
        <w:rPr>
          <w:b/>
        </w:rPr>
        <w:t xml:space="preserve">Source: </w:t>
      </w:r>
      <w:r>
        <w:t>Joule</w:t>
      </w:r>
      <w:r>
        <w:t xml:space="preserve">    </w:t>
      </w:r>
      <w:r>
        <w:rPr>
          <w:b/>
        </w:rPr>
        <w:t xml:space="preserve">Pub date: </w:t>
      </w:r>
      <w:r>
        <w:t>2026-02-19 00:00:00+00:00</w:t>
      </w:r>
    </w:p>
    <w:p>
      <w:pPr>
        <w:spacing w:before="0" w:after="120"/>
      </w:pPr>
      <w:r>
        <w:rPr>
          <w:b/>
        </w:rPr>
        <w:t xml:space="preserve">Notes: </w:t>
      </w:r>
      <w:r>
        <w:t>abstract_source=rss_cell</w:t>
      </w:r>
    </w:p>
    <w:p>
      <w:pPr>
        <w:spacing w:before="0" w:after="80" w:lineRule="auto" w:line="276"/>
      </w:pPr>
      <w:r>
        <w:rPr>
          <w:b/>
        </w:rPr>
        <w:t xml:space="preserve">摘要（ZH）: </w:t>
      </w:r>
      <w:r>
        <w:t>我们向低温可打印碳基全氟化碳太阳能电池(C-PSCs)工程师报告了一种双分子间战略,其中结合了碘化(OAI)和2-(2-(3,6-二甲基氧-9H-carbazol-9-yl)乙基)磷酸(MeO-2PACz),将二分子间战略整合到低温可打印碳基全氟化碳基全氟化碳太阳能电池(C-PSCs)中。这种方法既能消化多点缺陷,又通过dipole-诱导的能源对齐加强孔选择性接触,并抑制离子迁移。这在0.09厘米的C-PSCs和10厘米半透明模(35.8%的可见光传输)每个活性区域中产生23.15%的效益。</w:t>
      </w:r>
    </w:p>
    <w:p>
      <w:pPr>
        <w:spacing w:before="0" w:after="200" w:lineRule="auto" w:line="276"/>
      </w:pPr>
      <w:r>
        <w:rPr>
          <w:b/>
        </w:rPr>
        <w:t xml:space="preserve">Abstract (EN): </w:t>
      </w:r>
      <w:r>
        <w:t>We report a bimolecular interlayer strategy integrating octylammonium iodide (OAI) and (2-(3,6-dimethoxy-9H-carbazol-9-yl)ethyl) phosphonic acid (MeO-2PACz) to engineer perovskite surfaces in low-temperature printable carbon-based perovskite solar cells (C-PSCs). This approach simultaneously passivates multi-site defects, enhances hole-selective contacts via dipole-induced energy alignment, and suppresses ion migration. This yields record efficiencies of 23.15% for 0.09 cm2 C-PSCs and 18.77% per active area for 10 cm2 semitransparent module (35.8% visible light transmittance).</w:t>
      </w:r>
    </w:p>
    <w:p>
      <w:pPr>
        <w:spacing w:before="120" w:after="120"/>
      </w:pPr>
      <w:r>
        <w:rPr>
          <w:sz w:val="18"/>
        </w:rPr>
        <w:t>——————————————————————————————————————————————————————————————————————</w:t>
      </w:r>
    </w:p>
    <w:p>
      <w:pPr>
        <w:spacing w:before="160" w:after="40" w:line="240" w:lineRule="auto"/>
      </w:pPr>
      <w:r>
        <w:rPr>
          <w:b/>
        </w:rPr>
        <w:t xml:space="preserve">[545] </w:t>
      </w:r>
      <w:hyperlink r:id="rId873">
        <w:r>
          <w:rPr>
            <w:color w:val="1155CC"/>
            <w:u w:val="single"/>
          </w:rPr>
          <w:t>T97在空气中的寿命超过2 000小时的超常聚合物太阳能电池</w:t>
        </w:r>
      </w:hyperlink>
    </w:p>
    <w:p>
      <w:pPr>
        <w:spacing w:before="0" w:after="80"/>
      </w:pPr>
      <w:r>
        <w:rPr>
          <w:i/>
          <w:sz w:val="20"/>
        </w:rPr>
        <w:t>EN: Ultra-stable polymer solar cells with T97 lifetime over 2,000 h in air</w:t>
      </w:r>
    </w:p>
    <w:p>
      <w:pPr>
        <w:spacing w:before="0" w:after="120"/>
      </w:pPr>
      <w:r>
        <w:rPr>
          <w:b/>
        </w:rPr>
        <w:t xml:space="preserve">Source: </w:t>
      </w:r>
      <w:r>
        <w:t>Matter</w:t>
      </w:r>
      <w:r>
        <w:t xml:space="preserve">    </w:t>
      </w:r>
      <w:r>
        <w:rPr>
          <w:b/>
        </w:rPr>
        <w:t xml:space="preserve">Pub date: </w:t>
      </w:r>
      <w:r>
        <w:t>2026-02-19 00:00:00+00:00</w:t>
      </w:r>
    </w:p>
    <w:p>
      <w:pPr>
        <w:spacing w:before="0" w:after="120"/>
      </w:pPr>
      <w:r>
        <w:rPr>
          <w:b/>
        </w:rPr>
        <w:t xml:space="preserve">Notes: </w:t>
      </w:r>
      <w:r>
        <w:t>abstract_source=rss_cell</w:t>
      </w:r>
    </w:p>
    <w:p>
      <w:pPr>
        <w:spacing w:before="0" w:after="80" w:lineRule="auto" w:line="276"/>
      </w:pPr>
      <w:r>
        <w:rPr>
          <w:b/>
        </w:rPr>
        <w:t xml:space="preserve">摘要（ZH）: </w:t>
      </w:r>
      <w:r>
        <w:t>通过将一个线性包装的小分子接收器纳入聚合接收器,我们抑制分子自我纠缠,并加强聚合太阳能电池的结构秩序。 这种方法克服了效率稳定权衡,即功率转换效率超过19%的辅助装置,以及强力T97操作寿命超过2 000小时的T97操作寿命。</w:t>
      </w:r>
    </w:p>
    <w:p>
      <w:pPr>
        <w:spacing w:before="0" w:after="200" w:lineRule="auto" w:line="276"/>
      </w:pPr>
      <w:r>
        <w:rPr>
          <w:b/>
        </w:rPr>
        <w:t xml:space="preserve">Abstract (EN): </w:t>
      </w:r>
      <w:r>
        <w:t>By incorporating a linearly packed small moleculer acceptor into the polymeric acceptor, we suppress molecular self-entanglement and enhance structural order in polymer solar cells. This approach overcomes the efficiency-stability trade-off, enabling devices with a power conversion efficiency exceeding 19% and robust T97 operational lifetime over 2,000 h.</w:t>
      </w:r>
    </w:p>
    <w:p>
      <w:pPr>
        <w:spacing w:before="120" w:after="120"/>
      </w:pPr>
      <w:r>
        <w:rPr>
          <w:sz w:val="18"/>
        </w:rPr>
        <w:t>——————————————————————————————————————————————————————————————————————</w:t>
      </w:r>
    </w:p>
    <w:p>
      <w:pPr>
        <w:spacing w:before="160" w:after="40" w:line="240" w:lineRule="auto"/>
      </w:pPr>
      <w:r>
        <w:rPr>
          <w:b/>
        </w:rPr>
        <w:t xml:space="preserve">[546] </w:t>
      </w:r>
      <w:hyperlink r:id="rId874">
        <w:r>
          <w:rPr>
            <w:color w:val="1155CC"/>
            <w:u w:val="single"/>
          </w:rPr>
          <w:t>随着美国援助削减,</w:t>
        </w:r>
      </w:hyperlink>
    </w:p>
    <w:p>
      <w:pPr>
        <w:spacing w:before="0" w:after="80"/>
      </w:pPr>
      <w:r>
        <w:rPr>
          <w:i/>
          <w:sz w:val="20"/>
        </w:rPr>
        <w:t>EN: Science journalism on the ropes worldwide as US aid cuts bite</w:t>
      </w:r>
    </w:p>
    <w:p>
      <w:pPr>
        <w:spacing w:before="0" w:after="120"/>
      </w:pPr>
      <w:r>
        <w:rPr>
          <w:b/>
        </w:rPr>
        <w:t xml:space="preserve">Source: </w:t>
      </w:r>
      <w:r>
        <w:t>Nature</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[547] </w:t>
      </w:r>
      <w:hyperlink r:id="rId875">
        <w:r>
          <w:rPr>
            <w:color w:val="1155CC"/>
            <w:u w:val="single"/>
          </w:rPr>
          <w:t>以水凝硅化物 将粘合体粘结在水凝胶硅化物上</w:t>
        </w:r>
      </w:hyperlink>
    </w:p>
    <w:p>
      <w:pPr>
        <w:spacing w:before="0" w:after="80"/>
      </w:pPr>
      <w:r>
        <w:rPr>
          <w:i/>
          <w:sz w:val="20"/>
        </w:rPr>
        <w:t>EN: Stirring up vortices with hydrogel cilia</w:t>
      </w:r>
    </w:p>
    <w:p>
      <w:pPr>
        <w:spacing w:before="0" w:after="120"/>
      </w:pPr>
      <w:r>
        <w:rPr>
          <w:b/>
        </w:rPr>
        <w:t xml:space="preserve">Source: </w:t>
      </w:r>
      <w:r>
        <w:t>Nature Electronics</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[548] </w:t>
      </w:r>
      <w:hyperlink r:id="rId876">
        <w:r>
          <w:rPr>
            <w:color w:val="1155CC"/>
            <w:u w:val="single"/>
          </w:rPr>
          <w:t>薄膜中的秩序</w:t>
        </w:r>
      </w:hyperlink>
    </w:p>
    <w:p>
      <w:pPr>
        <w:spacing w:before="0" w:after="80"/>
      </w:pPr>
      <w:r>
        <w:rPr>
          <w:i/>
          <w:sz w:val="20"/>
        </w:rPr>
        <w:t>EN: Order in the membrane</w:t>
      </w:r>
    </w:p>
    <w:p>
      <w:pPr>
        <w:spacing w:before="0" w:after="120"/>
      </w:pPr>
      <w:r>
        <w:rPr>
          <w:b/>
        </w:rPr>
        <w:t xml:space="preserve">Source: </w:t>
      </w:r>
      <w:r>
        <w:t>Nature Chemical Engineering</w:t>
      </w:r>
      <w:r>
        <w:t xml:space="preserve">    </w:t>
      </w:r>
      <w:r>
        <w:rPr>
          <w:b/>
        </w:rPr>
        <w:t xml:space="preserve">Pub date: </w:t>
      </w:r>
      <w:r>
        <w:t>2026-02-19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[549] </w:t>
      </w:r>
      <w:hyperlink r:id="rId877">
        <w:r>
          <w:rPr>
            <w:color w:val="1155CC"/>
            <w:u w:val="single"/>
          </w:rPr>
          <w:t>废用液态FePO4阴极材料的精精精精精炼的拆除和结构恢复</w:t>
        </w:r>
      </w:hyperlink>
    </w:p>
    <w:p>
      <w:pPr>
        <w:spacing w:before="0" w:after="80"/>
      </w:pPr>
      <w:r>
        <w:rPr>
          <w:i/>
          <w:sz w:val="20"/>
        </w:rPr>
        <w:t>EN: Streamlined Precise Delamination and Structural Restoration of Spent LiFePO4 Cathode Materials</w:t>
      </w:r>
    </w:p>
    <w:p>
      <w:pPr>
        <w:spacing w:before="0" w:after="120"/>
      </w:pPr>
      <w:r>
        <w:rPr>
          <w:b/>
        </w:rPr>
        <w:t xml:space="preserve">Source: </w:t>
      </w:r>
      <w:r>
        <w:t>Wiley: Advanced Energy Materials: Table of Contents</w:t>
      </w:r>
      <w:r>
        <w:t xml:space="preserve">    </w:t>
      </w:r>
      <w:r>
        <w:rPr>
          <w:b/>
        </w:rPr>
        <w:t xml:space="preserve">Pub date: </w:t>
      </w:r>
      <w:r>
        <w:t>2026-02-19 05:12:10+00:00</w:t>
      </w:r>
      <w:r>
        <w:t xml:space="preserve">    </w:t>
      </w:r>
      <w:r>
        <w:rPr>
          <w:b/>
        </w:rPr>
        <w:t xml:space="preserve">DOI: </w:t>
      </w:r>
      <w:hyperlink r:id="rId878">
        <w:r>
          <w:rPr>
            <w:color w:val="1155CC"/>
            <w:u w:val="single"/>
          </w:rPr>
          <w:t>10.1002/aenm.70768</w:t>
        </w:r>
      </w:hyperlink>
    </w:p>
    <w:p>
      <w:pPr>
        <w:spacing w:before="0" w:after="120"/>
      </w:pPr>
      <w:r>
        <w:rPr>
          <w:b/>
        </w:rPr>
        <w:t xml:space="preserve">Notes: </w:t>
      </w:r>
      <w:r>
        <w:t>abstract_source=crossref</w:t>
      </w:r>
    </w:p>
    <w:p>
      <w:pPr>
        <w:spacing w:before="0" w:after="80" w:lineRule="auto" w:line="276"/>
      </w:pPr>
      <w:r>
        <w:rPr>
          <w:b/>
        </w:rPr>
        <w:t xml:space="preserve">摘要（ZH）: </w:t>
      </w:r>
      <w:r>
        <w:t>ABSTACT 耗用锂离子电池阴极的高效回收利用仍然至关重要且具有挑战性。 实现高纯度分离取决于当前收集器对活性材料进行精确的分解,这直接影响到下游再循环效率。 在密度功能理论的指导下,我们制定了一个多功能战略,通过首先解除粘合器的活化,然后通过使用设计的双相电子浓缩试剂(BER)进行电动电动来结构恢复分离的LFEPO 4(LFP) 。 实验中,该方法在几分钟内达到 &amp; gt;99%的LFP和多个电极化学分离效率,同时完全进入。</w:t>
      </w:r>
    </w:p>
    <w:p>
      <w:pPr>
        <w:spacing w:before="0" w:after="200" w:lineRule="auto" w:line="276"/>
      </w:pPr>
      <w:r>
        <w:rPr>
          <w:b/>
        </w:rPr>
        <w:t xml:space="preserve">Abstract (EN): </w:t>
      </w:r>
      <w:r>
        <w:t>Efficient recycling of spent lithium‐ion battery cathodes remains both critical and challenging. Achieving high‐purity separation hinges on the precise delamination of active materials from current collectors, which directly influences downstream recycling efficiency. Guided by density functional theory, we develop a versatile strategy that enables rapid, high‐efficiency delamination by first deactivating the binder, followed by structural restoration of the separated LiFePO</w:t>
      </w:r>
      <w:r>
        <w:rPr>
          <w:vertAlign w:val="subscript"/>
        </w:rPr>
        <w:t>4</w:t>
      </w:r>
      <w:r>
        <w:t>(LFP) through electron activation using a designed bi‐phase electron‐rich reagent (BER). Experimentally, the approach attains &amp;gt; 99% separation efficiency for LFP and multiple electrode chemistries within minutes, while fully preserving the structural integrity of both active materials and metal foils. The phase I BER (BER‐I) maintains stable performance over more than ten cycles after simple zeolite purification, showing negligible changes in viscosity or chemical composition. Notably, BER‐I can be converted in situ into a repairing phase II BER that replenishes lithium loss and heals structural defects, enabling direct regeneration. The regenerated LFP delivers a specific capacity of 154.7 mAh g</w:t>
      </w:r>
      <w:r>
        <w:t xml:space="preserve"> </w:t>
      </w:r>
      <w:r>
        <w:t>−1</w:t>
      </w:r>
      <w:r>
        <w:t xml:space="preserve"> </w:t>
      </w:r>
      <w:r>
        <w:t>at 0.1 C, while its 0.5 Ah pouch cell maintains 91.1% capacity after 400 cycles at 1 C. Techno‐economic analysis further reveals that this integrated separation‐regeneration route offers a more sustainable and economically advantageous solution than existing recycling processes.</w:t>
      </w:r>
    </w:p>
    <w:p>
      <w:pPr>
        <w:spacing w:before="120" w:after="120"/>
      </w:pPr>
      <w:r>
        <w:rPr>
          <w:sz w:val="18"/>
        </w:rPr>
        <w:t>——————————————————————————————————————————————————————————————————————</w:t>
      </w:r>
    </w:p>
    <w:p>
      <w:pPr>
        <w:spacing w:before="160" w:after="40" w:line="240" w:lineRule="auto"/>
      </w:pPr>
      <w:r>
        <w:rPr>
          <w:b/>
        </w:rPr>
        <w:t xml:space="preserve">[550] </w:t>
      </w:r>
      <w:hyperlink r:id="rId879">
        <w:r>
          <w:rPr>
            <w:color w:val="1155CC"/>
            <w:u w:val="single"/>
          </w:rPr>
          <w:t>由Soft-Landing和Thin Spiro-OMETAD 缓冲层制造的NiO-Scuttered n-i-p Perovskite太阳能电池的变换设备效率和稳定性</w:t>
        </w:r>
      </w:hyperlink>
    </w:p>
    <w:p>
      <w:pPr>
        <w:spacing w:before="0" w:after="80"/>
      </w:pPr>
      <w:r>
        <w:rPr>
          <w:i/>
          <w:sz w:val="20"/>
        </w:rPr>
        <w:t>EN: Transforming Device Efficiency and Stability in NiO‐Sputtered n–i–p Perovskite Solar Cells by Soft‐Landing and a Thin Spiro‐OMeTAD Buffer Layer</w:t>
      </w:r>
    </w:p>
    <w:p>
      <w:pPr>
        <w:spacing w:before="0" w:after="120"/>
      </w:pPr>
      <w:r>
        <w:rPr>
          <w:b/>
        </w:rPr>
        <w:t xml:space="preserve">Source: </w:t>
      </w:r>
      <w:r>
        <w:t>Wiley: Advanced Energy Materials: Table of Contents</w:t>
      </w:r>
      <w:r>
        <w:t xml:space="preserve">    </w:t>
      </w:r>
      <w:r>
        <w:rPr>
          <w:b/>
        </w:rPr>
        <w:t xml:space="preserve">Pub date: </w:t>
      </w:r>
      <w:r>
        <w:t>2026-02-19 05:12:42+00:00</w:t>
      </w:r>
      <w:r>
        <w:t xml:space="preserve">    </w:t>
      </w:r>
      <w:r>
        <w:rPr>
          <w:b/>
        </w:rPr>
        <w:t xml:space="preserve">DOI: </w:t>
      </w:r>
      <w:hyperlink r:id="rId880">
        <w:r>
          <w:rPr>
            <w:color w:val="1155CC"/>
            <w:u w:val="single"/>
          </w:rPr>
          <w:t>10.1002/aenm.202503291</w:t>
        </w:r>
      </w:hyperlink>
    </w:p>
    <w:p>
      <w:pPr>
        <w:spacing w:before="0" w:after="120"/>
      </w:pPr>
      <w:r>
        <w:rPr>
          <w:b/>
        </w:rPr>
        <w:t xml:space="preserve">Notes: </w:t>
      </w:r>
      <w:r>
        <w:t>abstract_source=crossref</w:t>
      </w:r>
    </w:p>
    <w:p>
      <w:pPr>
        <w:spacing w:before="0" w:after="80" w:lineRule="auto" w:line="276"/>
      </w:pPr>
      <w:r>
        <w:rPr>
          <w:b/>
        </w:rPr>
        <w:t xml:space="preserve">摘要（ZH）: </w:t>
      </w:r>
      <w:r>
        <w:t>将无机物质整合到无氧太阳能电池(PSCs)对于提高长期运行稳定性、可缩缩性和经济可行性至关重要。 在这里,我们展示了使用经修改的对稀释的氧化镍的规程作为n-i-p结构化的PSC(HTL)的洞穴运输层(HTL),与薄的 SpiroOMeTAD 缓冲层结合使用无机物质。 引入有偏向的网格和缓冲界面使我们能够在卤化的普罗夫斯基实现尼奥软着陆,从而最大限度地减少流程造成的内部损害。 我们的结果表明,缓冲层仅起到内部保护层的作用,而不是功能性HTL。 使用这种方法,我们报告强力转换效率为23.45 % 。</w:t>
      </w:r>
    </w:p>
    <w:p>
      <w:pPr>
        <w:spacing w:before="0" w:after="200" w:lineRule="auto" w:line="276"/>
      </w:pPr>
      <w:r>
        <w:rPr>
          <w:b/>
        </w:rPr>
        <w:t xml:space="preserve">Abstract (EN): </w:t>
      </w:r>
      <w:r>
        <w:t>The integration of inorganic materials in perovskite solar cells (PSCs) is critical for enhancing long‐term operational stability, scalability, and economic viability. Here, we demonstrate the transformational efficacy of using a modified protocol for sputtered nickel oxide as a hole transport layer (HTL) in n–i–p structured PSCs, in conjunction with a thin Spiro‐OMeTAD buffer layer. The introduction of a biased grid and a buffer interface enable us to achieve a soft landing of NiO on the halide perovskite, thereby minimizing process‐induced interfacial damage. Our results indicate that the buffer layer serves solely as an interfacial protection layer, rather than as a functional HTL. Using this approach, we report champion power conversion efficiencies of 23.45% (mean ≈22.2%) on rigid glass substrates and 22.1% (mean ≈21%) on flexible ITO‐coated PET substrates, both employing fully inorganic charge transport layers. These results represent unprecedented enhancements over previously reported highest PCE values (&amp;lt;12%) for n‐i‐p devices using sputtered NiO as the HTL, placing them on par with p‐i‐n architectures that utilize a combination of NiO and organic HTLs. This work demonstrates a scalable, commercially viable pathway toward high‐efficiency, stable perovskite photovoltaics based solely on sputtered inorganic layers, offering a competitive edge for further development.</w:t>
      </w:r>
    </w:p>
    <w:p>
      <w:pPr>
        <w:spacing w:before="120" w:after="120"/>
      </w:pPr>
      <w:r>
        <w:rPr>
          <w:sz w:val="18"/>
        </w:rPr>
        <w:t>——————————————————————————————————————————————————————————————————————</w:t>
      </w:r>
    </w:p>
    <w:p>
      <w:pPr>
        <w:spacing w:before="160" w:after="40" w:line="240" w:lineRule="auto"/>
      </w:pPr>
      <w:r>
        <w:rPr>
          <w:b/>
        </w:rPr>
        <w:t xml:space="preserve">[551] </w:t>
      </w:r>
      <w:hyperlink r:id="rId881">
        <w:r>
          <w:rPr>
            <w:color w:val="1155CC"/>
            <w:u w:val="single"/>
          </w:rPr>
          <w:t>利用热力动力学,在Ion Intercal化化学中脱钩,以解锁未先例的能源储存</w:t>
        </w:r>
      </w:hyperlink>
    </w:p>
    <w:p>
      <w:pPr>
        <w:spacing w:before="0" w:after="80"/>
      </w:pPr>
      <w:r>
        <w:rPr>
          <w:i/>
          <w:sz w:val="20"/>
        </w:rPr>
        <w:t>EN: Harnessing Thermodynamic Decoupling in Ion Intercalation Chemistry to Unlock Unprecedented Energy Storage</w:t>
      </w:r>
    </w:p>
    <w:p>
      <w:pPr>
        <w:spacing w:before="0" w:after="120"/>
      </w:pPr>
      <w:r>
        <w:rPr>
          <w:b/>
        </w:rPr>
        <w:t xml:space="preserve">Source: </w:t>
      </w:r>
      <w:r>
        <w:t>Wiley: Advanced Energy Materials: Table of Contents</w:t>
      </w:r>
      <w:r>
        <w:t xml:space="preserve">    </w:t>
      </w:r>
      <w:r>
        <w:rPr>
          <w:b/>
        </w:rPr>
        <w:t xml:space="preserve">Pub date: </w:t>
      </w:r>
      <w:r>
        <w:t>2026-02-19 05:13:40+00:00</w:t>
      </w:r>
      <w:r>
        <w:t xml:space="preserve">    </w:t>
      </w:r>
      <w:r>
        <w:rPr>
          <w:b/>
        </w:rPr>
        <w:t xml:space="preserve">DOI: </w:t>
      </w:r>
      <w:hyperlink r:id="rId882">
        <w:r>
          <w:rPr>
            <w:color w:val="1155CC"/>
            <w:u w:val="single"/>
          </w:rPr>
          <w:t>10.1002/aenm.70779</w:t>
        </w:r>
      </w:hyperlink>
    </w:p>
    <w:p>
      <w:pPr>
        <w:spacing w:before="0" w:after="120"/>
      </w:pPr>
      <w:r>
        <w:rPr>
          <w:b/>
        </w:rPr>
        <w:t xml:space="preserve">Notes: </w:t>
      </w:r>
      <w:r>
        <w:t>abstract_source=crossref</w:t>
      </w:r>
    </w:p>
    <w:p>
      <w:pPr>
        <w:spacing w:before="0" w:after="80" w:lineRule="auto" w:line="276"/>
      </w:pPr>
      <w:r>
        <w:rPr>
          <w:b/>
        </w:rPr>
        <w:t xml:space="preserve">摘要（ZH）: </w:t>
      </w:r>
      <w:r>
        <w:t>ABSTACT 反转离离子间融化化学支撑岩石椅子电池和智能离子交换装置。常规相互融化的激活依赖于离子天主距离和电子电效应,将规章限制在与高度膨胀和机械降解有关的碳和硅基材料中的压力-释放层面。然而,这一范式未能对降低降解所需的低扩张材料进行监管,因为受限制的体积块功能相互膨胀造成了压力。在这里,我们利用来自热力脱钩的离聚体装订强度,将其作为广泛适用的相互融化活化维度,可以通过将电子转移到低能量轨道托管实现监管,</w:t>
      </w:r>
    </w:p>
    <w:p>
      <w:pPr>
        <w:spacing w:before="0" w:after="200" w:lineRule="auto" w:line="276"/>
      </w:pPr>
      <w:r>
        <w:rPr>
          <w:b/>
        </w:rPr>
        <w:t xml:space="preserve">Abstract (EN): </w:t>
      </w:r>
      <w:r>
        <w:t>Reversible ion intercalation chemistry underpins rocking‐chair batteries and smart ionic switching devices. Conventional intercalation activation relies on ion‐host distance and electronegativity, confining regulations to stress‐release dimension in carbon and silicon‐based materials associated with high expansion and mechanical degradation. However, this paradigm fails in regulating low‐expansion materials for mitigating degradation, because stress arising from the constrained volume blocks functional intercalation. Herein, we harness ion‐host binding strength derived from thermodynamic decoupling as a widely applicable intercalation activation dimension, whose regulation can be realized by transferring electrons to host low‐energy orbital, and thus propose two quantitative descriptors to coordinate the antagonistic conflict between the binding strength and phase stability. Accordingly, we provide three types of cases to demonstrate its utility and applications, ranging from commercial carbon‐based electrodes to intractable covalent nitrides. The consideration of ion‐host binding strength sheds light on why graphite accommodates Li‐ but not Na‐ion. α‐VSi</w:t>
      </w:r>
      <w:r>
        <w:rPr>
          <w:vertAlign w:val="subscript"/>
        </w:rPr>
        <w:t>2</w:t>
      </w:r>
      <w:r>
        <w:t>N</w:t>
      </w:r>
      <w:r>
        <w:rPr>
          <w:vertAlign w:val="subscript"/>
        </w:rPr>
        <w:t>4</w:t>
      </w:r>
      <w:r>
        <w:t>prototype tuned from</w:t>
      </w:r>
      <w:r>
        <w:t xml:space="preserve"> </w:t>
      </w:r>
      <w:r>
        <w:t>M</w:t>
      </w:r>
      <w:r>
        <w:t xml:space="preserve"> </w:t>
      </w:r>
      <w:r>
        <w:t>Si</w:t>
      </w:r>
      <w:r>
        <w:rPr>
          <w:vertAlign w:val="subscript"/>
        </w:rPr>
        <w:t>2</w:t>
      </w:r>
      <w:r>
        <w:t>N</w:t>
      </w:r>
      <w:r>
        <w:rPr>
          <w:vertAlign w:val="subscript"/>
        </w:rPr>
        <w:t>4</w:t>
      </w:r>
      <w:r>
        <w:t>(</w:t>
      </w:r>
      <w:r>
        <w:t xml:space="preserve"> </w:t>
      </w:r>
      <w:r>
        <w:t>M</w:t>
      </w:r>
      <w:r>
        <w:t xml:space="preserve"> </w:t>
      </w:r>
      <w:r>
        <w:t>= Transition metal) family achieves a Na‐ion capacity of 163 mAh g</w:t>
      </w:r>
      <w:r>
        <w:t xml:space="preserve"> </w:t>
      </w:r>
      <w:r>
        <w:t>−1</w:t>
      </w:r>
      <w:r>
        <w:t xml:space="preserve"> </w:t>
      </w:r>
      <w:r>
        <w:t>with merely 5.6% expansion, surpassing the near‐zero‐expansion Na</w:t>
      </w:r>
      <w:r>
        <w:rPr>
          <w:vertAlign w:val="subscript"/>
        </w:rPr>
        <w:t>4</w:t>
      </w:r>
      <w:r>
        <w:t>Ti</w:t>
      </w:r>
      <w:r>
        <w:rPr>
          <w:vertAlign w:val="subscript"/>
        </w:rPr>
        <w:t>5</w:t>
      </w:r>
      <w:r>
        <w:t>O</w:t>
      </w:r>
      <w:r>
        <w:rPr>
          <w:vertAlign w:val="subscript"/>
        </w:rPr>
        <w:t>12</w:t>
      </w:r>
      <w:r>
        <w:t>benchmark by over 30%. This work establishes the intercalation chemistry activation landscape by exploring unprecedented regulation dimension, broadening the scope for the selective design of energy storage materials and beyond.</w:t>
      </w:r>
    </w:p>
    <w:p>
      <w:pPr>
        <w:spacing w:before="120" w:after="120"/>
      </w:pPr>
      <w:r>
        <w:rPr>
          <w:sz w:val="18"/>
        </w:rPr>
        <w:t>——————————————————————————————————————————————————————————————————————</w:t>
      </w:r>
    </w:p>
    <w:p>
      <w:pPr>
        <w:spacing w:before="160" w:after="40" w:line="240" w:lineRule="auto"/>
      </w:pPr>
      <w:r>
        <w:rPr>
          <w:b/>
        </w:rPr>
        <w:t xml:space="preserve">[552] </w:t>
      </w:r>
      <w:hyperlink r:id="rId883">
        <w:r>
          <w:rPr>
            <w:color w:val="1155CC"/>
            <w:u w:val="single"/>
          </w:rPr>
          <w:t>通过固体添加剂工程在二元有机太阳能电池中实现84%和21%效率接近84%和21%的创纪录填充系数</w:t>
        </w:r>
      </w:hyperlink>
    </w:p>
    <w:p>
      <w:pPr>
        <w:spacing w:before="0" w:after="80"/>
      </w:pPr>
      <w:r>
        <w:rPr>
          <w:i/>
          <w:sz w:val="20"/>
        </w:rPr>
        <w:t>EN: Achieving a Record Fill Factor of Approaching 84% and 21% Efficiency in Binary Organic Solar Cells via Solid Additive Engineering</w:t>
      </w:r>
    </w:p>
    <w:p>
      <w:pPr>
        <w:spacing w:before="0" w:after="120"/>
      </w:pPr>
      <w:r>
        <w:rPr>
          <w:b/>
        </w:rPr>
        <w:t xml:space="preserve">Source: </w:t>
      </w:r>
      <w:r>
        <w:t>Wiley: Advanced Materials: Table of Contents</w:t>
      </w:r>
      <w:r>
        <w:t xml:space="preserve">    </w:t>
      </w:r>
      <w:r>
        <w:rPr>
          <w:b/>
        </w:rPr>
        <w:t xml:space="preserve">Pub date: </w:t>
      </w:r>
      <w:r>
        <w:t>2026-02-19 06:04:35+00:00</w:t>
      </w:r>
      <w:r>
        <w:t xml:space="preserve">    </w:t>
      </w:r>
      <w:r>
        <w:rPr>
          <w:b/>
        </w:rPr>
        <w:t xml:space="preserve">DOI: </w:t>
      </w:r>
      <w:hyperlink r:id="rId884">
        <w:r>
          <w:rPr>
            <w:color w:val="1155CC"/>
            <w:u w:val="single"/>
          </w:rPr>
          <w:t>10.1002/adma.202519230</w:t>
        </w:r>
      </w:hyperlink>
    </w:p>
    <w:p>
      <w:pPr>
        <w:spacing w:before="0" w:after="120"/>
      </w:pPr>
      <w:r>
        <w:rPr>
          <w:b/>
        </w:rPr>
        <w:t xml:space="preserve">Notes: </w:t>
      </w:r>
      <w:r>
        <w:t>abstract_source=crossref</w:t>
      </w:r>
    </w:p>
    <w:p>
      <w:pPr>
        <w:spacing w:before="0" w:after="80" w:lineRule="auto" w:line="276"/>
      </w:pPr>
      <w:r>
        <w:rPr>
          <w:b/>
        </w:rPr>
        <w:t xml:space="preserve">摘要（ZH）: </w:t>
      </w:r>
      <w:r>
        <w:t>ABSTACT 固体添加剂是有机太阳能电池(OSCs)中一种有效的形态控制方法,但从它们与光活分子的分子间相互作用对形态进化和最终装置性能的影响来看,仍然不完全了解这些分子与光活分子的分子间相互作用对形态进化和最终装置性能的影响,因此,固体添加剂与光活分子之间的分子间相互作用通过分子异构体化工程进行了精确的调整。</w:t>
      </w:r>
    </w:p>
    <w:p>
      <w:pPr>
        <w:spacing w:before="0" w:after="200" w:lineRule="auto" w:line="276"/>
      </w:pPr>
      <w:r>
        <w:rPr>
          <w:b/>
        </w:rPr>
        <w:t xml:space="preserve">Abstract (EN): </w:t>
      </w:r>
      <w:r>
        <w:t>Solid additives, as an efficient approach of morphology control in organic solar cells (OSCs), remain not fully understand in terms of the influence of their intermolecular interactions with photoactive molecules on morphological evolution and ultimate device performance. Herein, the intermolecular interactions between solid additives and photoactive molecules were precisely tuned through molecular isomerization engineering. Three isomers of iodine‐substituted 1,2,4‐trichlorobenzene were adopted as the solid additives. The four strongly electronegative halogen atoms readily produce intense interactions with the photoactive materials, thereby enhancing their</w:t>
      </w:r>
      <w:r>
        <w:t xml:space="preserve"> </w:t>
      </w:r>
      <w:r>
        <w:t>J</w:t>
      </w:r>
      <w:r>
        <w:t xml:space="preserve"> </w:t>
      </w:r>
      <w:r>
        <w:t>‐type stacking and broadening the absorption spectrum. Crucially, the iodine substituent position on the solid additives was altered, which improved their miscibility and intermolecular interactions with photoactive materials, forming a bicontinuous interpenetrating network. Consequently, the binary OSCs achieved an impressive fill factor of approximately 84% with an efficiency of nearly 21% (certified as 20.42%), ranking among the top OSC performances to date. Furthermore, the device demonstrated excellent storage stability, with an extrapolated T</w:t>
      </w:r>
      <w:r>
        <w:rPr>
          <w:vertAlign w:val="subscript"/>
        </w:rPr>
        <w:t>80</w:t>
      </w:r>
      <w:r>
        <w:t>(maintaining 80% of its initial efficiency) exceeding 10 000 h.</w:t>
      </w:r>
    </w:p>
    <w:p>
      <w:pPr>
        <w:spacing w:before="120" w:after="120"/>
      </w:pPr>
      <w:r>
        <w:rPr>
          <w:sz w:val="18"/>
        </w:rPr>
        <w:t>——————————————————————————————————————————————————————————————————————</w:t>
      </w:r>
    </w:p>
    <w:p>
      <w:pPr>
        <w:spacing w:before="160" w:after="40" w:line="240" w:lineRule="auto"/>
      </w:pPr>
      <w:r>
        <w:rPr>
          <w:b/>
        </w:rPr>
        <w:t xml:space="preserve">[553] </w:t>
      </w:r>
      <w:hyperlink r:id="rId885">
        <w:r>
          <w:rPr>
            <w:color w:val="1155CC"/>
            <w:u w:val="single"/>
          </w:rPr>
          <w:t>质子交换聚氨酯水溶解过程中无形态的Iridium Oxide催化器中的原子中度协同效应</w:t>
        </w:r>
      </w:hyperlink>
    </w:p>
    <w:p>
      <w:pPr>
        <w:spacing w:before="0" w:after="80"/>
      </w:pPr>
      <w:r>
        <w:rPr>
          <w:i/>
          <w:sz w:val="20"/>
        </w:rPr>
        <w:t>EN: Atomic‐Mesoscale Synergy in Amorphous Iridium Oxide Catalysts for Proton Exchange Membrane Water Electrolysis</w:t>
      </w:r>
    </w:p>
    <w:p>
      <w:pPr>
        <w:spacing w:before="0" w:after="120"/>
      </w:pPr>
      <w:r>
        <w:rPr>
          <w:b/>
        </w:rPr>
        <w:t xml:space="preserve">Source: </w:t>
      </w:r>
      <w:r>
        <w:t>Wiley: Angewandte Chemie International Edition: Table of Contents</w:t>
      </w:r>
      <w:r>
        <w:t xml:space="preserve">    </w:t>
      </w:r>
      <w:r>
        <w:rPr>
          <w:b/>
        </w:rPr>
        <w:t xml:space="preserve">Pub date: </w:t>
      </w:r>
      <w:r>
        <w:t>2026-02-19 06:37:32+00:00</w:t>
      </w:r>
      <w:r>
        <w:t xml:space="preserve">    </w:t>
      </w:r>
      <w:r>
        <w:rPr>
          <w:b/>
        </w:rPr>
        <w:t xml:space="preserve">DOI: </w:t>
      </w:r>
      <w:hyperlink r:id="rId886">
        <w:r>
          <w:rPr>
            <w:color w:val="1155CC"/>
            <w:u w:val="single"/>
          </w:rPr>
          <w:t>10.1002/anie.5206101</w:t>
        </w:r>
      </w:hyperlink>
    </w:p>
    <w:p>
      <w:pPr>
        <w:spacing w:before="0" w:after="120"/>
      </w:pPr>
      <w:r>
        <w:rPr>
          <w:b/>
        </w:rPr>
        <w:t xml:space="preserve">Notes: </w:t>
      </w:r>
      <w:r>
        <w:t>abstract_source=crossref</w:t>
      </w:r>
    </w:p>
    <w:p>
      <w:pPr>
        <w:spacing w:before="0" w:after="80" w:lineRule="auto" w:line="276"/>
      </w:pPr>
      <w:r>
        <w:rPr>
          <w:b/>
        </w:rPr>
        <w:t xml:space="preserve">摘要（ZH）: </w:t>
      </w:r>
      <w:r>
        <w:t>ABSTACT 畸形的二氧化( IrO x ) 是酸氧进化反应( OER) 最活跃的Ir-基催化剂之一,但是其稳定性却受到严重限制,因为使用 attice-oxygen 的参与往往引发不可逆转的氧损耗,导致溶解和结构降解。在这里,我们展示了中观IrO x电催化剂的表面活性合成,其特点是一种荷尔蒙型局部结构。这一独特结构创造了原子气象规模的协同效应,在不牺牲稳定性和提高高现时密度性能的情况下,增强OER活动。在原子层面,荷兰地型当地结构促进了高水平的OER ac。</w:t>
      </w:r>
    </w:p>
    <w:p>
      <w:pPr>
        <w:spacing w:before="0" w:after="200" w:lineRule="auto" w:line="276"/>
      </w:pPr>
      <w:r>
        <w:rPr>
          <w:b/>
        </w:rPr>
        <w:t xml:space="preserve">Abstract (EN): </w:t>
      </w:r>
      <w:r>
        <w:t>Amorphous iridium oxide (IrO</w:t>
      </w:r>
      <w:r>
        <w:t xml:space="preserve"> </w:t>
      </w:r>
      <w:r>
        <w:t>x</w:t>
      </w:r>
      <w:r>
        <w:t xml:space="preserve"> </w:t>
      </w:r>
      <w:r>
        <w:t>) is among the most active Ir‐based catalysts for the acidic oxygen evolution reaction (OER), yet its stability is severely limited because lattice‐oxygen participation often triggers irreversible oxygen loss that leads to iridium dissolution and structural degradation. Here, we present a surfactant‐directed synthesis of mesoporous IrO</w:t>
      </w:r>
      <w:r>
        <w:t xml:space="preserve"> </w:t>
      </w:r>
      <w:r>
        <w:t>x</w:t>
      </w:r>
      <w:r>
        <w:t xml:space="preserve"> </w:t>
      </w:r>
      <w:r>
        <w:t>electrocatalysts featuring a hollandite‐type local structure. This unique structure creates an atomic‐mesoscale synergy that enhances OER activity without sacrificing stability and improves high‐current‐density performance. At the atomic level, the hollandite‐type local structure promotes high OER activity and corrosion resistance. In situ spectroscopic and isotopic labeling experiments reveal a reversible cycle of lattice oxygen loss and reformation during OER. This process enables the flexible iridium local structure to transition between an initial six‐coordinate state and a low‐coordinated active state. At the mesoscale, an interconnected porous network ensures efficient mass transport and maximizes active‐site accessibility. As a result, this mesoporous electrocatalyst achieves a low cell voltage (1.75 V @ 2 A cm</w:t>
      </w:r>
      <w:r>
        <w:t xml:space="preserve"> </w:t>
      </w:r>
      <w:r>
        <w:t>−2</w:t>
      </w:r>
      <w:r>
        <w:t xml:space="preserve"> </w:t>
      </w:r>
      <w:r>
        <w:t>) and excellent stability for more than 2000 h (@ 2 A cm</w:t>
      </w:r>
      <w:r>
        <w:t xml:space="preserve"> </w:t>
      </w:r>
      <w:r>
        <w:t>−2</w:t>
      </w:r>
      <w:r>
        <w:t xml:space="preserve"> </w:t>
      </w:r>
      <w:r>
        <w:t>) in proton exchange membrane water electrolysis (PEMWE).</w:t>
      </w:r>
    </w:p>
    <w:p>
      <w:pPr>
        <w:spacing w:before="120" w:after="120"/>
      </w:pPr>
      <w:r>
        <w:rPr>
          <w:sz w:val="18"/>
        </w:rPr>
        <w:t>——————————————————————————————————————————————————————————————————————</w:t>
      </w:r>
    </w:p>
    <w:p>
      <w:pPr>
        <w:spacing w:before="160" w:after="40" w:line="240" w:lineRule="auto"/>
      </w:pPr>
      <w:r>
        <w:rPr>
          <w:b/>
        </w:rPr>
        <w:t xml:space="preserve">[554] </w:t>
      </w:r>
      <w:hyperlink r:id="rId887">
        <w:r>
          <w:rPr>
            <w:color w:val="1155CC"/>
            <w:u w:val="single"/>
          </w:rPr>
          <w:t>Rh1/Fe3O4(001) 单原子催化剂</w:t>
        </w:r>
      </w:hyperlink>
    </w:p>
    <w:p>
      <w:pPr>
        <w:spacing w:before="0" w:after="80"/>
      </w:pPr>
      <w:r>
        <w:rPr>
          <w:i/>
          <w:sz w:val="20"/>
        </w:rPr>
        <w:t>EN: Hydrogen Activation via Dihydride Formation on a Rh1/Fe3O4(001) Single‐Atom Catalyst</w:t>
      </w:r>
    </w:p>
    <w:p>
      <w:pPr>
        <w:spacing w:before="0" w:after="120"/>
      </w:pPr>
      <w:r>
        <w:rPr>
          <w:b/>
        </w:rPr>
        <w:t xml:space="preserve">Source: </w:t>
      </w:r>
      <w:r>
        <w:t>Wiley: Angewandte Chemie International Edition: Table of Contents</w:t>
      </w:r>
      <w:r>
        <w:t xml:space="preserve">    </w:t>
      </w:r>
      <w:r>
        <w:rPr>
          <w:b/>
        </w:rPr>
        <w:t xml:space="preserve">Pub date: </w:t>
      </w:r>
      <w:r>
        <w:t>2026-02-19 06:38:17+00:00</w:t>
      </w:r>
      <w:r>
        <w:t xml:space="preserve">    </w:t>
      </w:r>
      <w:r>
        <w:rPr>
          <w:b/>
        </w:rPr>
        <w:t xml:space="preserve">DOI: </w:t>
      </w:r>
      <w:hyperlink r:id="rId888">
        <w:r>
          <w:rPr>
            <w:color w:val="1155CC"/>
            <w:u w:val="single"/>
          </w:rPr>
          <w:t>10.1002/anie.202525745</w:t>
        </w:r>
      </w:hyperlink>
    </w:p>
    <w:p>
      <w:pPr>
        <w:spacing w:before="0" w:after="120"/>
      </w:pPr>
      <w:r>
        <w:rPr>
          <w:b/>
        </w:rPr>
        <w:t xml:space="preserve">Notes: </w:t>
      </w:r>
      <w:r>
        <w:t>abstract_source=crossref</w:t>
      </w:r>
    </w:p>
    <w:p>
      <w:pPr>
        <w:spacing w:before="0" w:after="80" w:lineRule="auto" w:line="276"/>
      </w:pPr>
      <w:r>
        <w:rPr>
          <w:b/>
        </w:rPr>
        <w:t xml:space="preserve">摘要（ZH）: </w:t>
      </w:r>
      <w:r>
        <w:t>ABSTACT 氢气活化是催化氢化的关键基本步骤。 在多元催化中,它通常通过金属纳米粒子分离吸附,然后表面扩散或溢出,而同质催化剂在单一金属中心通过二氢化物或二氢氢中间体活化H2。在这里,我们表明,在Fe 3 O 4(001)上支持的孤立Rh adatatoms通过形成稳定的二氢化物种,而不产生原子H外溢效应来激活氢。 温度程序解吸、X光光光光光光光光谱和扫描隧道显微镜共同显示出强势(1 eV)。</w:t>
      </w:r>
    </w:p>
    <w:p>
      <w:pPr>
        <w:spacing w:before="0" w:after="200" w:lineRule="auto" w:line="276"/>
      </w:pPr>
      <w:r>
        <w:rPr>
          <w:b/>
        </w:rPr>
        <w:t xml:space="preserve">Abstract (EN): </w:t>
      </w:r>
      <w:r>
        <w:t>Hydrogen activation is a key elementary step in catalytic hydrogenation. In heterogeneous catalysis, it usually proceeds through dissociative adsorption on metal nanoparticles followed by surface diffusion or spillover, whereas homogeneous catalysts activate H</w:t>
      </w:r>
      <w:r>
        <w:rPr>
          <w:vertAlign w:val="subscript"/>
        </w:rPr>
        <w:t>2</w:t>
      </w:r>
      <w:r>
        <w:t>through dihydride or dihydrogen intermediates at a single metal center. Here, we show that isolated Rh adatoms supported on Fe</w:t>
      </w:r>
      <w:r>
        <w:rPr>
          <w:vertAlign w:val="subscript"/>
        </w:rPr>
        <w:t>3</w:t>
      </w:r>
      <w:r>
        <w:t>O</w:t>
      </w:r>
      <w:r>
        <w:rPr>
          <w:vertAlign w:val="subscript"/>
        </w:rPr>
        <w:t>4</w:t>
      </w:r>
      <w:r>
        <w:t>(001) activate hydrogen through formation of a stable dihydride species without atomic H spillover. Temperature‐programmed desorption, x‐ray photoelectron spectroscopy, and scanning tunneling microscopy collectively reveal strong (≈1 eV) hydrogen adsorption exclusively at isolated Rh</w:t>
      </w:r>
      <w:r>
        <w:rPr>
          <w:vertAlign w:val="subscript"/>
        </w:rPr>
        <w:t>1</w:t>
      </w:r>
      <w:r>
        <w:t>sites, while isotope‐exchange experiments further demonstrate that hydrogen remains localized. Density‐functional theory‐based calculations indicate a barrierless conversion from molecular H</w:t>
      </w:r>
      <w:r>
        <w:rPr>
          <w:vertAlign w:val="subscript"/>
        </w:rPr>
        <w:t>2</w:t>
      </w:r>
      <w:r>
        <w:t>to the dihydride, and random‐phase approximation calculations further confirm the relative stability of the dihydride. Together, these results show that single‐atom Rh sites cleave hydrogen through a dihydride pathway analogous to homogeneous complexes, establishing a mechanistic bridge between homogeneous and heterogeneous catalysis.</w:t>
      </w:r>
    </w:p>
    <w:p>
      <w:pPr>
        <w:spacing w:before="120" w:after="120"/>
      </w:pPr>
      <w:r>
        <w:rPr>
          <w:sz w:val="18"/>
        </w:rPr>
        <w:t>——————————————————————————————————————————————————————————————————————</w:t>
      </w:r>
    </w:p>
    <w:p>
      <w:pPr>
        <w:spacing w:before="160" w:after="40" w:line="240" w:lineRule="auto"/>
      </w:pPr>
      <w:r>
        <w:rPr>
          <w:b/>
        </w:rPr>
        <w:t xml:space="preserve">[555] </w:t>
      </w:r>
      <w:hyperlink r:id="rId889">
        <w:r>
          <w:rPr>
            <w:color w:val="1155CC"/>
            <w:u w:val="single"/>
          </w:rPr>
          <w:t>近全光度光学强化水表地表等离子辐射共振效应</w:t>
        </w:r>
      </w:hyperlink>
    </w:p>
    <w:p>
      <w:pPr>
        <w:spacing w:before="0" w:after="80"/>
      </w:pPr>
      <w:r>
        <w:rPr>
          <w:i/>
          <w:sz w:val="20"/>
        </w:rPr>
        <w:t>EN: Localized Surface Plasmon Resonance Effect for Near Full‐Spectrum Photo‐Enhanced Osmotic Energy Harvesting</w:t>
      </w:r>
    </w:p>
    <w:p>
      <w:pPr>
        <w:spacing w:before="0" w:after="120"/>
      </w:pPr>
      <w:r>
        <w:rPr>
          <w:b/>
        </w:rPr>
        <w:t xml:space="preserve">Source: </w:t>
      </w:r>
      <w:r>
        <w:t>Wiley: Angewandte Chemie International Edition: Table of Contents</w:t>
      </w:r>
      <w:r>
        <w:t xml:space="preserve">    </w:t>
      </w:r>
      <w:r>
        <w:rPr>
          <w:b/>
        </w:rPr>
        <w:t xml:space="preserve">Pub date: </w:t>
      </w:r>
      <w:r>
        <w:t>2026-02-19 06:39:15+00:00</w:t>
      </w:r>
      <w:r>
        <w:t xml:space="preserve">    </w:t>
      </w:r>
      <w:r>
        <w:rPr>
          <w:b/>
        </w:rPr>
        <w:t xml:space="preserve">DOI: </w:t>
      </w:r>
      <w:hyperlink r:id="rId890">
        <w:r>
          <w:rPr>
            <w:color w:val="1155CC"/>
            <w:u w:val="single"/>
          </w:rPr>
          <w:t>10.1002/anie.202522625</w:t>
        </w:r>
      </w:hyperlink>
    </w:p>
    <w:p>
      <w:pPr>
        <w:spacing w:before="0" w:after="120"/>
      </w:pPr>
      <w:r>
        <w:rPr>
          <w:b/>
        </w:rPr>
        <w:t xml:space="preserve">Notes: </w:t>
      </w:r>
      <w:r>
        <w:t>abstract_source=crossref</w:t>
      </w:r>
    </w:p>
    <w:p>
      <w:pPr>
        <w:spacing w:before="0" w:after="80" w:lineRule="auto" w:line="276"/>
      </w:pPr>
      <w:r>
        <w:rPr>
          <w:b/>
        </w:rPr>
        <w:t xml:space="preserve">摘要（ZH）: </w:t>
      </w:r>
      <w:r>
        <w:t>ABSTACT APSTACT 照片反应性纳米氟化物对利用光电子迁移转换工艺进行表面能转换有着巨大的希望,然而,传统半导体纳米氟化物仅依赖内部的跨波段过渡,限制了增强性能的光吸收范围。在这里,我们开发了一种气压半导导体异导纳米氟化物(PSHNFs),将一个W 18 O 49层结合成一个W 18 O 49层,展示出强烈的局部地表质粒子共振(LSPR),并配有一个洞中CO(OH) 2层。这种协同作用形成了一种专门用于近乎全光谱的二型异质聚合物。</w:t>
      </w:r>
    </w:p>
    <w:p>
      <w:pPr>
        <w:spacing w:before="0" w:after="200" w:lineRule="auto" w:line="276"/>
      </w:pPr>
      <w:r>
        <w:rPr>
          <w:b/>
        </w:rPr>
        <w:t xml:space="preserve">Abstract (EN): </w:t>
      </w:r>
      <w:r>
        <w:t>Photoresponsive nanofluidics hold great promise for osmotic energy conversion, leveraging the photo‐electro‐ion transport conversion process. However, conventional semiconductor‐based nanofluidics, which only rely on intrinsic interband transition, constrain the absorption range of light for performance enhancements. Here, we have developed a plasmonic semiconductive heterojunction nanofluidics (PSH‐NFs) by integrating a W</w:t>
      </w:r>
      <w:r>
        <w:rPr>
          <w:vertAlign w:val="subscript"/>
        </w:rPr>
        <w:t>18</w:t>
      </w:r>
      <w:r>
        <w:t>O</w:t>
      </w:r>
      <w:r>
        <w:rPr>
          <w:vertAlign w:val="subscript"/>
        </w:rPr>
        <w:t>49</w:t>
      </w:r>
      <w:r>
        <w:t>layer exhibiting strong localized surface plasmon resonance (LSPR), with a hole‐trapping Co(OH)</w:t>
      </w:r>
      <w:r>
        <w:rPr>
          <w:vertAlign w:val="subscript"/>
        </w:rPr>
        <w:t>2</w:t>
      </w:r>
      <w:r>
        <w:t>layer. The synergy forms a type‐II heterojunction, specifically designed for near‐full‐spectrum light absorption. Under simulated standard sunlight irradiation, the synergistic effect of LSPR‐generated hot electrons and separated photogenerated carriers at the heterojunction interface creates a significantly enhanced surface potential gradient, ensuring a high ion selectivity of 0.93. Furthermore, the directional alignment of these photogenerated carrier transport with the diffusion of cation markedly improves interfacial ion transport efficiency, leading to a substantially increased ionic flux, in agreement with theoretical calculations. Consequently, the PSH‐NFs deliver a power density of 36.4 W m</w:t>
      </w:r>
      <w:r>
        <w:t xml:space="preserve"> </w:t>
      </w:r>
      <w:r>
        <w:t>−2</w:t>
      </w:r>
      <w:r>
        <w:t xml:space="preserve"> </w:t>
      </w:r>
      <w:r>
        <w:t>, which is a 58.3% increase over non‐irradiated conditions and surpasses the performance of reported photoresponsive nanofluidics. The generated electricity can be effectively used to power electronic devices via a photoregulated procedure.</w:t>
      </w:r>
    </w:p>
    <w:p>
      <w:pPr>
        <w:spacing w:before="120" w:after="120"/>
      </w:pPr>
      <w:r>
        <w:rPr>
          <w:sz w:val="18"/>
        </w:rPr>
        <w:t>——————————————————————————————————————————————————————————————————————</w:t>
      </w:r>
    </w:p>
    <w:p>
      <w:pPr>
        <w:spacing w:before="160" w:after="40" w:line="240" w:lineRule="auto"/>
      </w:pPr>
      <w:r>
        <w:rPr>
          <w:b/>
        </w:rPr>
        <w:t xml:space="preserve">[556] </w:t>
      </w:r>
      <w:hyperlink r:id="rId891">
        <w:r>
          <w:rPr>
            <w:color w:val="1155CC"/>
            <w:u w:val="single"/>
          </w:rPr>
          <w:t>用于不可逆加密的有色混合象素</w:t>
        </w:r>
      </w:hyperlink>
    </w:p>
    <w:p>
      <w:pPr>
        <w:spacing w:before="0" w:after="80"/>
      </w:pPr>
      <w:r>
        <w:rPr>
          <w:i/>
          <w:sz w:val="20"/>
        </w:rPr>
        <w:t>EN: Sequence‐Defined Oligourethane Isomeric Mixtures for Irreversible Encryption</w:t>
      </w:r>
    </w:p>
    <w:p>
      <w:pPr>
        <w:spacing w:before="0" w:after="120"/>
      </w:pPr>
      <w:r>
        <w:rPr>
          <w:b/>
        </w:rPr>
        <w:t xml:space="preserve">Source: </w:t>
      </w:r>
      <w:r>
        <w:t>Wiley: Angewandte Chemie International Edition: Table of Contents</w:t>
      </w:r>
      <w:r>
        <w:t xml:space="preserve">    </w:t>
      </w:r>
      <w:r>
        <w:rPr>
          <w:b/>
        </w:rPr>
        <w:t xml:space="preserve">Pub date: </w:t>
      </w:r>
      <w:r>
        <w:t>2026-02-19 06:48:07+00:00</w:t>
      </w:r>
      <w:r>
        <w:t xml:space="preserve">    </w:t>
      </w:r>
      <w:r>
        <w:rPr>
          <w:b/>
        </w:rPr>
        <w:t xml:space="preserve">DOI: </w:t>
      </w:r>
      <w:hyperlink r:id="rId892">
        <w:r>
          <w:rPr>
            <w:color w:val="1155CC"/>
            <w:u w:val="single"/>
          </w:rPr>
          <w:t>10.1002/anie.9117281</w:t>
        </w:r>
      </w:hyperlink>
    </w:p>
    <w:p>
      <w:pPr>
        <w:spacing w:before="0" w:after="120"/>
      </w:pPr>
      <w:r>
        <w:rPr>
          <w:b/>
        </w:rPr>
        <w:t xml:space="preserve">Notes: </w:t>
      </w:r>
      <w:r>
        <w:t>abstract_source=crossref</w:t>
      </w:r>
    </w:p>
    <w:p>
      <w:pPr>
        <w:spacing w:before="0" w:after="80" w:lineRule="auto" w:line="276"/>
      </w:pPr>
      <w:r>
        <w:rPr>
          <w:b/>
        </w:rPr>
        <w:t xml:space="preserve">摘要（ZH）: </w:t>
      </w:r>
      <w:r>
        <w:t>定型聚合物(SDPs)为信息存储和加密提供了一个充满前景的分子媒介,信息存储和加密提供了充满希望的分子介质,然而,加强安全的现行战略通常取决于延长链长或增加单体多样性 — — 这种做法使合成复杂程度高。在这里,我们引入了一种根本不同的加密机制,其基础是序列定义的离子体(SDOs)的异构体混合物混合物混合物。由于异构型SDOs的分子重量相同,它们的混合物在主要 MALDIQTOF MS 中崩溃成一个单一的峰值,掩盖了组成特性。更严重的是,MS的分裂产生了多种退化的解码路径,防止了原混合物的重建,并建立了一个内在的单向、不可逆的单向。</w:t>
      </w:r>
    </w:p>
    <w:p>
      <w:pPr>
        <w:spacing w:before="0" w:after="200" w:lineRule="auto" w:line="276"/>
      </w:pPr>
      <w:r>
        <w:rPr>
          <w:b/>
        </w:rPr>
        <w:t xml:space="preserve">Abstract (EN): </w:t>
      </w:r>
      <w:r>
        <w:t>Sequence‐defined polymers (SDPs) offer a promising molecular medium for information storage and encryption, yet current strategies for enhancing security typically depend on extending chain length or increasing monomer diversity—approaches that impose substantial synthetic complexity. Here, we introduce a fundamentally different encryption mechanism based on isomeric mixtures of sequence‐defined oligourethanes (SDOs). Because isomeric SDOs share identical molecular weights, their mixtures collapse into a single peak in primary MALDI‐TOF MS, concealing compositional identity. More critically, tandem MS fragmentation generates multiple degenerate decoding paths, preventing reconstruction of the original mixture and establishing an intrinsically one‐way, irreversible molecular encryption process. Using four octameric isomers as a proof‐of‐concept system, we further integrate these mixtures into CMYK molecular digital inks that enable direct printing and secure information transmission. Encrypted messages can be retrieved only through a bespoke MS/MS decoding algorithm coupled with a predefined ASCII‐mapping scheme. This work introduces isomeric oligomer mixtures as a new class of molecular cryptographic media, bridging chemical design with information theory and offering a scalable platform for next‐generation data security and anti‐counterfeiting technologies.</w:t>
      </w:r>
    </w:p>
    <w:p>
      <w:pPr>
        <w:spacing w:before="120" w:after="120"/>
      </w:pPr>
      <w:r>
        <w:rPr>
          <w:sz w:val="18"/>
        </w:rPr>
        <w:t>——————————————————————————————————————————————————————————————————————</w:t>
      </w:r>
    </w:p>
    <w:p>
      <w:pPr>
        <w:spacing w:before="160" w:after="40" w:line="240" w:lineRule="auto"/>
      </w:pPr>
      <w:r>
        <w:rPr>
          <w:b/>
        </w:rPr>
        <w:t xml:space="preserve">[557] </w:t>
      </w:r>
      <w:hyperlink r:id="rId893">
        <w:r>
          <w:rPr>
            <w:color w:val="1155CC"/>
            <w:u w:val="single"/>
          </w:rPr>
          <w:t>由钴海洋代地磷酰胺化物催化的亚丁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二烯</w:t>
        </w:r>
      </w:hyperlink>
    </w:p>
    <w:p>
      <w:pPr>
        <w:spacing w:before="0" w:after="80"/>
      </w:pPr>
      <w:r>
        <w:rPr>
          <w:i/>
          <w:sz w:val="20"/>
        </w:rPr>
        <w:t>EN: Practical Enantioselective Hydrogenation of Aryl Enamides Catalyzed by Cobalt‐Monodentate Phosphoramidites</w:t>
      </w:r>
    </w:p>
    <w:p>
      <w:pPr>
        <w:spacing w:before="0" w:after="120"/>
      </w:pPr>
      <w:r>
        <w:rPr>
          <w:b/>
        </w:rPr>
        <w:t xml:space="preserve">Source: </w:t>
      </w:r>
      <w:r>
        <w:t>Wiley: Angewandte Chemie International Edition: Table of Contents</w:t>
      </w:r>
      <w:r>
        <w:t xml:space="preserve">    </w:t>
      </w:r>
      <w:r>
        <w:rPr>
          <w:b/>
        </w:rPr>
        <w:t xml:space="preserve">Pub date: </w:t>
      </w:r>
      <w:r>
        <w:t>2026-02-19 06:54:27+00:00</w:t>
      </w:r>
      <w:r>
        <w:t xml:space="preserve">    </w:t>
      </w:r>
      <w:r>
        <w:rPr>
          <w:b/>
        </w:rPr>
        <w:t xml:space="preserve">DOI: </w:t>
      </w:r>
      <w:hyperlink r:id="rId894">
        <w:r>
          <w:rPr>
            <w:color w:val="1155CC"/>
            <w:u w:val="single"/>
          </w:rPr>
          <w:t>10.1002/anie.202522493</w:t>
        </w:r>
      </w:hyperlink>
    </w:p>
    <w:p>
      <w:pPr>
        <w:spacing w:before="0" w:after="120"/>
      </w:pPr>
      <w:r>
        <w:rPr>
          <w:b/>
        </w:rPr>
        <w:t xml:space="preserve">Notes: </w:t>
      </w:r>
      <w:r>
        <w:t>abstract_source=crossref</w:t>
      </w:r>
    </w:p>
    <w:p>
      <w:pPr>
        <w:spacing w:before="0" w:after="80" w:lineRule="auto" w:line="276"/>
      </w:pPr>
      <w:r>
        <w:rPr>
          <w:b/>
        </w:rPr>
        <w:t xml:space="preserve">摘要（ZH）: </w:t>
      </w:r>
      <w:r>
        <w:t>利用地球丰富且易于获取的钴/分子磷胺催化剂,实现了对丙烯酰胺的对应选择性氢化。利用Co(OTf)2和2等量的单氮磷米酸盐作为不对称氢化前的催化剂,合成了具有不同功能群的、产量优异和抗生能的硅酰胺。该方法可用于合成具有制药活性手动分子。基于质谱学、ERPR光谱学和DFT计算法的初步机械调查表明,有Co(0)/Co(II)催化循环的参与。</w:t>
      </w:r>
    </w:p>
    <w:p>
      <w:pPr>
        <w:spacing w:before="0" w:after="200" w:lineRule="auto" w:line="276"/>
      </w:pPr>
      <w:r>
        <w:rPr>
          <w:b/>
        </w:rPr>
        <w:t xml:space="preserve">Abstract (EN): </w:t>
      </w:r>
      <w:r>
        <w:t>The enantioselective hydrogenation of aryl enamides has been achieved using earth abundant and readily accessible cobalt/monodentate phosphoramidite catalysts. Using Co(OTf)</w:t>
      </w:r>
      <w:r>
        <w:rPr>
          <w:vertAlign w:val="subscript"/>
        </w:rPr>
        <w:t>2</w:t>
      </w:r>
      <w:r>
        <w:t>with 2 equivalents of a monodentate phosphoramidite as a precatalyst the asymmetric hydrogenation resulted in the synthesis of α‐chiral amides bearing diverse functional groups in excellent yields and enantioselectivities. The methodology can be applied for the synthesis of pharmaceutically active chiral molecules. Preliminary mechanistic investigations based on mass spectrometry, EPR spectroscopy, and DFT calculations suggest the involvement of a Co(0)/Co(II) catalytic cycle.</w:t>
      </w:r>
    </w:p>
    <w:p>
      <w:pPr>
        <w:spacing w:before="120" w:after="120"/>
      </w:pPr>
      <w:r>
        <w:rPr>
          <w:sz w:val="18"/>
        </w:rPr>
        <w:t>——————————————————————————————————————————————————————————————————————</w:t>
      </w:r>
    </w:p>
    <w:p>
      <w:pPr>
        <w:spacing w:before="160" w:after="40" w:line="240" w:lineRule="auto"/>
      </w:pPr>
      <w:r>
        <w:rPr>
          <w:b/>
        </w:rPr>
        <w:t xml:space="preserve">[558] </w:t>
      </w:r>
      <w:hyperlink r:id="rId895">
        <w:r>
          <w:rPr>
            <w:color w:val="1155CC"/>
            <w:u w:val="single"/>
          </w:rPr>
          <w:t>细菌a 向哺乳动物细胞中提供微生物块结合蛋白质,以促进殖民化</w:t>
        </w:r>
      </w:hyperlink>
    </w:p>
    <w:p>
      <w:pPr>
        <w:spacing w:before="0" w:after="80"/>
      </w:pPr>
      <w:r>
        <w:rPr>
          <w:i/>
          <w:sz w:val="20"/>
        </w:rPr>
        <w:t>EN: Bacteria deliver a microtubule-binding protein into mammalian cells to promote colonization</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896">
        <w:r>
          <w:rPr>
            <w:color w:val="1155CC"/>
            <w:u w:val="single"/>
          </w:rPr>
          <w:t>10.1126/science.adz2737</w:t>
        </w:r>
      </w:hyperlink>
    </w:p>
    <w:p>
      <w:pPr>
        <w:spacing w:before="0" w:after="120"/>
      </w:pPr>
      <w:r>
        <w:rPr>
          <w:b/>
        </w:rPr>
        <w:t xml:space="preserve">Notes: </w:t>
      </w:r>
      <w:r>
        <w:t>abstract_source=crossref</w:t>
      </w:r>
    </w:p>
    <w:p>
      <w:pPr>
        <w:spacing w:before="0" w:after="80" w:lineRule="auto" w:line="276"/>
      </w:pPr>
      <w:r>
        <w:rPr>
          <w:b/>
        </w:rPr>
        <w:t xml:space="preserve">摘要（ZH）: </w:t>
      </w:r>
      <w:r>
        <w:t>Bordetella细菌使用蛋白质粘合性来感染脊椎动物宿主的硅状呼吸上皮。在这项工作中,我们表明,Bordetella 的纤维化长成长的长相螺旋状脑膜素FhaB adhessin FhaB adhesin 带有C-终点微囊结合域(FhaB-CT),该域被移到宿主细胞中,以促进殖民化。FhaB-CT的投送需要占据空气中阴道底部的一个位置,而缺乏此功能的变种细菌有缺陷。这些观察显示,FhaB-CT被转移到运动性呼吸细胞中,以便与核心的xonemal微球进行互动。我们建议Bordetella最初要紧紧紧紧紧紧紧紧紧紧紧紧紧地抓住其尖。</w:t>
      </w:r>
    </w:p>
    <w:p>
      <w:pPr>
        <w:spacing w:before="0" w:after="200" w:lineRule="auto" w:line="276"/>
      </w:pPr>
      <w:r>
        <w:rPr>
          <w:b/>
        </w:rPr>
        <w:t xml:space="preserve">Abstract (EN): </w:t>
      </w:r>
      <w:r>
        <w:t>Pathogenic</w:t>
      </w:r>
      <w:r>
        <w:t xml:space="preserve"> </w:t>
      </w:r>
      <w:r>
        <w:t>Bordetella</w:t>
      </w:r>
      <w:r>
        <w:t xml:space="preserve"> </w:t>
      </w:r>
      <w:r>
        <w:t>bacteria use protein adhesins to infect the ciliated respiratory epithelia of vertebrate hosts. In this work, we show that the filamentous hemagglutinin FhaB adhesin of</w:t>
      </w:r>
      <w:r>
        <w:t xml:space="preserve"> </w:t>
      </w:r>
      <w:r>
        <w:t>Bordetella</w:t>
      </w:r>
      <w:r>
        <w:t xml:space="preserve"> </w:t>
      </w:r>
      <w:r>
        <w:t>carries a C-terminal microtubule-binding domain (FhaB-CT), which is translocated into host cells to promote colonization. FhaB-CT delivery is required to occupy a niche at the base of cilia in airway epithelia, and mutant bacteria lacking this domain are defective for nasal colonization. These observations suggest that FhaB-CT is transferred into motile respiratory cilia to interact with core axonemal microtubules. We propose that</w:t>
      </w:r>
      <w:r>
        <w:t xml:space="preserve"> </w:t>
      </w:r>
      <w:r>
        <w:t>Bordetella</w:t>
      </w:r>
      <w:r>
        <w:t xml:space="preserve"> </w:t>
      </w:r>
      <w:r>
        <w:t>adheres initially to the tips of cilia and then deploys multiple FhaB adhesins to migrate to the base of the cilia forest, where the bacteria resist removal by the mucociliary “escalator” that normally clears the respiratory tract of microbes.</w:t>
      </w:r>
    </w:p>
    <w:p>
      <w:pPr>
        <w:spacing w:before="120" w:after="120"/>
      </w:pPr>
      <w:r>
        <w:rPr>
          <w:sz w:val="18"/>
        </w:rPr>
        <w:t>——————————————————————————————————————————————————————————————————————</w:t>
      </w:r>
    </w:p>
    <w:p>
      <w:pPr>
        <w:spacing w:before="160" w:after="40" w:line="240" w:lineRule="auto"/>
      </w:pPr>
      <w:r>
        <w:rPr>
          <w:b/>
        </w:rPr>
        <w:t xml:space="preserve">[559] </w:t>
      </w:r>
      <w:hyperlink r:id="rId897">
        <w:r>
          <w:rPr>
            <w:color w:val="1155CC"/>
            <w:u w:val="single"/>
          </w:rPr>
          <w:t>家猫的内分泌</w:t>
        </w:r>
      </w:hyperlink>
    </w:p>
    <w:p>
      <w:pPr>
        <w:spacing w:before="0" w:after="80"/>
      </w:pPr>
      <w:r>
        <w:rPr>
          <w:i/>
          <w:sz w:val="20"/>
        </w:rPr>
        <w:t>EN: The oncogenome of the domestic cat</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898">
        <w:r>
          <w:rPr>
            <w:color w:val="1155CC"/>
            <w:u w:val="single"/>
          </w:rPr>
          <w:t>10.1126/science.ady6651</w:t>
        </w:r>
      </w:hyperlink>
    </w:p>
    <w:p>
      <w:pPr>
        <w:spacing w:before="0" w:after="120"/>
      </w:pPr>
      <w:r>
        <w:rPr>
          <w:b/>
        </w:rPr>
        <w:t xml:space="preserve">Notes: </w:t>
      </w:r>
      <w:r>
        <w:t>abstract_source=crossref</w:t>
      </w:r>
    </w:p>
    <w:p>
      <w:pPr>
        <w:spacing w:before="0" w:after="80" w:lineRule="auto" w:line="276"/>
      </w:pPr>
      <w:r>
        <w:rPr>
          <w:b/>
        </w:rPr>
        <w:t xml:space="preserve">摘要（ZH）: </w:t>
      </w:r>
      <w:r>
        <w:t>癌症是家用猫致病和死亡的常见原因。 由于家用猫肿瘤的突变景观尚未定性,我们进行了493种雌性肿瘤 — — 13种肿瘤类型的正常组织配对 — — 的定向排序,重点是~1000人类癌症基因的雌激素整形。 TP53是最经常变异的基因,最常见的复制数改变是PTEN或FAS的丢失或MYC的收益。 通过识别31个驱动基因、突变信号、病毒序列和肿瘤致病生殖器变异,我们的研究揭示出对家用昆虫的家用昆虫的洞察力。</w:t>
      </w:r>
    </w:p>
    <w:p>
      <w:pPr>
        <w:spacing w:before="0" w:after="200" w:lineRule="auto" w:line="276"/>
      </w:pPr>
      <w:r>
        <w:rPr>
          <w:b/>
        </w:rPr>
        <w:t xml:space="preserve">Abstract (EN): </w:t>
      </w:r>
      <w:r>
        <w:t>Cancer is a common cause of morbidity and mortality in domestic cats. Because the mutational landscape of domestic cat tumors remains uncharacterized, we performed targeted sequencing of 493 feline tumor–normal tissue pairs from 13 tumor types, focusing on the feline orthologs of ~1000 human cancer genes.</w:t>
      </w:r>
      <w:r>
        <w:t xml:space="preserve"> </w:t>
      </w:r>
      <w:r>
        <w:t>TP53</w:t>
      </w:r>
      <w:r>
        <w:t xml:space="preserve"> </w:t>
      </w:r>
      <w:r>
        <w:t>was the most frequently mutated gene, and the most recurrent copy number alterations were loss of</w:t>
      </w:r>
      <w:r>
        <w:t xml:space="preserve"> </w:t>
      </w:r>
      <w:r>
        <w:t>PTEN</w:t>
      </w:r>
      <w:r>
        <w:t xml:space="preserve"> </w:t>
      </w:r>
      <w:r>
        <w:t>or</w:t>
      </w:r>
      <w:r>
        <w:t xml:space="preserve"> </w:t>
      </w:r>
      <w:r>
        <w:t>FAS</w:t>
      </w:r>
      <w:r>
        <w:t xml:space="preserve"> </w:t>
      </w:r>
      <w:r>
        <w:t>or gain of</w:t>
      </w:r>
      <w:r>
        <w:t xml:space="preserve"> </w:t>
      </w:r>
      <w:r>
        <w:t>MYC</w:t>
      </w:r>
      <w:r>
        <w:t xml:space="preserve"> </w:t>
      </w:r>
      <w:r>
        <w:t>. By identifying 31 driver genes, mutational signatures, viral sequences, and tumor-predisposing germline variants, our study provides insight into the domestic cat oncogenome. We demonstrate key similarities with the human oncogenome, confirming the cat as a valuable model for comparative studies, and identify potentially actionable mutations, aligning with a “One Medicine” approach.</w:t>
      </w:r>
    </w:p>
    <w:p>
      <w:pPr>
        <w:spacing w:before="120" w:after="120"/>
      </w:pPr>
      <w:r>
        <w:rPr>
          <w:sz w:val="18"/>
        </w:rPr>
        <w:t>——————————————————————————————————————————————————————————————————————</w:t>
      </w:r>
    </w:p>
    <w:p>
      <w:pPr>
        <w:spacing w:before="160" w:after="40" w:line="240" w:lineRule="auto"/>
      </w:pPr>
      <w:r>
        <w:rPr>
          <w:b/>
        </w:rPr>
        <w:t xml:space="preserve">[560] </w:t>
      </w:r>
      <w:hyperlink r:id="rId899">
        <w:r>
          <w:rPr>
            <w:color w:val="1155CC"/>
            <w:u w:val="single"/>
          </w:rPr>
          <w:t>一次启发性实验</w:t>
        </w:r>
      </w:hyperlink>
    </w:p>
    <w:p>
      <w:pPr>
        <w:spacing w:before="0" w:after="80"/>
      </w:pPr>
      <w:r>
        <w:rPr>
          <w:i/>
          <w:sz w:val="20"/>
        </w:rPr>
        <w:t>EN: An instructive experiment</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00">
        <w:r>
          <w:rPr>
            <w:color w:val="1155CC"/>
            <w:u w:val="single"/>
          </w:rPr>
          <w:t>10.1126/science.aeg4377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[561] </w:t>
      </w:r>
      <w:hyperlink r:id="rId901">
        <w:r>
          <w:rPr>
            <w:color w:val="1155CC"/>
            <w:u w:val="single"/>
          </w:rPr>
          <w:t>符合形状的声音: 幼稚小鸡的bouba-kiki效应的证据</w:t>
        </w:r>
      </w:hyperlink>
    </w:p>
    <w:p>
      <w:pPr>
        <w:spacing w:before="0" w:after="80"/>
      </w:pPr>
      <w:r>
        <w:rPr>
          <w:i/>
          <w:sz w:val="20"/>
        </w:rPr>
        <w:t>EN: Matching sounds to shapes: Evidence of the bouba-kiki effect in naïve baby chicks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02">
        <w:r>
          <w:rPr>
            <w:color w:val="1155CC"/>
            <w:u w:val="single"/>
          </w:rPr>
          <w:t>10.1126/science.adq7188</w:t>
        </w:r>
      </w:hyperlink>
    </w:p>
    <w:p>
      <w:pPr>
        <w:spacing w:before="0" w:after="120"/>
      </w:pPr>
      <w:r>
        <w:rPr>
          <w:b/>
        </w:rPr>
        <w:t xml:space="preserve">Notes: </w:t>
      </w:r>
      <w:r>
        <w:t>abstract_source=crossref</w:t>
      </w:r>
    </w:p>
    <w:p>
      <w:pPr>
        <w:spacing w:before="0" w:after="80" w:lineRule="auto" w:line="276"/>
      </w:pPr>
      <w:r>
        <w:rPr>
          <w:b/>
        </w:rPr>
        <w:t xml:space="preserve">摘要（ZH）: </w:t>
      </w:r>
      <w:r>
        <w:t>跨越多种语言的人类自发地将非词“kiki”和“bouba”与称为bouba-kiki效应的“bouba-kiki”和圆形分别联系起来。为了探索这个协会的起源,以及它是否是人类独有的。为了探索这个协会的起源,以及它是否是人类独有的,我们测试了婴儿家禽的bouba-kiki效应(Gallus gallus )。作为一个先入为主的物种,小鸡可以在孵化后不久就进行试验,从而使我们能够控制它们的预测试体验。与人类相似的是,3天大的幼鸡在听到“kiki”声音和圆形时,在听到“bouba”声音时,会自发地选择一种spiky形状。 幼幼动物的研究结果表明一种与形状等维度相匹配的预设机制。</w:t>
      </w:r>
    </w:p>
    <w:p>
      <w:pPr>
        <w:spacing w:before="0" w:after="200" w:lineRule="auto" w:line="276"/>
      </w:pPr>
      <w:r>
        <w:rPr>
          <w:b/>
        </w:rPr>
        <w:t xml:space="preserve">Abstract (EN): </w:t>
      </w:r>
      <w:r>
        <w:t>Humans across multiple languages spontaneously associate the nonwords “kiki” and “bouba” with spiky and round shapes, respectively, a phenomenon named the bouba-kiki effect. To explore the origin of this association, and whether it is unique to humans, we tested the bouba-kiki effect in baby domestic chickens (</w:t>
      </w:r>
      <w:r>
        <w:t xml:space="preserve"> </w:t>
      </w:r>
      <w:r>
        <w:t>Gallus gallus</w:t>
      </w:r>
      <w:r>
        <w:t xml:space="preserve"> </w:t>
      </w:r>
      <w:r>
        <w:t>). As a precocial species, chicks can be tested shortly after hatching, allowing us to control their pretest experiences. Similar to humans, both 3-day-old [Experiment 1 (Exp. 1)] and 1-day-old (Exp. 2) chicks spontaneously choose a spiky shape when hearing the “kiki” sound and a round shape when hearing the “bouba” sound. Results from naïve young animals suggest a predisposed mechanism for matching the dimensions of shape and sound, which may be widespread across species.</w:t>
      </w:r>
    </w:p>
    <w:p>
      <w:pPr>
        <w:spacing w:before="120" w:after="120"/>
      </w:pPr>
      <w:r>
        <w:rPr>
          <w:sz w:val="18"/>
        </w:rPr>
        <w:t>——————————————————————————————————————————————————————————————————————</w:t>
      </w:r>
    </w:p>
    <w:p>
      <w:pPr>
        <w:spacing w:before="160" w:after="40" w:line="240" w:lineRule="auto"/>
      </w:pPr>
      <w:r>
        <w:rPr>
          <w:b/>
        </w:rPr>
        <w:t xml:space="preserve">[562] </w:t>
      </w:r>
      <w:hyperlink r:id="rId903">
        <w:r>
          <w:rPr>
            <w:color w:val="1155CC"/>
            <w:u w:val="single"/>
          </w:rPr>
          <w:t>单分子红外线光谱仪,带有扫描隧道显微镜</w:t>
        </w:r>
      </w:hyperlink>
    </w:p>
    <w:p>
      <w:pPr>
        <w:spacing w:before="0" w:after="80"/>
      </w:pPr>
      <w:r>
        <w:rPr>
          <w:i/>
          <w:sz w:val="20"/>
        </w:rPr>
        <w:t>EN: Single-molecule infrared spectroscopy with scanning tunneling microscopy</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04">
        <w:r>
          <w:rPr>
            <w:color w:val="1155CC"/>
            <w:u w:val="single"/>
          </w:rPr>
          <w:t>10.1126/science.adz6643</w:t>
        </w:r>
      </w:hyperlink>
    </w:p>
    <w:p>
      <w:pPr>
        <w:spacing w:before="0" w:after="120"/>
      </w:pPr>
      <w:r>
        <w:rPr>
          <w:b/>
        </w:rPr>
        <w:t xml:space="preserve">Notes: </w:t>
      </w:r>
      <w:r>
        <w:t>abstract_source=crossref</w:t>
      </w:r>
    </w:p>
    <w:p>
      <w:pPr>
        <w:spacing w:before="0" w:after="80" w:lineRule="auto" w:line="276"/>
      </w:pPr>
      <w:r>
        <w:rPr>
          <w:b/>
        </w:rPr>
        <w:t xml:space="preserve">摘要（ZH）: </w:t>
      </w:r>
      <w:r>
        <w:t>单分子级的检测振动对于在现实的多元环境中实现债券特定化学控制至关重要。 在这里, 我们引入了一种新的测量方案, 将频率可调的红外线振动与扫描隧道显微镜相结合, 以描述单分子的振动中位核运动特征。 我们首先通过监测苯乙烯基的红外诱导旋转来验证这一技术, 然后将它应用于测绘丙烯基的相容动态。 由此产生的宽带光谱捕捉了基本振动模式, 以及丰富的内聚和组合波段, 而常规方法却无法进入这些模式, 我们用同位素替代方法确认了这一点。 密度功能理论计算显示, 分散模式 。</w:t>
      </w:r>
    </w:p>
    <w:p>
      <w:pPr>
        <w:spacing w:before="0" w:after="200" w:lineRule="auto" w:line="276"/>
      </w:pPr>
      <w:r>
        <w:rPr>
          <w:b/>
        </w:rPr>
        <w:t xml:space="preserve">Abstract (EN): </w:t>
      </w:r>
      <w:r>
        <w:t>Probing vibrations at the single-molecule level is essential for achieving bond-specific chemical control in realistic heterogeneous environments. Here, we introduce a new measurement scheme that integrates frequency-tunable infrared excitation with scanning tunneling microscopy to characterize vibration-mediated nuclear motions of single molecules. We first validated the technique by monitoring the infrared-induced rotation of the ethynyl radical and then applied it to mapping pyrrolidine’s conformational dynamics. The resulting broadband spectra captured fundamental vibrational modes together with rich overtone and combination bands inaccessible by conventional methods, which we confirmed with isotopic substitutions. Density functional theory calculations showed that delocalized modes coupled with pyrrolidine ring puckering drive the structural transition, revealing altered selection rules compared with traditional infrared spectroscopy. This new experimental platform enables molecular vibrations and transformations to be probed with atomic precision.</w:t>
      </w:r>
    </w:p>
    <w:p>
      <w:pPr>
        <w:spacing w:before="120" w:after="120"/>
      </w:pPr>
      <w:r>
        <w:rPr>
          <w:sz w:val="18"/>
        </w:rPr>
        <w:t>——————————————————————————————————————————————————————————————————————</w:t>
      </w:r>
    </w:p>
    <w:p>
      <w:pPr>
        <w:spacing w:before="160" w:after="40" w:line="240" w:lineRule="auto"/>
      </w:pPr>
      <w:r>
        <w:rPr>
          <w:b/>
        </w:rPr>
        <w:t xml:space="preserve">[563] </w:t>
      </w:r>
      <w:hyperlink r:id="rId905">
        <w:r>
          <w:rPr>
            <w:color w:val="1155CC"/>
            <w:u w:val="single"/>
          </w:rPr>
          <w:t>通过速度需要导致错误更正的演变</w:t>
        </w:r>
      </w:hyperlink>
    </w:p>
    <w:p>
      <w:pPr>
        <w:spacing w:before="0" w:after="80"/>
      </w:pPr>
      <w:r>
        <w:rPr>
          <w:i/>
          <w:sz w:val="20"/>
        </w:rPr>
        <w:t>EN: Evolution of error correction through a need for speed</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06">
        <w:r>
          <w:rPr>
            <w:color w:val="1155CC"/>
            <w:u w:val="single"/>
          </w:rPr>
          <w:t>10.1126/science.adt1275</w:t>
        </w:r>
      </w:hyperlink>
    </w:p>
    <w:p>
      <w:pPr>
        <w:spacing w:before="0" w:after="120"/>
      </w:pPr>
      <w:r>
        <w:rPr>
          <w:b/>
        </w:rPr>
        <w:t xml:space="preserve">Notes: </w:t>
      </w:r>
      <w:r>
        <w:t>abstract_source=crossref</w:t>
      </w:r>
    </w:p>
    <w:p>
      <w:pPr>
        <w:spacing w:before="0" w:after="80" w:lineRule="auto" w:line="276"/>
      </w:pPr>
      <w:r>
        <w:rPr>
          <w:b/>
        </w:rPr>
        <w:t xml:space="preserve">摘要（ZH）: </w:t>
      </w:r>
      <w:r>
        <w:t>动能校对是生物学中的一种错误校正机制,它花费能量避免复制、转录和翻译过程中的错误。当选择忠诚时,校对通常假定会演化,因为选择忠诚时会超过能源成本和复制速度。我们显示,在计算误入后拖延时,校对可以加速复制。与聚合酶诱变数据一致,我们的结果表明校对可以仅根据速度进行选择而演变。我们一般采用多构件自我组装,并显示类似的错误校正过程,例如动态不稳定,也可以完全从选择快速组装中产生。因此,任何等等级错误的校正都可以从选择的速度中演变,</w:t>
      </w:r>
    </w:p>
    <w:p>
      <w:pPr>
        <w:spacing w:before="0" w:after="200" w:lineRule="auto" w:line="276"/>
      </w:pPr>
      <w:r>
        <w:rPr>
          <w:b/>
        </w:rPr>
        <w:t xml:space="preserve">Abstract (EN): </w:t>
      </w:r>
      <w:r>
        <w:t>Kinetic proofreading is a class of error-correcting mechanisms in biology that expend energy to avoid mistakes during replication, transcription, and translation. Proofreading is typically assumed to evolve when selection for fidelity outweighs costs in energy and the speed of replication. We show that when stalling after misincorporations is accounted for, proofreading can instead speed up replication. Consistent with data on polymerase mutagenesis, our results suggest that proofreading can evolve under selection for speed alone. We generalize to multicomponent self-assembly and show that analogous error-correcting processes, such as dynamic instability, can likewise emerge purely from selection for rapid assembly. Thus, nonequilibrium error correction can evolve from selection for speed, even without direct fidelity advantages. We discuss implications for mutation-rate evolution, molecular assembly processes, and models of early life.</w:t>
      </w:r>
    </w:p>
    <w:p>
      <w:pPr>
        <w:spacing w:before="120" w:after="120"/>
      </w:pPr>
      <w:r>
        <w:rPr>
          <w:sz w:val="18"/>
        </w:rPr>
        <w:t>——————————————————————————————————————————————————————————————————————</w:t>
      </w:r>
    </w:p>
    <w:p>
      <w:pPr>
        <w:spacing w:before="160" w:after="40" w:line="240" w:lineRule="auto"/>
      </w:pPr>
      <w:r>
        <w:rPr>
          <w:b/>
        </w:rPr>
        <w:t xml:space="preserve">[564] </w:t>
      </w:r>
      <w:hyperlink r:id="rId907">
        <w:r>
          <w:rPr>
            <w:color w:val="1155CC"/>
            <w:u w:val="single"/>
          </w:rPr>
          <w:t>黑洞伪装成小红点</w:t>
        </w:r>
      </w:hyperlink>
    </w:p>
    <w:p>
      <w:pPr>
        <w:spacing w:before="0" w:after="80"/>
      </w:pPr>
      <w:r>
        <w:rPr>
          <w:i/>
          <w:sz w:val="20"/>
        </w:rPr>
        <w:t>EN: Black holes disguised as little red dots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08">
        <w:r>
          <w:rPr>
            <w:color w:val="1155CC"/>
            <w:u w:val="single"/>
          </w:rPr>
          <w:t>10.1126/science.adz8603</w:t>
        </w:r>
      </w:hyperlink>
    </w:p>
    <w:p>
      <w:pPr>
        <w:spacing w:before="0" w:after="120"/>
      </w:pPr>
      <w:r>
        <w:rPr>
          <w:b/>
        </w:rPr>
        <w:t xml:space="preserve">Notes: </w:t>
      </w:r>
      <w:r>
        <w:t>abstract_source=crossref</w:t>
      </w:r>
    </w:p>
    <w:p>
      <w:pPr>
        <w:spacing w:before="0" w:after="80" w:lineRule="auto" w:line="276"/>
      </w:pPr>
      <w:r>
        <w:rPr>
          <w:b/>
        </w:rPr>
        <w:t xml:space="preserve">摘要（ZH）: </w:t>
      </w:r>
      <w:r>
        <w:t>可能有一个新确定的超大型黑洞早期成长阶段</w:t>
      </w:r>
    </w:p>
    <w:p>
      <w:pPr>
        <w:spacing w:before="0" w:after="200" w:lineRule="auto" w:line="276"/>
      </w:pPr>
      <w:r>
        <w:rPr>
          <w:b/>
        </w:rPr>
        <w:t xml:space="preserve">Abstract (EN): </w:t>
      </w:r>
      <w:r>
        <w:t>There may be a newly identified early phase of supermassive black hole growth</w:t>
      </w:r>
    </w:p>
    <w:p>
      <w:pPr>
        <w:spacing w:before="120" w:after="120"/>
      </w:pPr>
      <w:r>
        <w:rPr>
          <w:sz w:val="18"/>
        </w:rPr>
        <w:t>——————————————————————————————————————————————————————————————————————</w:t>
      </w:r>
    </w:p>
    <w:p>
      <w:pPr>
        <w:spacing w:before="160" w:after="40" w:line="240" w:lineRule="auto"/>
      </w:pPr>
      <w:r>
        <w:rPr>
          <w:b/>
        </w:rPr>
        <w:t xml:space="preserve">[565] </w:t>
      </w:r>
      <w:hyperlink r:id="rId909">
        <w:r>
          <w:rPr>
            <w:color w:val="1155CC"/>
            <w:u w:val="single"/>
          </w:rPr>
          <w:t>重新想象STEM博士培训</w:t>
        </w:r>
      </w:hyperlink>
    </w:p>
    <w:p>
      <w:pPr>
        <w:spacing w:before="0" w:after="80"/>
      </w:pPr>
      <w:r>
        <w:rPr>
          <w:i/>
          <w:sz w:val="20"/>
        </w:rPr>
        <w:t>EN: Reimagining STEM doctoral training</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10">
        <w:r>
          <w:rPr>
            <w:color w:val="1155CC"/>
            <w:u w:val="single"/>
          </w:rPr>
          <w:t>10.1126/science.aeg3525</w:t>
        </w:r>
      </w:hyperlink>
    </w:p>
    <w:p>
      <w:pPr>
        <w:spacing w:before="0" w:after="120"/>
      </w:pPr>
      <w:r>
        <w:rPr>
          <w:b/>
        </w:rPr>
        <w:t xml:space="preserve">Notes: </w:t>
      </w:r>
      <w:r>
        <w:t>abstract_source=crossref</w:t>
      </w:r>
    </w:p>
    <w:p>
      <w:pPr>
        <w:spacing w:before="0" w:after="80" w:lineRule="auto" w:line="276"/>
      </w:pPr>
      <w:r>
        <w:rPr>
          <w:b/>
        </w:rPr>
        <w:t xml:space="preserve">摘要（ZH）: </w:t>
      </w:r>
      <w:r>
        <w:t>2025年的自然指数发现,在2024年的精英科学期刊中,中国占了56%的出版量,而美国只贡献了10 % 。 这与5年前美国仍然排在前列 — — 但中国的崛起正在变得日益明显 — — 形成鲜明对比。 快速变化表明,美国科学生态系统的改造是有道理的,包括创造新途径为科学、技术、工程和数学领域的博士生创造新途径,如果美国要培养一支急需的、高技能的科学劳动力队伍的话。</w:t>
      </w:r>
    </w:p>
    <w:p>
      <w:pPr>
        <w:spacing w:before="0" w:after="200" w:lineRule="auto" w:line="276"/>
      </w:pPr>
      <w:r>
        <w:rPr>
          <w:b/>
        </w:rPr>
        <w:t xml:space="preserve">Abstract (EN): </w:t>
      </w:r>
      <w:r>
        <w:t>In an era of heightened global competition in science and technology and geopolitical tensions, United States leadership in science has been diminishing. The 2025 Nature Index found that in elite science journals, China accounted for 56% of the publications in 2024, whereas the US contributed only 10%. This is in stark contrast to 5 years earlier when the US still topped the ranking—but China’s surge was becoming apparent. The rapid change indicates that a remodeling of the US science ecosystem is warranted, including the creation of new paths to earning PhDs in science, technology, engineering, and mathematics (STEM) fields, if the United States is to cultivate a much needed, highly skilled scientific workforce.</w:t>
      </w:r>
    </w:p>
    <w:p>
      <w:pPr>
        <w:spacing w:before="120" w:after="120"/>
      </w:pPr>
      <w:r>
        <w:rPr>
          <w:sz w:val="18"/>
        </w:rPr>
        <w:t>——————————————————————————————————————————————————————————————————————</w:t>
      </w:r>
    </w:p>
    <w:p>
      <w:pPr>
        <w:spacing w:before="160" w:after="40" w:line="240" w:lineRule="auto"/>
      </w:pPr>
      <w:r>
        <w:rPr>
          <w:b/>
        </w:rPr>
        <w:t xml:space="preserve">[566] </w:t>
      </w:r>
      <w:hyperlink r:id="rId911">
        <w:r>
          <w:rPr>
            <w:color w:val="1155CC"/>
            <w:u w:val="single"/>
          </w:rPr>
          <w:t>AI 提高生产率</w:t>
        </w:r>
      </w:hyperlink>
    </w:p>
    <w:p>
      <w:pPr>
        <w:spacing w:before="0" w:after="80"/>
      </w:pPr>
      <w:r>
        <w:rPr>
          <w:i/>
          <w:sz w:val="20"/>
        </w:rPr>
        <w:t>EN: AI raises the productivity bar</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12">
        <w:r>
          <w:rPr>
            <w:color w:val="1155CC"/>
            <w:u w:val="single"/>
          </w:rPr>
          <w:t>10.1126/science.aef5239</w:t>
        </w:r>
      </w:hyperlink>
    </w:p>
    <w:p>
      <w:pPr>
        <w:spacing w:before="0" w:after="120"/>
      </w:pPr>
      <w:r>
        <w:rPr>
          <w:b/>
        </w:rPr>
        <w:t xml:space="preserve">Notes: </w:t>
      </w:r>
      <w:r>
        <w:t>abstract_source=crossref</w:t>
      </w:r>
    </w:p>
    <w:p>
      <w:pPr>
        <w:spacing w:before="0" w:after="80" w:lineRule="auto" w:line="276"/>
      </w:pPr>
      <w:r>
        <w:rPr>
          <w:b/>
        </w:rPr>
        <w:t xml:space="preserve">摘要（ZH）: </w:t>
      </w:r>
      <w:r>
        <w:t>了解大赦国际如何影响生产力对劳动力市场有影响</w:t>
      </w:r>
    </w:p>
    <w:p>
      <w:pPr>
        <w:spacing w:before="0" w:after="200" w:lineRule="auto" w:line="276"/>
      </w:pPr>
      <w:r>
        <w:rPr>
          <w:b/>
        </w:rPr>
        <w:t xml:space="preserve">Abstract (EN): </w:t>
      </w:r>
      <w:r>
        <w:t>Understanding how AI affects productivity has implications for labor markets</w:t>
      </w:r>
    </w:p>
    <w:p>
      <w:pPr>
        <w:spacing w:before="120" w:after="120"/>
      </w:pPr>
      <w:r>
        <w:rPr>
          <w:sz w:val="18"/>
        </w:rPr>
        <w:t>——————————————————————————————————————————————————————————————————————</w:t>
      </w:r>
    </w:p>
    <w:p>
      <w:pPr>
        <w:spacing w:before="160" w:after="40" w:line="240" w:lineRule="auto"/>
      </w:pPr>
      <w:r>
        <w:rPr>
          <w:b/>
        </w:rPr>
        <w:t xml:space="preserve">[567] </w:t>
      </w:r>
      <w:hyperlink r:id="rId913">
        <w:r>
          <w:rPr>
            <w:color w:val="1155CC"/>
            <w:u w:val="single"/>
          </w:rPr>
          <w:t>以公平市场保护美国渔业</w:t>
        </w:r>
      </w:hyperlink>
    </w:p>
    <w:p>
      <w:pPr>
        <w:spacing w:before="0" w:after="80"/>
      </w:pPr>
      <w:r>
        <w:rPr>
          <w:i/>
          <w:sz w:val="20"/>
        </w:rPr>
        <w:t>EN: Protect US fisheries with fair markets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14">
        <w:r>
          <w:rPr>
            <w:color w:val="1155CC"/>
            <w:u w:val="single"/>
          </w:rPr>
          <w:t>10.1126/science.aef2556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[568] </w:t>
      </w:r>
      <w:hyperlink r:id="rId915">
        <w:r>
          <w:rPr>
            <w:color w:val="1155CC"/>
            <w:u w:val="single"/>
          </w:rPr>
          <w:t>Cyborg 胰岛素类类有机体</w:t>
        </w:r>
      </w:hyperlink>
    </w:p>
    <w:p>
      <w:pPr>
        <w:spacing w:before="0" w:after="80"/>
      </w:pPr>
      <w:r>
        <w:rPr>
          <w:i/>
          <w:sz w:val="20"/>
        </w:rPr>
        <w:t>EN: Cyborg pancreatic islet organoids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16">
        <w:r>
          <w:rPr>
            <w:color w:val="1155CC"/>
            <w:u w:val="single"/>
          </w:rPr>
          <w:t>10.1126/science.aef2219</w:t>
        </w:r>
      </w:hyperlink>
    </w:p>
    <w:p>
      <w:pPr>
        <w:spacing w:before="0" w:after="120"/>
      </w:pPr>
      <w:r>
        <w:rPr>
          <w:b/>
        </w:rPr>
        <w:t xml:space="preserve">Notes: </w:t>
      </w:r>
      <w:r>
        <w:t>abstract_source=crossref</w:t>
      </w:r>
    </w:p>
    <w:p>
      <w:pPr>
        <w:spacing w:before="0" w:after="80" w:lineRule="auto" w:line="276"/>
      </w:pPr>
      <w:r>
        <w:rPr>
          <w:b/>
        </w:rPr>
        <w:t xml:space="preserve">摘要（ZH）: </w:t>
      </w:r>
      <w:r>
        <w:t>生物纳米电子小岛是糖尿病研究和治疗的新工具</w:t>
      </w:r>
    </w:p>
    <w:p>
      <w:pPr>
        <w:spacing w:before="0" w:after="200" w:lineRule="auto" w:line="276"/>
      </w:pPr>
      <w:r>
        <w:rPr>
          <w:b/>
        </w:rPr>
        <w:t xml:space="preserve">Abstract (EN): </w:t>
      </w:r>
      <w:r>
        <w:t>Bio-nanoelectronic islets are new tools for diabetes research and therapy</w:t>
      </w:r>
    </w:p>
    <w:p>
      <w:pPr>
        <w:spacing w:before="120" w:after="120"/>
      </w:pPr>
      <w:r>
        <w:rPr>
          <w:sz w:val="18"/>
        </w:rPr>
        <w:t>——————————————————————————————————————————————————————————————————————</w:t>
      </w:r>
    </w:p>
    <w:p>
      <w:pPr>
        <w:spacing w:before="160" w:after="40" w:line="240" w:lineRule="auto"/>
      </w:pPr>
      <w:r>
        <w:rPr>
          <w:b/>
        </w:rPr>
        <w:t xml:space="preserve">[569] </w:t>
      </w:r>
      <w:hyperlink r:id="rId917">
        <w:r>
          <w:rPr>
            <w:color w:val="1155CC"/>
            <w:u w:val="single"/>
          </w:rPr>
          <w:t>廉价玻璃可以储存烷的数据</w:t>
        </w:r>
      </w:hyperlink>
    </w:p>
    <w:p>
      <w:pPr>
        <w:spacing w:before="0" w:after="80"/>
      </w:pPr>
      <w:r>
        <w:rPr>
          <w:i/>
          <w:sz w:val="20"/>
        </w:rPr>
        <w:t>EN: Cheap glass can store data for eons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18">
        <w:r>
          <w:rPr>
            <w:color w:val="1155CC"/>
            <w:u w:val="single"/>
          </w:rPr>
          <w:t>10.1126/science.aeg5599</w:t>
        </w:r>
      </w:hyperlink>
    </w:p>
    <w:p>
      <w:pPr>
        <w:spacing w:before="0" w:after="120"/>
      </w:pPr>
      <w:r>
        <w:rPr>
          <w:b/>
        </w:rPr>
        <w:t xml:space="preserve">Notes: </w:t>
      </w:r>
      <w:r>
        <w:t>abstract_source=crossref</w:t>
      </w:r>
    </w:p>
    <w:p>
      <w:pPr>
        <w:spacing w:before="0" w:after="80" w:lineRule="auto" w:line="276"/>
      </w:pPr>
      <w:r>
        <w:rPr>
          <w:b/>
        </w:rPr>
        <w:t xml:space="preserve">摘要（ZH）: </w:t>
      </w:r>
      <w:r>
        <w:t>激光写写图案可稳定10 000年</w:t>
      </w:r>
    </w:p>
    <w:p>
      <w:pPr>
        <w:spacing w:before="0" w:after="200" w:lineRule="auto" w:line="276"/>
      </w:pPr>
      <w:r>
        <w:rPr>
          <w:b/>
        </w:rPr>
        <w:t xml:space="preserve">Abstract (EN): </w:t>
      </w:r>
      <w:r>
        <w:t>Laser-written patterns could be stable for 10,000 years</w:t>
      </w:r>
    </w:p>
    <w:p>
      <w:pPr>
        <w:spacing w:before="120" w:after="120"/>
      </w:pPr>
      <w:r>
        <w:rPr>
          <w:sz w:val="18"/>
        </w:rPr>
        <w:t>——————————————————————————————————————————————————————————————————————</w:t>
      </w:r>
    </w:p>
    <w:p>
      <w:pPr>
        <w:spacing w:before="160" w:after="40" w:line="240" w:lineRule="auto"/>
      </w:pPr>
      <w:r>
        <w:rPr>
          <w:b/>
        </w:rPr>
        <w:t xml:space="preserve">[570] </w:t>
      </w:r>
      <w:hyperlink r:id="rId919">
        <w:r>
          <w:rPr>
            <w:color w:val="1155CC"/>
            <w:u w:val="single"/>
          </w:rPr>
          <w:t>准备迎接极端的沙尘暴</w:t>
        </w:r>
      </w:hyperlink>
    </w:p>
    <w:p>
      <w:pPr>
        <w:spacing w:before="0" w:after="80"/>
      </w:pPr>
      <w:r>
        <w:rPr>
          <w:i/>
          <w:sz w:val="20"/>
        </w:rPr>
        <w:t>EN: Prepare for extreme dust storms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20">
        <w:r>
          <w:rPr>
            <w:color w:val="1155CC"/>
            <w:u w:val="single"/>
          </w:rPr>
          <w:t>10.1126/science.aef0754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[571] </w:t>
      </w:r>
      <w:hyperlink r:id="rId921">
        <w:r>
          <w:rPr>
            <w:color w:val="1155CC"/>
            <w:u w:val="single"/>
          </w:rPr>
          <w:t>寻找意义</w:t>
        </w:r>
      </w:hyperlink>
    </w:p>
    <w:p>
      <w:pPr>
        <w:spacing w:before="0" w:after="80"/>
      </w:pPr>
      <w:r>
        <w:rPr>
          <w:i/>
          <w:sz w:val="20"/>
        </w:rPr>
        <w:t>EN: In search of meaning</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22">
        <w:r>
          <w:rPr>
            <w:color w:val="1155CC"/>
            <w:u w:val="single"/>
          </w:rPr>
          <w:t>10.1126/science.aee8641</w:t>
        </w:r>
      </w:hyperlink>
    </w:p>
    <w:p>
      <w:pPr>
        <w:spacing w:before="0" w:after="120"/>
      </w:pPr>
      <w:r>
        <w:rPr>
          <w:b/>
        </w:rPr>
        <w:t xml:space="preserve">Notes: </w:t>
      </w:r>
      <w:r>
        <w:t>abstract_source=crossref</w:t>
      </w:r>
    </w:p>
    <w:p>
      <w:pPr>
        <w:spacing w:before="0" w:after="80" w:lineRule="auto" w:line="276"/>
      </w:pPr>
      <w:r>
        <w:rPr>
          <w:b/>
        </w:rPr>
        <w:t xml:space="preserve">摘要（ZH）: </w:t>
      </w:r>
      <w:r>
        <w:t>语言起源未见于bouba-kiki效应中</w:t>
      </w:r>
    </w:p>
    <w:p>
      <w:pPr>
        <w:spacing w:before="0" w:after="200" w:lineRule="auto" w:line="276"/>
      </w:pPr>
      <w:r>
        <w:rPr>
          <w:b/>
        </w:rPr>
        <w:t xml:space="preserve">Abstract (EN): </w:t>
      </w:r>
      <w:r>
        <w:t>The origins of language are not found in the bouba-kiki effect</w:t>
      </w:r>
    </w:p>
    <w:p>
      <w:pPr>
        <w:spacing w:before="120" w:after="120"/>
      </w:pPr>
      <w:r>
        <w:rPr>
          <w:sz w:val="18"/>
        </w:rPr>
        <w:t>——————————————————————————————————————————————————————————————————————</w:t>
      </w:r>
    </w:p>
    <w:p>
      <w:pPr>
        <w:spacing w:before="160" w:after="40" w:line="240" w:lineRule="auto"/>
      </w:pPr>
      <w:r>
        <w:rPr>
          <w:b/>
        </w:rPr>
        <w:t xml:space="preserve">[572] </w:t>
      </w:r>
      <w:hyperlink r:id="rId923">
        <w:r>
          <w:rPr>
            <w:color w:val="1155CC"/>
            <w:u w:val="single"/>
          </w:rPr>
          <w:t>巨型病毒劫持宿主的蛋白质工厂</w:t>
        </w:r>
      </w:hyperlink>
    </w:p>
    <w:p>
      <w:pPr>
        <w:spacing w:before="0" w:after="80"/>
      </w:pPr>
      <w:r>
        <w:rPr>
          <w:i/>
          <w:sz w:val="20"/>
        </w:rPr>
        <w:t>EN: Giant viruses hijack their hosts’ protein factories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24">
        <w:r>
          <w:rPr>
            <w:color w:val="1155CC"/>
            <w:u w:val="single"/>
          </w:rPr>
          <w:t>10.1126/science.aeg5598</w:t>
        </w:r>
      </w:hyperlink>
    </w:p>
    <w:p>
      <w:pPr>
        <w:spacing w:before="0" w:after="120"/>
      </w:pPr>
      <w:r>
        <w:rPr>
          <w:b/>
        </w:rPr>
        <w:t xml:space="preserve">Notes: </w:t>
      </w:r>
      <w:r>
        <w:t>abstract_source=crossref</w:t>
      </w:r>
    </w:p>
    <w:p>
      <w:pPr>
        <w:spacing w:before="0" w:after="80" w:lineRule="auto" w:line="276"/>
      </w:pPr>
      <w:r>
        <w:rPr>
          <w:b/>
        </w:rPr>
        <w:t xml:space="preserve">摘要（ZH）: </w:t>
      </w:r>
      <w:r>
        <w:t>研究人员确定一个综合体,该综合体在受感染的阿毛虫中拥有蛋白合成蛋白病毒控制系统。</w:t>
      </w:r>
    </w:p>
    <w:p>
      <w:pPr>
        <w:spacing w:before="0" w:after="200" w:lineRule="auto" w:line="276"/>
      </w:pPr>
      <w:r>
        <w:rPr>
          <w:b/>
        </w:rPr>
        <w:t xml:space="preserve">Abstract (EN): </w:t>
      </w:r>
      <w:r>
        <w:t>Researchers identify a complex that hands a mimivirus control of protein synthesis in infected amoebae</w:t>
      </w:r>
    </w:p>
    <w:p>
      <w:pPr>
        <w:spacing w:before="120" w:after="120"/>
      </w:pPr>
      <w:r>
        <w:rPr>
          <w:sz w:val="18"/>
        </w:rPr>
        <w:t>——————————————————————————————————————————————————————————————————————</w:t>
      </w:r>
    </w:p>
    <w:p>
      <w:pPr>
        <w:spacing w:before="160" w:after="40" w:line="240" w:lineRule="auto"/>
      </w:pPr>
      <w:r>
        <w:rPr>
          <w:b/>
        </w:rPr>
        <w:t xml:space="preserve">[573] </w:t>
      </w:r>
      <w:hyperlink r:id="rId925">
        <w:r>
          <w:rPr>
            <w:color w:val="1155CC"/>
            <w:u w:val="single"/>
          </w:rPr>
          <w:t>巴西危及全球气候和健康</w:t>
        </w:r>
      </w:hyperlink>
    </w:p>
    <w:p>
      <w:pPr>
        <w:spacing w:before="0" w:after="80"/>
      </w:pPr>
      <w:r>
        <w:rPr>
          <w:i/>
          <w:sz w:val="20"/>
        </w:rPr>
        <w:t>EN: Brazil endangers global climate and health</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26">
        <w:r>
          <w:rPr>
            <w:color w:val="1155CC"/>
            <w:u w:val="single"/>
          </w:rPr>
          <w:t>10.1126/science.aee6316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[574] </w:t>
      </w:r>
      <w:hyperlink r:id="rId927">
        <w:r>
          <w:rPr>
            <w:color w:val="1155CC"/>
            <w:u w:val="single"/>
          </w:rPr>
          <w:t>微生物可以帮助保护玉米免受可怕的害虫的侵扰</w:t>
        </w:r>
      </w:hyperlink>
    </w:p>
    <w:p>
      <w:pPr>
        <w:spacing w:before="0" w:after="80"/>
      </w:pPr>
      <w:r>
        <w:rPr>
          <w:i/>
          <w:sz w:val="20"/>
        </w:rPr>
        <w:t>EN: Microbes can help protect corn against a fearsome pest</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28">
        <w:r>
          <w:rPr>
            <w:color w:val="1155CC"/>
            <w:u w:val="single"/>
          </w:rPr>
          <w:t>10.1126/science.aeg5597</w:t>
        </w:r>
      </w:hyperlink>
    </w:p>
    <w:p>
      <w:pPr>
        <w:spacing w:before="0" w:after="120"/>
      </w:pPr>
      <w:r>
        <w:rPr>
          <w:b/>
        </w:rPr>
        <w:t xml:space="preserve">Notes: </w:t>
      </w:r>
      <w:r>
        <w:t>abstract_source=crossref</w:t>
      </w:r>
    </w:p>
    <w:p>
      <w:pPr>
        <w:spacing w:before="0" w:after="80" w:lineRule="auto" w:line="276"/>
      </w:pPr>
      <w:r>
        <w:rPr>
          <w:b/>
        </w:rPr>
        <w:t xml:space="preserve">摘要（ZH）: </w:t>
      </w:r>
      <w:r>
        <w:t>无毒性方法支持工厂自身的防御</w:t>
      </w:r>
    </w:p>
    <w:p>
      <w:pPr>
        <w:spacing w:before="0" w:after="200" w:lineRule="auto" w:line="276"/>
      </w:pPr>
      <w:r>
        <w:rPr>
          <w:b/>
        </w:rPr>
        <w:t xml:space="preserve">Abstract (EN): </w:t>
      </w:r>
      <w:r>
        <w:t>Nontoxic approach bolsters plant’s own defenses</w:t>
      </w:r>
    </w:p>
    <w:p>
      <w:pPr>
        <w:spacing w:before="120" w:after="120"/>
      </w:pPr>
      <w:r>
        <w:rPr>
          <w:sz w:val="18"/>
        </w:rPr>
        <w:t>——————————————————————————————————————————————————————————————————————</w:t>
      </w:r>
    </w:p>
    <w:p>
      <w:pPr>
        <w:spacing w:before="160" w:after="40" w:line="240" w:lineRule="auto"/>
      </w:pPr>
      <w:r>
        <w:rPr>
          <w:b/>
        </w:rPr>
        <w:t xml:space="preserve">[575] </w:t>
      </w:r>
      <w:hyperlink r:id="rId929">
        <w:r>
          <w:rPr>
            <w:color w:val="1155CC"/>
            <w:u w:val="single"/>
          </w:rPr>
          <w:t>生物的舒适</w:t>
        </w:r>
      </w:hyperlink>
    </w:p>
    <w:p>
      <w:pPr>
        <w:spacing w:before="0" w:after="80"/>
      </w:pPr>
      <w:r>
        <w:rPr>
          <w:i/>
          <w:sz w:val="20"/>
        </w:rPr>
        <w:t>EN: Creature comforts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30">
        <w:r>
          <w:rPr>
            <w:color w:val="1155CC"/>
            <w:u w:val="single"/>
          </w:rPr>
          <w:t>10.1126/science.aee1009</w:t>
        </w:r>
      </w:hyperlink>
    </w:p>
    <w:p>
      <w:pPr>
        <w:spacing w:before="0" w:after="120"/>
      </w:pPr>
      <w:r>
        <w:rPr>
          <w:b/>
        </w:rPr>
        <w:t xml:space="preserve">Notes: </w:t>
      </w:r>
      <w:r>
        <w:t>abstract_source=crossref</w:t>
      </w:r>
    </w:p>
    <w:p>
      <w:pPr>
        <w:spacing w:before="0" w:after="80" w:lineRule="auto" w:line="276"/>
      </w:pPr>
      <w:r>
        <w:rPr>
          <w:b/>
        </w:rPr>
        <w:t xml:space="preserve">摘要（ZH）: </w:t>
      </w:r>
      <w:r>
        <w:t>一位兽医认为,实验室动物应该得到同情照料和最新的法律考虑。</w:t>
      </w:r>
    </w:p>
    <w:p>
      <w:pPr>
        <w:spacing w:before="0" w:after="200" w:lineRule="auto" w:line="276"/>
      </w:pPr>
      <w:r>
        <w:rPr>
          <w:b/>
        </w:rPr>
        <w:t xml:space="preserve">Abstract (EN): </w:t>
      </w:r>
      <w:r>
        <w:t>Lab animals deserve compassionate care and updated legal consideration, argues a veterinarian</w:t>
      </w:r>
    </w:p>
    <w:p>
      <w:pPr>
        <w:spacing w:before="120" w:after="120"/>
      </w:pPr>
      <w:r>
        <w:rPr>
          <w:sz w:val="18"/>
        </w:rPr>
        <w:t>——————————————————————————————————————————————————————————————————————</w:t>
      </w:r>
    </w:p>
    <w:p>
      <w:pPr>
        <w:spacing w:before="160" w:after="40" w:line="240" w:lineRule="auto"/>
      </w:pPr>
      <w:r>
        <w:rPr>
          <w:b/>
        </w:rPr>
        <w:t xml:space="preserve">[576] </w:t>
      </w:r>
      <w:hyperlink r:id="rId931">
        <w:r>
          <w:rPr>
            <w:color w:val="1155CC"/>
            <w:u w:val="single"/>
          </w:rPr>
          <w:t>非正统的“真空”为小鼠提供了广泛的保护。</w:t>
        </w:r>
      </w:hyperlink>
    </w:p>
    <w:p>
      <w:pPr>
        <w:spacing w:before="0" w:after="80"/>
      </w:pPr>
      <w:r>
        <w:rPr>
          <w:i/>
          <w:sz w:val="20"/>
        </w:rPr>
        <w:t>EN: Unorthodox ‘vaccine’ offers broad protection in mice</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32">
        <w:r>
          <w:rPr>
            <w:color w:val="1155CC"/>
            <w:u w:val="single"/>
          </w:rPr>
          <w:t>10.1126/science.aeg5596</w:t>
        </w:r>
      </w:hyperlink>
    </w:p>
    <w:p>
      <w:pPr>
        <w:spacing w:before="0" w:after="120"/>
      </w:pPr>
      <w:r>
        <w:rPr>
          <w:b/>
        </w:rPr>
        <w:t xml:space="preserve">Notes: </w:t>
      </w:r>
      <w:r>
        <w:t>abstract_source=crossref</w:t>
      </w:r>
    </w:p>
    <w:p>
      <w:pPr>
        <w:spacing w:before="0" w:after="80" w:lineRule="auto" w:line="276"/>
      </w:pPr>
      <w:r>
        <w:rPr>
          <w:b/>
        </w:rPr>
        <w:t xml:space="preserve">摘要（ZH）: </w:t>
      </w:r>
      <w:r>
        <w:t>刺激免疫的鸡尾酒可以防止各种细菌和病毒感染</w:t>
      </w:r>
    </w:p>
    <w:p>
      <w:pPr>
        <w:spacing w:before="0" w:after="200" w:lineRule="auto" w:line="276"/>
      </w:pPr>
      <w:r>
        <w:rPr>
          <w:b/>
        </w:rPr>
        <w:t xml:space="preserve">Abstract (EN): </w:t>
      </w:r>
      <w:r>
        <w:t>Immune-stimulating cocktail could shield against diverse bacterial and viral infections</w:t>
      </w:r>
    </w:p>
    <w:p>
      <w:pPr>
        <w:spacing w:before="120" w:after="120"/>
      </w:pPr>
      <w:r>
        <w:rPr>
          <w:sz w:val="18"/>
        </w:rPr>
        <w:t>——————————————————————————————————————————————————————————————————————</w:t>
      </w:r>
    </w:p>
    <w:p>
      <w:pPr>
        <w:spacing w:before="160" w:after="40" w:line="240" w:lineRule="auto"/>
      </w:pPr>
      <w:r>
        <w:rPr>
          <w:b/>
        </w:rPr>
        <w:t xml:space="preserve">[577] </w:t>
      </w:r>
      <w:hyperlink r:id="rId933">
        <w:r>
          <w:rPr>
            <w:color w:val="1155CC"/>
            <w:u w:val="single"/>
          </w:rPr>
          <w:t>玩科学游戏</w:t>
        </w:r>
      </w:hyperlink>
    </w:p>
    <w:p>
      <w:pPr>
        <w:spacing w:before="0" w:after="80"/>
      </w:pPr>
      <w:r>
        <w:rPr>
          <w:i/>
          <w:sz w:val="20"/>
        </w:rPr>
        <w:t>EN: Playing the game of science</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34">
        <w:r>
          <w:rPr>
            <w:color w:val="1155CC"/>
            <w:u w:val="single"/>
          </w:rPr>
          <w:t>10.1126/science.aed4896</w:t>
        </w:r>
      </w:hyperlink>
    </w:p>
    <w:p>
      <w:pPr>
        <w:spacing w:before="0" w:after="120"/>
      </w:pPr>
      <w:r>
        <w:rPr>
          <w:b/>
        </w:rPr>
        <w:t xml:space="preserve">Notes: </w:t>
      </w:r>
      <w:r>
        <w:t>abstract_source=crossref</w:t>
      </w:r>
    </w:p>
    <w:p>
      <w:pPr>
        <w:spacing w:before="0" w:after="80" w:lineRule="auto" w:line="276"/>
      </w:pPr>
      <w:r>
        <w:rPr>
          <w:b/>
        </w:rPr>
        <w:t xml:space="preserve">摘要（ZH）: </w:t>
      </w:r>
      <w:r>
        <w:t>当研究人员未能遵循既定的成功途径时,范式变换思想就会衰败</w:t>
      </w:r>
    </w:p>
    <w:p>
      <w:pPr>
        <w:spacing w:before="0" w:after="200" w:lineRule="auto" w:line="276"/>
      </w:pPr>
      <w:r>
        <w:rPr>
          <w:b/>
        </w:rPr>
        <w:t xml:space="preserve">Abstract (EN): </w:t>
      </w:r>
      <w:r>
        <w:t>Paradigm-shifting ideas languish when researchers fail to follow established pathways to success</w:t>
      </w:r>
    </w:p>
    <w:p>
      <w:pPr>
        <w:spacing w:before="120" w:after="120"/>
      </w:pPr>
      <w:r>
        <w:rPr>
          <w:sz w:val="18"/>
        </w:rPr>
        <w:t>——————————————————————————————————————————————————————————————————————</w:t>
      </w:r>
    </w:p>
    <w:p>
      <w:pPr>
        <w:spacing w:before="160" w:after="40" w:line="240" w:lineRule="auto"/>
      </w:pPr>
      <w:r>
        <w:rPr>
          <w:b/>
        </w:rPr>
        <w:t xml:space="preserve">[578] </w:t>
      </w:r>
      <w:hyperlink r:id="rId935">
        <w:r>
          <w:rPr>
            <w:color w:val="1155CC"/>
            <w:u w:val="single"/>
          </w:rPr>
          <w:t>被开除的联邦科学家们 反省了混乱的一年</w:t>
        </w:r>
      </w:hyperlink>
    </w:p>
    <w:p>
      <w:pPr>
        <w:spacing w:before="0" w:after="80"/>
      </w:pPr>
      <w:r>
        <w:rPr>
          <w:i/>
          <w:sz w:val="20"/>
        </w:rPr>
        <w:t>EN: Fired federal scientists reflect on a year of turmoil</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36">
        <w:r>
          <w:rPr>
            <w:color w:val="1155CC"/>
            <w:u w:val="single"/>
          </w:rPr>
          <w:t>10.1126/science.aeg5595</w:t>
        </w:r>
      </w:hyperlink>
    </w:p>
    <w:p>
      <w:pPr>
        <w:spacing w:before="0" w:after="120"/>
      </w:pPr>
      <w:r>
        <w:rPr>
          <w:b/>
        </w:rPr>
        <w:t xml:space="preserve">Notes: </w:t>
      </w:r>
      <w:r>
        <w:t>abstract_source=crossref</w:t>
      </w:r>
    </w:p>
    <w:p>
      <w:pPr>
        <w:spacing w:before="0" w:after="80" w:lineRule="auto" w:line="276"/>
      </w:pPr>
      <w:r>
        <w:rPr>
          <w:b/>
        </w:rPr>
        <w:t xml:space="preserve">摘要（ZH）: </w:t>
      </w:r>
      <w:r>
        <w:t>如何大规模终止“试用”工人的升级职业</w:t>
      </w:r>
    </w:p>
    <w:p>
      <w:pPr>
        <w:spacing w:before="0" w:after="200" w:lineRule="auto" w:line="276"/>
      </w:pPr>
      <w:r>
        <w:rPr>
          <w:b/>
        </w:rPr>
        <w:t xml:space="preserve">Abstract (EN): </w:t>
      </w:r>
      <w:r>
        <w:t>How the mass terminations of “probationary” workers upended careers</w:t>
      </w:r>
    </w:p>
    <w:p>
      <w:pPr>
        <w:spacing w:before="120" w:after="120"/>
      </w:pPr>
      <w:r>
        <w:rPr>
          <w:sz w:val="18"/>
        </w:rPr>
        <w:t>——————————————————————————————————————————————————————————————————————</w:t>
      </w:r>
    </w:p>
    <w:p>
      <w:pPr>
        <w:spacing w:before="160" w:after="40" w:line="240" w:lineRule="auto"/>
      </w:pPr>
      <w:r>
        <w:rPr>
          <w:b/>
        </w:rPr>
        <w:t xml:space="preserve">[579] </w:t>
      </w:r>
      <w:hyperlink r:id="rId937">
        <w:r>
          <w:rPr>
            <w:color w:val="1155CC"/>
            <w:u w:val="single"/>
          </w:rPr>
          <w:t>2025年卡姆恰特卡大地震8.8 Mw 8.8</w:t>
        </w:r>
      </w:hyperlink>
    </w:p>
    <w:p>
      <w:pPr>
        <w:spacing w:before="0" w:after="80"/>
      </w:pPr>
      <w:r>
        <w:rPr>
          <w:i/>
          <w:sz w:val="20"/>
        </w:rPr>
        <w:t>EN: Simple unilateral rupture of the great Mw 8.8 2025 Kamchatka earthquake</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38">
        <w:r>
          <w:rPr>
            <w:color w:val="1155CC"/>
            <w:u w:val="single"/>
          </w:rPr>
          <w:t>10.1126/science.aeb8232</w:t>
        </w:r>
      </w:hyperlink>
    </w:p>
    <w:p>
      <w:pPr>
        <w:spacing w:before="0" w:after="120"/>
      </w:pPr>
      <w:r>
        <w:rPr>
          <w:b/>
        </w:rPr>
        <w:t xml:space="preserve">Notes: </w:t>
      </w:r>
      <w:r>
        <w:t>abstract_source=crossref</w:t>
      </w:r>
    </w:p>
    <w:p>
      <w:pPr>
        <w:spacing w:before="0" w:after="80" w:lineRule="auto" w:line="276"/>
      </w:pPr>
      <w:r>
        <w:rPr>
          <w:b/>
        </w:rPr>
        <w:t xml:space="preserve">摘要（ZH）: </w:t>
      </w:r>
      <w:r>
        <w:t>2025年7月29日,在南堪察特卡近海一带发生了时势(Mw)8.8大地震,余震区与1952 Mw 8.8至9.0事件重合。像1952年一样,在断裂的东北端,2025事件在断裂的东北端凝聚,先是激烈的前震活动。用于空间时滑分布的遥测和InSAR(干涉合成孔径雷达)数据联合倒转,通过对深水海啸记录进行前期模拟验证,发现在弯曲的板块边界上有一个西南长的大型滑坡补补,在南卡察特卡和帕拉穆希尔岛附近有高达14米的滑坡。</w:t>
      </w:r>
    </w:p>
    <w:p>
      <w:pPr>
        <w:spacing w:before="0" w:after="200" w:lineRule="auto" w:line="276"/>
      </w:pPr>
      <w:r>
        <w:rPr>
          <w:b/>
        </w:rPr>
        <w:t xml:space="preserve">Abstract (EN): </w:t>
      </w:r>
      <w:r>
        <w:t>On 29 July 2025, a moment magnitude (</w:t>
      </w:r>
      <w:r>
        <w:t xml:space="preserve"> </w:t>
      </w:r>
      <w:r>
        <w:t>M</w:t>
      </w:r>
      <w:r>
        <w:t xml:space="preserve"> </w:t>
      </w:r>
      <w:r>
        <w:t>w</w:t>
      </w:r>
      <w:r>
        <w:t xml:space="preserve"> </w:t>
      </w:r>
      <w:r>
        <w:t>) 8.8 great earthquake ruptured along offshore southern Kamchatka, with the aftershock region overlapping that of a 1952</w:t>
      </w:r>
      <w:r>
        <w:t xml:space="preserve"> </w:t>
      </w:r>
      <w:r>
        <w:t>M</w:t>
      </w:r>
      <w:r>
        <w:t xml:space="preserve"> </w:t>
      </w:r>
      <w:r>
        <w:t>w</w:t>
      </w:r>
      <w:r>
        <w:t xml:space="preserve"> </w:t>
      </w:r>
      <w:r>
        <w:t>8.8 to 9.0 event. Like 1952, the 2025 event nucleated at the northeastern end of the rupture, preceded by intense foreshock activity. Joint inversion of teleseismic and InSAR (Interferometric Synthetic Aperture Radar) data for the space-time slip distribution, with validation by means of forward modeling of deep-water tsunami recordings, revealed a southwestward elongated large-slip patch on the curved plate boundary. A slip of up to 14 meters was located offshore southern Kamchatka and Paramushir Island. The 1952 earthquake generated stronger tsunami signals in Hawaii, indicating a different slip distribution. Peak slip in 2025 exceeded the maximum slip deficit accumulated since 1952. Observations of volcanic eruptions after multiple great earthquakes in Kamchatka provide compelling evidence of earthquake-volcano interactions.</w:t>
      </w:r>
    </w:p>
    <w:p>
      <w:pPr>
        <w:spacing w:before="120" w:after="120"/>
      </w:pPr>
      <w:r>
        <w:rPr>
          <w:sz w:val="18"/>
        </w:rPr>
        <w:t>——————————————————————————————————————————————————————————————————————</w:t>
      </w:r>
    </w:p>
    <w:p>
      <w:pPr>
        <w:spacing w:before="160" w:after="40" w:line="240" w:lineRule="auto"/>
      </w:pPr>
      <w:r>
        <w:rPr>
          <w:b/>
        </w:rPr>
        <w:t xml:space="preserve">[580] </w:t>
      </w:r>
      <w:hyperlink r:id="rId939">
        <w:r>
          <w:rPr>
            <w:color w:val="1155CC"/>
            <w:u w:val="single"/>
          </w:rPr>
          <w:t>在亚马孙河中,侵入性贝贝正在迅速扩散</w:t>
        </w:r>
      </w:hyperlink>
    </w:p>
    <w:p>
      <w:pPr>
        <w:spacing w:before="0" w:after="80"/>
      </w:pPr>
      <w:r>
        <w:rPr>
          <w:i/>
          <w:sz w:val="20"/>
        </w:rPr>
        <w:t>EN: Invasive mussel is rapidly spreading in Amazonian rivers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40">
        <w:r>
          <w:rPr>
            <w:color w:val="1155CC"/>
            <w:u w:val="single"/>
          </w:rPr>
          <w:t>10.1126/science.aeg5594</w:t>
        </w:r>
      </w:hyperlink>
    </w:p>
    <w:p>
      <w:pPr>
        <w:spacing w:before="0" w:after="120"/>
      </w:pPr>
      <w:r>
        <w:rPr>
          <w:b/>
        </w:rPr>
        <w:t xml:space="preserve">Notes: </w:t>
      </w:r>
      <w:r>
        <w:t>abstract_source=crossref</w:t>
      </w:r>
    </w:p>
    <w:p>
      <w:pPr>
        <w:spacing w:before="0" w:after="80" w:lineRule="auto" w:line="276"/>
      </w:pPr>
      <w:r>
        <w:rPr>
          <w:b/>
        </w:rPr>
        <w:t xml:space="preserve">摘要（ZH）: </w:t>
      </w:r>
      <w:r>
        <w:t>经过整个南美洲的毁灭性生态系统和生计的破坏之后 金贝贝贝完成了一个可怕的预测</w:t>
      </w:r>
    </w:p>
    <w:p>
      <w:pPr>
        <w:spacing w:before="0" w:after="200" w:lineRule="auto" w:line="276"/>
      </w:pPr>
      <w:r>
        <w:rPr>
          <w:b/>
        </w:rPr>
        <w:t xml:space="preserve">Abstract (EN): </w:t>
      </w:r>
      <w:r>
        <w:t>After devastating ecosystems and livelihoods across South America, the golden mussel fulfills a dire prediction</w:t>
      </w:r>
    </w:p>
    <w:p>
      <w:pPr>
        <w:spacing w:before="120" w:after="120"/>
      </w:pPr>
      <w:r>
        <w:rPr>
          <w:sz w:val="18"/>
        </w:rPr>
        <w:t>——————————————————————————————————————————————————————————————————————</w:t>
      </w:r>
    </w:p>
    <w:p>
      <w:pPr>
        <w:spacing w:before="160" w:after="40" w:line="240" w:lineRule="auto"/>
      </w:pPr>
      <w:r>
        <w:rPr>
          <w:b/>
        </w:rPr>
        <w:t xml:space="preserve">[581] </w:t>
      </w:r>
      <w:hyperlink r:id="rId941">
        <w:r>
          <w:rPr>
            <w:color w:val="1155CC"/>
            <w:u w:val="single"/>
          </w:rPr>
          <w:t>科学家们急急急急忙地要求放松辐射标准</w:t>
        </w:r>
      </w:hyperlink>
    </w:p>
    <w:p>
      <w:pPr>
        <w:spacing w:before="0" w:after="80"/>
      </w:pPr>
      <w:r>
        <w:rPr>
          <w:i/>
          <w:sz w:val="20"/>
        </w:rPr>
        <w:t>EN: Scientists decry rush to loosen radiation standards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42">
        <w:r>
          <w:rPr>
            <w:color w:val="1155CC"/>
            <w:u w:val="single"/>
          </w:rPr>
          <w:t>10.1126/science.aeg5593</w:t>
        </w:r>
      </w:hyperlink>
    </w:p>
    <w:p>
      <w:pPr>
        <w:spacing w:before="0" w:after="120"/>
      </w:pPr>
      <w:r>
        <w:rPr>
          <w:b/>
        </w:rPr>
        <w:t xml:space="preserve">Notes: </w:t>
      </w:r>
      <w:r>
        <w:t>abstract_source=crossref</w:t>
      </w:r>
    </w:p>
    <w:p>
      <w:pPr>
        <w:spacing w:before="0" w:after="80" w:lineRule="auto" w:line="276"/>
      </w:pPr>
      <w:r>
        <w:rPr>
          <w:b/>
        </w:rPr>
        <w:t xml:space="preserve">摘要（ZH）: </w:t>
      </w:r>
      <w:r>
        <w:t>一些研究人员说,特朗普政府推动提高核能的推动可能会导致更多的癌症病例,</w:t>
      </w:r>
    </w:p>
    <w:p>
      <w:pPr>
        <w:spacing w:before="0" w:after="200" w:lineRule="auto" w:line="276"/>
      </w:pPr>
      <w:r>
        <w:rPr>
          <w:b/>
        </w:rPr>
        <w:t xml:space="preserve">Abstract (EN): </w:t>
      </w:r>
      <w:r>
        <w:t>Trump administration’s push to boost nuclear power could lead to more cancer cases, some researchers say</w:t>
      </w:r>
    </w:p>
    <w:p>
      <w:pPr>
        <w:spacing w:before="120" w:after="120"/>
      </w:pPr>
      <w:r>
        <w:rPr>
          <w:sz w:val="18"/>
        </w:rPr>
        <w:t>——————————————————————————————————————————————————————————————————————</w:t>
      </w:r>
    </w:p>
    <w:p>
      <w:pPr>
        <w:spacing w:before="160" w:after="40" w:line="240" w:lineRule="auto"/>
      </w:pPr>
      <w:r>
        <w:rPr>
          <w:b/>
        </w:rPr>
        <w:t xml:space="preserve">[582] </w:t>
      </w:r>
      <w:hyperlink r:id="rId943">
        <w:r>
          <w:rPr>
            <w:color w:val="1155CC"/>
            <w:u w:val="single"/>
          </w:rPr>
          <w:t>其他《日刊》</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44">
        <w:r>
          <w:rPr>
            <w:color w:val="1155CC"/>
            <w:u w:val="single"/>
          </w:rPr>
          <w:t>10.1126/science.aeg4776</w:t>
        </w:r>
      </w:hyperlink>
    </w:p>
    <w:p>
      <w:pPr>
        <w:spacing w:before="0" w:after="120"/>
      </w:pPr>
      <w:r>
        <w:rPr>
          <w:b/>
        </w:rPr>
        <w:t xml:space="preserve">Notes: </w:t>
      </w:r>
      <w:r>
        <w:t>abstract_source=crossref</w:t>
      </w:r>
    </w:p>
    <w:p>
      <w:pPr>
        <w:spacing w:before="0" w:after="80" w:lineRule="auto" w:line="276"/>
      </w:pPr>
      <w:r>
        <w:rPr>
          <w:b/>
        </w:rPr>
        <w:t xml:space="preserve">摘要（ZH）: </w:t>
      </w:r>
      <w:r>
        <w:t>从当前科学文献中挑选的编辑</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[583] </w:t>
      </w:r>
      <w:hyperlink r:id="rId945">
        <w:r>
          <w:rPr>
            <w:color w:val="1155CC"/>
            <w:u w:val="single"/>
          </w:rPr>
          <w:t>科学杂志</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46">
        <w:r>
          <w:rPr>
            <w:color w:val="1155CC"/>
            <w:u w:val="single"/>
          </w:rPr>
          <w:t>10.1126/science.aeg4775</w:t>
        </w:r>
      </w:hyperlink>
    </w:p>
    <w:p>
      <w:pPr>
        <w:spacing w:before="0" w:after="120"/>
      </w:pPr>
      <w:r>
        <w:rPr>
          <w:b/>
        </w:rPr>
        <w:t xml:space="preserve">Notes: </w:t>
      </w:r>
      <w:r>
        <w:t>abstract_source=crossref</w:t>
      </w:r>
    </w:p>
    <w:p>
      <w:pPr>
        <w:spacing w:before="0" w:after="80" w:lineRule="auto" w:line="276"/>
      </w:pPr>
      <w:r>
        <w:rPr>
          <w:b/>
        </w:rPr>
        <w:t xml:space="preserve">摘要（ZH）: </w:t>
      </w:r>
      <w:r>
        <w:t>《科学》杂志系列的要点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[584] </w:t>
      </w:r>
      <w:hyperlink r:id="rId947">
        <w:r>
          <w:rPr>
            <w:color w:val="1155CC"/>
            <w:u w:val="single"/>
          </w:rPr>
          <w:t>解码 D</w:t>
        </w:r>
      </w:hyperlink>
    </w:p>
    <w:p>
      <w:pPr>
        <w:spacing w:before="0" w:after="80"/>
      </w:pPr>
      <w:r>
        <w:rPr>
          <w:i/>
          <w:sz w:val="20"/>
        </w:rPr>
        <w:t>EN: Deciphering D</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48">
        <w:r>
          <w:rPr>
            <w:color w:val="1155CC"/>
            <w:u w:val="single"/>
          </w:rPr>
          <w:t>10.1126/science.aeg4774</w:t>
        </w:r>
      </w:hyperlink>
    </w:p>
    <w:p>
      <w:pPr>
        <w:spacing w:before="0" w:after="120"/>
      </w:pPr>
      <w:r>
        <w:rPr>
          <w:b/>
        </w:rPr>
        <w:t xml:space="preserve">Notes: </w:t>
      </w:r>
      <w:r>
        <w:t>abstract_source=crossref</w:t>
      </w:r>
    </w:p>
    <w:p>
      <w:pPr>
        <w:spacing w:before="0" w:after="80" w:lineRule="auto" w:line="276"/>
      </w:pPr>
      <w:r>
        <w:rPr>
          <w:b/>
        </w:rPr>
        <w:t xml:space="preserve">摘要（ZH）: </w:t>
      </w:r>
      <w:r>
        <w:t>神秘的流感菌株感染了全世界的牲畜 科学家担心它也会对人类构成威胁</w:t>
      </w:r>
    </w:p>
    <w:p>
      <w:pPr>
        <w:spacing w:before="0" w:after="200" w:lineRule="auto" w:line="276"/>
      </w:pPr>
      <w:r>
        <w:rPr>
          <w:b/>
        </w:rPr>
        <w:t xml:space="preserve">Abstract (EN): </w:t>
      </w:r>
      <w:r>
        <w:t>A mysterious influenza strain infects livestock around the world. Scientists worry it could become a threat to humans as well</w:t>
      </w:r>
    </w:p>
    <w:p>
      <w:pPr>
        <w:spacing w:before="120" w:after="120"/>
      </w:pPr>
      <w:r>
        <w:rPr>
          <w:sz w:val="18"/>
        </w:rPr>
        <w:t>——————————————————————————————————————————————————————————————————————</w:t>
      </w:r>
    </w:p>
    <w:p>
      <w:pPr>
        <w:spacing w:before="160" w:after="40" w:line="240" w:lineRule="auto"/>
      </w:pPr>
      <w:r>
        <w:rPr>
          <w:b/>
        </w:rPr>
        <w:t xml:space="preserve">[585] </w:t>
      </w:r>
      <w:hyperlink r:id="rId949">
        <w:r>
          <w:rPr>
            <w:color w:val="1155CC"/>
            <w:u w:val="single"/>
          </w:rPr>
          <w:t>由激素驱动的激震动驱动的 情感震动力所驱动的 同情和亲社会行为</w:t>
        </w:r>
      </w:hyperlink>
    </w:p>
    <w:p>
      <w:pPr>
        <w:spacing w:before="0" w:after="80"/>
      </w:pPr>
      <w:r>
        <w:rPr>
          <w:i/>
          <w:sz w:val="20"/>
        </w:rPr>
        <w:t>EN: Empathy and prosocial behavior powered by orexin-driven theta oscillations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50">
        <w:r>
          <w:rPr>
            <w:color w:val="1155CC"/>
            <w:u w:val="single"/>
          </w:rPr>
          <w:t>10.1126/science.aea7140</w:t>
        </w:r>
      </w:hyperlink>
    </w:p>
    <w:p>
      <w:pPr>
        <w:spacing w:before="0" w:after="120"/>
      </w:pPr>
      <w:r>
        <w:rPr>
          <w:b/>
        </w:rPr>
        <w:t xml:space="preserve">Notes: </w:t>
      </w:r>
      <w:r>
        <w:t>abstract_source=crossref</w:t>
      </w:r>
    </w:p>
    <w:p>
      <w:pPr>
        <w:spacing w:before="0" w:after="80" w:lineRule="auto" w:line="276"/>
      </w:pPr>
      <w:r>
        <w:rPr>
          <w:b/>
        </w:rPr>
        <w:t xml:space="preserve">摘要（ZH）: </w:t>
      </w:r>
      <w:r>
        <w:t>通过观察对老鼠的恐惧度测量到的共感与在老鼠的观察恐惧度的上升有关。但是,上游电路机制调节这些振动和振动作用在同感相关行为中的作用的程度仍然难以捉摸。我们发现,在小鼠中,ACC的振动涉及同情驱动的亲社会同化消化。此外,在观察恐惧度和有利于社会的同源体穿透期间,在ACC有选择地激活体外神经,但只有在动物有先前的恐惧经历时,才有选择地激活。实时的、视视向的对ACC的横向低脑或异源抑制了对横向低脑或异源干扰的投入,并减少了这两种行为。这些发现表明,在观察恐惧或异源性神经元在ACC的观察恐惧度与实验期间有选择地激活,但只有在动物有事先的恐惧经历时才激活。</w:t>
      </w:r>
    </w:p>
    <w:p>
      <w:pPr>
        <w:spacing w:before="0" w:after="200" w:lineRule="auto" w:line="276"/>
      </w:pPr>
      <w:r>
        <w:rPr>
          <w:b/>
        </w:rPr>
        <w:t xml:space="preserve">Abstract (EN): </w:t>
      </w:r>
      <w:r>
        <w:t>Empathy measured through observational fear in rodents has been associated with increased theta oscillations in the anterior cingulate cortex (ACC). However, upstream circuit mechanisms modulating these oscillations and the extent of the oscillations’ role in empathy-related behaviors remain elusive. We found that in mice, ACC theta oscillations are involved in empathy-driven prosocial allogrooming. Moreover, orexinergic neurons are selectively activated in the ACC during observational fear and prosocial allogrooming, but only when the animals had prior fear experience. Real-time, gaze-dependent optogenetic inhibition of lateral hypothalamic orexinergic inputs to ACC suppressed theta power and reduced both behaviors. These findings show that hypothalamic orexinergic inputs drive ACC theta oscillations to modulate observational fear and prosocial behaviors, providing circuit-level insight into how affective empathy translates into prosocial action.</w:t>
      </w:r>
    </w:p>
    <w:p>
      <w:pPr>
        <w:spacing w:before="120" w:after="120"/>
      </w:pPr>
      <w:r>
        <w:rPr>
          <w:sz w:val="18"/>
        </w:rPr>
        <w:t>——————————————————————————————————————————————————————————————————————</w:t>
      </w:r>
    </w:p>
    <w:p>
      <w:pPr>
        <w:spacing w:before="160" w:after="40" w:line="240" w:lineRule="auto"/>
      </w:pPr>
      <w:r>
        <w:rPr>
          <w:b/>
        </w:rPr>
        <w:t xml:space="preserve">[586] </w:t>
      </w:r>
      <w:hyperlink r:id="rId951">
        <w:r>
          <w:rPr>
            <w:color w:val="1155CC"/>
            <w:u w:val="single"/>
          </w:rPr>
          <w:t>实现对AI 模式的普遍指导和监测</w:t>
        </w:r>
      </w:hyperlink>
    </w:p>
    <w:p>
      <w:pPr>
        <w:spacing w:before="0" w:after="80"/>
      </w:pPr>
      <w:r>
        <w:rPr>
          <w:i/>
          <w:sz w:val="20"/>
        </w:rPr>
        <w:t>EN: Toward universal steering and monitoring of AI models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52">
        <w:r>
          <w:rPr>
            <w:color w:val="1155CC"/>
            <w:u w:val="single"/>
          </w:rPr>
          <w:t>10.1126/science.aea6792</w:t>
        </w:r>
      </w:hyperlink>
    </w:p>
    <w:p>
      <w:pPr>
        <w:spacing w:before="0" w:after="120"/>
      </w:pPr>
      <w:r>
        <w:rPr>
          <w:b/>
        </w:rPr>
        <w:t xml:space="preserve">Notes: </w:t>
      </w:r>
      <w:r>
        <w:t>abstract_source=crossref</w:t>
      </w:r>
    </w:p>
    <w:p>
      <w:pPr>
        <w:spacing w:before="0" w:after="80" w:lineRule="auto" w:line="276"/>
      </w:pPr>
      <w:r>
        <w:rPr>
          <w:b/>
        </w:rPr>
        <w:t xml:space="preserve">摘要（ZH）: </w:t>
      </w:r>
      <w:r>
        <w:t>人工智能(AI)模型包含大量人类知识。了解这种知识的体现将会导致模型能力和保障措施的改进。在特征学习进展的基础上,我们制定了一种方法,在个体智能模型中提取语义概念或概念的线性表达方式。我们展示了这些表达方式如何促成模型指导,通过这些模式,我们暴露了脆弱性并改进了模型能力。我们证明,概念表述方式可以跨语言转移,并能够进行多概念指导。我们发现,在数百个概念中,更大的模型更容易被控制,而且将改进的模型能力引向超出激励范围。我们表明,概念表述方式对于监测 m 更有效。</w:t>
      </w:r>
    </w:p>
    <w:p>
      <w:pPr>
        <w:spacing w:before="0" w:after="200" w:lineRule="auto" w:line="276"/>
      </w:pPr>
      <w:r>
        <w:rPr>
          <w:b/>
        </w:rPr>
        <w:t xml:space="preserve">Abstract (EN): </w:t>
      </w:r>
      <w:r>
        <w:t>Artificial intelligence (AI) models contain much of human knowledge. Understanding the representation of this knowledge will lead to improvements in model capabilities and safeguards. Building on advances in feature learning, we developed an approach for extracting linear representations of semantic notions or concepts in AI models. We showed how these representations enabled model steering, through which we exposed vulnerabilities and improved model capabilities. We demonstrated that concept representations were transferable across languages and enabled multiconcept steering. Across hundreds of concepts, we found that larger models were more steerable and that steering improved model capabilities beyond prompting. We showed that concept representations were more effective for monitoring misaligned content than for using judge models. Our results illustrate the power of internal representations for advancing AI safety and model capabilities.</w:t>
      </w:r>
    </w:p>
    <w:p>
      <w:pPr>
        <w:spacing w:before="120" w:after="120"/>
      </w:pPr>
      <w:r>
        <w:rPr>
          <w:sz w:val="18"/>
        </w:rPr>
        <w:t>——————————————————————————————————————————————————————————————————————</w:t>
      </w:r>
    </w:p>
    <w:p>
      <w:pPr>
        <w:spacing w:before="160" w:after="40" w:line="240" w:lineRule="auto"/>
      </w:pPr>
      <w:r>
        <w:rPr>
          <w:b/>
        </w:rPr>
        <w:t xml:space="preserve">[587] </w:t>
      </w:r>
      <w:hyperlink r:id="rId953">
        <w:r>
          <w:rPr>
            <w:color w:val="1155CC"/>
            <w:u w:val="single"/>
          </w:rPr>
          <w:t>AI 风险评估中的相称性科学和实践</w:t>
        </w:r>
      </w:hyperlink>
    </w:p>
    <w:p>
      <w:pPr>
        <w:spacing w:before="0" w:after="80"/>
      </w:pPr>
      <w:r>
        <w:rPr>
          <w:i/>
          <w:sz w:val="20"/>
        </w:rPr>
        <w:t>EN: The science and practice of proportionality in AI risk evaluations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54">
        <w:r>
          <w:rPr>
            <w:color w:val="1155CC"/>
            <w:u w:val="single"/>
          </w:rPr>
          <w:t>10.1126/science.aea3835</w:t>
        </w:r>
      </w:hyperlink>
    </w:p>
    <w:p>
      <w:pPr>
        <w:spacing w:before="0" w:after="120"/>
      </w:pPr>
      <w:r>
        <w:rPr>
          <w:b/>
        </w:rPr>
        <w:t xml:space="preserve">Notes: </w:t>
      </w:r>
      <w:r>
        <w:t>abstract_source=crossref</w:t>
      </w:r>
    </w:p>
    <w:p>
      <w:pPr>
        <w:spacing w:before="0" w:after="80" w:lineRule="auto" w:line="276"/>
      </w:pPr>
      <w:r>
        <w:rPr>
          <w:b/>
        </w:rPr>
        <w:t xml:space="preserve">摘要（ZH）: </w:t>
      </w:r>
      <w:r>
        <w:t>AI性评价应提供有意义的风险信息,而不造成过度负担</w:t>
      </w:r>
    </w:p>
    <w:p>
      <w:pPr>
        <w:spacing w:before="0" w:after="200" w:lineRule="auto" w:line="276"/>
      </w:pPr>
      <w:r>
        <w:rPr>
          <w:b/>
        </w:rPr>
        <w:t xml:space="preserve">Abstract (EN): </w:t>
      </w:r>
      <w:r>
        <w:t>AI evaluations should provide meaningful risk information without imposing excessive burden</w:t>
      </w:r>
    </w:p>
    <w:p>
      <w:pPr>
        <w:spacing w:before="120" w:after="120"/>
      </w:pPr>
      <w:r>
        <w:rPr>
          <w:sz w:val="18"/>
        </w:rPr>
        <w:t>——————————————————————————————————————————————————————————————————————</w:t>
      </w:r>
    </w:p>
    <w:p>
      <w:pPr>
        <w:spacing w:before="160" w:after="40" w:line="240" w:lineRule="auto"/>
      </w:pPr>
      <w:r>
        <w:rPr>
          <w:b/>
        </w:rPr>
        <w:t xml:space="preserve">[588] </w:t>
      </w:r>
      <w:hyperlink r:id="rId955">
        <w:r>
          <w:rPr>
            <w:color w:val="1155CC"/>
            <w:u w:val="single"/>
          </w:rPr>
          <w:t>细菌在航道上占据了一定的控制权</w:t>
        </w:r>
      </w:hyperlink>
    </w:p>
    <w:p>
      <w:pPr>
        <w:spacing w:before="0" w:after="80"/>
      </w:pPr>
      <w:r>
        <w:rPr>
          <w:i/>
          <w:sz w:val="20"/>
        </w:rPr>
        <w:t>EN: Bacteria gain a firm hold in the airways</w:t>
      </w:r>
    </w:p>
    <w:p>
      <w:pPr>
        <w:spacing w:before="0" w:after="120"/>
      </w:pPr>
      <w:r>
        <w:rPr>
          <w:b/>
        </w:rPr>
        <w:t xml:space="preserve">Source: </w:t>
      </w:r>
      <w:r>
        <w:t>AAAS: Science: Table of Contents</w:t>
      </w:r>
      <w:r>
        <w:t xml:space="preserve">    </w:t>
      </w:r>
      <w:r>
        <w:rPr>
          <w:b/>
        </w:rPr>
        <w:t xml:space="preserve">Pub date: </w:t>
      </w:r>
      <w:r>
        <w:t>2026-02-19 07:00:03+00:00</w:t>
      </w:r>
      <w:r>
        <w:t xml:space="preserve">    </w:t>
      </w:r>
      <w:r>
        <w:rPr>
          <w:b/>
        </w:rPr>
        <w:t xml:space="preserve">DOI: </w:t>
      </w:r>
      <w:hyperlink r:id="rId956">
        <w:r>
          <w:rPr>
            <w:color w:val="1155CC"/>
            <w:u w:val="single"/>
          </w:rPr>
          <w:t>10.1126/science.aef8296</w:t>
        </w:r>
      </w:hyperlink>
    </w:p>
    <w:p>
      <w:pPr>
        <w:spacing w:before="0" w:after="120"/>
      </w:pPr>
      <w:r>
        <w:rPr>
          <w:b/>
        </w:rPr>
        <w:t xml:space="preserve">Notes: </w:t>
      </w:r>
      <w:r>
        <w:t>abstract_source=crossref</w:t>
      </w:r>
    </w:p>
    <w:p>
      <w:pPr>
        <w:spacing w:before="0" w:after="80" w:lineRule="auto" w:line="276"/>
      </w:pPr>
      <w:r>
        <w:rPr>
          <w:b/>
        </w:rPr>
        <w:t xml:space="preserve">摘要（ZH）: </w:t>
      </w:r>
      <w:r>
        <w:t>Bordetella通过挂挂在隔热细胞的微柱体上,避免通过空气管道获得许可</w:t>
      </w:r>
    </w:p>
    <w:p>
      <w:pPr>
        <w:spacing w:before="0" w:after="200" w:lineRule="auto" w:line="276"/>
      </w:pPr>
      <w:r>
        <w:rPr>
          <w:b/>
        </w:rPr>
        <w:t xml:space="preserve">Abstract (EN): </w:t>
      </w:r>
      <w:r>
        <w:t>Pathogenic</w:t>
      </w:r>
      <w:r>
        <w:t xml:space="preserve"> </w:t>
      </w:r>
      <w:r>
        <w:t>Bordetella</w:t>
      </w:r>
      <w:r>
        <w:t xml:space="preserve"> </w:t>
      </w:r>
      <w:r>
        <w:t>avoid clearance from airways by hanging on to microtubules of ciliated cells</w:t>
      </w:r>
    </w:p>
    <w:p>
      <w:pPr>
        <w:spacing w:before="120" w:after="120"/>
      </w:pPr>
      <w:r>
        <w:rPr>
          <w:sz w:val="18"/>
        </w:rPr>
        <w:t>——————————————————————————————————————————————————————————————————————</w:t>
      </w:r>
    </w:p>
    <w:p>
      <w:pPr>
        <w:spacing w:before="160" w:after="40" w:line="240" w:lineRule="auto"/>
      </w:pPr>
      <w:r>
        <w:rPr>
          <w:b/>
        </w:rPr>
        <w:t xml:space="preserve">[589] </w:t>
      </w:r>
      <w:hyperlink r:id="rId957">
        <w:r>
          <w:rPr>
            <w:color w:val="1155CC"/>
            <w:u w:val="single"/>
          </w:rPr>
          <w:t>高效将CO2光光减少为乙酸</w:t>
        </w:r>
      </w:hyperlink>
    </w:p>
    <w:p>
      <w:pPr>
        <w:spacing w:before="0" w:after="80"/>
      </w:pPr>
      <w:r>
        <w:rPr>
          <w:i/>
          <w:sz w:val="20"/>
        </w:rPr>
        <w:t>EN: Asymmetric Bi and S Single Atoms Over Porous Single‐Crystal TiO2 for Efficient CO2 Photoreduction to Acetic Acid</w:t>
      </w:r>
    </w:p>
    <w:p>
      <w:pPr>
        <w:spacing w:before="0" w:after="120"/>
      </w:pPr>
      <w:r>
        <w:rPr>
          <w:b/>
        </w:rPr>
        <w:t xml:space="preserve">Source: </w:t>
      </w:r>
      <w:r>
        <w:t>Wiley: Advanced Materials: Table of Contents</w:t>
      </w:r>
      <w:r>
        <w:t xml:space="preserve">    </w:t>
      </w:r>
      <w:r>
        <w:rPr>
          <w:b/>
        </w:rPr>
        <w:t xml:space="preserve">Pub date: </w:t>
      </w:r>
      <w:r>
        <w:t>2026-02-19 07:26:46+00:00</w:t>
      </w:r>
      <w:r>
        <w:t xml:space="preserve">    </w:t>
      </w:r>
      <w:r>
        <w:rPr>
          <w:b/>
        </w:rPr>
        <w:t xml:space="preserve">DOI: </w:t>
      </w:r>
      <w:hyperlink r:id="rId958">
        <w:r>
          <w:rPr>
            <w:color w:val="1155CC"/>
            <w:u w:val="single"/>
          </w:rPr>
          <w:t>10.1002/adma.202517586</w:t>
        </w:r>
      </w:hyperlink>
    </w:p>
    <w:p>
      <w:pPr>
        <w:spacing w:before="0" w:after="120"/>
      </w:pPr>
      <w:r>
        <w:rPr>
          <w:b/>
        </w:rPr>
        <w:t xml:space="preserve">Notes: </w:t>
      </w:r>
      <w:r>
        <w:t>abstract_source=crossref</w:t>
      </w:r>
    </w:p>
    <w:p>
      <w:pPr>
        <w:spacing w:before="0" w:after="80" w:lineRule="auto" w:line="276"/>
      </w:pPr>
      <w:r>
        <w:rPr>
          <w:b/>
        </w:rPr>
        <w:t xml:space="preserve">摘要（ZH）: </w:t>
      </w:r>
      <w:r>
        <w:t>ABSTACT 管理分子多步光化催化转换依然具有挑战性,这主要是因为光吸收、反应装订和充电分离和转移过程之间复杂的相互作用。 这里,通过不对称双电(Bi-O 4 ) 、 S(S-O 2) 和 3D 松散单晶体2 的三重协同关系(通过选择性提取过程实现 ), 有效实现了CO2 光催化转化到乙酸。 具体来说, 双电站降低了CHO * 生成和 C-C的能量屏障; 暗地。</w:t>
      </w:r>
    </w:p>
    <w:p>
      <w:pPr>
        <w:spacing w:before="0" w:after="200" w:lineRule="auto" w:line="276"/>
      </w:pPr>
      <w:r>
        <w:rPr>
          <w:b/>
        </w:rPr>
        <w:t xml:space="preserve">Abstract (EN): </w:t>
      </w:r>
      <w:r>
        <w:t>Regulating multi‐step photocatalytic conversion of molecules remains challenging, primarily due to the complex interplays among light absorption, reactant binding, and charge separation and transfer processes. Here, the photocatalytic conversion of CO</w:t>
      </w:r>
      <w:r>
        <w:rPr>
          <w:vertAlign w:val="subscript"/>
        </w:rPr>
        <w:t>2</w:t>
      </w:r>
      <w:r>
        <w:t>to acetic acid is effectively achieved via the triadic synergy of asymmetric Bi (Bi–O</w:t>
      </w:r>
      <w:r>
        <w:rPr>
          <w:vertAlign w:val="subscript"/>
        </w:rPr>
        <w:t>4</w:t>
      </w:r>
      <w:r>
        <w:t>), S (S–O</w:t>
      </w:r>
      <w:r>
        <w:rPr>
          <w:vertAlign w:val="subscript"/>
        </w:rPr>
        <w:t>2</w:t>
      </w:r>
      <w:r>
        <w:t>), and 3D porous single‐crystal TiO</w:t>
      </w:r>
      <w:r>
        <w:rPr>
          <w:vertAlign w:val="subscript"/>
        </w:rPr>
        <w:t>2</w:t>
      </w:r>
      <w:r>
        <w:t>, which is realized through a selective extraction process. Specifically, Bi active sites lower the energy barrier for CHO</w:t>
      </w:r>
      <w:r>
        <w:t xml:space="preserve"> </w:t>
      </w:r>
      <w:r>
        <w:t>*</w:t>
      </w:r>
      <w:r>
        <w:t xml:space="preserve"> </w:t>
      </w:r>
      <w:r>
        <w:t>generation and C─C coupling; meanwhile, the S─O structure modulates Bi─O and Ti─O configurations to form strong Lewis base site ((SO</w:t>
      </w:r>
      <w:r>
        <w:t xml:space="preserve"> </w:t>
      </w:r>
      <w:r>
        <w:t>2–</w:t>
      </w:r>
      <w:r>
        <w:t xml:space="preserve"> </w:t>
      </w:r>
      <w:r>
        <w:t>BiO</w:t>
      </w:r>
      <w:r>
        <w:rPr>
          <w:vertAlign w:val="subscript"/>
        </w:rPr>
        <w:t>4</w:t>
      </w:r>
      <w:r>
        <w:t>)</w:t>
      </w:r>
      <w:r>
        <w:t xml:space="preserve"> </w:t>
      </w:r>
      <w:r>
        <w:t>δ−</w:t>
      </w:r>
      <w:r>
        <w:t>) by constructing a surface sulfate species, thereby accelerating the hydrogenation step in CO</w:t>
      </w:r>
      <w:r>
        <w:rPr>
          <w:vertAlign w:val="subscript"/>
        </w:rPr>
        <w:t>2</w:t>
      </w:r>
      <w:r>
        <w:t>reduction. The specifically designed photocatalytic system achieves a high acetic acid production rate of 66.7 µmol g</w:t>
      </w:r>
      <w:r>
        <w:t xml:space="preserve"> </w:t>
      </w:r>
      <w:r>
        <w:t>−1</w:t>
      </w:r>
      <w:r>
        <w:t xml:space="preserve"> </w:t>
      </w:r>
      <w:r>
        <w:t>h</w:t>
      </w:r>
      <w:r>
        <w:t xml:space="preserve"> </w:t>
      </w:r>
      <w:r>
        <w:t>−1</w:t>
      </w:r>
      <w:r>
        <w:t xml:space="preserve"> </w:t>
      </w:r>
      <w:r>
        <w:t>with over 89% selectivity. This design underscores the significance of engineering synergistic active sites and charge transfer to enhance photocatalytic conversion efficiency, offering valuable insight into the structure‐activity relationship for developing high‐performance photocatalysts.</w:t>
      </w:r>
    </w:p>
    <w:p>
      <w:pPr>
        <w:spacing w:before="120" w:after="120"/>
      </w:pPr>
      <w:r>
        <w:rPr>
          <w:sz w:val="18"/>
        </w:rPr>
        <w:t>——————————————————————————————————————————————————————————————————————</w:t>
      </w:r>
    </w:p>
    <w:p>
      <w:pPr>
        <w:spacing w:before="160" w:after="40" w:line="240" w:lineRule="auto"/>
      </w:pPr>
      <w:r>
        <w:rPr>
          <w:b/>
        </w:rPr>
        <w:t xml:space="preserve">[590] </w:t>
      </w:r>
      <w:hyperlink r:id="rId959">
        <w:r>
          <w:rPr>
            <w:color w:val="1155CC"/>
            <w:u w:val="single"/>
          </w:rPr>
          <w:t>整个脑单细胞小鼠神经活性图集</w:t>
        </w:r>
      </w:hyperlink>
    </w:p>
    <w:p>
      <w:pPr>
        <w:spacing w:before="0" w:after="80"/>
      </w:pPr>
      <w:r>
        <w:rPr>
          <w:i/>
          <w:sz w:val="20"/>
        </w:rPr>
        <w:t>EN: A whole-brain single-cell atlas of circadian neural activity in mice</w:t>
      </w:r>
    </w:p>
    <w:p>
      <w:pPr>
        <w:spacing w:before="0" w:after="120"/>
      </w:pPr>
      <w:r>
        <w:rPr>
          <w:b/>
        </w:rPr>
        <w:t xml:space="preserve">Source: </w:t>
      </w:r>
      <w:r>
        <w:t>AAAS: Science: Table of Contents</w:t>
      </w:r>
      <w:r>
        <w:t xml:space="preserve">    </w:t>
      </w:r>
      <w:r>
        <w:rPr>
          <w:b/>
        </w:rPr>
        <w:t xml:space="preserve">Pub date: </w:t>
      </w:r>
      <w:r>
        <w:t>2026-02-19 08:00:00+00:00</w:t>
      </w:r>
      <w:r>
        <w:t xml:space="preserve">    </w:t>
      </w:r>
      <w:r>
        <w:rPr>
          <w:b/>
        </w:rPr>
        <w:t xml:space="preserve">DOI: </w:t>
      </w:r>
      <w:hyperlink r:id="rId960">
        <w:r>
          <w:rPr>
            <w:color w:val="1155CC"/>
            <w:u w:val="single"/>
          </w:rPr>
          <w:t>10.1126/science.aea3381</w:t>
        </w:r>
      </w:hyperlink>
    </w:p>
    <w:p>
      <w:pPr>
        <w:spacing w:before="0" w:after="120"/>
      </w:pPr>
      <w:r>
        <w:rPr>
          <w:b/>
        </w:rPr>
        <w:t xml:space="preserve">Notes: </w:t>
      </w:r>
      <w:r>
        <w:t>abstract_source=crossref</w:t>
      </w:r>
    </w:p>
    <w:p>
      <w:pPr>
        <w:spacing w:before="0" w:after="80" w:lineRule="auto" w:line="276"/>
      </w:pPr>
      <w:r>
        <w:rPr>
          <w:b/>
        </w:rPr>
        <w:t xml:space="preserve">摘要（ZH）: </w:t>
      </w:r>
      <w:r>
        <w:t>哺乳动物大脑包括许多具有不同功能的解剖区域,尽管它们具有广泛的连通性,但是它们具有不同的功能。在环形周期中,如何在各区域间协调自发神经活动仍然难以实现。我们使用在连续的黑暗中收集了两天的144个鼠脑脑中的组织清理和全脑C-Fos免疫。时间序列分析揭示出单细胞分辨率的全大脑环状环形同步性,642个解剖定义区域的79%在不同的环形阶段中振荡,这些阶段划分了功能性专业。沃切尔维思分析进一步突出了不同的次区域,建议了区域内复杂的波形时协调。此外,脑环形时间可以准确地从使用食谱的全球性环形模型中推断出来。</w:t>
      </w:r>
    </w:p>
    <w:p>
      <w:pPr>
        <w:spacing w:before="0" w:after="200" w:lineRule="auto" w:line="276"/>
      </w:pPr>
      <w:r>
        <w:rPr>
          <w:b/>
        </w:rPr>
        <w:t xml:space="preserve">Abstract (EN): </w:t>
      </w:r>
      <w:r>
        <w:t>The mammalian brain comprises numerous anatomical regions with distinct functions despite their extensive connectivity. How spontaneous neural activity is coordinated across regions over the circadian cycle remains elusive. We used tissue clearing and whole-brain c-Fos immunostaining on 144 mouse brains collected over 2 days under constant darkness. Time-series analysis revealed brainwide circadian rhythmicity at single-cell resolution, with 79% of the 642 anatomically defined regions oscillating in diverse circadian phases that delineate functional specializations. Voxelwise analyses further highlighted distinct subregions, suggesting intricate spatiotemporal coordination within regions. Additionally, brain circadian time could be accurately inferred from global c-Fos patterns using omics-derived prediction methods. This whole-brain circadian atlas enhances our understanding of neural coordination and provides a resource for integrating time-of-day information into functional and pharmacological research.</w:t>
      </w:r>
    </w:p>
    <w:p>
      <w:pPr>
        <w:spacing w:before="120" w:after="120"/>
      </w:pPr>
      <w:r>
        <w:rPr>
          <w:sz w:val="18"/>
        </w:rPr>
        <w:t>——————————————————————————————————————————————————————————————————————</w:t>
      </w:r>
    </w:p>
    <w:p>
      <w:pPr>
        <w:spacing w:before="160" w:after="40" w:line="240" w:lineRule="auto"/>
      </w:pPr>
      <w:r>
        <w:rPr>
          <w:b/>
        </w:rPr>
        <w:t xml:space="preserve">[591] </w:t>
      </w:r>
      <w:hyperlink r:id="rId961">
        <w:r>
          <w:rPr>
            <w:color w:val="1155CC"/>
            <w:u w:val="single"/>
          </w:rPr>
          <w:t>离开卫生组织不符合美国——或世界的最佳利益。</w:t>
        </w:r>
      </w:hyperlink>
    </w:p>
    <w:p>
      <w:pPr>
        <w:spacing w:before="0" w:after="80"/>
      </w:pPr>
      <w:r>
        <w:rPr>
          <w:i/>
          <w:sz w:val="20"/>
        </w:rPr>
        <w:t>EN: Leaving WHO does not serve America’s—or the world’s—best interests</w:t>
      </w:r>
    </w:p>
    <w:p>
      <w:pPr>
        <w:spacing w:before="0" w:after="120"/>
      </w:pPr>
      <w:r>
        <w:rPr>
          <w:b/>
        </w:rPr>
        <w:t xml:space="preserve">Source: </w:t>
      </w:r>
      <w:r>
        <w:t>AAAS: Science: Table of Contents</w:t>
      </w:r>
      <w:r>
        <w:t xml:space="preserve">    </w:t>
      </w:r>
      <w:r>
        <w:rPr>
          <w:b/>
        </w:rPr>
        <w:t xml:space="preserve">Pub date: </w:t>
      </w:r>
      <w:r>
        <w:t>2026-02-19 08:00:00+00:00</w:t>
      </w:r>
      <w:r>
        <w:t xml:space="preserve">    </w:t>
      </w:r>
      <w:r>
        <w:rPr>
          <w:b/>
        </w:rPr>
        <w:t xml:space="preserve">DOI: </w:t>
      </w:r>
      <w:hyperlink r:id="rId962">
        <w:r>
          <w:rPr>
            <w:color w:val="1155CC"/>
            <w:u w:val="single"/>
          </w:rPr>
          <w:t>10.1126/science.aeg1937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[592] </w:t>
      </w:r>
      <w:hyperlink r:id="rId963">
        <w:r>
          <w:rPr>
            <w:color w:val="1155CC"/>
            <w:u w:val="single"/>
          </w:rPr>
          <w:t>家庭高胆胆胆胆胆胆固醇性基因LLLLR的编码变化功能景观</w:t>
        </w:r>
      </w:hyperlink>
    </w:p>
    <w:p>
      <w:pPr>
        <w:spacing w:before="0" w:after="80"/>
      </w:pPr>
      <w:r>
        <w:rPr>
          <w:i/>
          <w:sz w:val="20"/>
        </w:rPr>
        <w:t>EN: The functional landscape of coding variation in the familial hypercholesterolemia gene LDLR</w:t>
      </w:r>
    </w:p>
    <w:p>
      <w:pPr>
        <w:spacing w:before="0" w:after="120"/>
      </w:pPr>
      <w:r>
        <w:rPr>
          <w:b/>
        </w:rPr>
        <w:t xml:space="preserve">Source: </w:t>
      </w:r>
      <w:r>
        <w:t>AAAS: Science: Table of Contents</w:t>
      </w:r>
      <w:r>
        <w:t xml:space="preserve">    </w:t>
      </w:r>
      <w:r>
        <w:rPr>
          <w:b/>
        </w:rPr>
        <w:t xml:space="preserve">Pub date: </w:t>
      </w:r>
      <w:r>
        <w:t>2026-02-19 08:00:00+00:00</w:t>
      </w:r>
      <w:r>
        <w:t xml:space="preserve">    </w:t>
      </w:r>
      <w:r>
        <w:rPr>
          <w:b/>
        </w:rPr>
        <w:t xml:space="preserve">DOI: </w:t>
      </w:r>
      <w:hyperlink r:id="rId964">
        <w:r>
          <w:rPr>
            <w:color w:val="1155CC"/>
            <w:u w:val="single"/>
          </w:rPr>
          <w:t>10.1126/science.ady7186</w:t>
        </w:r>
      </w:hyperlink>
    </w:p>
    <w:p>
      <w:pPr>
        <w:spacing w:before="0" w:after="120"/>
      </w:pPr>
      <w:r>
        <w:rPr>
          <w:b/>
        </w:rPr>
        <w:t xml:space="preserve">Notes: </w:t>
      </w:r>
      <w:r>
        <w:t>abstract_source=crossref</w:t>
      </w:r>
    </w:p>
    <w:p>
      <w:pPr>
        <w:spacing w:before="0" w:after="80" w:lineRule="auto" w:line="276"/>
      </w:pPr>
      <w:r>
        <w:rPr>
          <w:b/>
        </w:rPr>
        <w:t xml:space="preserve">摘要（ZH）: </w:t>
      </w:r>
      <w:r>
        <w:t>家庭高胆固醇血清基因LDLR(心血管疾病最重要的基因驱动力)的变异性可提高低密度脂蛋白(LDL)胆固醇(LDL)浓度的循环,并增加过早的静脉硬化的风险。 近一半临床遇到的LDLR误诊变异体缺乏防死分类,限制了减少疾病负担的干预措施。 我们测试了~17 000(几乎所有可能)LLDL(LLL)对LLDL细胞表面丰度和LDL摄入量的编码变异物的影响,产生了重编已知生物化学、提供功能洞见和为解释临床 varia提供证据的序列图。</w:t>
      </w:r>
    </w:p>
    <w:p>
      <w:pPr>
        <w:spacing w:before="0" w:after="200" w:lineRule="auto" w:line="276"/>
      </w:pPr>
      <w:r>
        <w:rPr>
          <w:b/>
        </w:rPr>
        <w:t xml:space="preserve">Abstract (EN): </w:t>
      </w:r>
      <w:r>
        <w:t>Variants in the familial hypercholesterolemia gene</w:t>
      </w:r>
      <w:r>
        <w:t xml:space="preserve"> </w:t>
      </w:r>
      <w:r>
        <w:t>LDLR</w:t>
      </w:r>
      <w:r>
        <w:t xml:space="preserve"> </w:t>
      </w:r>
      <w:r>
        <w:t>—the most important genetic driver of cardiovascular disease—can raise circulating low-density lipoprotein (LDL) cholesterol concentrations and increase the risk of premature atherosclerosis. Definitive classifications are lacking for nearly half of clinically encountered</w:t>
      </w:r>
      <w:r>
        <w:t xml:space="preserve"> </w:t>
      </w:r>
      <w:r>
        <w:t>LDLR</w:t>
      </w:r>
      <w:r>
        <w:t xml:space="preserve"> </w:t>
      </w:r>
      <w:r>
        <w:t>missense variants, limiting interventions that reduce disease burden. We tested the impact of ~17,000 (nearly all possible)</w:t>
      </w:r>
      <w:r>
        <w:t xml:space="preserve"> </w:t>
      </w:r>
      <w:r>
        <w:t>LDLR</w:t>
      </w:r>
      <w:r>
        <w:t xml:space="preserve"> </w:t>
      </w:r>
      <w:r>
        <w:t>coding variants on both LDLR cell-surface abundance and LDL uptake, yielding sequence–function maps that recapitulate known biochemistry, offer functional insights, and provide evidence for interpreting clinical variants. Functional scores correlated with hyperlipidemia phenotypes in prospective human cohorts and augmented polygenic scores to improve risk inference, highlighting the potential of this resource to accelerate familial hypercholesterolemia diagnosis and improve patient outcomes.</w:t>
      </w:r>
    </w:p>
    <w:p>
      <w:pPr>
        <w:spacing w:before="120" w:after="120"/>
      </w:pPr>
      <w:r>
        <w:rPr>
          <w:sz w:val="18"/>
        </w:rPr>
        <w:t>——————————————————————————————————————————————————————————————————————</w:t>
      </w:r>
    </w:p>
    <w:p>
      <w:pPr>
        <w:spacing w:before="160" w:after="40" w:line="240" w:lineRule="auto"/>
      </w:pPr>
      <w:r>
        <w:rPr>
          <w:b/>
        </w:rPr>
        <w:t xml:space="preserve">[593] </w:t>
      </w:r>
      <w:hyperlink r:id="rId965">
        <w:r>
          <w:rPr>
            <w:color w:val="1155CC"/>
            <w:u w:val="single"/>
          </w:rPr>
          <w:t>植入的弹性电子设备揭示了人类小盘细胞电动成熟的原则</w:t>
        </w:r>
      </w:hyperlink>
    </w:p>
    <w:p>
      <w:pPr>
        <w:spacing w:before="0" w:after="80"/>
      </w:pPr>
      <w:r>
        <w:rPr>
          <w:i/>
          <w:sz w:val="20"/>
        </w:rPr>
        <w:t>EN: Implanted flexible electronics reveal principles of human islet cell electrical maturation</w:t>
      </w:r>
    </w:p>
    <w:p>
      <w:pPr>
        <w:spacing w:before="0" w:after="120"/>
      </w:pPr>
      <w:r>
        <w:rPr>
          <w:b/>
        </w:rPr>
        <w:t xml:space="preserve">Source: </w:t>
      </w:r>
      <w:r>
        <w:t>AAAS: Science: Table of Contents</w:t>
      </w:r>
      <w:r>
        <w:t xml:space="preserve">    </w:t>
      </w:r>
      <w:r>
        <w:rPr>
          <w:b/>
        </w:rPr>
        <w:t xml:space="preserve">Pub date: </w:t>
      </w:r>
      <w:r>
        <w:t>2026-02-19 08:00:00+00:00</w:t>
      </w:r>
      <w:r>
        <w:t xml:space="preserve">    </w:t>
      </w:r>
      <w:r>
        <w:rPr>
          <w:b/>
        </w:rPr>
        <w:t xml:space="preserve">DOI: </w:t>
      </w:r>
      <w:hyperlink r:id="rId966">
        <w:r>
          <w:rPr>
            <w:color w:val="1155CC"/>
            <w:u w:val="single"/>
          </w:rPr>
          <w:t>10.1126/science.aeb3295</w:t>
        </w:r>
      </w:hyperlink>
    </w:p>
    <w:p>
      <w:pPr>
        <w:spacing w:before="0" w:after="120"/>
      </w:pPr>
      <w:r>
        <w:rPr>
          <w:b/>
        </w:rPr>
        <w:t xml:space="preserve">Notes: </w:t>
      </w:r>
      <w:r>
        <w:t>abstract_source=crossref</w:t>
      </w:r>
    </w:p>
    <w:p>
      <w:pPr>
        <w:spacing w:before="0" w:after="80" w:lineRule="auto" w:line="276"/>
      </w:pPr>
      <w:r>
        <w:rPr>
          <w:b/>
        </w:rPr>
        <w:t xml:space="preserve">摘要（ZH）: </w:t>
      </w:r>
      <w:r>
        <w:t>了解人类胰腺α和β细胞电子活动如何成熟对于建立完全功能性干细胞 — — 源(SC-)用于研究和治疗的胰腺类组织 — — 至关重要。 我们植入组织相似的、可伸展的电子设备,用于人类胰腺类组织器官的有机生成,使单细胞能够持续数月,单细胞解电生理学。纵向单细胞跟踪表明,提高荷尔蒙反应能力反映SC-α和-β细胞活动增加,其中低和高柱射线的细胞活动增加,与能量和激素代谢基因的诱发有关。 日常代谢性内分泌显示,细胞激素分泌的节奏反映了SC-α和-β电子特征的日常振动,与细胞通信的感应和异位基因网络联系在一起,</w:t>
      </w:r>
    </w:p>
    <w:p>
      <w:pPr>
        <w:spacing w:before="0" w:after="200" w:lineRule="auto" w:line="276"/>
      </w:pPr>
      <w:r>
        <w:rPr>
          <w:b/>
        </w:rPr>
        <w:t xml:space="preserve">Abstract (EN): </w:t>
      </w:r>
      <w:r>
        <w:t>Understanding how human pancreatic α and β cell electrical activities mature is critical for building fully functional stem cell–derived (SC-) pancreatic organoids for research and therapeutics. We implanted tissue-like, stretchable electronics during organogenesis of human pancreatic organoids, enabling months-long, single cell–resolved electrophysiology. Longitudinal single-cell tracking suggested that improved hormone responsiveness reflects increasing activity of SC-α and -β cells with low and high basal firing, linked to induction of energy and hormone metabolism genes. Daily metabolic entrainment showed that circadian hormone secretion rhythms reflect daily oscillation of SC-α and -β electrical characteristics, tied to induction of cell-cell communication and exocytic gene networks, revealing circadian coordination of cell-level, stimulus-coupled responses. Lastly, we showed that electrical stimulation, via implanted actuators, enhances SC-α and -β glucose responsiveness. Our results establish a bioelectronic framework to trace and modulate functional organoid maturation.</w:t>
      </w:r>
    </w:p>
    <w:p>
      <w:pPr>
        <w:spacing w:before="120" w:after="120"/>
      </w:pPr>
      <w:r>
        <w:rPr>
          <w:sz w:val="18"/>
        </w:rPr>
        <w:t>——————————————————————————————————————————————————————————————————————</w:t>
      </w:r>
    </w:p>
    <w:p>
      <w:pPr>
        <w:spacing w:before="160" w:after="40" w:line="240" w:lineRule="auto"/>
      </w:pPr>
      <w:r>
        <w:rPr>
          <w:b/>
        </w:rPr>
        <w:t xml:space="preserve">[594] </w:t>
      </w:r>
      <w:hyperlink r:id="rId967">
        <w:r>
          <w:rPr>
            <w:color w:val="1155CC"/>
            <w:u w:val="single"/>
          </w:rPr>
          <w:t>来自撒哈拉海帽的中继脊髓脊椎辐射</w:t>
        </w:r>
      </w:hyperlink>
    </w:p>
    <w:p>
      <w:pPr>
        <w:spacing w:before="0" w:after="80"/>
      </w:pPr>
      <w:r>
        <w:rPr>
          <w:i/>
          <w:sz w:val="20"/>
        </w:rPr>
        <w:t>EN: Scimitar-crested Spinosaurus species from the Sahara caps stepwise spinosaurid radiation</w:t>
      </w:r>
    </w:p>
    <w:p>
      <w:pPr>
        <w:spacing w:before="0" w:after="120"/>
      </w:pPr>
      <w:r>
        <w:rPr>
          <w:b/>
        </w:rPr>
        <w:t xml:space="preserve">Source: </w:t>
      </w:r>
      <w:r>
        <w:t>AAAS: Science: Table of Contents</w:t>
      </w:r>
      <w:r>
        <w:t xml:space="preserve">    </w:t>
      </w:r>
      <w:r>
        <w:rPr>
          <w:b/>
        </w:rPr>
        <w:t xml:space="preserve">Pub date: </w:t>
      </w:r>
      <w:r>
        <w:t>2026-02-19 08:00:00+00:00</w:t>
      </w:r>
      <w:r>
        <w:t xml:space="preserve">    </w:t>
      </w:r>
      <w:r>
        <w:rPr>
          <w:b/>
        </w:rPr>
        <w:t xml:space="preserve">DOI: </w:t>
      </w:r>
      <w:hyperlink r:id="rId968">
        <w:r>
          <w:rPr>
            <w:color w:val="1155CC"/>
            <w:u w:val="single"/>
          </w:rPr>
          <w:t>10.1126/science.adx5486</w:t>
        </w:r>
      </w:hyperlink>
    </w:p>
    <w:p>
      <w:pPr>
        <w:spacing w:before="0" w:after="120"/>
      </w:pPr>
      <w:r>
        <w:rPr>
          <w:b/>
        </w:rPr>
        <w:t xml:space="preserve">Notes: </w:t>
      </w:r>
      <w:r>
        <w:t>abstract_source=crossref</w:t>
      </w:r>
    </w:p>
    <w:p>
      <w:pPr>
        <w:spacing w:before="0" w:after="80" w:lineRule="auto" w:line="276"/>
      </w:pPr>
      <w:r>
        <w:rPr>
          <w:b/>
        </w:rPr>
        <w:t xml:space="preserve">摘要（ZH）: </w:t>
      </w:r>
      <w:r>
        <w:t>我们描述了北非近岸矿床的有帆背的食鱼巨巨人Spinoaurus Aegyptiacus的近亲关系。在中撒哈拉中部,与长颈恐龙一起在河滨栖息地发现,与长颈恐龙一道在中撒哈拉地区发现的Spinoaurus mirabilis sp. nov.,其特征是远在头顶上方的一个刺状骨形斑纹状的斑点。我们发现了脊椎进化的三个不相干阶段。在Jurassic的起源于Jurassic的第一阶段,出现了一个长尾鱼捕猎头骨,不久沿不同的道路被改变。在第二个早期的白鲸阶段,脊椎动物成为环特赛生境的主要掠食者。最后一个阶段始于开阔时晚的Cretaceous开始的最后阶段。</w:t>
      </w:r>
    </w:p>
    <w:p>
      <w:pPr>
        <w:spacing w:before="0" w:after="200" w:lineRule="auto" w:line="276"/>
      </w:pPr>
      <w:r>
        <w:rPr>
          <w:b/>
        </w:rPr>
        <w:t xml:space="preserve">Abstract (EN): </w:t>
      </w:r>
      <w:r>
        <w:t>We describe a close relative of</w:t>
      </w:r>
      <w:r>
        <w:t xml:space="preserve"> </w:t>
      </w:r>
      <w:r>
        <w:t>Spinosaurus aegyptiacus</w:t>
      </w:r>
      <w:r>
        <w:t xml:space="preserve"> </w:t>
      </w:r>
      <w:r>
        <w:t>, the sail-backed, fish-eating giant from nearshore deposits of northern Africa.</w:t>
      </w:r>
      <w:r>
        <w:t xml:space="preserve"> </w:t>
      </w:r>
      <w:r>
        <w:t>Spinosaurus mirabilis</w:t>
      </w:r>
      <w:r>
        <w:t xml:space="preserve"> </w:t>
      </w:r>
      <w:r>
        <w:t>sp. nov., discovered in the central Sahara alongside long-necked dinosaurs in a riparian habitat, is distinguished by a scimitar-shaped bony crest projecting far above its skull roof. We discern three discrete phases in spinosaurid evolution. During the first phase with roots in the Jurassic, an elongate fish-snaring skull emerged that soon was modified along divergent paths. During a second Early Cretaceous phase, spinosaurids became the dominant predators in circum-Tethyan habitats. The final phase began just before the Late Cretaceous during the opening of the Atlantic Ocean, when spinosaurines attained maximum body size as shallow water ambush specialists limited geographically to northern Africa and South America.</w:t>
      </w:r>
    </w:p>
    <w:p>
      <w:pPr>
        <w:spacing w:before="120" w:after="120"/>
      </w:pPr>
      <w:r>
        <w:rPr>
          <w:sz w:val="18"/>
        </w:rPr>
        <w:t>——————————————————————————————————————————————————————————————————————</w:t>
      </w:r>
    </w:p>
    <w:p>
      <w:pPr>
        <w:spacing w:before="160" w:after="40" w:line="240" w:lineRule="auto"/>
      </w:pPr>
      <w:r>
        <w:rPr>
          <w:b/>
        </w:rPr>
        <w:t xml:space="preserve">[595] </w:t>
      </w:r>
      <w:hyperlink r:id="rId969">
        <w:r>
          <w:rPr>
            <w:color w:val="1155CC"/>
            <w:u w:val="single"/>
          </w:rPr>
          <w:t>Jezero弹坑、火星</w:t>
        </w:r>
      </w:hyperlink>
    </w:p>
    <w:p>
      <w:pPr>
        <w:spacing w:before="0" w:after="80"/>
      </w:pPr>
      <w:r>
        <w:rPr>
          <w:i/>
          <w:sz w:val="20"/>
        </w:rPr>
        <w:t>EN: Carbonated ultramafic igneous rocks in Jezero crater, Mars</w:t>
      </w:r>
    </w:p>
    <w:p>
      <w:pPr>
        <w:spacing w:before="0" w:after="120"/>
      </w:pPr>
      <w:r>
        <w:rPr>
          <w:b/>
        </w:rPr>
        <w:t xml:space="preserve">Source: </w:t>
      </w:r>
      <w:r>
        <w:t>AAAS: Science: Table of Contents</w:t>
      </w:r>
      <w:r>
        <w:t xml:space="preserve">    </w:t>
      </w:r>
      <w:r>
        <w:rPr>
          <w:b/>
        </w:rPr>
        <w:t xml:space="preserve">Pub date: </w:t>
      </w:r>
      <w:r>
        <w:t>2026-02-19 08:00:00+00:00</w:t>
      </w:r>
      <w:r>
        <w:t xml:space="preserve">    </w:t>
      </w:r>
      <w:r>
        <w:rPr>
          <w:b/>
        </w:rPr>
        <w:t xml:space="preserve">DOI: </w:t>
      </w:r>
      <w:hyperlink r:id="rId970">
        <w:r>
          <w:rPr>
            <w:color w:val="1155CC"/>
            <w:u w:val="single"/>
          </w:rPr>
          <w:t>10.1126/science.adu8264</w:t>
        </w:r>
      </w:hyperlink>
    </w:p>
    <w:p>
      <w:pPr>
        <w:spacing w:before="0" w:after="120"/>
      </w:pPr>
      <w:r>
        <w:rPr>
          <w:b/>
        </w:rPr>
        <w:t xml:space="preserve">Notes: </w:t>
      </w:r>
      <w:r>
        <w:t>abstract_source=crossref</w:t>
      </w:r>
    </w:p>
    <w:p>
      <w:pPr>
        <w:spacing w:before="0" w:after="80" w:lineRule="auto" w:line="276"/>
      </w:pPr>
      <w:r>
        <w:rPr>
          <w:b/>
        </w:rPr>
        <w:t xml:space="preserve">摘要（ZH）: </w:t>
      </w:r>
      <w:r>
        <w:t>坚固的岩壁落在火星上的热泽罗火山口,那里曾经有一个液体水湖。我们报告从杰泽罗西部沉积风扇下方向上火山口边缘的高度超过400米的10公里纵深地带,从Jezero西部沉积风扇下方向上火山口倾斜400米的纵深地带遇到的岩石特性。这些岩石由粗颗粒的寡头、镁和铁碳酸盐、硅酸盐和硫酸盐组成,包括一些在杰泽罗内暴露的最古老材料。我们推断这些岩石是由寡头聚积成的层层入侵系统形成的,随后是水和二氧化碳的暴露,导致硅质矿物的大量碳化。在低海拔地区,水的改变更为明显。火山口边缘的高度暴露似乎是硅。</w:t>
      </w:r>
    </w:p>
    <w:p>
      <w:pPr>
        <w:spacing w:before="0" w:after="200" w:lineRule="auto" w:line="276"/>
      </w:pPr>
      <w:r>
        <w:rPr>
          <w:b/>
        </w:rPr>
        <w:t xml:space="preserve">Abstract (EN): </w:t>
      </w:r>
      <w:r>
        <w:t>The Perseverance rover landed in Jezero crater on Mars, which once contained a lake of liquid water. We report the rock properties encountered by Perseverance during a 10-kilometer traverse extending over 400 meters in elevation, from beneath Jezero’s western sedimentary fan to the upper crater rim. These rocks consist of coarse-grained olivine, magnesium and iron carbonates, silica, and phyllosilicates, including some of the oldest materials exposed within Jezero. We infer that these rocks formed by olivine accumulation in an igneous system of layered intrusions, followed by exposure to water and carbon dioxide, which caused extensive carbonation of the silicate minerals. Aqueous alteration was more pronounced at lower elevations. Higher-elevation exposures on the crater rim appear similar to olivine-rich rocks distributed over the wider Nili Fossae region.</w:t>
      </w:r>
    </w:p>
    <w:p>
      <w:pPr>
        <w:spacing w:before="120" w:after="120"/>
      </w:pPr>
      <w:r>
        <w:rPr>
          <w:sz w:val="18"/>
        </w:rPr>
        <w:t>——————————————————————————————————————————————————————————————————————</w:t>
      </w:r>
    </w:p>
    <w:p>
      <w:pPr>
        <w:spacing w:before="160" w:after="40" w:line="240" w:lineRule="auto"/>
      </w:pPr>
      <w:r>
        <w:rPr>
          <w:b/>
        </w:rPr>
        <w:t xml:space="preserve">[596] </w:t>
      </w:r>
      <w:hyperlink r:id="rId971">
        <w:r>
          <w:rPr>
            <w:color w:val="1155CC"/>
            <w:u w:val="single"/>
          </w:rPr>
          <w:t>RNA扩张部分对非活性动物骨质动物的寡头寡头化进行调解</w:t>
        </w:r>
      </w:hyperlink>
    </w:p>
    <w:p>
      <w:pPr>
        <w:spacing w:before="0" w:after="80"/>
      </w:pPr>
      <w:r>
        <w:rPr>
          <w:i/>
          <w:sz w:val="20"/>
        </w:rPr>
        <w:t>EN: Ribosomal RNA expansion segments mediate the oligomerization of inactive animal ribosomes</w:t>
      </w:r>
    </w:p>
    <w:p>
      <w:pPr>
        <w:spacing w:before="0" w:after="120"/>
      </w:pPr>
      <w:r>
        <w:rPr>
          <w:b/>
        </w:rPr>
        <w:t xml:space="preserve">Source: </w:t>
      </w:r>
      <w:r>
        <w:t>AAAS: Science: Table of Contents</w:t>
      </w:r>
      <w:r>
        <w:t xml:space="preserve">    </w:t>
      </w:r>
      <w:r>
        <w:rPr>
          <w:b/>
        </w:rPr>
        <w:t xml:space="preserve">Pub date: </w:t>
      </w:r>
      <w:r>
        <w:t>2026-02-19 08:00:00+00:00</w:t>
      </w:r>
      <w:r>
        <w:t xml:space="preserve">    </w:t>
      </w:r>
      <w:r>
        <w:rPr>
          <w:b/>
        </w:rPr>
        <w:t xml:space="preserve">DOI: </w:t>
      </w:r>
      <w:hyperlink r:id="rId972">
        <w:r>
          <w:rPr>
            <w:color w:val="1155CC"/>
            <w:u w:val="single"/>
          </w:rPr>
          <w:t>10.1126/science.adr4287</w:t>
        </w:r>
      </w:hyperlink>
    </w:p>
    <w:p>
      <w:pPr>
        <w:spacing w:before="0" w:after="120"/>
      </w:pPr>
      <w:r>
        <w:rPr>
          <w:b/>
        </w:rPr>
        <w:t xml:space="preserve">Notes: </w:t>
      </w:r>
      <w:r>
        <w:t>abstract_source=crossref</w:t>
      </w:r>
    </w:p>
    <w:p>
      <w:pPr>
        <w:spacing w:before="0" w:after="80" w:lineRule="auto" w:line="276"/>
      </w:pPr>
      <w:r>
        <w:rPr>
          <w:b/>
        </w:rPr>
        <w:t xml:space="preserve">摘要（ZH）: </w:t>
      </w:r>
      <w:r>
        <w:t>我们发现,在某些哺乳动物细胞中,包括神经元,压力还导致形成不活跃的肋骨-肋骨细胞群(二体),我们使用冷冻-电子断层成像(cryo-ET)来现场对骨质成像进行视觉分析,并观察到这种肋骨分化是通过RNA(rNA)扩张部分ES31Lb的同质相互作用来调解的。 ES31Lb相互作用对于发育不健康形成既必要又足够,并给脑细胞带来生长优势和压力阻力。 ES31Lb预测在大约20%的染色体中同化,包括鸡和人的变体。 对鸡的冷冻-ET分析揭示了ES31Lb和ESC的相互作用。</w:t>
      </w:r>
    </w:p>
    <w:p>
      <w:pPr>
        <w:spacing w:before="0" w:after="200" w:lineRule="auto" w:line="276"/>
      </w:pPr>
      <w:r>
        <w:rPr>
          <w:b/>
        </w:rPr>
        <w:t xml:space="preserve">Abstract (EN): </w:t>
      </w:r>
      <w:r>
        <w:t>Cells down-regulate protein synthesis when stressed to conserve energy and shift resources toward repair. We found that in some mammalian cells, including neurons, stress also resulted in the formation of inactive ribosome-ribosome clusters (disomes). We used cryo–electron tomography (cryo-ET) to visualize ribosomes in situ and observed that this ribosome dimerization was mediated by a homotypic interaction of the ribosomal RNA (rRNA) expansion segment ES31Lb. ES31Lb interactions were both necessary and sufficient for disome formation and conferred a growth advantage and stress resistance to brain cells. ES31Lb is predicted to homodimerize in ~20% of chordates, including variants in both chicken and human. Cryo-ET analysis of chicken tetrasomes revealed an interaction between ES31Lb and ES9La. Thus, in animal cells, translation regulation can use a flexible component of the protein synthesis machinery—rRNA expansion segments.</w:t>
      </w:r>
    </w:p>
    <w:p>
      <w:pPr>
        <w:spacing w:before="120" w:after="120"/>
      </w:pPr>
      <w:r>
        <w:rPr>
          <w:sz w:val="18"/>
        </w:rPr>
        <w:t>——————————————————————————————————————————————————————————————————————</w:t>
      </w:r>
    </w:p>
    <w:p>
      <w:pPr>
        <w:spacing w:before="160" w:after="40" w:line="240" w:lineRule="auto"/>
      </w:pPr>
      <w:r>
        <w:rPr>
          <w:b/>
        </w:rPr>
        <w:t xml:space="preserve">[597] </w:t>
      </w:r>
      <w:hyperlink r:id="rId973">
        <w:r>
          <w:rPr>
            <w:color w:val="1155CC"/>
            <w:u w:val="single"/>
          </w:rPr>
          <w:t>终止综合应激反应</w:t>
        </w:r>
      </w:hyperlink>
    </w:p>
    <w:p>
      <w:pPr>
        <w:spacing w:before="0" w:after="80"/>
      </w:pPr>
      <w:r>
        <w:rPr>
          <w:i/>
          <w:sz w:val="20"/>
        </w:rPr>
        <w:t>EN: Termination of the integrated stress response</w:t>
      </w:r>
    </w:p>
    <w:p>
      <w:pPr>
        <w:spacing w:before="0" w:after="120"/>
      </w:pPr>
      <w:r>
        <w:rPr>
          <w:b/>
        </w:rPr>
        <w:t xml:space="preserve">Source: </w:t>
      </w:r>
      <w:r>
        <w:t>AAAS: Science: Table of Contents</w:t>
      </w:r>
      <w:r>
        <w:t xml:space="preserve">    </w:t>
      </w:r>
      <w:r>
        <w:rPr>
          <w:b/>
        </w:rPr>
        <w:t xml:space="preserve">Pub date: </w:t>
      </w:r>
      <w:r>
        <w:t>2026-02-19 08:00:00+00:00</w:t>
      </w:r>
      <w:r>
        <w:t xml:space="preserve">    </w:t>
      </w:r>
      <w:r>
        <w:rPr>
          <w:b/>
        </w:rPr>
        <w:t xml:space="preserve">DOI: </w:t>
      </w:r>
      <w:hyperlink r:id="rId974">
        <w:r>
          <w:rPr>
            <w:color w:val="1155CC"/>
            <w:u w:val="single"/>
          </w:rPr>
          <w:t>10.1126/science.adw5137</w:t>
        </w:r>
      </w:hyperlink>
    </w:p>
    <w:p>
      <w:pPr>
        <w:spacing w:before="0" w:after="120"/>
      </w:pPr>
      <w:r>
        <w:rPr>
          <w:b/>
        </w:rPr>
        <w:t xml:space="preserve">Notes: </w:t>
      </w:r>
      <w:r>
        <w:t>abstract_source=crossref</w:t>
      </w:r>
    </w:p>
    <w:p>
      <w:pPr>
        <w:spacing w:before="0" w:after="80" w:lineRule="auto" w:line="276"/>
      </w:pPr>
      <w:r>
        <w:rPr>
          <w:b/>
        </w:rPr>
        <w:t xml:space="preserve">摘要（ZH）: </w:t>
      </w:r>
      <w:r>
        <w:t>压力反应使细胞能够检测、适应和生存挑战。这些信号路径的好处取决于它们的可逆性。综合应力反应(IRS)的诱发力来自eukaryatic 翻译启动系数eIF2的磷酸化化,eIF2 eIF2 吸引并抑制了比率限制翻译系数eIF2B,从而减缓了翻译启动。因此,终止这一路径需要解除P-eIF2抑制的eIF2B。在这里,我们发现eIF2磷酸磷酶亚单位PPPP1R15A和PPP1R15B(R15B)将PEIF2与eIF2B捆绑在一起。由本地 eIF2-eIF2B和P-EIF2-eIF2B的冷冻电子显像结构和P-EIF2-eIF2B与R15B捆绑在一起的复合体生物化学调查显示,R15B使得以其他方式去光性特征P-eIF2进行反光照射。</w:t>
      </w:r>
    </w:p>
    <w:p>
      <w:pPr>
        <w:spacing w:before="0" w:after="200" w:lineRule="auto" w:line="276"/>
      </w:pPr>
      <w:r>
        <w:rPr>
          <w:b/>
        </w:rPr>
        <w:t xml:space="preserve">Abstract (EN): </w:t>
      </w:r>
      <w:r>
        <w:t>Stress responses enable cells to detect, adapt to, and survive challenges. The benefit of these signaling pathways depends on their reversibility. The integrated stress response (ISR) is elicited by phosphorylation of eukaryotic translation initiation factor eIF2, which traps and inhibits rate-limiting translation factor eIF2B, thereby attenuating translation initiation. Termination of this pathway thus requires relieving eIF2B from P-eIF2 inhibition. Here, we found that eIF2 phosphatase subunits PPP1R15A and PPP1R15B (R15B) bound P-eIF2 in complex with eIF2B. Biochemical investigations guided by cryo–electron microscopy structures of native eIF2-eIF2B and P-eIF2-eIF2B complexes bound to R15B demonstrated that R15B enabled dephosphorylation of otherwise dephosphorylation-incompetent P-eIF2 on eIF2B. This sheds light on ISR termination, revealing that R15B rescues eIF2B from P-eIF2 inhibition, thereby safeguarding translation and cell fitness.</w:t>
      </w:r>
    </w:p>
    <w:p>
      <w:pPr>
        <w:spacing w:before="120" w:after="120"/>
      </w:pPr>
      <w:r>
        <w:rPr>
          <w:sz w:val="18"/>
        </w:rPr>
        <w:t>——————————————————————————————————————————————————————————————————————</w:t>
      </w:r>
    </w:p>
    <w:p>
      <w:pPr>
        <w:spacing w:before="160" w:after="40" w:line="240" w:lineRule="auto"/>
      </w:pPr>
      <w:r>
        <w:rPr>
          <w:b/>
        </w:rPr>
        <w:t xml:space="preserve">[598] </w:t>
      </w:r>
      <w:hyperlink r:id="rId975">
        <w:r>
          <w:rPr>
            <w:color w:val="1155CC"/>
            <w:u w:val="single"/>
          </w:rPr>
          <w:t>[ASAP] 由德黑兰过渡金属硝化中间体形成促进的氨分解:Ni(Co)-Loaded BaSi2</w:t>
        </w:r>
      </w:hyperlink>
    </w:p>
    <w:p>
      <w:pPr>
        <w:spacing w:before="0" w:after="80"/>
      </w:pPr>
      <w:r>
        <w:rPr>
          <w:i/>
          <w:sz w:val="20"/>
        </w:rPr>
        <w:t>EN: [ASAP] Ammonia Decomposition Promoted by the Formation of Ternary Transition Metal Nitride Intermediates: Ni (Co)-Loaded BaSi2</w:t>
      </w:r>
    </w:p>
    <w:p>
      <w:pPr>
        <w:spacing w:before="0" w:after="120"/>
      </w:pPr>
      <w:r>
        <w:rPr>
          <w:b/>
        </w:rPr>
        <w:t xml:space="preserve">Source: </w:t>
      </w:r>
      <w:r>
        <w:t>Journal of the American Chemical Society: Latest Articles (ACS Publications)</w:t>
      </w:r>
      <w:r>
        <w:t xml:space="preserve">    </w:t>
      </w:r>
      <w:r>
        <w:rPr>
          <w:b/>
        </w:rPr>
        <w:t xml:space="preserve">Pub date: </w:t>
      </w:r>
      <w:r>
        <w:t>2026-02-19 09:00:13+00:00</w:t>
      </w:r>
      <w:r>
        <w:t xml:space="preserve">    </w:t>
      </w:r>
      <w:r>
        <w:rPr>
          <w:b/>
        </w:rPr>
        <w:t xml:space="preserve">DOI: </w:t>
      </w:r>
      <w:hyperlink r:id="rId976">
        <w:r>
          <w:rPr>
            <w:color w:val="1155CC"/>
            <w:u w:val="single"/>
          </w:rPr>
          <w:t>10.1021/jacs.5c16307</w:t>
        </w:r>
      </w:hyperlink>
    </w:p>
    <w:p>
      <w:pPr>
        <w:spacing w:before="0" w:after="120"/>
      </w:pPr>
      <w:r>
        <w:rPr>
          <w:b/>
        </w:rPr>
        <w:t xml:space="preserve">Notes: </w:t>
      </w:r>
      <w:r>
        <w:t>abstract_source=pubmed</w:t>
      </w:r>
    </w:p>
    <w:p>
      <w:pPr>
        <w:spacing w:before="0" w:after="80" w:lineRule="auto" w:line="276"/>
      </w:pPr>
      <w:r>
        <w:rPr>
          <w:b/>
        </w:rPr>
        <w:t xml:space="preserve">摘要（ZH）: </w:t>
      </w:r>
      <w:r>
        <w:t>氢能路线图的一个关键组成部分是氢能路线图的一个关键组成部分,然而,传统非稀释性过渡金属催化剂,如尼和可可等,在N-N结合步骤中通常会遇到高能量屏障。在本研究中,我们报告说,BaSi2的锌级硅杀菌作用稳定,通过在TM-BaSi2接口形成TM-nicrogen-bonibor中间体,对氨分解中的氮和共催化剂提供有效的支持。 利用动能研究、X射线光光电光谱学和密度功能理论计算,显示电子从中间低功率结膜转移到TM-BaSi2接口连接到TM的氮原子,从而导致在TM-BaSi2接口中连接到TM的氮原子转移。</w:t>
      </w:r>
    </w:p>
    <w:p>
      <w:pPr>
        <w:spacing w:before="0" w:after="200" w:lineRule="auto" w:line="276"/>
      </w:pPr>
      <w:r>
        <w:rPr>
          <w:b/>
        </w:rPr>
        <w:t xml:space="preserve">Abstract (EN): </w:t>
      </w:r>
      <w:r>
        <w:t>Catalytic ammonia decomposition for hydrogen release at reduced temperatures is a critical component of the hydrogen energy roadmap. However, conventional nonprecious transition metal (TM) catalysts, such as Ni and Co, typically suffer from a high energy barrier in the N-N coupling step. In this study, we report that a stable Zintl phase silicide of BaSi2 functions as an efficient support for Ni and Co catalysts in ammonia decomposition via the formation of TM-nitrogen-barium intermediates at the TM-BaSi2 interface. Characterizations using kinetic studies, X-ray photoelectron spectroscopy (XPS), and density functional theory calculations suggest that electron transfer occurs from the interfacial low-valence barium to nitrogen atoms bonded to TM at the TM-BaSi2 interface, which leads to the formation of TM-nitrogen-barium intermediates and in turn lowers the energy barrier for the rate-determining N-N coupling step. This promotion enables Ni- or Co-loaded BaSi2 catalysts to significantly outperform conventional nonprecious metal catalysts and become comparable to the Ru-based catalysts. These results offer a new perspective for the future design of nonprecious metal catalysts for ammonia decomposition at reduced temperature.</w:t>
      </w:r>
    </w:p>
    <w:p>
      <w:pPr>
        <w:spacing w:before="120" w:after="120"/>
      </w:pPr>
      <w:r>
        <w:rPr>
          <w:sz w:val="18"/>
        </w:rPr>
        <w:t>——————————————————————————————————————————————————————————————————————</w:t>
      </w:r>
    </w:p>
    <w:p>
      <w:pPr>
        <w:spacing w:before="160" w:after="40" w:line="240" w:lineRule="auto"/>
      </w:pPr>
      <w:r>
        <w:rPr>
          <w:b/>
        </w:rPr>
        <w:t xml:space="preserve">[599] </w:t>
      </w:r>
      <w:hyperlink r:id="rId977">
        <w:r>
          <w:rPr>
            <w:color w:val="1155CC"/>
            <w:u w:val="single"/>
          </w:rPr>
          <w:t>[ASAP]通过地雷的异光化-自化反应而合成的α分离的三氟甲基亚甲基氨</w:t>
        </w:r>
      </w:hyperlink>
    </w:p>
    <w:p>
      <w:pPr>
        <w:spacing w:before="0" w:after="80"/>
      </w:pPr>
      <w:r>
        <w:rPr>
          <w:i/>
          <w:sz w:val="20"/>
        </w:rPr>
        <w:t>EN: [ASAP] Synthesis of α-Deuterated Trifluoromethylated Amines through Isomerization-Deuteration Reaction of Imines</w:t>
      </w:r>
    </w:p>
    <w:p>
      <w:pPr>
        <w:spacing w:before="0" w:after="120"/>
      </w:pPr>
      <w:r>
        <w:rPr>
          <w:b/>
        </w:rPr>
        <w:t xml:space="preserve">Source: </w:t>
      </w:r>
      <w:r>
        <w:t>Journal of the American Chemical Society: Latest Articles (ACS Publications)</w:t>
      </w:r>
      <w:r>
        <w:t xml:space="preserve">    </w:t>
      </w:r>
      <w:r>
        <w:rPr>
          <w:b/>
        </w:rPr>
        <w:t xml:space="preserve">Pub date: </w:t>
      </w:r>
      <w:r>
        <w:t>2026-02-19 09:58:35+00:00</w:t>
      </w:r>
      <w:r>
        <w:t xml:space="preserve">    </w:t>
      </w:r>
      <w:r>
        <w:rPr>
          <w:b/>
        </w:rPr>
        <w:t xml:space="preserve">DOI: </w:t>
      </w:r>
      <w:hyperlink r:id="rId978">
        <w:r>
          <w:rPr>
            <w:color w:val="1155CC"/>
            <w:u w:val="single"/>
          </w:rPr>
          <w:t>10.1021/jacs.5c21911</w:t>
        </w:r>
      </w:hyperlink>
    </w:p>
    <w:p>
      <w:pPr>
        <w:spacing w:before="0" w:after="120"/>
      </w:pPr>
      <w:r>
        <w:rPr>
          <w:b/>
        </w:rPr>
        <w:t xml:space="preserve">Notes: </w:t>
      </w:r>
      <w:r>
        <w:t>abstract_source=pubmed</w:t>
      </w:r>
    </w:p>
    <w:p>
      <w:pPr>
        <w:spacing w:before="0" w:after="80" w:lineRule="auto" w:line="276"/>
      </w:pPr>
      <w:r>
        <w:rPr>
          <w:b/>
        </w:rPr>
        <w:t xml:space="preserve">摘要（ZH）: </w:t>
      </w:r>
      <w:r>
        <w:t>脱盐化合物对化学、医药化学和制药业具有重大意义。在这里,我们报告三氟甲基乙胺通过脱质-H/D交换-脱化序列产生的有机异构-脱化反应,为有效合成使用D2O作为除化元素来源的精密集成的手动和种族-α脱盐三氟甲基胺提供了新战略,对亚丁二甲基乙胺新催化剂的0.2 摩尔的低度可以达到高对硫选择性。</w:t>
      </w:r>
    </w:p>
    <w:p>
      <w:pPr>
        <w:spacing w:before="0" w:after="200" w:lineRule="auto" w:line="276"/>
      </w:pPr>
      <w:r>
        <w:rPr>
          <w:b/>
        </w:rPr>
        <w:t xml:space="preserve">Abstract (EN): </w:t>
      </w:r>
      <w:r>
        <w:t>Deuterated compounds are of significant interest in chemistry, medicinal chemistry, and the pharmaceutical industry. Herein, we report organocatalytic isomerization-deuteration reactions of trifluoromethyl imines via a deprotonation-H/D exchange-deuteration sequence, providing a new strategy for the effective synthesis of chiral and racemic α-deuterated trifluoromethylated amines with excellent deuterium incorporation using D2O as the deuterium source. High enantioselectivity could be achieved for aliphatic trifluoromethyl imine using as low as 0.2 mol % of new cinchonium betaine catalysts.</w:t>
      </w:r>
    </w:p>
    <w:p>
      <w:pPr>
        <w:spacing w:before="120" w:after="120"/>
      </w:pPr>
      <w:r>
        <w:rPr>
          <w:sz w:val="18"/>
        </w:rPr>
        <w:t>——————————————————————————————————————————————————————————————————————</w:t>
      </w:r>
    </w:p>
    <w:p>
      <w:pPr>
        <w:spacing w:before="160" w:after="40" w:line="240" w:lineRule="auto"/>
      </w:pPr>
      <w:r>
        <w:rPr>
          <w:b/>
        </w:rPr>
        <w:t xml:space="preserve">[600] </w:t>
      </w:r>
      <w:hyperlink r:id="rId979">
        <w:r>
          <w:rPr>
            <w:color w:val="1155CC"/>
            <w:u w:val="single"/>
          </w:rPr>
          <w:t>[ASAP] 甲烷通过可排出铜-硝基苯中间体进行催化性干扰</w:t>
        </w:r>
      </w:hyperlink>
    </w:p>
    <w:p>
      <w:pPr>
        <w:spacing w:before="0" w:after="80"/>
      </w:pPr>
      <w:r>
        <w:rPr>
          <w:i/>
          <w:sz w:val="20"/>
        </w:rPr>
        <w:t>EN: [ASAP] Methane Catalytic Amidation via a Plausible Copper-Nitrene Intermediate</w:t>
      </w:r>
    </w:p>
    <w:p>
      <w:pPr>
        <w:spacing w:before="0" w:after="120"/>
      </w:pPr>
      <w:r>
        <w:rPr>
          <w:b/>
        </w:rPr>
        <w:t xml:space="preserve">Source: </w:t>
      </w:r>
      <w:r>
        <w:t>Journal of the American Chemical Society: Latest Articles (ACS Publications)</w:t>
      </w:r>
      <w:r>
        <w:t xml:space="preserve">    </w:t>
      </w:r>
      <w:r>
        <w:rPr>
          <w:b/>
        </w:rPr>
        <w:t xml:space="preserve">Pub date: </w:t>
      </w:r>
      <w:r>
        <w:t>2026-02-19 12:10:22+00:00</w:t>
      </w:r>
      <w:r>
        <w:t xml:space="preserve">    </w:t>
      </w:r>
      <w:r>
        <w:rPr>
          <w:b/>
        </w:rPr>
        <w:t xml:space="preserve">DOI: </w:t>
      </w:r>
      <w:hyperlink r:id="rId980">
        <w:r>
          <w:rPr>
            <w:color w:val="1155CC"/>
            <w:u w:val="single"/>
          </w:rPr>
          <w:t>10.1021/jacs.5c22747</w:t>
        </w:r>
      </w:hyperlink>
    </w:p>
    <w:p>
      <w:pPr>
        <w:spacing w:before="0" w:after="120"/>
      </w:pPr>
      <w:r>
        <w:rPr>
          <w:b/>
        </w:rPr>
        <w:t xml:space="preserve">Notes: </w:t>
      </w:r>
      <w:r>
        <w:t>abstract_source=pubmed</w:t>
      </w:r>
    </w:p>
    <w:p>
      <w:pPr>
        <w:spacing w:before="0" w:after="80" w:lineRule="auto" w:line="276"/>
      </w:pPr>
      <w:r>
        <w:rPr>
          <w:b/>
        </w:rPr>
        <w:t xml:space="preserve">摘要（ZH）: </w:t>
      </w:r>
      <w:r>
        <w:t>据报告,在少数情况下,CH4被催化转化成CH3X化合物,通常涉及氢原子丢失的脱氢过程。为了扩大这一有限的变异,我们通过金属催化的硝基内酯转移反应,调查了甲烷通过金属催化性内分泌反应的干扰反应,这一转化迄今仍未报告,对于最轻的碳氢化合物而言,这一转化至今仍未报告。这里我们描述了使用铜基催化剂,通过金属媒介化的正式硝基内酯插入C-H联系,对甲烷进行直接的、非脱氢的干扰反应,这一反应也延伸到了气态烷系列。 机械学研究,得到DFT计算的支持,一种微生物模型,以及实验性证据,导致提出了一种金属溶性内膜。</w:t>
      </w:r>
    </w:p>
    <w:p>
      <w:pPr>
        <w:spacing w:before="0" w:after="200" w:lineRule="auto" w:line="276"/>
      </w:pPr>
      <w:r>
        <w:rPr>
          <w:b/>
        </w:rPr>
        <w:t xml:space="preserve">Abstract (EN): </w:t>
      </w:r>
      <w:r>
        <w:t>The catalytic conversion of CH4 into CH3X compounds has been reported in a few cases, usually involving dehydrogenative processes in which the H atom is lost. Aiming at expanding this limited set of transformations, we have investigated the methane amidation reaction through metal-catalyzed nitrene transfer reactions, a transformation that remains unreported to date for the lightest hydrocarbon. Herein, we describe the use of copper-based catalysts for the direct, nondehydrogenative amidation reaction of methane via a metal-mediated formal nitrene insertion into the C-H bond, a reaction that is also extended to the series of gaseous alkanes. Mechanistic studies, supported by DFT calculations, a microkinetic model, and experimental evidence have led to the proposal of a metallonitrene intermediate responsible for this C-H amidation process via sequential hydrogen abstraction and rebound steps.</w:t>
      </w:r>
    </w:p>
    <w:p>
      <w:pPr>
        <w:spacing w:before="120" w:after="120"/>
      </w:pPr>
      <w:r>
        <w:rPr>
          <w:sz w:val="18"/>
        </w:rPr>
        <w:t>——————————————————————————————————————————————————————————————————————</w:t>
      </w:r>
    </w:p>
    <w:p>
      <w:pPr>
        <w:spacing w:before="160" w:after="40" w:line="240" w:lineRule="auto"/>
      </w:pPr>
      <w:r>
        <w:rPr>
          <w:b/>
        </w:rPr>
        <w:t xml:space="preserve">[601] </w:t>
      </w:r>
      <w:hyperlink r:id="rId981">
        <w:r>
          <w:rPr>
            <w:color w:val="1155CC"/>
            <w:u w:val="single"/>
          </w:rPr>
          <w:t>[ASAP] 深度溶解同位素同位素分解,作为锂-碘电池间相位演变和退化的诊断</w:t>
        </w:r>
      </w:hyperlink>
    </w:p>
    <w:p>
      <w:pPr>
        <w:spacing w:before="0" w:after="80"/>
      </w:pPr>
      <w:r>
        <w:rPr>
          <w:i/>
          <w:sz w:val="20"/>
        </w:rPr>
        <w:t>EN: [ASAP] Depth-Resolved Lithium Isotope Fractionation as a Diagnostic of Interphase Evolution and Degradation in Lithium-Ion Batteries</w:t>
      </w:r>
    </w:p>
    <w:p>
      <w:pPr>
        <w:spacing w:before="0" w:after="120"/>
      </w:pPr>
      <w:r>
        <w:rPr>
          <w:b/>
        </w:rPr>
        <w:t xml:space="preserve">Source: </w:t>
      </w:r>
      <w:r>
        <w:t>ACS Energy Letters: Latest Articles (ACS Publications)</w:t>
      </w:r>
      <w:r>
        <w:t xml:space="preserve">    </w:t>
      </w:r>
      <w:r>
        <w:rPr>
          <w:b/>
        </w:rPr>
        <w:t xml:space="preserve">Pub date: </w:t>
      </w:r>
      <w:r>
        <w:t>2026-02-19 12:11:37+00:00</w:t>
      </w:r>
      <w:r>
        <w:t xml:space="preserve">    </w:t>
      </w:r>
      <w:r>
        <w:rPr>
          <w:b/>
        </w:rPr>
        <w:t xml:space="preserve">DOI: </w:t>
      </w:r>
      <w:hyperlink r:id="rId982">
        <w:r>
          <w:rPr>
            <w:color w:val="1155CC"/>
            <w:u w:val="single"/>
          </w:rPr>
          <w:t>10.1021/acsenergylett.5c04137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[602] </w:t>
      </w:r>
      <w:hyperlink r:id="rId983">
        <w:r>
          <w:rPr>
            <w:color w:val="1155CC"/>
            <w:u w:val="single"/>
          </w:rPr>
          <w:t>[ASAP] ApoE-Lipid Nanop 粒子结构变化</w:t>
        </w:r>
      </w:hyperlink>
    </w:p>
    <w:p>
      <w:pPr>
        <w:spacing w:before="0" w:after="80"/>
      </w:pPr>
      <w:r>
        <w:rPr>
          <w:i/>
          <w:sz w:val="20"/>
        </w:rPr>
        <w:t>EN: [ASAP] Structural Change of ApoE–Lipid Nanoparticles Alters Receptor-Mediated Endocytosis and Induces Endosomal Disruption</w:t>
      </w:r>
    </w:p>
    <w:p>
      <w:pPr>
        <w:spacing w:before="0" w:after="120"/>
      </w:pPr>
      <w:r>
        <w:rPr>
          <w:b/>
        </w:rPr>
        <w:t xml:space="preserve">Source: </w:t>
      </w:r>
      <w:r>
        <w:t>Journal of the American Chemical Society: Latest Articles (ACS Publications)</w:t>
      </w:r>
      <w:r>
        <w:t xml:space="preserve">    </w:t>
      </w:r>
      <w:r>
        <w:rPr>
          <w:b/>
        </w:rPr>
        <w:t xml:space="preserve">Pub date: </w:t>
      </w:r>
      <w:r>
        <w:t>2026-02-19 12:45:13+00:00</w:t>
      </w:r>
      <w:r>
        <w:t xml:space="preserve">    </w:t>
      </w:r>
      <w:r>
        <w:rPr>
          <w:b/>
        </w:rPr>
        <w:t xml:space="preserve">DOI: </w:t>
      </w:r>
      <w:hyperlink r:id="rId984">
        <w:r>
          <w:rPr>
            <w:color w:val="1155CC"/>
            <w:u w:val="single"/>
          </w:rPr>
          <w:t>10.1021/jacs.5c16025</w:t>
        </w:r>
      </w:hyperlink>
    </w:p>
    <w:p>
      <w:pPr>
        <w:spacing w:before="0" w:after="120"/>
      </w:pPr>
      <w:r>
        <w:rPr>
          <w:b/>
        </w:rPr>
        <w:t xml:space="preserve">Notes: </w:t>
      </w:r>
      <w:r>
        <w:t>abstract_source=pubmed</w:t>
      </w:r>
    </w:p>
    <w:p>
      <w:pPr>
        <w:spacing w:before="0" w:after="80" w:lineRule="auto" w:line="276"/>
      </w:pPr>
      <w:r>
        <w:rPr>
          <w:b/>
        </w:rPr>
        <w:t xml:space="preserve">摘要（ZH）: </w:t>
      </w:r>
      <w:r>
        <w:t>Apolipoprotein E(ApoE)是脂质新陈代谢的关键调节器,它与脂肪纳米粒子表面(LNP)结合,对细胞相互作用进行调解。然而,ApoE-LNP行为高度依赖LNP构成,其基本机制仍然不清楚。在这里,我们表明,LNP表面脂的微妙变化深刻地改变了ApoE-LNP结构和细胞内部贩运。我们使用低温电子显微镜和活细胞成像,我们证明,用Porphin-lipid同源物取代10毫升% 1,2-deteroyl-sn-glycero-3-phosphophocholine(DSPPC ) 以激素-lipgate 诱发高脸部,不规则LNPPM膜形态在ApoE捆绑上。这些结构转型改变了受体的受体,加强了内受体受体受体受体受体受体受体受体受体受体受体受体受体受体受体受体受体受体受体受体受体受体</w:t>
      </w:r>
    </w:p>
    <w:p>
      <w:pPr>
        <w:spacing w:before="0" w:after="200" w:lineRule="auto" w:line="276"/>
      </w:pPr>
      <w:r>
        <w:rPr>
          <w:b/>
        </w:rPr>
        <w:t xml:space="preserve">Abstract (EN): </w:t>
      </w:r>
      <w:r>
        <w:t>Apolipoprotein E (ApoE) is a key regulator of lipid metabolism that binds to lipid nanoparticle (LNP) surfaces to mediate cellular interactions. However, the ApoE-LNP behavior is highly dependent on the LNP composition, and the underlying mechanisms remain unclear. Here, we show that subtle alterations in LNP surface lipids profoundly reshape the ApoE-LNP structure and intracellular trafficking. Using cryogenic electron microscopy and live-cell imaging, we demonstrate that replacing 10 mol % 1,2-distearoyl-sn-glycero-3-phosphocholine (DSPC) with a porphyrin-lipid conjugate induces highly faceted, irregular LNP membrane morphologies upon ApoE binding. These structural transitions alter receptor-mediated uptake, enhance endosomal disruption, promote cytosolic siRNA release, and ultimately trigger cell apoptosis. Through fluorescence lifetime imaging, we also demonstrate that ApoE promotes LNP intracellular disassembly. Overall, our findings identify lipid-driven structural remodeling of ApoE-LNPs as a critical determinant of their intracellular fate, offering mechanistic insights for the rational design of LNPs and new perspectives on ApoE's role in disease pathogenesis.</w:t>
      </w:r>
    </w:p>
    <w:p>
      <w:pPr>
        <w:spacing w:before="120" w:after="120"/>
      </w:pPr>
      <w:r>
        <w:rPr>
          <w:sz w:val="18"/>
        </w:rPr>
        <w:t>——————————————————————————————————————————————————————————————————————</w:t>
      </w:r>
    </w:p>
    <w:p>
      <w:pPr>
        <w:spacing w:before="160" w:after="40" w:line="240" w:lineRule="auto"/>
      </w:pPr>
      <w:r>
        <w:rPr>
          <w:b/>
        </w:rPr>
        <w:t xml:space="preserve">[603] </w:t>
      </w:r>
      <w:hyperlink r:id="rId985">
        <w:r>
          <w:rPr>
            <w:color w:val="1155CC"/>
            <w:u w:val="single"/>
          </w:rPr>
          <w:t>[ASAP]针对一个反应中间中间体的固定灵活性,以加强一个GABA 氨转移酶不活动器的选择性</w:t>
        </w:r>
      </w:hyperlink>
    </w:p>
    <w:p>
      <w:pPr>
        <w:spacing w:before="0" w:after="80"/>
      </w:pPr>
      <w:r>
        <w:rPr>
          <w:i/>
          <w:sz w:val="20"/>
        </w:rPr>
        <w:t>EN: [ASAP] Targeting Conformational Flexibility of a Reactive Intermediate to Enhance Selectivity of a GABA Aminotransferase Inactivator</w:t>
      </w:r>
    </w:p>
    <w:p>
      <w:pPr>
        <w:spacing w:before="0" w:after="120"/>
      </w:pPr>
      <w:r>
        <w:rPr>
          <w:b/>
        </w:rPr>
        <w:t xml:space="preserve">Source: </w:t>
      </w:r>
      <w:r>
        <w:t>Journal of the American Chemical Society: Latest Articles (ACS Publications)</w:t>
      </w:r>
      <w:r>
        <w:t xml:space="preserve">    </w:t>
      </w:r>
      <w:r>
        <w:rPr>
          <w:b/>
        </w:rPr>
        <w:t xml:space="preserve">Pub date: </w:t>
      </w:r>
      <w:r>
        <w:t>2026-02-19 12:51:22+00:00</w:t>
      </w:r>
      <w:r>
        <w:t xml:space="preserve">    </w:t>
      </w:r>
      <w:r>
        <w:rPr>
          <w:b/>
        </w:rPr>
        <w:t xml:space="preserve">DOI: </w:t>
      </w:r>
      <w:hyperlink r:id="rId986">
        <w:r>
          <w:rPr>
            <w:color w:val="1155CC"/>
            <w:u w:val="single"/>
          </w:rPr>
          <w:t>10.1021/jacs.5c21138</w:t>
        </w:r>
      </w:hyperlink>
    </w:p>
    <w:p>
      <w:pPr>
        <w:spacing w:before="0" w:after="120"/>
      </w:pPr>
      <w:r>
        <w:rPr>
          <w:b/>
        </w:rPr>
        <w:t xml:space="preserve">Notes: </w:t>
      </w:r>
      <w:r>
        <w:t>abstract_source=pubmed</w:t>
      </w:r>
    </w:p>
    <w:p>
      <w:pPr>
        <w:spacing w:before="0" w:after="80" w:lineRule="auto" w:line="276"/>
      </w:pPr>
      <w:r>
        <w:rPr>
          <w:b/>
        </w:rPr>
        <w:t xml:space="preserve">摘要（ZH）: </w:t>
      </w:r>
      <w:r>
        <w:t>目前,基于机制的活性器(MBI)是针对γ-氨基丁酸氨基转移酶(GABA-AT)的唯一现有治疗选择,然而,针对同质酶的离目标活动是临床使用MBI的一项公认挑战。例如,GABAAT的一家MBI公司(CPP-115)完成了第一阶段临床试验,同时也是无活性或亚硝基氨基转移酶(OAT)。我们在这里通过综合生物化学实验、X射线晶学和计算模拟,对CPP-115的OAT特定活性机制进行了全面调查。与GABAAT公司(CPP-115)不同的是,在GABAAT公司(CPP-115)只形成一种非相形紧凑的粘合剂,与人类OAT公司(HOAT)一起观测了共价吸收物。值得注意的是,在dif的CPP-115经处理的HOAT公司(HAT)的晶体结构。</w:t>
      </w:r>
    </w:p>
    <w:p>
      <w:pPr>
        <w:spacing w:before="0" w:after="200" w:lineRule="auto" w:line="276"/>
      </w:pPr>
      <w:r>
        <w:rPr>
          <w:b/>
        </w:rPr>
        <w:t xml:space="preserve">Abstract (EN): </w:t>
      </w:r>
      <w:r>
        <w:t>Currently, mechanism-based inactivators (MBIs) are the only available therapeutic option to target γ-aminobutyric acid aminotransferase (GABA-AT). However, off-target activity against homologous enzymes is a well-recognized challenge for the clinical use of MBIs. For example, CPP-115, an MBI of GABA-AT that completed a Phase I clinical trial, also inactivates ornithine aminotransferase (OAT). Here, we present a comprehensive investigation of an OAT-specific inactivation mechanism for CPP-115 by integrating biochemical experiments, X-ray crystallography, and computational simulations. Unlike in GABA-AT, where CPP-115 forms a noncovalent tight-binding adduct only, a covalent adduct was additionally observed with human OAT (hOAT). Notably, the crystal structures of CPP-115-treated hOAT at different mechanistic stages indicate that the conformational transition of a key intermediate is a prerequisite for the covalent addition pathway. Based on this finding, to selectively reduce the off-target activity, a proof-of-concept molecule that regulates the intermediate conformational flexibility was designed and synthesized. The resulting inactivator achieved greatly enhanced GABA-AT selectivity over OAT and demonstrated therapeutic efficacy in an inflammatory pain animal model. Our strategy in this study, targeting dynamics of a reactive intermediate based on a precise mechanistic understanding, serves as a general design principle for fine-tuning the selectivity of MBIs, particularly for other aminotransferases.</w:t>
      </w:r>
    </w:p>
    <w:p>
      <w:pPr>
        <w:spacing w:before="120" w:after="120"/>
      </w:pPr>
      <w:r>
        <w:rPr>
          <w:sz w:val="18"/>
        </w:rPr>
        <w:t>——————————————————————————————————————————————————————————————————————</w:t>
      </w:r>
    </w:p>
    <w:p>
      <w:pPr>
        <w:spacing w:before="160" w:after="40" w:line="240" w:lineRule="auto"/>
      </w:pPr>
      <w:r>
        <w:rPr>
          <w:b/>
        </w:rPr>
        <w:t xml:space="preserve">[604] </w:t>
      </w:r>
      <w:hyperlink r:id="rId987">
        <w:r>
          <w:rPr>
            <w:color w:val="1155CC"/>
            <w:u w:val="single"/>
          </w:rPr>
          <w:t>[ASAP]通过奥勒芬元体合成的长红顺序碳氢碳框架</w:t>
        </w:r>
      </w:hyperlink>
    </w:p>
    <w:p>
      <w:pPr>
        <w:spacing w:before="0" w:after="80"/>
      </w:pPr>
      <w:r>
        <w:rPr>
          <w:i/>
          <w:sz w:val="20"/>
        </w:rPr>
        <w:t>EN: [ASAP] Hydrocarbon Frameworks with Long-Range Order Synthesized via Olefin Metathesis</w:t>
      </w:r>
    </w:p>
    <w:p>
      <w:pPr>
        <w:spacing w:before="0" w:after="120"/>
      </w:pPr>
      <w:r>
        <w:rPr>
          <w:b/>
        </w:rPr>
        <w:t xml:space="preserve">Source: </w:t>
      </w:r>
      <w:r>
        <w:t>Journal of the American Chemical Society: Latest Articles (ACS Publications)</w:t>
      </w:r>
      <w:r>
        <w:t xml:space="preserve">    </w:t>
      </w:r>
      <w:r>
        <w:rPr>
          <w:b/>
        </w:rPr>
        <w:t xml:space="preserve">Pub date: </w:t>
      </w:r>
      <w:r>
        <w:t>2026-02-19 13:00:15+00:00</w:t>
      </w:r>
      <w:r>
        <w:t xml:space="preserve">    </w:t>
      </w:r>
      <w:r>
        <w:rPr>
          <w:b/>
        </w:rPr>
        <w:t xml:space="preserve">DOI: </w:t>
      </w:r>
      <w:hyperlink r:id="rId988">
        <w:r>
          <w:rPr>
            <w:color w:val="1155CC"/>
            <w:u w:val="single"/>
          </w:rPr>
          <w:t>10.1021/jacs.5c22787</w:t>
        </w:r>
      </w:hyperlink>
    </w:p>
    <w:p>
      <w:pPr>
        <w:spacing w:before="0" w:after="120"/>
      </w:pPr>
      <w:r>
        <w:rPr>
          <w:b/>
        </w:rPr>
        <w:t xml:space="preserve">Notes: </w:t>
      </w:r>
      <w:r>
        <w:t>abstract_source=pubmed</w:t>
      </w:r>
    </w:p>
    <w:p>
      <w:pPr>
        <w:spacing w:before="0" w:after="80" w:lineRule="auto" w:line="276"/>
      </w:pPr>
      <w:r>
        <w:rPr>
          <w:b/>
        </w:rPr>
        <w:t xml:space="preserve">摘要（ZH）: </w:t>
      </w:r>
      <w:r>
        <w:t>将长距离序列引入碳氢化合物共价有机框架(COFs)仍是一项根本挑战,因为碳-碳联结形成反应通常是不可逆转的,缺乏有效的错误纠正机制。 在这里,我们展示了一种分子方法来增强碳氢化合物框架的晶体性。 完全的碳氢化合物二维(2D)COF(HKU-50)是通过可逆的光素元体元体合成的。 使用第二代Grubbs催化剂将含有乙烯的单体聚合物聚合在一起,最初产生了一个不固定的网络。 添加了转盘轮胎后,二级元体被激活,再产生原被困在生长的聚合物中的催化剂。 这有利于在框架形成过程中持续交换和纠正债券错误。</w:t>
      </w:r>
    </w:p>
    <w:p>
      <w:pPr>
        <w:spacing w:before="0" w:after="200" w:lineRule="auto" w:line="276"/>
      </w:pPr>
      <w:r>
        <w:rPr>
          <w:b/>
        </w:rPr>
        <w:t xml:space="preserve">Abstract (EN): </w:t>
      </w:r>
      <w:r>
        <w:t>Introducing long-range order into hydrocarbon covalent organic frameworks (COFs) remains a fundamental challenge because carbon-carbon bond-forming reactions are typically irreversible and lack effective error-correction mechanisms. Here, we demonstrate a molecular approach to enhance the crystallinity of a hydrocarbon framework. A fully hydrocarbon two-dimensional (2D) COF, HKU-50, was synthesized via reversible olefin metathesis. Polymerization of a vinylene-bearing monomer using the second-generation Grubbs catalyst initially yielded an amorphous network. Upon addition of trans-stilbene, secondary metathesis is activated, regenerating catalysts that are otherwise trapped within the growing polymer. This enables continuous bond exchange and error correction during framework formation. As a result, the system evolves toward its thermodynamically favored product, HKU-50, with long-range order. The resulting COF exhibits high thermal and chemical stability, along with enhanced photophysical properties, including red-shifted emission, prolonged fluorescence lifetime, and a 4-fold increase in photoluminescence quantum yield relative to its amorphous analogue due to its extended order. These findings demonstrate a molecular approach that actively controls the crystallinity of hydrocarbon frameworks without the use of supports or interfaces that induce partial ordering of the building units.</w:t>
      </w:r>
    </w:p>
    <w:p>
      <w:pPr>
        <w:spacing w:before="120" w:after="120"/>
      </w:pPr>
      <w:r>
        <w:rPr>
          <w:sz w:val="18"/>
        </w:rPr>
        <w:t>——————————————————————————————————————————————————————————————————————</w:t>
      </w:r>
    </w:p>
    <w:p>
      <w:pPr>
        <w:spacing w:before="160" w:after="40" w:line="240" w:lineRule="auto"/>
      </w:pPr>
      <w:r>
        <w:rPr>
          <w:b/>
        </w:rPr>
        <w:t xml:space="preserve">[605] </w:t>
      </w:r>
      <w:hyperlink r:id="rId989">
        <w:r>
          <w:rPr>
            <w:color w:val="1155CC"/>
            <w:u w:val="single"/>
          </w:rPr>
          <w:t>[ASAP] 照片诱发的Lanthanum Oxydrydide支持的金属纳米颗粒催化剂上的氨合成合成</w:t>
        </w:r>
      </w:hyperlink>
    </w:p>
    <w:p>
      <w:pPr>
        <w:spacing w:before="0" w:after="80"/>
      </w:pPr>
      <w:r>
        <w:rPr>
          <w:i/>
          <w:sz w:val="20"/>
        </w:rPr>
        <w:t>EN: [ASAP] Photoinduced Ammonia Synthesis over Lanthanum Oxyhydride-Supported Metal Nanoparticle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2026-02-19 13:06:10+00:00</w:t>
      </w:r>
      <w:r>
        <w:t xml:space="preserve">    </w:t>
      </w:r>
      <w:r>
        <w:rPr>
          <w:b/>
        </w:rPr>
        <w:t xml:space="preserve">DOI: </w:t>
      </w:r>
      <w:hyperlink r:id="rId990">
        <w:r>
          <w:rPr>
            <w:color w:val="1155CC"/>
            <w:u w:val="single"/>
          </w:rPr>
          <w:t>10.1021/jacs.5c19134</w:t>
        </w:r>
      </w:hyperlink>
    </w:p>
    <w:p>
      <w:pPr>
        <w:spacing w:before="0" w:after="120"/>
      </w:pPr>
      <w:r>
        <w:rPr>
          <w:b/>
        </w:rPr>
        <w:t xml:space="preserve">Notes: </w:t>
      </w:r>
      <w:r>
        <w:t>abstract_source=pubmed</w:t>
      </w:r>
    </w:p>
    <w:p>
      <w:pPr>
        <w:spacing w:before="0" w:after="80" w:lineRule="auto" w:line="276"/>
      </w:pPr>
      <w:r>
        <w:rPr>
          <w:b/>
        </w:rPr>
        <w:t xml:space="preserve">摘要（ZH）: </w:t>
      </w:r>
      <w:r>
        <w:t>由于高压H-离子的独特特性,H-离子(LaH3-2xxOx)具有很强的促进氨合成能力,可以促进氨合成,在辅助金属(TM)纳米粒子上推广氨合成。我们在此报告,在可见光辐照下,LaH3-2xOx(LaH3-2xxx)有利于在辅助的TM催化剂上进行氨合成。Rum装入的LAH3-2xOx(LAH3-2xxx)在180°C时展示了更高数量级的氨合成率,在可见光辐照下(=405纳米,1.04 Wcm-2)的活性能量比在黑暗条件下低,其增强的催化性作用可以用H-(H-H0+e)光化来解释,该光源电被转移到支持鲁和中性氢(H0) faciliat。</w:t>
      </w:r>
    </w:p>
    <w:p>
      <w:pPr>
        <w:spacing w:before="0" w:after="200" w:lineRule="auto" w:line="276"/>
      </w:pPr>
      <w:r>
        <w:rPr>
          <w:b/>
        </w:rPr>
        <w:t xml:space="preserve">Abstract (EN): </w:t>
      </w:r>
      <w:r>
        <w:t>Hydride materials have a significant ability to promote ammonia synthesis over supported transition metal (TM) nanoparticles due to the unique properties of lattice H- ions. Here, we report that lanthanum oxyhydride (LaH3-2xOx) facilitates ammonia synthesis on the supported TM catalyst under visible light irradiation. Ru-loaded LaH3-2xOx exhibited an order of magnitude higher ammonia synthesis rate at 180 °C with an ∼18 kJ mol-1 lower activation energy under visible light irradiation (λ = 405 nm, 1.04 W cm-2) than that under dark conditions. The enhanced catalytic performance can be explained by photoionization of H- (H- → H0 + e-) constituting the valence band maximum (VBM) of LaH3-2xOx, in which photogenerated electrons are transferred to supported Ru, and neutral hydrogen (H0) facilitates the hydrogenation of nitrogen species. Moreover, the photoexcitation of LaH3-2xOx enables shifting of the optimum TM catalyst from Ru to Ni in the volcano-shaped relationship between ammonia synthesis activity and metal-nitrogen binding energy.</w:t>
      </w:r>
    </w:p>
    <w:p>
      <w:pPr>
        <w:spacing w:before="120" w:after="120"/>
      </w:pPr>
      <w:r>
        <w:rPr>
          <w:sz w:val="18"/>
        </w:rPr>
        <w:t>——————————————————————————————————————————————————————————————————————</w:t>
      </w:r>
    </w:p>
    <w:p>
      <w:pPr>
        <w:spacing w:before="160" w:after="40" w:line="240" w:lineRule="auto"/>
      </w:pPr>
      <w:r>
        <w:rPr>
          <w:b/>
        </w:rPr>
        <w:t xml:space="preserve">[606] </w:t>
      </w:r>
      <w:hyperlink r:id="rId991">
        <w:r>
          <w:rPr>
            <w:color w:val="1155CC"/>
            <w:u w:val="single"/>
          </w:rPr>
          <w:t>[ASAP] 生物液体中电子化学组变化的代谢动态分析</w:t>
        </w:r>
      </w:hyperlink>
    </w:p>
    <w:p>
      <w:pPr>
        <w:spacing w:before="0" w:after="80"/>
      </w:pPr>
      <w:r>
        <w:rPr>
          <w:i/>
          <w:sz w:val="20"/>
        </w:rPr>
        <w:t>EN: [ASAP] Electrochemomics Profiling Metabolic Dynamics in Biofluids</w:t>
      </w:r>
    </w:p>
    <w:p>
      <w:pPr>
        <w:spacing w:before="0" w:after="120"/>
      </w:pPr>
      <w:r>
        <w:rPr>
          <w:b/>
        </w:rPr>
        <w:t xml:space="preserve">Source: </w:t>
      </w:r>
      <w:r>
        <w:t>Journal of the American Chemical Society: Latest Articles (ACS Publications)</w:t>
      </w:r>
      <w:r>
        <w:t xml:space="preserve">    </w:t>
      </w:r>
      <w:r>
        <w:rPr>
          <w:b/>
        </w:rPr>
        <w:t xml:space="preserve">Pub date: </w:t>
      </w:r>
      <w:r>
        <w:t>2026-02-19 13:43:09+00:00</w:t>
      </w:r>
      <w:r>
        <w:t xml:space="preserve">    </w:t>
      </w:r>
      <w:r>
        <w:rPr>
          <w:b/>
        </w:rPr>
        <w:t xml:space="preserve">DOI: </w:t>
      </w:r>
      <w:hyperlink r:id="rId992">
        <w:r>
          <w:rPr>
            <w:color w:val="1155CC"/>
            <w:u w:val="single"/>
          </w:rPr>
          <w:t>10.1021/jacs.5c18235</w:t>
        </w:r>
      </w:hyperlink>
    </w:p>
    <w:p>
      <w:pPr>
        <w:spacing w:before="0" w:after="120"/>
      </w:pPr>
      <w:r>
        <w:rPr>
          <w:b/>
        </w:rPr>
        <w:t xml:space="preserve">Notes: </w:t>
      </w:r>
      <w:r>
        <w:t>abstract_source=pubmed</w:t>
      </w:r>
    </w:p>
    <w:p>
      <w:pPr>
        <w:spacing w:before="0" w:after="80" w:lineRule="auto" w:line="276"/>
      </w:pPr>
      <w:r>
        <w:rPr>
          <w:b/>
        </w:rPr>
        <w:t xml:space="preserve">摘要（ZH）: </w:t>
      </w:r>
      <w:r>
        <w:t>常规电化学遥感技术探测了用于疾病诊断的预定分子生物标志,但由于外围生物流的复杂性和波动性,在校准过程中的偏差损害了这些标志,同时,在电极-双硫luid界面的丰富的电化学信息仍有待发现,以获得用于诊断应用的全面新陈代谢签字。在这里,我们提议采用电子化学学(EC-omics)方法,全面描述在疾病爆发期间外围生物流中生物细胞细胞电化学特性的动态。作为概念的证明,我们专门设计了一个便携式电子化学分析平台,在那里,碳纳米管/活性纤维素(CNT/BC)电极的高度灵敏性和低背景噪音。</w:t>
      </w:r>
    </w:p>
    <w:p>
      <w:pPr>
        <w:spacing w:before="0" w:after="200" w:lineRule="auto" w:line="276"/>
      </w:pPr>
      <w:r>
        <w:rPr>
          <w:b/>
        </w:rPr>
        <w:t xml:space="preserve">Abstract (EN): </w:t>
      </w:r>
      <w:r>
        <w:t>Conventional electrochemical sensing techniques detect predefined molecular biomarkers for disease diagnosis, while compromised by the biases in the calibration process due to the complexity and volatility of peripheral biofluids. Meanwhile, abundant electrochemical information at the electrode-biofluid interfaces remains to be discovered to gain comprehensive metabolic signatures for diagnostic applications. Here, we propose an electrochemomics (EC-omics) approach to comprehensively profile the dynamics of electrochemical properties of biomolecules in peripheral biofluids during disease onset. As a proof of concept, we customized a portable electrochemical profiling platform, where the high sensitivity and low background noise of the carbon nanotube/bacterial cellulose (CNT/BC) electrodes enabled a holistic and unbiased capturing of the electrochemical features in biofluids. We applied the EC-omics platform to profile saliva for periodontitis diagnosis. The obtained saliva EC-omics database is compatible with various intelligent algorithms, which could accurately discriminate periodontitis (93%), surpassing the untargeted nuclear magnetic resonance data (89%) and significantly outperforming the periodontitis-related molecular biomarkers (70%) and peak intensity features (57%). Additionally, our study demonstrated the feasibility of EC-omics in human urine and mouse serum analysis, suggesting its potential to expand our understanding of the complex metabolic networks of biofluids and further foster a broader range of novel diagnostic tools across various sensing paradigms for decentralized healthcare.</w:t>
      </w:r>
    </w:p>
    <w:p>
      <w:pPr>
        <w:spacing w:before="120" w:after="120"/>
      </w:pPr>
      <w:r>
        <w:rPr>
          <w:sz w:val="18"/>
        </w:rPr>
        <w:t>——————————————————————————————————————————————————————————————————————</w:t>
      </w:r>
    </w:p>
    <w:p>
      <w:pPr>
        <w:spacing w:before="160" w:after="40" w:line="240" w:lineRule="auto"/>
      </w:pPr>
      <w:r>
        <w:rPr>
          <w:b/>
        </w:rPr>
        <w:t xml:space="preserve">[607] </w:t>
      </w:r>
      <w:hyperlink r:id="rId993">
        <w:r>
          <w:rPr>
            <w:color w:val="1155CC"/>
            <w:u w:val="single"/>
          </w:rPr>
          <w:t>[ASAP]通过边境轨道工程设计活性粒子p-d双原子催化器,用于高效光催化铀生产</w:t>
        </w:r>
      </w:hyperlink>
    </w:p>
    <w:p>
      <w:pPr>
        <w:spacing w:before="0" w:after="80"/>
      </w:pPr>
      <w:r>
        <w:rPr>
          <w:i/>
          <w:sz w:val="20"/>
        </w:rPr>
        <w:t>EN: [ASAP] Designing Versatile p-d Dual-Atom Catalysts via Frontier Orbital Engineering for Efficient Photocatalytic Urea Production</w:t>
      </w:r>
    </w:p>
    <w:p>
      <w:pPr>
        <w:spacing w:before="0" w:after="120"/>
      </w:pPr>
      <w:r>
        <w:rPr>
          <w:b/>
        </w:rPr>
        <w:t xml:space="preserve">Source: </w:t>
      </w:r>
      <w:r>
        <w:t>Journal of the American Chemical Society: Latest Articles (ACS Publications)</w:t>
      </w:r>
      <w:r>
        <w:t xml:space="preserve">    </w:t>
      </w:r>
      <w:r>
        <w:rPr>
          <w:b/>
        </w:rPr>
        <w:t xml:space="preserve">Pub date: </w:t>
      </w:r>
      <w:r>
        <w:t>2026-02-19 13:44:11+00:00</w:t>
      </w:r>
      <w:r>
        <w:t xml:space="preserve">    </w:t>
      </w:r>
      <w:r>
        <w:rPr>
          <w:b/>
        </w:rPr>
        <w:t xml:space="preserve">DOI: </w:t>
      </w:r>
      <w:hyperlink r:id="rId994">
        <w:r>
          <w:rPr>
            <w:color w:val="1155CC"/>
            <w:u w:val="single"/>
          </w:rPr>
          <w:t>10.1021/jacs.5c20307</w:t>
        </w:r>
      </w:hyperlink>
    </w:p>
    <w:p>
      <w:pPr>
        <w:spacing w:before="0" w:after="120"/>
      </w:pPr>
      <w:r>
        <w:rPr>
          <w:b/>
        </w:rPr>
        <w:t xml:space="preserve">Notes: </w:t>
      </w:r>
      <w:r>
        <w:t>abstract_source=pubmed</w:t>
      </w:r>
    </w:p>
    <w:p>
      <w:pPr>
        <w:spacing w:before="0" w:after="80" w:lineRule="auto" w:line="276"/>
      </w:pPr>
      <w:r>
        <w:rPr>
          <w:b/>
        </w:rPr>
        <w:t xml:space="preserve">摘要（ZH）: </w:t>
      </w:r>
      <w:r>
        <w:t>在碳基基质上建立多金属中心是一个很有希望的战略,旨在加强C-N连接,促进高效尿素合成,而基本设计原则,特别是金属-金属和金属基相互作用如何管理反应器激活和反应路径,仍然是无形的。为解决这一差距,我们根据P-d对称双原子计算和机器学习分类的协同结合,开发了一个边际轨道互动制导的C-N混合选择性图。具体地说,高效的NOx减少需要缩小p-块金属HOMO与d@substrate(d-stems被视为与用于简化的子体结合)之间的能量差距(E1 &lt; 3.38 eV)。</w:t>
      </w:r>
    </w:p>
    <w:p>
      <w:pPr>
        <w:spacing w:before="0" w:after="200" w:lineRule="auto" w:line="276"/>
      </w:pPr>
      <w:r>
        <w:rPr>
          <w:b/>
        </w:rPr>
        <w:t xml:space="preserve">Abstract (EN): </w:t>
      </w:r>
      <w:r>
        <w:t>Constructing multimetal centers on carbon-based substrates is a promising strategy to enhance C-N coupling for efficient urea synthesis, while the underlying design principles, particularly how metal-metal and metal-substrate interactions govern reactant activation and reaction pathways, remain intangible. To address this gap, we developed a frontier orbital interaction-guided C-N coupling selectivity map based on the p-d asymmetric dual-atom models (DACs) through the synergistic integration of DFT calculations and machine learning classification. Specifically, efficient NOx reduction was found to require a narrow energy gap (ΔE1 &lt; 3.38 eV) between the HOMO of p-block metals and the LUMO of the d@substrate (where d-block atoms are treated as integrated with substrates for simplification). In contrast, selective urea synthesis necessitates a larger energy gap (ΔE2 &gt; 1.39 eV) between the LUMO of p-block metals and the HOMO of the d@substrate, signifying weaker p-d interactions. Moreover, such an asymmetric dual-atom structure enables a tunable bandgap while simultaneously optimizing the visible-light absorption range. As a result, the AlPd@PCN and GaPt@PCN systems stand out as exceptional candidates, exhibiting fully thermodynamically favorable energy profiles throughout the photocatalytic cycle. These insights not only extend frontier orbital theory to DACs systems but also establish a robust, generalizable framework for designing high-performance dual-atom urea synthesis catalysts.</w:t>
      </w:r>
    </w:p>
    <w:p>
      <w:pPr>
        <w:spacing w:before="120" w:after="120"/>
      </w:pPr>
      <w:r>
        <w:rPr>
          <w:sz w:val="18"/>
        </w:rPr>
        <w:t>——————————————————————————————————————————————————————————————————————</w:t>
      </w:r>
    </w:p>
    <w:p>
      <w:pPr>
        <w:spacing w:before="160" w:after="40" w:line="240" w:lineRule="auto"/>
      </w:pPr>
      <w:r>
        <w:rPr>
          <w:b/>
        </w:rPr>
        <w:t xml:space="preserve">[608] </w:t>
      </w:r>
      <w:hyperlink r:id="rId995">
        <w:r>
          <w:rPr>
            <w:color w:val="1155CC"/>
            <w:u w:val="single"/>
          </w:rPr>
          <w:t>[ASAP]在减少氨的电化学氮化过程中是否忽视了催化杂质?</w:t>
        </w:r>
      </w:hyperlink>
    </w:p>
    <w:p>
      <w:pPr>
        <w:spacing w:before="0" w:after="80"/>
      </w:pPr>
      <w:r>
        <w:rPr>
          <w:i/>
          <w:sz w:val="20"/>
        </w:rPr>
        <w:t>EN: [ASAP] Are Catalyst Impurities Being Overlooked in Electrochemical Nitrogen Reduction to Ammonia?</w:t>
      </w:r>
    </w:p>
    <w:p>
      <w:pPr>
        <w:spacing w:before="0" w:after="120"/>
      </w:pPr>
      <w:r>
        <w:rPr>
          <w:b/>
        </w:rPr>
        <w:t xml:space="preserve">Source: </w:t>
      </w:r>
      <w:r>
        <w:t>ACS Energy Letters: Latest Articles (ACS Publications)</w:t>
      </w:r>
      <w:r>
        <w:t xml:space="preserve">    </w:t>
      </w:r>
      <w:r>
        <w:rPr>
          <w:b/>
        </w:rPr>
        <w:t xml:space="preserve">Pub date: </w:t>
      </w:r>
      <w:r>
        <w:t>2026-02-19 13:44:43+00:00</w:t>
      </w:r>
      <w:r>
        <w:t xml:space="preserve">    </w:t>
      </w:r>
      <w:r>
        <w:rPr>
          <w:b/>
        </w:rPr>
        <w:t xml:space="preserve">DOI: </w:t>
      </w:r>
      <w:hyperlink r:id="rId996">
        <w:r>
          <w:rPr>
            <w:color w:val="1155CC"/>
            <w:u w:val="single"/>
          </w:rPr>
          <w:t>10.1021/acsenergylett.5c03955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[609] </w:t>
      </w:r>
      <w:hyperlink r:id="rId997">
        <w:r>
          <w:rPr>
            <w:color w:val="1155CC"/>
            <w:u w:val="single"/>
          </w:rPr>
          <w:t>[ASAP] 灵活性,由四种甲型甲型甲型乙型乙型乙型乙型乙型乙型乙型乙型乙型乙型乙型乙型乙型乙型乙型乙型乙型乙型乙型乙型乙型乙型乙型乙型乙型乙型乙型乙型乙型乙型乙型乙型乙型丙型乙型丙型丙型丙型丙型丙型丙型丙型丙型丙型丙型丙型丙型丙型丙型丙型丙型丙型丙型丙型丙型</w:t>
        </w:r>
      </w:hyperlink>
    </w:p>
    <w:p>
      <w:pPr>
        <w:spacing w:before="0" w:after="80"/>
      </w:pPr>
      <w:r>
        <w:rPr>
          <w:i/>
          <w:sz w:val="20"/>
        </w:rPr>
        <w:t>EN: [ASAP] Flexibility Induced by Four Heptagons: A Negatively Curved Polycyclic Aromatic Hydrocarbon Cut-Out of Schwarzite P216</w:t>
      </w:r>
    </w:p>
    <w:p>
      <w:pPr>
        <w:spacing w:before="0" w:after="120"/>
      </w:pPr>
      <w:r>
        <w:rPr>
          <w:b/>
        </w:rPr>
        <w:t xml:space="preserve">Source: </w:t>
      </w:r>
      <w:r>
        <w:t>Journal of the American Chemical Society: Latest Articles (ACS Publications)</w:t>
      </w:r>
      <w:r>
        <w:t xml:space="preserve">    </w:t>
      </w:r>
      <w:r>
        <w:rPr>
          <w:b/>
        </w:rPr>
        <w:t xml:space="preserve">Pub date: </w:t>
      </w:r>
      <w:r>
        <w:t>2026-02-19 20:18:58+00:00</w:t>
      </w:r>
      <w:r>
        <w:t xml:space="preserve">    </w:t>
      </w:r>
      <w:r>
        <w:rPr>
          <w:b/>
        </w:rPr>
        <w:t xml:space="preserve">DOI: </w:t>
      </w:r>
      <w:hyperlink r:id="rId998">
        <w:r>
          <w:rPr>
            <w:color w:val="1155CC"/>
            <w:u w:val="single"/>
          </w:rPr>
          <w:t>10.1021/jacs.5c22358</w:t>
        </w:r>
      </w:hyperlink>
    </w:p>
    <w:p>
      <w:pPr>
        <w:spacing w:before="0" w:after="120"/>
      </w:pPr>
      <w:r>
        <w:rPr>
          <w:b/>
        </w:rPr>
        <w:t xml:space="preserve">Notes: </w:t>
      </w:r>
      <w:r>
        <w:t>abstract_source=pubmed</w:t>
      </w:r>
    </w:p>
    <w:p>
      <w:pPr>
        <w:spacing w:before="0" w:after="80" w:lineRule="auto" w:line="276"/>
      </w:pPr>
      <w:r>
        <w:rPr>
          <w:b/>
        </w:rPr>
        <w:t xml:space="preserve">摘要（ZH）: </w:t>
      </w:r>
      <w:r>
        <w:t>迄今为止,在理论上仅从理论上描述的称为schwarzites的 Sp2 碳 Alotropes 家族中,一个称为schwarzites 的 Schwarzites 的 Sp2 碳 Alotropes 家族的一个关键特征是负曲线的表层学,通过将七角形(或八角形)环纳入一个石墨型板状板状板状板状板状(或八角形)环)来引入。我们建造了这一材料的剪切方法,其独特的模式是四个七角形环,由Pd-callyzed [4+3] 和 [5+2] 排列成排成一排,并完整地加以废止和定性。 由依赖温度的NMR 和理论计算所调查的 an- s- s- sy- systemal ystemal yle yle ymplementations 。</w:t>
      </w:r>
    </w:p>
    <w:p>
      <w:pPr>
        <w:spacing w:before="0" w:after="200" w:lineRule="auto" w:line="276"/>
      </w:pPr>
      <w:r>
        <w:rPr>
          <w:b/>
        </w:rPr>
        <w:t xml:space="preserve">Abstract (EN): </w:t>
      </w:r>
      <w:r>
        <w:t>A key feature of the, so far only theoretically described, family of sp2 carbon allotropes called schwarzites is the negatively curved topology, which is introduced by the incorporation of heptagonal (or octagonal) rings in a graphene-type lattice. We have constructed a cut-out of this material with a unique pattern of four heptagonal rings arranged in a row by Pd-catalyzed [4 + 3] and [5 + 2] annulation and characterized it thoroughly. The pronounced flexibility of the π-system, which was investigated by temperature-dependent NMR as well as theoretical calculations, promises to be advantageous for a template-mediated synthesis approach toward the parent schwarzite P216, as it allows maximization of shape complementarity with rigid templates like fullerenes and orientational flexibility for subsequent C-C bond formations. We were able to prove and investigate the presence of supramolecular complexes with C60 and C70 in solution by concentration-dependent NMR titration experiments, as well as in the solid state by single-crystal X-ray and electron diffraction.</w:t>
      </w:r>
    </w:p>
    <w:p>
      <w:pPr>
        <w:spacing w:before="120" w:after="120"/>
      </w:pPr>
      <w:r>
        <w:rPr>
          <w:sz w:val="18"/>
        </w:rPr>
        <w:t>——————————————————————————————————————————————————————————————————————</w:t>
      </w:r>
    </w:p>
    <w:p>
      <w:pPr>
        <w:spacing w:before="160" w:after="40" w:line="240" w:lineRule="auto"/>
      </w:pPr>
      <w:r>
        <w:rPr>
          <w:b/>
        </w:rPr>
        <w:t xml:space="preserve">[610] </w:t>
      </w:r>
      <w:hyperlink r:id="rId999">
        <w:r>
          <w:rPr>
            <w:color w:val="1155CC"/>
            <w:u w:val="single"/>
          </w:rPr>
          <w:t>[ASAP] Diimine-Linked双倍共振有机框架中的双式与单式孔隙建筑</w:t>
        </w:r>
      </w:hyperlink>
    </w:p>
    <w:p>
      <w:pPr>
        <w:spacing w:before="0" w:after="80"/>
      </w:pPr>
      <w:r>
        <w:rPr>
          <w:i/>
          <w:sz w:val="20"/>
        </w:rPr>
        <w:t>EN: [ASAP] Bimodal versus Unimodal Pore Architectures in Diimine-Linked Two-Dimensional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2026-02-19 20:22:34+00:00</w:t>
      </w:r>
      <w:r>
        <w:t xml:space="preserve">    </w:t>
      </w:r>
      <w:r>
        <w:rPr>
          <w:b/>
        </w:rPr>
        <w:t xml:space="preserve">DOI: </w:t>
      </w:r>
      <w:hyperlink r:id="rId1000">
        <w:r>
          <w:rPr>
            <w:color w:val="1155CC"/>
            <w:u w:val="single"/>
          </w:rPr>
          <w:t>10.1021/jacs.5c20834</w:t>
        </w:r>
      </w:hyperlink>
    </w:p>
    <w:p>
      <w:pPr>
        <w:spacing w:before="0" w:after="120"/>
      </w:pPr>
      <w:r>
        <w:rPr>
          <w:b/>
        </w:rPr>
        <w:t xml:space="preserve">Notes: </w:t>
      </w:r>
      <w:r>
        <w:t>abstract_source=pubmed</w:t>
      </w:r>
    </w:p>
    <w:p>
      <w:pPr>
        <w:spacing w:before="0" w:after="80" w:lineRule="auto" w:line="276"/>
      </w:pPr>
      <w:r>
        <w:rPr>
          <w:b/>
        </w:rPr>
        <w:t xml:space="preserve">摘要（ZH）: </w:t>
      </w:r>
      <w:r>
        <w:t>由于难以获得大型单一晶体,通常认为与地雷有关的二维共价有机框架(2DCOF)是结构简单的材料,然而,由于难以获得大型单晶体,通过X射线分解精确的结构确定仍具有挑战性。我们在这里表明,对正硫代代替代物进行单原子变化,足以在原型2DCOF系统中转换孔状建筑和拉蒂对称。 将广泛研究过的TAPB-DMPDA(COF-OMe)与其-SMe类比(COF-SMe)比较,我们建立了COF-OMe双向混合框架和COF-SMe单式框架,其方法是结合先进的成像和分解技术以及精细的采样气/蒸气吸附法,解决完全在COF-OMe的两步毛细管过程。</w:t>
      </w:r>
    </w:p>
    <w:p>
      <w:pPr>
        <w:spacing w:before="0" w:after="200" w:lineRule="auto" w:line="276"/>
      </w:pPr>
      <w:r>
        <w:rPr>
          <w:b/>
        </w:rPr>
        <w:t xml:space="preserve">Abstract (EN): </w:t>
      </w:r>
      <w:r>
        <w:t>Imine-linked two-dimensional covalent organic frameworks (2D COFs) are commonly considered structurally simple materials, yet precise structure determination by X-ray diffraction remains challenging due to the difficulty of obtaining large single crystals. Here, we show that a single-atom change in the aldehyde substituent is sufficient to switch both pore architecture and lattice symmetry in a prototypical 2D COF system. Comparing the widely studied TAPB-DMPDA (COF-OMe) with its -SMe analogue (COF-SMe), we establish a bimodal mesoporous framework for COF-OMe and a unimodal one for COF-SMe through a combination of advanced imaging and diffraction techniques alongside finely sampled gas/vapor physisorption, which resolves two-step capillary processes exclusively in COF-OMe. Electron ptychography reveals previously unrecognized structural features in COF-OMe and enables refinement of its model to propeller-like 1,3,5-tris(4-aminophenyl)benzene nodes with unusually large dihedral angles. Simulated electrostatic potential and X-ray diffraction pattern based on the refined model reproduce the experimental data with high fidelity. COF-SMe undergoes a symmetry reduction from hexagonal to triclinic during kinetic-to-thermodynamic phase evolution, driven by subtle interlayer slippage and intralayer distortion while retaining a single pore type. Together, these results uncover unexpected structural diversity and substituent-governed flexibility in 2D COFs, underscoring the need for state-of-the-art characterization to reassess long-accepted structural models.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1352?dgcid=rss_sd_all" TargetMode="External"/><Relationship Id="rId10" Type="http://schemas.openxmlformats.org/officeDocument/2006/relationships/hyperlink" Target="https://www.sciencedirect.com/science/article/pii/S0301421526000996?dgcid=rss_sd_all" TargetMode="External"/><Relationship Id="rId11" Type="http://schemas.openxmlformats.org/officeDocument/2006/relationships/hyperlink" Target="https://www.sciencedirect.com/science/article/pii/S0306261926001716?dgcid=rss_sd_all" TargetMode="External"/><Relationship Id="rId12" Type="http://schemas.openxmlformats.org/officeDocument/2006/relationships/hyperlink" Target="https://www.sciencedirect.com/science/article/pii/S0306261926001340?dgcid=rss_sd_all" TargetMode="External"/><Relationship Id="rId13" Type="http://schemas.openxmlformats.org/officeDocument/2006/relationships/hyperlink" Target="https://www.sciencedirect.com/science/article/pii/S0306261926001339?dgcid=rss_sd_all" TargetMode="External"/><Relationship Id="rId14" Type="http://schemas.openxmlformats.org/officeDocument/2006/relationships/hyperlink" Target="https://www.sciencedirect.com/science/article/pii/S0301421526000789?dgcid=rss_sd_all" TargetMode="External"/><Relationship Id="rId15" Type="http://schemas.openxmlformats.org/officeDocument/2006/relationships/hyperlink" Target="https://www.sciencedirect.com/science/article/pii/S0306261926001558?dgcid=rss_sd_all" TargetMode="External"/><Relationship Id="rId16" Type="http://schemas.openxmlformats.org/officeDocument/2006/relationships/hyperlink" Target="https://www.sciencedirect.com/science/article/pii/S0301421526000881?dgcid=rss_sd_all" TargetMode="External"/><Relationship Id="rId17" Type="http://schemas.openxmlformats.org/officeDocument/2006/relationships/hyperlink" Target="https://www.sciencedirect.com/science/article/pii/S0301421526001114?dgcid=rss_sd_all" TargetMode="External"/><Relationship Id="rId18" Type="http://schemas.openxmlformats.org/officeDocument/2006/relationships/hyperlink" Target="https://www.sciencedirect.com/science/article/pii/S0306261926001923?dgcid=rss_sd_all" TargetMode="External"/><Relationship Id="rId19" Type="http://schemas.openxmlformats.org/officeDocument/2006/relationships/hyperlink" Target="https://www.sciencedirect.com/science/article/pii/S0306261926001571?dgcid=rss_sd_all" TargetMode="External"/><Relationship Id="rId20" Type="http://schemas.openxmlformats.org/officeDocument/2006/relationships/hyperlink" Target="https://www.sciencedirect.com/science/article/pii/S0301421526000947?dgcid=rss_sd_all" TargetMode="External"/><Relationship Id="rId21" Type="http://schemas.openxmlformats.org/officeDocument/2006/relationships/hyperlink" Target="https://www.sciencedirect.com/science/article/pii/S0306261926001601?dgcid=rss_sd_all" TargetMode="External"/><Relationship Id="rId22" Type="http://schemas.openxmlformats.org/officeDocument/2006/relationships/hyperlink" Target="https://www.sciencedirect.com/science/article/pii/S0306261926001844?dgcid=rss_sd_all" TargetMode="External"/><Relationship Id="rId23" Type="http://schemas.openxmlformats.org/officeDocument/2006/relationships/hyperlink" Target="https://www.sciencedirect.com/science/article/pii/S0306261926001704?dgcid=rss_sd_all" TargetMode="External"/><Relationship Id="rId24" Type="http://schemas.openxmlformats.org/officeDocument/2006/relationships/hyperlink" Target="https://www.sciencedirect.com/science/article/pii/S0306261926001698?dgcid=rss_sd_all" TargetMode="External"/><Relationship Id="rId25" Type="http://schemas.openxmlformats.org/officeDocument/2006/relationships/hyperlink" Target="https://www.sciencedirect.com/science/article/pii/S0306261926001479?dgcid=rss_sd_all" TargetMode="External"/><Relationship Id="rId26" Type="http://schemas.openxmlformats.org/officeDocument/2006/relationships/hyperlink" Target="https://academic.oup.com/nsr/advance-article/doi/10.1093/nsr/nwag112/8483884?rss=1" TargetMode="External"/><Relationship Id="rId27" Type="http://schemas.openxmlformats.org/officeDocument/2006/relationships/hyperlink" Target="https://doi.org/10.1093/nsr/nwag112/8483884" TargetMode="External"/><Relationship Id="rId28" Type="http://schemas.openxmlformats.org/officeDocument/2006/relationships/hyperlink" Target="https://www.sciencedirect.com/science/article/pii/S0306261926001674?dgcid=rss_sd_all" TargetMode="External"/><Relationship Id="rId29" Type="http://schemas.openxmlformats.org/officeDocument/2006/relationships/hyperlink" Target="https://academic.oup.com/nsr/advance-article/doi/10.1093/nsr/nwag111/8483908?rss=1" TargetMode="External"/><Relationship Id="rId30" Type="http://schemas.openxmlformats.org/officeDocument/2006/relationships/hyperlink" Target="https://doi.org/10.1093/nsr/nwag111/8483908" TargetMode="External"/><Relationship Id="rId31" Type="http://schemas.openxmlformats.org/officeDocument/2006/relationships/hyperlink" Target="https://academic.oup.com/nsr/advance-article/doi/10.1093/nsr/nwag099/8483900?rss=1" TargetMode="External"/><Relationship Id="rId32" Type="http://schemas.openxmlformats.org/officeDocument/2006/relationships/hyperlink" Target="https://doi.org/10.1093/nsr/nwag099/8483900" TargetMode="External"/><Relationship Id="rId33" Type="http://schemas.openxmlformats.org/officeDocument/2006/relationships/hyperlink" Target="https://academic.oup.com/nsr/advance-article/doi/10.1093/nsr/nwag106/8483893?rss=1" TargetMode="External"/><Relationship Id="rId34" Type="http://schemas.openxmlformats.org/officeDocument/2006/relationships/hyperlink" Target="https://doi.org/10.1093/nsr/nwag106/8483893" TargetMode="External"/><Relationship Id="rId35" Type="http://schemas.openxmlformats.org/officeDocument/2006/relationships/hyperlink" Target="https://www.nature.com/articles/s41467-026-69614-7" TargetMode="External"/><Relationship Id="rId36" Type="http://schemas.openxmlformats.org/officeDocument/2006/relationships/hyperlink" Target="https://www.nature.com/articles/s41467-026-69527-5" TargetMode="External"/><Relationship Id="rId37" Type="http://schemas.openxmlformats.org/officeDocument/2006/relationships/hyperlink" Target="https://www.nature.com/articles/s41467-026-69470-5" TargetMode="External"/><Relationship Id="rId38" Type="http://schemas.openxmlformats.org/officeDocument/2006/relationships/hyperlink" Target="https://www.sciencedirect.com/science/article/pii/S030626192600200X?dgcid=rss_sd_all" TargetMode="External"/><Relationship Id="rId39" Type="http://schemas.openxmlformats.org/officeDocument/2006/relationships/hyperlink" Target="https://www.nature.com/articles/s41467-026-69447-4" TargetMode="External"/><Relationship Id="rId40" Type="http://schemas.openxmlformats.org/officeDocument/2006/relationships/hyperlink" Target="https://www.sciencedirect.com/science/article/pii/S0306261926001959?dgcid=rss_sd_all" TargetMode="External"/><Relationship Id="rId41" Type="http://schemas.openxmlformats.org/officeDocument/2006/relationships/hyperlink" Target="https://www.sciencedirect.com/science/article/pii/S0306261926001960?dgcid=rss_sd_all" TargetMode="External"/><Relationship Id="rId42" Type="http://schemas.openxmlformats.org/officeDocument/2006/relationships/hyperlink" Target="https://www.nature.com/articles/s41467-026-69430-z" TargetMode="External"/><Relationship Id="rId43" Type="http://schemas.openxmlformats.org/officeDocument/2006/relationships/hyperlink" Target="https://www.nature.com/articles/s41467-026-69188-4" TargetMode="External"/><Relationship Id="rId44" Type="http://schemas.openxmlformats.org/officeDocument/2006/relationships/hyperlink" Target="https://www.nature.com/articles/s41467-026-69169-7" TargetMode="External"/><Relationship Id="rId45" Type="http://schemas.openxmlformats.org/officeDocument/2006/relationships/hyperlink" Target="https://academic.oup.com/nsr/advance-article/doi/10.1093/nsr/nwag107/8483906?rss=1" TargetMode="External"/><Relationship Id="rId46" Type="http://schemas.openxmlformats.org/officeDocument/2006/relationships/hyperlink" Target="https://doi.org/10.1093/nsr/nwag107/8483906" TargetMode="External"/><Relationship Id="rId47" Type="http://schemas.openxmlformats.org/officeDocument/2006/relationships/hyperlink" Target="https://academic.oup.com/nsr/advance-article/doi/10.1093/nsr/nwag108/8483891?rss=1" TargetMode="External"/><Relationship Id="rId48" Type="http://schemas.openxmlformats.org/officeDocument/2006/relationships/hyperlink" Target="https://doi.org/10.1093/nsr/nwag108/8483891" TargetMode="External"/><Relationship Id="rId49" Type="http://schemas.openxmlformats.org/officeDocument/2006/relationships/hyperlink" Target="https://www.nature.com/articles/s41467-026-69402-3" TargetMode="External"/><Relationship Id="rId50" Type="http://schemas.openxmlformats.org/officeDocument/2006/relationships/hyperlink" Target="http://dx.doi.org/10.1021/jacs.5c16971" TargetMode="External"/><Relationship Id="rId51" Type="http://schemas.openxmlformats.org/officeDocument/2006/relationships/hyperlink" Target="https://doi.org/10.1021/jacs.5c16971" TargetMode="External"/><Relationship Id="rId52" Type="http://schemas.openxmlformats.org/officeDocument/2006/relationships/hyperlink" Target="http://dx.doi.org/10.1021/jacs.5c19147" TargetMode="External"/><Relationship Id="rId53" Type="http://schemas.openxmlformats.org/officeDocument/2006/relationships/hyperlink" Target="https://doi.org/10.1021/jacs.5c19147" TargetMode="External"/><Relationship Id="rId54" Type="http://schemas.openxmlformats.org/officeDocument/2006/relationships/hyperlink" Target="http://dx.doi.org/10.1021/jacs.5c20804" TargetMode="External"/><Relationship Id="rId55" Type="http://schemas.openxmlformats.org/officeDocument/2006/relationships/hyperlink" Target="https://doi.org/10.1021/jacs.5c20804" TargetMode="External"/><Relationship Id="rId56" Type="http://schemas.openxmlformats.org/officeDocument/2006/relationships/hyperlink" Target="http://dx.doi.org/10.1021/jacs.5c20153" TargetMode="External"/><Relationship Id="rId57" Type="http://schemas.openxmlformats.org/officeDocument/2006/relationships/hyperlink" Target="https://doi.org/10.1021/jacs.5c20153" TargetMode="External"/><Relationship Id="rId58" Type="http://schemas.openxmlformats.org/officeDocument/2006/relationships/hyperlink" Target="http://dx.doi.org/10.1021/jacs.5c21156" TargetMode="External"/><Relationship Id="rId59" Type="http://schemas.openxmlformats.org/officeDocument/2006/relationships/hyperlink" Target="https://doi.org/10.1021/jacs.5c21156" TargetMode="External"/><Relationship Id="rId60" Type="http://schemas.openxmlformats.org/officeDocument/2006/relationships/hyperlink" Target="http://dx.doi.org/10.1021/jacs.5c21950" TargetMode="External"/><Relationship Id="rId61" Type="http://schemas.openxmlformats.org/officeDocument/2006/relationships/hyperlink" Target="https://doi.org/10.1021/jacs.5c21950" TargetMode="External"/><Relationship Id="rId62" Type="http://schemas.openxmlformats.org/officeDocument/2006/relationships/hyperlink" Target="http://dx.doi.org/10.1021/jacs.5c21008" TargetMode="External"/><Relationship Id="rId63" Type="http://schemas.openxmlformats.org/officeDocument/2006/relationships/hyperlink" Target="https://doi.org/10.1021/jacs.5c21008" TargetMode="External"/><Relationship Id="rId64" Type="http://schemas.openxmlformats.org/officeDocument/2006/relationships/hyperlink" Target="http://dx.doi.org/10.1021/jacs.6c01021" TargetMode="External"/><Relationship Id="rId65" Type="http://schemas.openxmlformats.org/officeDocument/2006/relationships/hyperlink" Target="https://doi.org/10.1021/jacs.6c01021" TargetMode="External"/><Relationship Id="rId66" Type="http://schemas.openxmlformats.org/officeDocument/2006/relationships/hyperlink" Target="http://dx.doi.org/10.1021/acsenergylett.5c04340" TargetMode="External"/><Relationship Id="rId67" Type="http://schemas.openxmlformats.org/officeDocument/2006/relationships/hyperlink" Target="https://doi.org/10.1021/acsenergylett.5c04340" TargetMode="External"/><Relationship Id="rId68" Type="http://schemas.openxmlformats.org/officeDocument/2006/relationships/hyperlink" Target="https://www.sciencedirect.com/science/article/pii/S0306261926001285?dgcid=rss_sd_all" TargetMode="External"/><Relationship Id="rId69" Type="http://schemas.openxmlformats.org/officeDocument/2006/relationships/hyperlink" Target="https://www.sciencedirect.com/science/article/pii/S0306261926001133?dgcid=rss_sd_all" TargetMode="External"/><Relationship Id="rId70" Type="http://schemas.openxmlformats.org/officeDocument/2006/relationships/hyperlink" Target="https://www.sciencedirect.com/science/article/pii/S0306261926001650?dgcid=rss_sd_all" TargetMode="External"/><Relationship Id="rId71" Type="http://schemas.openxmlformats.org/officeDocument/2006/relationships/hyperlink" Target="https://www.sciencedirect.com/science/article/pii/S0306261926001625?dgcid=rss_sd_all" TargetMode="External"/><Relationship Id="rId72" Type="http://schemas.openxmlformats.org/officeDocument/2006/relationships/hyperlink" Target="https://www.sciencedirect.com/science/article/pii/S0306261926001182?dgcid=rss_sd_all" TargetMode="External"/><Relationship Id="rId73" Type="http://schemas.openxmlformats.org/officeDocument/2006/relationships/hyperlink" Target="https://www.sciencedirect.com/science/article/pii/S0306261926001315?dgcid=rss_sd_all" TargetMode="External"/><Relationship Id="rId74" Type="http://schemas.openxmlformats.org/officeDocument/2006/relationships/hyperlink" Target="https://www.sciencedirect.com/science/article/pii/S0306261926001522?dgcid=rss_sd_all" TargetMode="External"/><Relationship Id="rId75" Type="http://schemas.openxmlformats.org/officeDocument/2006/relationships/hyperlink" Target="https://www.sciencedirect.com/science/article/pii/S0306261926001492?dgcid=rss_sd_all" TargetMode="External"/><Relationship Id="rId76" Type="http://schemas.openxmlformats.org/officeDocument/2006/relationships/hyperlink" Target="https://www.sciencedirect.com/science/article/pii/S030626192600139X?dgcid=rss_sd_all" TargetMode="External"/><Relationship Id="rId77" Type="http://schemas.openxmlformats.org/officeDocument/2006/relationships/hyperlink" Target="https://www.sciencedirect.com/science/article/pii/S0306261926000863?dgcid=rss_sd_all" TargetMode="External"/><Relationship Id="rId78" Type="http://schemas.openxmlformats.org/officeDocument/2006/relationships/hyperlink" Target="https://www.sciencedirect.com/science/article/pii/S0306261926000747?dgcid=rss_sd_all" TargetMode="External"/><Relationship Id="rId79" Type="http://schemas.openxmlformats.org/officeDocument/2006/relationships/hyperlink" Target="https://www.sciencedirect.com/science/article/pii/S0306261926001741?dgcid=rss_sd_all" TargetMode="External"/><Relationship Id="rId80" Type="http://schemas.openxmlformats.org/officeDocument/2006/relationships/hyperlink" Target="https://www.sciencedirect.com/science/article/pii/S0306261926002060?dgcid=rss_sd_all" TargetMode="External"/><Relationship Id="rId81" Type="http://schemas.openxmlformats.org/officeDocument/2006/relationships/hyperlink" Target="https://www.sciencedirect.com/science/article/pii/S0306261926001881?dgcid=rss_sd_all" TargetMode="External"/><Relationship Id="rId82" Type="http://schemas.openxmlformats.org/officeDocument/2006/relationships/hyperlink" Target="https://www.nature.com/articles/s41467-026-69712-6" TargetMode="External"/><Relationship Id="rId83" Type="http://schemas.openxmlformats.org/officeDocument/2006/relationships/hyperlink" Target="https://www.sciencedirect.com/science/article/pii/S0306261926001728?dgcid=rss_sd_all" TargetMode="External"/><Relationship Id="rId84" Type="http://schemas.openxmlformats.org/officeDocument/2006/relationships/hyperlink" Target="https://www.sciencedirect.com/science/article/pii/S0306261926001819?dgcid=rss_sd_all" TargetMode="External"/><Relationship Id="rId85" Type="http://schemas.openxmlformats.org/officeDocument/2006/relationships/hyperlink" Target="https://www.sciencedirect.com/science/article/pii/S0301421526000819?dgcid=rss_sd_all" TargetMode="External"/><Relationship Id="rId86" Type="http://schemas.openxmlformats.org/officeDocument/2006/relationships/hyperlink" Target="https://www.sciencedirect.com/science/article/pii/S0301421526001072?dgcid=rss_sd_all" TargetMode="External"/><Relationship Id="rId87" Type="http://schemas.openxmlformats.org/officeDocument/2006/relationships/hyperlink" Target="https://advanced.onlinelibrary.wiley.com/doi/10.1002/adma.202519964?af=R" TargetMode="External"/><Relationship Id="rId88" Type="http://schemas.openxmlformats.org/officeDocument/2006/relationships/hyperlink" Target="https://doi.org/10.1002/adma.202519964" TargetMode="External"/><Relationship Id="rId89" Type="http://schemas.openxmlformats.org/officeDocument/2006/relationships/hyperlink" Target="https://advanced.onlinelibrary.wiley.com/doi/10.1002/adma.202520299?af=R" TargetMode="External"/><Relationship Id="rId90" Type="http://schemas.openxmlformats.org/officeDocument/2006/relationships/hyperlink" Target="https://doi.org/10.1002/adma.202520299" TargetMode="External"/><Relationship Id="rId91" Type="http://schemas.openxmlformats.org/officeDocument/2006/relationships/hyperlink" Target="https://advanced.onlinelibrary.wiley.com/doi/10.1002/adma.202521420?af=R" TargetMode="External"/><Relationship Id="rId92" Type="http://schemas.openxmlformats.org/officeDocument/2006/relationships/hyperlink" Target="https://doi.org/10.1002/adma.202521420" TargetMode="External"/><Relationship Id="rId93" Type="http://schemas.openxmlformats.org/officeDocument/2006/relationships/hyperlink" Target="https://advanced.onlinelibrary.wiley.com/doi/10.1002/aenm.202505208?af=R" TargetMode="External"/><Relationship Id="rId94" Type="http://schemas.openxmlformats.org/officeDocument/2006/relationships/hyperlink" Target="https://doi.org/10.1002/aenm.202505208" TargetMode="External"/><Relationship Id="rId95" Type="http://schemas.openxmlformats.org/officeDocument/2006/relationships/hyperlink" Target="https://advanced.onlinelibrary.wiley.com/doi/10.1002/adma.202522140?af=R" TargetMode="External"/><Relationship Id="rId96" Type="http://schemas.openxmlformats.org/officeDocument/2006/relationships/hyperlink" Target="https://doi.org/10.1002/adma.202522140" TargetMode="External"/><Relationship Id="rId97" Type="http://schemas.openxmlformats.org/officeDocument/2006/relationships/hyperlink" Target="https://advanced.onlinelibrary.wiley.com/doi/10.1002/adma.72546?af=R" TargetMode="External"/><Relationship Id="rId98" Type="http://schemas.openxmlformats.org/officeDocument/2006/relationships/hyperlink" Target="https://doi.org/10.1002/adma.72546" TargetMode="External"/><Relationship Id="rId99" Type="http://schemas.openxmlformats.org/officeDocument/2006/relationships/hyperlink" Target="https://advanced.onlinelibrary.wiley.com/doi/10.1002/adma.72512?af=R" TargetMode="External"/><Relationship Id="rId100" Type="http://schemas.openxmlformats.org/officeDocument/2006/relationships/hyperlink" Target="https://doi.org/10.1002/adma.72512" TargetMode="External"/><Relationship Id="rId101" Type="http://schemas.openxmlformats.org/officeDocument/2006/relationships/hyperlink" Target="https://advanced.onlinelibrary.wiley.com/doi/10.1002/adma.202514881?af=R" TargetMode="External"/><Relationship Id="rId102" Type="http://schemas.openxmlformats.org/officeDocument/2006/relationships/hyperlink" Target="https://doi.org/10.1002/adma.202514881" TargetMode="External"/><Relationship Id="rId103" Type="http://schemas.openxmlformats.org/officeDocument/2006/relationships/hyperlink" Target="https://advanced.onlinelibrary.wiley.com/doi/10.1002/adma.202517922?af=R" TargetMode="External"/><Relationship Id="rId104" Type="http://schemas.openxmlformats.org/officeDocument/2006/relationships/hyperlink" Target="https://doi.org/10.1002/adma.202517922" TargetMode="External"/><Relationship Id="rId105" Type="http://schemas.openxmlformats.org/officeDocument/2006/relationships/hyperlink" Target="https://onlinelibrary.wiley.com/doi/10.1002/anie.202521900?af=R" TargetMode="External"/><Relationship Id="rId106" Type="http://schemas.openxmlformats.org/officeDocument/2006/relationships/hyperlink" Target="https://doi.org/10.1002/anie.202521900" TargetMode="External"/><Relationship Id="rId107" Type="http://schemas.openxmlformats.org/officeDocument/2006/relationships/hyperlink" Target="https://onlinelibrary.wiley.com/doi/10.1002/anie.1737498?af=R" TargetMode="External"/><Relationship Id="rId108" Type="http://schemas.openxmlformats.org/officeDocument/2006/relationships/hyperlink" Target="https://doi.org/10.1002/anie.1737498" TargetMode="External"/><Relationship Id="rId109" Type="http://schemas.openxmlformats.org/officeDocument/2006/relationships/hyperlink" Target="https://advanced.onlinelibrary.wiley.com/doi/10.1002/adma.202519582?af=R" TargetMode="External"/><Relationship Id="rId110" Type="http://schemas.openxmlformats.org/officeDocument/2006/relationships/hyperlink" Target="https://doi.org/10.1002/adma.202519582" TargetMode="External"/><Relationship Id="rId111" Type="http://schemas.openxmlformats.org/officeDocument/2006/relationships/hyperlink" Target="https://onlinelibrary.wiley.com/doi/10.1002/anie.202523944?af=R" TargetMode="External"/><Relationship Id="rId112" Type="http://schemas.openxmlformats.org/officeDocument/2006/relationships/hyperlink" Target="https://doi.org/10.1002/anie.202523944" TargetMode="External"/><Relationship Id="rId113" Type="http://schemas.openxmlformats.org/officeDocument/2006/relationships/hyperlink" Target="https://advanced.onlinelibrary.wiley.com/doi/10.1002/aenm.202506454?af=R" TargetMode="External"/><Relationship Id="rId114" Type="http://schemas.openxmlformats.org/officeDocument/2006/relationships/hyperlink" Target="https://doi.org/10.1002/aenm.202506454" TargetMode="External"/><Relationship Id="rId115" Type="http://schemas.openxmlformats.org/officeDocument/2006/relationships/hyperlink" Target="https://advanced.onlinelibrary.wiley.com/doi/10.1002/aenm.202506640?af=R" TargetMode="External"/><Relationship Id="rId116" Type="http://schemas.openxmlformats.org/officeDocument/2006/relationships/hyperlink" Target="https://doi.org/10.1002/aenm.202506640" TargetMode="External"/><Relationship Id="rId117" Type="http://schemas.openxmlformats.org/officeDocument/2006/relationships/hyperlink" Target="https://advanced.onlinelibrary.wiley.com/doi/10.1002/adma.202522563?af=R" TargetMode="External"/><Relationship Id="rId118" Type="http://schemas.openxmlformats.org/officeDocument/2006/relationships/hyperlink" Target="https://doi.org/10.1002/adma.202522563" TargetMode="External"/><Relationship Id="rId119" Type="http://schemas.openxmlformats.org/officeDocument/2006/relationships/hyperlink" Target="https://advanced.onlinelibrary.wiley.com/doi/10.1002/aenm.70755?af=R" TargetMode="External"/><Relationship Id="rId120" Type="http://schemas.openxmlformats.org/officeDocument/2006/relationships/hyperlink" Target="https://doi.org/10.1002/aenm.70755" TargetMode="External"/><Relationship Id="rId121" Type="http://schemas.openxmlformats.org/officeDocument/2006/relationships/hyperlink" Target="https://advanced.onlinelibrary.wiley.com/doi/10.1002/aenm.202506668?af=R" TargetMode="External"/><Relationship Id="rId122" Type="http://schemas.openxmlformats.org/officeDocument/2006/relationships/hyperlink" Target="https://doi.org/10.1002/aenm.202506668" TargetMode="External"/><Relationship Id="rId123" Type="http://schemas.openxmlformats.org/officeDocument/2006/relationships/hyperlink" Target="https://onlinelibrary.wiley.com/doi/10.1002/anie.202525120?af=R" TargetMode="External"/><Relationship Id="rId124" Type="http://schemas.openxmlformats.org/officeDocument/2006/relationships/hyperlink" Target="https://doi.org/10.1002/anie.202525120" TargetMode="External"/><Relationship Id="rId125" Type="http://schemas.openxmlformats.org/officeDocument/2006/relationships/hyperlink" Target="https://onlinelibrary.wiley.com/doi/10.1002/anie.202523716?af=R" TargetMode="External"/><Relationship Id="rId126" Type="http://schemas.openxmlformats.org/officeDocument/2006/relationships/hyperlink" Target="https://doi.org/10.1002/anie.202523716" TargetMode="External"/><Relationship Id="rId127" Type="http://schemas.openxmlformats.org/officeDocument/2006/relationships/hyperlink" Target="https://advanced.onlinelibrary.wiley.com/doi/10.1002/adma.202516677?af=R" TargetMode="External"/><Relationship Id="rId128" Type="http://schemas.openxmlformats.org/officeDocument/2006/relationships/hyperlink" Target="https://doi.org/10.1002/adma.202516677" TargetMode="External"/><Relationship Id="rId129" Type="http://schemas.openxmlformats.org/officeDocument/2006/relationships/hyperlink" Target="https://onlinelibrary.wiley.com/doi/10.1002/anie.202524527?af=R" TargetMode="External"/><Relationship Id="rId130" Type="http://schemas.openxmlformats.org/officeDocument/2006/relationships/hyperlink" Target="https://doi.org/10.1002/anie.202524527" TargetMode="External"/><Relationship Id="rId131" Type="http://schemas.openxmlformats.org/officeDocument/2006/relationships/hyperlink" Target="https://advanced.onlinelibrary.wiley.com/doi/10.1002/adma.72580?af=R" TargetMode="External"/><Relationship Id="rId132" Type="http://schemas.openxmlformats.org/officeDocument/2006/relationships/hyperlink" Target="https://doi.org/10.1002/adma.72580" TargetMode="External"/><Relationship Id="rId133" Type="http://schemas.openxmlformats.org/officeDocument/2006/relationships/hyperlink" Target="https://advanced.onlinelibrary.wiley.com/doi/10.1002/adma.202514754?af=R" TargetMode="External"/><Relationship Id="rId134" Type="http://schemas.openxmlformats.org/officeDocument/2006/relationships/hyperlink" Target="https://doi.org/10.1002/adma.202514754" TargetMode="External"/><Relationship Id="rId135" Type="http://schemas.openxmlformats.org/officeDocument/2006/relationships/hyperlink" Target="https://onlinelibrary.wiley.com/doi/10.1002/anie.2026-m0902043000?af=R" TargetMode="External"/><Relationship Id="rId136" Type="http://schemas.openxmlformats.org/officeDocument/2006/relationships/hyperlink" Target="https://doi.org/10.1002/anie.2026-m0902043000" TargetMode="External"/><Relationship Id="rId137" Type="http://schemas.openxmlformats.org/officeDocument/2006/relationships/hyperlink" Target="https://advanced.onlinelibrary.wiley.com/doi/10.1002/adma.202514951?af=R" TargetMode="External"/><Relationship Id="rId138" Type="http://schemas.openxmlformats.org/officeDocument/2006/relationships/hyperlink" Target="https://doi.org/10.1002/adma.202514951" TargetMode="External"/><Relationship Id="rId139" Type="http://schemas.openxmlformats.org/officeDocument/2006/relationships/hyperlink" Target="https://onlinelibrary.wiley.com/doi/10.1002/anie.202519282?af=R" TargetMode="External"/><Relationship Id="rId140" Type="http://schemas.openxmlformats.org/officeDocument/2006/relationships/hyperlink" Target="https://doi.org/10.1002/anie.202519282" TargetMode="External"/><Relationship Id="rId141" Type="http://schemas.openxmlformats.org/officeDocument/2006/relationships/hyperlink" Target="https://advanced.onlinelibrary.wiley.com/doi/10.1002/adma.202513315?af=R" TargetMode="External"/><Relationship Id="rId142" Type="http://schemas.openxmlformats.org/officeDocument/2006/relationships/hyperlink" Target="https://doi.org/10.1002/adma.202513315" TargetMode="External"/><Relationship Id="rId143" Type="http://schemas.openxmlformats.org/officeDocument/2006/relationships/hyperlink" Target="https://advanced.onlinelibrary.wiley.com/doi/10.1002/aenm.202506195?af=R" TargetMode="External"/><Relationship Id="rId144" Type="http://schemas.openxmlformats.org/officeDocument/2006/relationships/hyperlink" Target="https://doi.org/10.1002/aenm.202506195" TargetMode="External"/><Relationship Id="rId145" Type="http://schemas.openxmlformats.org/officeDocument/2006/relationships/hyperlink" Target="https://advanced.onlinelibrary.wiley.com/doi/10.1002/aenm.202506481?af=R" TargetMode="External"/><Relationship Id="rId146" Type="http://schemas.openxmlformats.org/officeDocument/2006/relationships/hyperlink" Target="https://doi.org/10.1002/aenm.202506481" TargetMode="External"/><Relationship Id="rId147" Type="http://schemas.openxmlformats.org/officeDocument/2006/relationships/hyperlink" Target="https://advanced.onlinelibrary.wiley.com/doi/10.1002/adma.202522026?af=R" TargetMode="External"/><Relationship Id="rId148" Type="http://schemas.openxmlformats.org/officeDocument/2006/relationships/hyperlink" Target="https://doi.org/10.1002/adma.202522026" TargetMode="External"/><Relationship Id="rId149" Type="http://schemas.openxmlformats.org/officeDocument/2006/relationships/hyperlink" Target="https://advanced.onlinelibrary.wiley.com/doi/10.1002/aenm.202506800?af=R" TargetMode="External"/><Relationship Id="rId150" Type="http://schemas.openxmlformats.org/officeDocument/2006/relationships/hyperlink" Target="https://doi.org/10.1002/aenm.202506800" TargetMode="External"/><Relationship Id="rId151" Type="http://schemas.openxmlformats.org/officeDocument/2006/relationships/hyperlink" Target="https://advanced.onlinelibrary.wiley.com/doi/10.1002/adma.202514070?af=R" TargetMode="External"/><Relationship Id="rId152" Type="http://schemas.openxmlformats.org/officeDocument/2006/relationships/hyperlink" Target="https://doi.org/10.1002/adma.202514070" TargetMode="External"/><Relationship Id="rId153" Type="http://schemas.openxmlformats.org/officeDocument/2006/relationships/hyperlink" Target="https://advanced.onlinelibrary.wiley.com/doi/10.1002/adma.202519483?af=R" TargetMode="External"/><Relationship Id="rId154" Type="http://schemas.openxmlformats.org/officeDocument/2006/relationships/hyperlink" Target="https://doi.org/10.1002/adma.202519483" TargetMode="External"/><Relationship Id="rId155" Type="http://schemas.openxmlformats.org/officeDocument/2006/relationships/hyperlink" Target="https://advanced.onlinelibrary.wiley.com/doi/10.1002/aenm.70756?af=R" TargetMode="External"/><Relationship Id="rId156" Type="http://schemas.openxmlformats.org/officeDocument/2006/relationships/hyperlink" Target="https://doi.org/10.1002/aenm.70756" TargetMode="External"/><Relationship Id="rId157" Type="http://schemas.openxmlformats.org/officeDocument/2006/relationships/hyperlink" Target="https://onlinelibrary.wiley.com/doi/10.1002/anie.202521132?af=R" TargetMode="External"/><Relationship Id="rId158" Type="http://schemas.openxmlformats.org/officeDocument/2006/relationships/hyperlink" Target="https://doi.org/10.1002/anie.202521132" TargetMode="External"/><Relationship Id="rId159" Type="http://schemas.openxmlformats.org/officeDocument/2006/relationships/hyperlink" Target="https://advanced.onlinelibrary.wiley.com/doi/10.1002/adma.202520270?af=R" TargetMode="External"/><Relationship Id="rId160" Type="http://schemas.openxmlformats.org/officeDocument/2006/relationships/hyperlink" Target="https://doi.org/10.1002/adma.202520270" TargetMode="External"/><Relationship Id="rId161" Type="http://schemas.openxmlformats.org/officeDocument/2006/relationships/hyperlink" Target="https://onlinelibrary.wiley.com/doi/10.1002/anie.4418883?af=R" TargetMode="External"/><Relationship Id="rId162" Type="http://schemas.openxmlformats.org/officeDocument/2006/relationships/hyperlink" Target="https://doi.org/10.1002/anie.4418883" TargetMode="External"/><Relationship Id="rId163" Type="http://schemas.openxmlformats.org/officeDocument/2006/relationships/hyperlink" Target="https://onlinelibrary.wiley.com/doi/10.1002/anie.202520035?af=R" TargetMode="External"/><Relationship Id="rId164" Type="http://schemas.openxmlformats.org/officeDocument/2006/relationships/hyperlink" Target="https://doi.org/10.1002/anie.202520035" TargetMode="External"/><Relationship Id="rId165" Type="http://schemas.openxmlformats.org/officeDocument/2006/relationships/hyperlink" Target="https://advanced.onlinelibrary.wiley.com/doi/10.1002/adma.72448?af=R" TargetMode="External"/><Relationship Id="rId166" Type="http://schemas.openxmlformats.org/officeDocument/2006/relationships/hyperlink" Target="https://doi.org/10.1002/adma.72448" TargetMode="External"/><Relationship Id="rId167" Type="http://schemas.openxmlformats.org/officeDocument/2006/relationships/hyperlink" Target="http://dx.doi.org/10.1021/jacs.5c17804" TargetMode="External"/><Relationship Id="rId168" Type="http://schemas.openxmlformats.org/officeDocument/2006/relationships/hyperlink" Target="https://doi.org/10.1021/jacs.5c17804" TargetMode="External"/><Relationship Id="rId169" Type="http://schemas.openxmlformats.org/officeDocument/2006/relationships/hyperlink" Target="http://dx.doi.org/10.1021/jacs.5c21097" TargetMode="External"/><Relationship Id="rId170" Type="http://schemas.openxmlformats.org/officeDocument/2006/relationships/hyperlink" Target="https://doi.org/10.1021/jacs.5c21097" TargetMode="External"/><Relationship Id="rId171" Type="http://schemas.openxmlformats.org/officeDocument/2006/relationships/hyperlink" Target="http://dx.doi.org/10.1021/acs.chemrev.5c00626" TargetMode="External"/><Relationship Id="rId172" Type="http://schemas.openxmlformats.org/officeDocument/2006/relationships/hyperlink" Target="https://doi.org/10.1021/acs.chemrev.5c00626" TargetMode="External"/><Relationship Id="rId173" Type="http://schemas.openxmlformats.org/officeDocument/2006/relationships/hyperlink" Target="http://dx.doi.org/10.1021/acsenergylett.6c00141" TargetMode="External"/><Relationship Id="rId174" Type="http://schemas.openxmlformats.org/officeDocument/2006/relationships/hyperlink" Target="https://doi.org/10.1021/acsenergylett.6c00141" TargetMode="External"/><Relationship Id="rId175" Type="http://schemas.openxmlformats.org/officeDocument/2006/relationships/hyperlink" Target="http://dx.doi.org/10.1021/jacs.5c13017" TargetMode="External"/><Relationship Id="rId176" Type="http://schemas.openxmlformats.org/officeDocument/2006/relationships/hyperlink" Target="https://doi.org/10.1021/jacs.5c13017" TargetMode="External"/><Relationship Id="rId177" Type="http://schemas.openxmlformats.org/officeDocument/2006/relationships/hyperlink" Target="http://dx.doi.org/10.1021/jacs.5c22962" TargetMode="External"/><Relationship Id="rId178" Type="http://schemas.openxmlformats.org/officeDocument/2006/relationships/hyperlink" Target="https://doi.org/10.1021/jacs.5c22962" TargetMode="External"/><Relationship Id="rId179" Type="http://schemas.openxmlformats.org/officeDocument/2006/relationships/hyperlink" Target="http://dx.doi.org/10.1021/jacs.5c18947" TargetMode="External"/><Relationship Id="rId180" Type="http://schemas.openxmlformats.org/officeDocument/2006/relationships/hyperlink" Target="https://doi.org/10.1021/jacs.5c18947" TargetMode="External"/><Relationship Id="rId181" Type="http://schemas.openxmlformats.org/officeDocument/2006/relationships/hyperlink" Target="https://academic.oup.com/nsr/advance-article/doi/10.1093/nsr/nwag093/8487640?rss=1" TargetMode="External"/><Relationship Id="rId182" Type="http://schemas.openxmlformats.org/officeDocument/2006/relationships/hyperlink" Target="https://doi.org/10.1093/nsr/nwag093/8487640" TargetMode="External"/><Relationship Id="rId183" Type="http://schemas.openxmlformats.org/officeDocument/2006/relationships/hyperlink" Target="https://www.sciencedirect.com/science/article/pii/S0301421526000832?dgcid=rss_sd_all" TargetMode="External"/><Relationship Id="rId184" Type="http://schemas.openxmlformats.org/officeDocument/2006/relationships/hyperlink" Target="https://www.cell.com/chem/fulltext/S2451-9294(25)00478-4?rss=yes" TargetMode="External"/><Relationship Id="rId185" Type="http://schemas.openxmlformats.org/officeDocument/2006/relationships/hyperlink" Target="https://www.cell.com/chem/fulltext/S2451-9294(25)00497-8?rss=yes" TargetMode="External"/><Relationship Id="rId186" Type="http://schemas.openxmlformats.org/officeDocument/2006/relationships/hyperlink" Target="https://www.cell.com/matter/fulltext/S2590-2385(25)00653-8?rss=yes" TargetMode="External"/><Relationship Id="rId187" Type="http://schemas.openxmlformats.org/officeDocument/2006/relationships/hyperlink" Target="https://www.nature.com/articles/s44359-026-00152-7" TargetMode="External"/><Relationship Id="rId188" Type="http://schemas.openxmlformats.org/officeDocument/2006/relationships/hyperlink" Target="https://www.nature.com/articles/s44359-026-00147-4" TargetMode="External"/><Relationship Id="rId189" Type="http://schemas.openxmlformats.org/officeDocument/2006/relationships/hyperlink" Target="https://www.nature.com/articles/s44286-026-00356-5" TargetMode="External"/><Relationship Id="rId190" Type="http://schemas.openxmlformats.org/officeDocument/2006/relationships/hyperlink" Target="https://www.nature.com/articles/s41893-026-01770-6" TargetMode="External"/><Relationship Id="rId191" Type="http://schemas.openxmlformats.org/officeDocument/2006/relationships/hyperlink" Target="https://www.nature.com/articles/s41586-026-10254-8" TargetMode="External"/><Relationship Id="rId192" Type="http://schemas.openxmlformats.org/officeDocument/2006/relationships/hyperlink" Target="https://www.nature.com/articles/d41586-026-00435-w" TargetMode="External"/><Relationship Id="rId193" Type="http://schemas.openxmlformats.org/officeDocument/2006/relationships/hyperlink" Target="https://www.nature.com/articles/d41586-026-00448-5" TargetMode="External"/><Relationship Id="rId194" Type="http://schemas.openxmlformats.org/officeDocument/2006/relationships/hyperlink" Target="https://www.nature.com/articles/d41586-026-00467-2" TargetMode="External"/><Relationship Id="rId195" Type="http://schemas.openxmlformats.org/officeDocument/2006/relationships/hyperlink" Target="https://www.nature.com/articles/d41586-026-00475-2" TargetMode="External"/><Relationship Id="rId196" Type="http://schemas.openxmlformats.org/officeDocument/2006/relationships/hyperlink" Target="https://www.nature.com/articles/d41586-026-00522-y" TargetMode="External"/><Relationship Id="rId197" Type="http://schemas.openxmlformats.org/officeDocument/2006/relationships/hyperlink" Target="https://www.nature.com/articles/s41467-026-69352-w" TargetMode="External"/><Relationship Id="rId198" Type="http://schemas.openxmlformats.org/officeDocument/2006/relationships/hyperlink" Target="https://www.nature.com/articles/s41467-026-69396-y" TargetMode="External"/><Relationship Id="rId199" Type="http://schemas.openxmlformats.org/officeDocument/2006/relationships/hyperlink" Target="https://www.nature.com/articles/s41467-026-69459-0" TargetMode="External"/><Relationship Id="rId200" Type="http://schemas.openxmlformats.org/officeDocument/2006/relationships/hyperlink" Target="https://www.nature.com/articles/s41467-026-69487-w" TargetMode="External"/><Relationship Id="rId201" Type="http://schemas.openxmlformats.org/officeDocument/2006/relationships/hyperlink" Target="https://www.nature.com/articles/s41467-026-69757-7" TargetMode="External"/><Relationship Id="rId202" Type="http://schemas.openxmlformats.org/officeDocument/2006/relationships/hyperlink" Target="https://www.nature.com/articles/s41467-026-69758-6" TargetMode="External"/><Relationship Id="rId203" Type="http://schemas.openxmlformats.org/officeDocument/2006/relationships/hyperlink" Target="https://www.nature.com/articles/s41560-026-01970-6" TargetMode="External"/><Relationship Id="rId204" Type="http://schemas.openxmlformats.org/officeDocument/2006/relationships/hyperlink" Target="https://www.nature.com/articles/s41560-026-01974-2" TargetMode="External"/><Relationship Id="rId205" Type="http://schemas.openxmlformats.org/officeDocument/2006/relationships/hyperlink" Target="https://www.nature.com/articles/s41560-026-01976-0" TargetMode="External"/><Relationship Id="rId206" Type="http://schemas.openxmlformats.org/officeDocument/2006/relationships/hyperlink" Target="https://www.nature.com/articles/s41586-025-09957-1" TargetMode="External"/><Relationship Id="rId207" Type="http://schemas.openxmlformats.org/officeDocument/2006/relationships/hyperlink" Target="https://www.nature.com/articles/d41586-026-00473-4" TargetMode="External"/><Relationship Id="rId208" Type="http://schemas.openxmlformats.org/officeDocument/2006/relationships/hyperlink" Target="https://www.sciencedirect.com/science/article/pii/S0301421526001163?dgcid=rss_sd_all" TargetMode="External"/><Relationship Id="rId209" Type="http://schemas.openxmlformats.org/officeDocument/2006/relationships/hyperlink" Target="https://www.nature.com/articles/s41565-026-02128-x" TargetMode="External"/><Relationship Id="rId210" Type="http://schemas.openxmlformats.org/officeDocument/2006/relationships/hyperlink" Target="https://academic.oup.com/nsr/advance-article/doi/10.1093/nsr/nwag113/8487642?rss=1" TargetMode="External"/><Relationship Id="rId211" Type="http://schemas.openxmlformats.org/officeDocument/2006/relationships/hyperlink" Target="https://doi.org/10.1093/nsr/nwag113/8487642" TargetMode="External"/><Relationship Id="rId212" Type="http://schemas.openxmlformats.org/officeDocument/2006/relationships/hyperlink" Target="https://www.sciencedirect.com/science/article/pii/S0306261926001534?dgcid=rss_sd_all" TargetMode="External"/><Relationship Id="rId213" Type="http://schemas.openxmlformats.org/officeDocument/2006/relationships/hyperlink" Target="https://www.sciencedirect.com/science/article/pii/S0306261926001224?dgcid=rss_sd_all" TargetMode="External"/><Relationship Id="rId214" Type="http://schemas.openxmlformats.org/officeDocument/2006/relationships/hyperlink" Target="http://pubs.rsc.org/en/Content/ArticleLanding/2026/EE/D5EE05816C" TargetMode="External"/><Relationship Id="rId215" Type="http://schemas.openxmlformats.org/officeDocument/2006/relationships/hyperlink" Target="https://academic.oup.com/nsr/advance-article/doi/10.1093/nsr/nwag103/8487636?rss=1" TargetMode="External"/><Relationship Id="rId216" Type="http://schemas.openxmlformats.org/officeDocument/2006/relationships/hyperlink" Target="https://doi.org/10.1093/nsr/nwag103/8487636" TargetMode="External"/><Relationship Id="rId217" Type="http://schemas.openxmlformats.org/officeDocument/2006/relationships/hyperlink" Target="http://pubs.rsc.org/en/Content/ArticleLanding/2026/EE/D5EE06209H" TargetMode="External"/><Relationship Id="rId218" Type="http://schemas.openxmlformats.org/officeDocument/2006/relationships/hyperlink" Target="http://pubs.rsc.org/en/Content/ArticleLanding/2026/CS/D5CS00585J" TargetMode="External"/><Relationship Id="rId219" Type="http://schemas.openxmlformats.org/officeDocument/2006/relationships/hyperlink" Target="https://advanced.onlinelibrary.wiley.com/doi/10.1002/aenm.202506383?af=R" TargetMode="External"/><Relationship Id="rId220" Type="http://schemas.openxmlformats.org/officeDocument/2006/relationships/hyperlink" Target="https://doi.org/10.1002/aenm.202506383" TargetMode="External"/><Relationship Id="rId221" Type="http://schemas.openxmlformats.org/officeDocument/2006/relationships/hyperlink" Target="https://onlinelibrary.wiley.com/doi/10.1002/anie.4308936?af=R" TargetMode="External"/><Relationship Id="rId222" Type="http://schemas.openxmlformats.org/officeDocument/2006/relationships/hyperlink" Target="https://doi.org/10.1002/anie.4308936" TargetMode="External"/><Relationship Id="rId223" Type="http://schemas.openxmlformats.org/officeDocument/2006/relationships/hyperlink" Target="https://onlinelibrary.wiley.com/doi/10.1002/anie.202523838?af=R" TargetMode="External"/><Relationship Id="rId224" Type="http://schemas.openxmlformats.org/officeDocument/2006/relationships/hyperlink" Target="https://doi.org/10.1002/anie.202523838" TargetMode="External"/><Relationship Id="rId225" Type="http://schemas.openxmlformats.org/officeDocument/2006/relationships/hyperlink" Target="https://onlinelibrary.wiley.com/doi/10.1002/anie.4862058?af=R" TargetMode="External"/><Relationship Id="rId226" Type="http://schemas.openxmlformats.org/officeDocument/2006/relationships/hyperlink" Target="https://doi.org/10.1002/anie.4862058" TargetMode="External"/><Relationship Id="rId227" Type="http://schemas.openxmlformats.org/officeDocument/2006/relationships/hyperlink" Target="https://onlinelibrary.wiley.com/doi/10.1002/anie.202525894?af=R" TargetMode="External"/><Relationship Id="rId228" Type="http://schemas.openxmlformats.org/officeDocument/2006/relationships/hyperlink" Target="https://doi.org/10.1002/anie.202525894" TargetMode="External"/><Relationship Id="rId229" Type="http://schemas.openxmlformats.org/officeDocument/2006/relationships/hyperlink" Target="https://onlinelibrary.wiley.com/doi/10.1002/anie.202521140?af=R" TargetMode="External"/><Relationship Id="rId230" Type="http://schemas.openxmlformats.org/officeDocument/2006/relationships/hyperlink" Target="https://doi.org/10.1002/anie.202521140" TargetMode="External"/><Relationship Id="rId231" Type="http://schemas.openxmlformats.org/officeDocument/2006/relationships/hyperlink" Target="https://onlinelibrary.wiley.com/doi/10.1002/anie.1061158?af=R" TargetMode="External"/><Relationship Id="rId232" Type="http://schemas.openxmlformats.org/officeDocument/2006/relationships/hyperlink" Target="https://doi.org/10.1002/anie.1061158" TargetMode="External"/><Relationship Id="rId233" Type="http://schemas.openxmlformats.org/officeDocument/2006/relationships/hyperlink" Target="https://onlinelibrary.wiley.com/doi/10.1002/anie.202519635?af=R" TargetMode="External"/><Relationship Id="rId234" Type="http://schemas.openxmlformats.org/officeDocument/2006/relationships/hyperlink" Target="https://doi.org/10.1002/anie.202519635" TargetMode="External"/><Relationship Id="rId235" Type="http://schemas.openxmlformats.org/officeDocument/2006/relationships/hyperlink" Target="https://onlinelibrary.wiley.com/doi/10.1002/anie.202524282?af=R" TargetMode="External"/><Relationship Id="rId236" Type="http://schemas.openxmlformats.org/officeDocument/2006/relationships/hyperlink" Target="https://doi.org/10.1002/anie.202524282" TargetMode="External"/><Relationship Id="rId237" Type="http://schemas.openxmlformats.org/officeDocument/2006/relationships/hyperlink" Target="https://onlinelibrary.wiley.com/doi/10.1002/anie.2306338?af=R" TargetMode="External"/><Relationship Id="rId238" Type="http://schemas.openxmlformats.org/officeDocument/2006/relationships/hyperlink" Target="https://doi.org/10.1002/anie.2306338" TargetMode="External"/><Relationship Id="rId239" Type="http://schemas.openxmlformats.org/officeDocument/2006/relationships/hyperlink" Target="https://onlinelibrary.wiley.com/doi/10.1002/anie.202525801?af=R" TargetMode="External"/><Relationship Id="rId240" Type="http://schemas.openxmlformats.org/officeDocument/2006/relationships/hyperlink" Target="https://doi.org/10.1002/anie.202525801" TargetMode="External"/><Relationship Id="rId241" Type="http://schemas.openxmlformats.org/officeDocument/2006/relationships/hyperlink" Target="https://onlinelibrary.wiley.com/doi/10.1002/anie.7864883?af=R" TargetMode="External"/><Relationship Id="rId242" Type="http://schemas.openxmlformats.org/officeDocument/2006/relationships/hyperlink" Target="https://doi.org/10.1002/anie.7864883" TargetMode="External"/><Relationship Id="rId243" Type="http://schemas.openxmlformats.org/officeDocument/2006/relationships/hyperlink" Target="https://onlinelibrary.wiley.com/doi/10.1002/anie.202523190?af=R" TargetMode="External"/><Relationship Id="rId244" Type="http://schemas.openxmlformats.org/officeDocument/2006/relationships/hyperlink" Target="https://doi.org/10.1002/anie.202523190" TargetMode="External"/><Relationship Id="rId245" Type="http://schemas.openxmlformats.org/officeDocument/2006/relationships/hyperlink" Target="http://dx.doi.org/10.1021/acsenergylett.5c04202" TargetMode="External"/><Relationship Id="rId246" Type="http://schemas.openxmlformats.org/officeDocument/2006/relationships/hyperlink" Target="https://doi.org/10.1021/acsenergylett.5c04202" TargetMode="External"/><Relationship Id="rId247" Type="http://schemas.openxmlformats.org/officeDocument/2006/relationships/hyperlink" Target="http://dx.doi.org/10.1021/jacs.5c19551" TargetMode="External"/><Relationship Id="rId248" Type="http://schemas.openxmlformats.org/officeDocument/2006/relationships/hyperlink" Target="https://doi.org/10.1021/jacs.5c19551" TargetMode="External"/><Relationship Id="rId249" Type="http://schemas.openxmlformats.org/officeDocument/2006/relationships/hyperlink" Target="http://dx.doi.org/10.1021/jacs.5c21516" TargetMode="External"/><Relationship Id="rId250" Type="http://schemas.openxmlformats.org/officeDocument/2006/relationships/hyperlink" Target="https://doi.org/10.1021/jacs.5c21516" TargetMode="External"/><Relationship Id="rId251" Type="http://schemas.openxmlformats.org/officeDocument/2006/relationships/hyperlink" Target="http://dx.doi.org/10.1021/jacs.5c21844" TargetMode="External"/><Relationship Id="rId252" Type="http://schemas.openxmlformats.org/officeDocument/2006/relationships/hyperlink" Target="https://doi.org/10.1021/jacs.5c21844" TargetMode="External"/><Relationship Id="rId253" Type="http://schemas.openxmlformats.org/officeDocument/2006/relationships/hyperlink" Target="http://dx.doi.org/10.1021/jacs.5c18537" TargetMode="External"/><Relationship Id="rId254" Type="http://schemas.openxmlformats.org/officeDocument/2006/relationships/hyperlink" Target="https://doi.org/10.1021/jacs.5c18537" TargetMode="External"/><Relationship Id="rId255" Type="http://schemas.openxmlformats.org/officeDocument/2006/relationships/hyperlink" Target="http://dx.doi.org/10.1021/jacs.5c20640" TargetMode="External"/><Relationship Id="rId256" Type="http://schemas.openxmlformats.org/officeDocument/2006/relationships/hyperlink" Target="https://doi.org/10.1021/jacs.5c20640" TargetMode="External"/><Relationship Id="rId257" Type="http://schemas.openxmlformats.org/officeDocument/2006/relationships/hyperlink" Target="http://dx.doi.org/10.1021/acsenergylett.5c03330" TargetMode="External"/><Relationship Id="rId258" Type="http://schemas.openxmlformats.org/officeDocument/2006/relationships/hyperlink" Target="https://doi.org/10.1021/acsenergylett.5c03330" TargetMode="External"/><Relationship Id="rId259" Type="http://schemas.openxmlformats.org/officeDocument/2006/relationships/hyperlink" Target="http://dx.doi.org/10.1021/jacs.5c21258" TargetMode="External"/><Relationship Id="rId260" Type="http://schemas.openxmlformats.org/officeDocument/2006/relationships/hyperlink" Target="https://doi.org/10.1021/jacs.5c21258" TargetMode="External"/><Relationship Id="rId261" Type="http://schemas.openxmlformats.org/officeDocument/2006/relationships/hyperlink" Target="http://dx.doi.org/10.1021/jacs.6c02082" TargetMode="External"/><Relationship Id="rId262" Type="http://schemas.openxmlformats.org/officeDocument/2006/relationships/hyperlink" Target="https://doi.org/10.1021/jacs.6c02082" TargetMode="External"/><Relationship Id="rId263" Type="http://schemas.openxmlformats.org/officeDocument/2006/relationships/hyperlink" Target="http://dx.doi.org/10.1021/jacs.5c20811" TargetMode="External"/><Relationship Id="rId264" Type="http://schemas.openxmlformats.org/officeDocument/2006/relationships/hyperlink" Target="https://doi.org/10.1021/jacs.5c20811" TargetMode="External"/><Relationship Id="rId265" Type="http://schemas.openxmlformats.org/officeDocument/2006/relationships/hyperlink" Target="http://dx.doi.org/10.1021/jacs.5c23111" TargetMode="External"/><Relationship Id="rId266" Type="http://schemas.openxmlformats.org/officeDocument/2006/relationships/hyperlink" Target="https://doi.org/10.1021/jacs.5c23111" TargetMode="External"/><Relationship Id="rId267" Type="http://schemas.openxmlformats.org/officeDocument/2006/relationships/hyperlink" Target="http://dx.doi.org/10.1021/jacs.6c00226" TargetMode="External"/><Relationship Id="rId268" Type="http://schemas.openxmlformats.org/officeDocument/2006/relationships/hyperlink" Target="https://doi.org/10.1021/jacs.6c00226" TargetMode="External"/><Relationship Id="rId269" Type="http://schemas.openxmlformats.org/officeDocument/2006/relationships/hyperlink" Target="http://dx.doi.org/10.1021/acsenergylett.5c04134" TargetMode="External"/><Relationship Id="rId270" Type="http://schemas.openxmlformats.org/officeDocument/2006/relationships/hyperlink" Target="https://doi.org/10.1021/acsenergylett.5c04134" TargetMode="External"/><Relationship Id="rId271" Type="http://schemas.openxmlformats.org/officeDocument/2006/relationships/hyperlink" Target="http://dx.doi.org/10.1021/acsenergylett.5c04190" TargetMode="External"/><Relationship Id="rId272" Type="http://schemas.openxmlformats.org/officeDocument/2006/relationships/hyperlink" Target="https://doi.org/10.1021/acsenergylett.5c04190" TargetMode="External"/><Relationship Id="rId273" Type="http://schemas.openxmlformats.org/officeDocument/2006/relationships/hyperlink" Target="http://dx.doi.org/10.1021/jacs.5c21446" TargetMode="External"/><Relationship Id="rId274" Type="http://schemas.openxmlformats.org/officeDocument/2006/relationships/hyperlink" Target="https://doi.org/10.1021/jacs.5c21446" TargetMode="External"/><Relationship Id="rId275" Type="http://schemas.openxmlformats.org/officeDocument/2006/relationships/hyperlink" Target="http://dx.doi.org/10.1021/jacs.5c19565" TargetMode="External"/><Relationship Id="rId276" Type="http://schemas.openxmlformats.org/officeDocument/2006/relationships/hyperlink" Target="https://doi.org/10.1021/jacs.5c19565" TargetMode="External"/><Relationship Id="rId277" Type="http://schemas.openxmlformats.org/officeDocument/2006/relationships/hyperlink" Target="http://dx.doi.org/10.1021/jacs.5c16528" TargetMode="External"/><Relationship Id="rId278" Type="http://schemas.openxmlformats.org/officeDocument/2006/relationships/hyperlink" Target="https://doi.org/10.1021/jacs.5c16528" TargetMode="External"/><Relationship Id="rId279" Type="http://schemas.openxmlformats.org/officeDocument/2006/relationships/hyperlink" Target="http://dx.doi.org/10.1021/jacs.5c20629" TargetMode="External"/><Relationship Id="rId280" Type="http://schemas.openxmlformats.org/officeDocument/2006/relationships/hyperlink" Target="https://doi.org/10.1021/jacs.5c20629" TargetMode="External"/><Relationship Id="rId281" Type="http://schemas.openxmlformats.org/officeDocument/2006/relationships/hyperlink" Target="http://dx.doi.org/10.1021/jacs.5c23300" TargetMode="External"/><Relationship Id="rId282" Type="http://schemas.openxmlformats.org/officeDocument/2006/relationships/hyperlink" Target="https://doi.org/10.1021/jacs.5c23300" TargetMode="External"/><Relationship Id="rId283" Type="http://schemas.openxmlformats.org/officeDocument/2006/relationships/hyperlink" Target="http://dx.doi.org/10.1021/jacs.5c18362" TargetMode="External"/><Relationship Id="rId284" Type="http://schemas.openxmlformats.org/officeDocument/2006/relationships/hyperlink" Target="https://doi.org/10.1021/jacs.5c18362" TargetMode="External"/><Relationship Id="rId285" Type="http://schemas.openxmlformats.org/officeDocument/2006/relationships/hyperlink" Target="http://dx.doi.org/10.1021/jacs.5c18697" TargetMode="External"/><Relationship Id="rId286" Type="http://schemas.openxmlformats.org/officeDocument/2006/relationships/hyperlink" Target="https://doi.org/10.1021/jacs.5c18697" TargetMode="External"/><Relationship Id="rId287" Type="http://schemas.openxmlformats.org/officeDocument/2006/relationships/hyperlink" Target="http://dx.doi.org/10.1021/jacs.5c17855" TargetMode="External"/><Relationship Id="rId288" Type="http://schemas.openxmlformats.org/officeDocument/2006/relationships/hyperlink" Target="https://doi.org/10.1021/jacs.5c17855" TargetMode="External"/><Relationship Id="rId289" Type="http://schemas.openxmlformats.org/officeDocument/2006/relationships/hyperlink" Target="http://dx.doi.org/10.1021/jacs.5c13471" TargetMode="External"/><Relationship Id="rId290" Type="http://schemas.openxmlformats.org/officeDocument/2006/relationships/hyperlink" Target="https://doi.org/10.1021/jacs.5c13471" TargetMode="External"/><Relationship Id="rId291" Type="http://schemas.openxmlformats.org/officeDocument/2006/relationships/hyperlink" Target="http://dx.doi.org/10.1021/jacs.5c23400" TargetMode="External"/><Relationship Id="rId292" Type="http://schemas.openxmlformats.org/officeDocument/2006/relationships/hyperlink" Target="https://doi.org/10.1021/jacs.5c23400" TargetMode="External"/><Relationship Id="rId293" Type="http://schemas.openxmlformats.org/officeDocument/2006/relationships/hyperlink" Target="http://dx.doi.org/10.1021/jacs.5c23187" TargetMode="External"/><Relationship Id="rId294" Type="http://schemas.openxmlformats.org/officeDocument/2006/relationships/hyperlink" Target="https://doi.org/10.1021/jacs.5c23187" TargetMode="External"/><Relationship Id="rId295" Type="http://schemas.openxmlformats.org/officeDocument/2006/relationships/hyperlink" Target="http://dx.doi.org/10.1021/acsenergylett.5c03760" TargetMode="External"/><Relationship Id="rId296" Type="http://schemas.openxmlformats.org/officeDocument/2006/relationships/hyperlink" Target="https://doi.org/10.1021/acsenergylett.5c03760" TargetMode="External"/><Relationship Id="rId297" Type="http://schemas.openxmlformats.org/officeDocument/2006/relationships/hyperlink" Target="http://dx.doi.org/10.1021/jacs.5c19265" TargetMode="External"/><Relationship Id="rId298" Type="http://schemas.openxmlformats.org/officeDocument/2006/relationships/hyperlink" Target="https://doi.org/10.1021/jacs.5c19265" TargetMode="External"/><Relationship Id="rId299" Type="http://schemas.openxmlformats.org/officeDocument/2006/relationships/hyperlink" Target="https://www.nature.com/articles/s41560-026-01990-2" TargetMode="External"/><Relationship Id="rId300" Type="http://schemas.openxmlformats.org/officeDocument/2006/relationships/hyperlink" Target="https://www.sciencedirect.com/science/article/pii/S0306261926001947?dgcid=rss_sd_all" TargetMode="External"/><Relationship Id="rId301" Type="http://schemas.openxmlformats.org/officeDocument/2006/relationships/hyperlink" Target="https://www.nature.com/articles/d41586-026-00439-6" TargetMode="External"/><Relationship Id="rId302" Type="http://schemas.openxmlformats.org/officeDocument/2006/relationships/hyperlink" Target="https://www.sciencedirect.com/science/article/pii/S0306261926001546?dgcid=rss_sd_all" TargetMode="External"/><Relationship Id="rId303" Type="http://schemas.openxmlformats.org/officeDocument/2006/relationships/hyperlink" Target="https://www.nature.com/articles/d41586-026-00349-7" TargetMode="External"/><Relationship Id="rId304" Type="http://schemas.openxmlformats.org/officeDocument/2006/relationships/hyperlink" Target="https://www.nature.com/articles/d41586-026-00297-2" TargetMode="External"/><Relationship Id="rId305" Type="http://schemas.openxmlformats.org/officeDocument/2006/relationships/hyperlink" Target="https://www.nature.com/articles/s41578-026-00900-y" TargetMode="External"/><Relationship Id="rId306" Type="http://schemas.openxmlformats.org/officeDocument/2006/relationships/hyperlink" Target="https://www.sciencedirect.com/science/article/pii/S0306261926001595?dgcid=rss_sd_all" TargetMode="External"/><Relationship Id="rId307" Type="http://schemas.openxmlformats.org/officeDocument/2006/relationships/hyperlink" Target="https://www.cell.com/matter/fulltext/S2590-2385(26)00024-X?rss=yes" TargetMode="External"/><Relationship Id="rId308" Type="http://schemas.openxmlformats.org/officeDocument/2006/relationships/hyperlink" Target="https://www.nature.com/articles/s41893-026-01772-4" TargetMode="External"/><Relationship Id="rId309" Type="http://schemas.openxmlformats.org/officeDocument/2006/relationships/hyperlink" Target="https://www.sciencedirect.com/science/article/pii/S0306261926000875?dgcid=rss_sd_all" TargetMode="External"/><Relationship Id="rId310" Type="http://schemas.openxmlformats.org/officeDocument/2006/relationships/hyperlink" Target="https://www.cell.com/chem/fulltext/S2451-9294(25)00496-6?rss=yes" TargetMode="External"/><Relationship Id="rId311" Type="http://schemas.openxmlformats.org/officeDocument/2006/relationships/hyperlink" Target="http://pubs.rsc.org/en/Content/ArticleLanding/2026/EE/D5EE05899F" TargetMode="External"/><Relationship Id="rId312" Type="http://schemas.openxmlformats.org/officeDocument/2006/relationships/hyperlink" Target="http://pubs.rsc.org/en/Content/ArticleLanding/2026/EE/D6EE00073H" TargetMode="External"/><Relationship Id="rId313" Type="http://schemas.openxmlformats.org/officeDocument/2006/relationships/hyperlink" Target="https://www.nature.com/articles/s41560-026-01985-z" TargetMode="External"/><Relationship Id="rId314" Type="http://schemas.openxmlformats.org/officeDocument/2006/relationships/hyperlink" Target="https://www.sciencedirect.com/science/article/pii/S0306261926001613?dgcid=rss_sd_all" TargetMode="External"/><Relationship Id="rId315" Type="http://schemas.openxmlformats.org/officeDocument/2006/relationships/hyperlink" Target="https://www.sciencedirect.com/science/article/pii/S0306261926001935?dgcid=rss_sd_all" TargetMode="External"/><Relationship Id="rId316" Type="http://schemas.openxmlformats.org/officeDocument/2006/relationships/hyperlink" Target="https://www.sciencedirect.com/science/article/pii/S0306261926002059?dgcid=rss_sd_all" TargetMode="External"/><Relationship Id="rId317" Type="http://schemas.openxmlformats.org/officeDocument/2006/relationships/hyperlink" Target="https://www.nature.com/articles/s41467-026-69515-9" TargetMode="External"/><Relationship Id="rId318" Type="http://schemas.openxmlformats.org/officeDocument/2006/relationships/hyperlink" Target="https://www.sciencedirect.com/science/article/pii/S0306261926001406?dgcid=rss_sd_all" TargetMode="External"/><Relationship Id="rId319" Type="http://schemas.openxmlformats.org/officeDocument/2006/relationships/hyperlink" Target="https://www.nature.com/articles/s41467-026-69653-0" TargetMode="External"/><Relationship Id="rId320" Type="http://schemas.openxmlformats.org/officeDocument/2006/relationships/hyperlink" Target="https://www.sciencedirect.com/science/article/pii/S0306261926001972?dgcid=rss_sd_all" TargetMode="External"/><Relationship Id="rId321" Type="http://schemas.openxmlformats.org/officeDocument/2006/relationships/hyperlink" Target="http://pubs.rsc.org/en/Content/ArticleLanding/2026/CS/D5CS01242B" TargetMode="External"/><Relationship Id="rId322" Type="http://schemas.openxmlformats.org/officeDocument/2006/relationships/hyperlink" Target="https://www.nature.com/articles/s41467-026-69654-z" TargetMode="External"/><Relationship Id="rId323" Type="http://schemas.openxmlformats.org/officeDocument/2006/relationships/hyperlink" Target="https://www.nature.com/articles/s41467-026-69056-1" TargetMode="External"/><Relationship Id="rId324" Type="http://schemas.openxmlformats.org/officeDocument/2006/relationships/hyperlink" Target="https://www.nature.com/articles/s41467-026-69659-8" TargetMode="External"/><Relationship Id="rId325" Type="http://schemas.openxmlformats.org/officeDocument/2006/relationships/hyperlink" Target="https://www.nature.com/articles/d41586-026-00528-6" TargetMode="External"/><Relationship Id="rId326" Type="http://schemas.openxmlformats.org/officeDocument/2006/relationships/hyperlink" Target="https://www.nature.com/articles/s41586-026-10249-5" TargetMode="External"/><Relationship Id="rId327" Type="http://schemas.openxmlformats.org/officeDocument/2006/relationships/hyperlink" Target="https://www.nature.com/articles/s41578-026-00893-8" TargetMode="External"/><Relationship Id="rId328" Type="http://schemas.openxmlformats.org/officeDocument/2006/relationships/hyperlink" Target="https://www.sciencedirect.com/science/article/pii/S030626192600190X?dgcid=rss_sd_all" TargetMode="External"/><Relationship Id="rId329" Type="http://schemas.openxmlformats.org/officeDocument/2006/relationships/hyperlink" Target="https://www.nature.com/articles/d41586-026-00498-9" TargetMode="External"/><Relationship Id="rId330" Type="http://schemas.openxmlformats.org/officeDocument/2006/relationships/hyperlink" Target="https://www.nature.com/articles/d41586-026-00497-w" TargetMode="External"/><Relationship Id="rId331" Type="http://schemas.openxmlformats.org/officeDocument/2006/relationships/hyperlink" Target="https://www.nature.com/articles/d41586-026-00496-x" TargetMode="External"/><Relationship Id="rId332" Type="http://schemas.openxmlformats.org/officeDocument/2006/relationships/hyperlink" Target="https://www.nature.com/articles/d41586-026-00495-y" TargetMode="External"/><Relationship Id="rId333" Type="http://schemas.openxmlformats.org/officeDocument/2006/relationships/hyperlink" Target="https://www.nature.com/articles/d41586-026-00474-3" TargetMode="External"/><Relationship Id="rId334" Type="http://schemas.openxmlformats.org/officeDocument/2006/relationships/hyperlink" Target="http://pubs.rsc.org/en/Content/ArticleLanding/2026/CS/D6CS00003G" TargetMode="External"/><Relationship Id="rId335" Type="http://schemas.openxmlformats.org/officeDocument/2006/relationships/hyperlink" Target="https://www.nature.com/articles/s41467-026-69646-z" TargetMode="External"/><Relationship Id="rId336" Type="http://schemas.openxmlformats.org/officeDocument/2006/relationships/hyperlink" Target="https://www.nature.com/articles/d41586-026-00472-5" TargetMode="External"/><Relationship Id="rId337" Type="http://schemas.openxmlformats.org/officeDocument/2006/relationships/hyperlink" Target="https://www.nature.com/articles/d41586-026-00470-7" TargetMode="External"/><Relationship Id="rId338" Type="http://schemas.openxmlformats.org/officeDocument/2006/relationships/hyperlink" Target="https://www.nature.com/articles/d41586-026-00469-0" TargetMode="External"/><Relationship Id="rId339" Type="http://schemas.openxmlformats.org/officeDocument/2006/relationships/hyperlink" Target="https://www.sciencedirect.com/science/article/pii/S0306261926002072?dgcid=rss_sd_all" TargetMode="External"/><Relationship Id="rId340" Type="http://schemas.openxmlformats.org/officeDocument/2006/relationships/hyperlink" Target="https://advanced.onlinelibrary.wiley.com/doi/10.1002/adma.202519721?af=R" TargetMode="External"/><Relationship Id="rId341" Type="http://schemas.openxmlformats.org/officeDocument/2006/relationships/hyperlink" Target="https://doi.org/10.1002/adma.202519721" TargetMode="External"/><Relationship Id="rId342" Type="http://schemas.openxmlformats.org/officeDocument/2006/relationships/hyperlink" Target="https://advanced.onlinelibrary.wiley.com/doi/10.1002/adma.202519339?af=R" TargetMode="External"/><Relationship Id="rId343" Type="http://schemas.openxmlformats.org/officeDocument/2006/relationships/hyperlink" Target="https://doi.org/10.1002/adma.202519339" TargetMode="External"/><Relationship Id="rId344" Type="http://schemas.openxmlformats.org/officeDocument/2006/relationships/hyperlink" Target="https://advanced.onlinelibrary.wiley.com/doi/10.1002/adma.202520277?af=R" TargetMode="External"/><Relationship Id="rId345" Type="http://schemas.openxmlformats.org/officeDocument/2006/relationships/hyperlink" Target="https://doi.org/10.1002/adma.202520277" TargetMode="External"/><Relationship Id="rId346" Type="http://schemas.openxmlformats.org/officeDocument/2006/relationships/hyperlink" Target="https://advanced.onlinelibrary.wiley.com/doi/10.1002/adma.202522232?af=R" TargetMode="External"/><Relationship Id="rId347" Type="http://schemas.openxmlformats.org/officeDocument/2006/relationships/hyperlink" Target="https://doi.org/10.1002/adma.202522232" TargetMode="External"/><Relationship Id="rId348" Type="http://schemas.openxmlformats.org/officeDocument/2006/relationships/hyperlink" Target="https://advanced.onlinelibrary.wiley.com/doi/10.1002/adma.202521699?af=R" TargetMode="External"/><Relationship Id="rId349" Type="http://schemas.openxmlformats.org/officeDocument/2006/relationships/hyperlink" Target="https://doi.org/10.1002/adma.202521699" TargetMode="External"/><Relationship Id="rId350" Type="http://schemas.openxmlformats.org/officeDocument/2006/relationships/hyperlink" Target="https://advanced.onlinelibrary.wiley.com/doi/10.1002/adma.202523547?af=R" TargetMode="External"/><Relationship Id="rId351" Type="http://schemas.openxmlformats.org/officeDocument/2006/relationships/hyperlink" Target="https://doi.org/10.1002/adma.202523547" TargetMode="External"/><Relationship Id="rId352" Type="http://schemas.openxmlformats.org/officeDocument/2006/relationships/hyperlink" Target="https://advanced.onlinelibrary.wiley.com/doi/10.1002/adma.72560?af=R" TargetMode="External"/><Relationship Id="rId353" Type="http://schemas.openxmlformats.org/officeDocument/2006/relationships/hyperlink" Target="https://doi.org/10.1002/adma.72560" TargetMode="External"/><Relationship Id="rId354" Type="http://schemas.openxmlformats.org/officeDocument/2006/relationships/hyperlink" Target="https://advanced.onlinelibrary.wiley.com/doi/10.1002/adma.202521600?af=R" TargetMode="External"/><Relationship Id="rId355" Type="http://schemas.openxmlformats.org/officeDocument/2006/relationships/hyperlink" Target="https://doi.org/10.1002/adma.202521600" TargetMode="External"/><Relationship Id="rId356" Type="http://schemas.openxmlformats.org/officeDocument/2006/relationships/hyperlink" Target="https://advanced.onlinelibrary.wiley.com/doi/10.1002/adma.202522896?af=R" TargetMode="External"/><Relationship Id="rId357" Type="http://schemas.openxmlformats.org/officeDocument/2006/relationships/hyperlink" Target="https://doi.org/10.1002/adma.202522896" TargetMode="External"/><Relationship Id="rId358" Type="http://schemas.openxmlformats.org/officeDocument/2006/relationships/hyperlink" Target="https://advanced.onlinelibrary.wiley.com/doi/10.1002/adma.202521570?af=R" TargetMode="External"/><Relationship Id="rId359" Type="http://schemas.openxmlformats.org/officeDocument/2006/relationships/hyperlink" Target="https://doi.org/10.1002/adma.202521570" TargetMode="External"/><Relationship Id="rId360" Type="http://schemas.openxmlformats.org/officeDocument/2006/relationships/hyperlink" Target="https://www.pnas.org/doi/abs/10.1073/pnas.2524764123?mi=eymic2&amp;af=R&amp;access=on&amp;content=articlesChapters&amp;publication=pnas&amp;sortBy=Earliest&amp;target=default" TargetMode="External"/><Relationship Id="rId361" Type="http://schemas.openxmlformats.org/officeDocument/2006/relationships/hyperlink" Target="https://doi.org/10.1073/pnas.2524764123" TargetMode="External"/><Relationship Id="rId362" Type="http://schemas.openxmlformats.org/officeDocument/2006/relationships/hyperlink" Target="https://www.pnas.org/doi/abs/10.1073/pnas.2510881123?mi=eymic2&amp;af=R&amp;access=on&amp;content=articlesChapters&amp;publication=pnas&amp;sortBy=Earliest&amp;target=default" TargetMode="External"/><Relationship Id="rId363" Type="http://schemas.openxmlformats.org/officeDocument/2006/relationships/hyperlink" Target="https://doi.org/10.1073/pnas.2510881123" TargetMode="External"/><Relationship Id="rId364" Type="http://schemas.openxmlformats.org/officeDocument/2006/relationships/hyperlink" Target="https://www.pnas.org/doi/abs/10.1073/pnas.2510936123?mi=eymic2&amp;af=R&amp;access=on&amp;content=articlesChapters&amp;publication=pnas&amp;sortBy=Earliest&amp;target=default" TargetMode="External"/><Relationship Id="rId365" Type="http://schemas.openxmlformats.org/officeDocument/2006/relationships/hyperlink" Target="https://doi.org/10.1073/pnas.2510936123" TargetMode="External"/><Relationship Id="rId366" Type="http://schemas.openxmlformats.org/officeDocument/2006/relationships/hyperlink" Target="https://www.pnas.org/doi/abs/10.1073/pnas.2512532123?mi=eymic2&amp;af=R&amp;access=on&amp;content=articlesChapters&amp;publication=pnas&amp;sortBy=Earliest&amp;target=default" TargetMode="External"/><Relationship Id="rId367" Type="http://schemas.openxmlformats.org/officeDocument/2006/relationships/hyperlink" Target="https://doi.org/10.1073/pnas.2512532123" TargetMode="External"/><Relationship Id="rId368" Type="http://schemas.openxmlformats.org/officeDocument/2006/relationships/hyperlink" Target="https://www.pnas.org/doi/abs/10.1073/pnas.2515134123?mi=eymic2&amp;af=R&amp;access=on&amp;content=articlesChapters&amp;publication=pnas&amp;sortBy=Earliest&amp;target=default" TargetMode="External"/><Relationship Id="rId369" Type="http://schemas.openxmlformats.org/officeDocument/2006/relationships/hyperlink" Target="https://doi.org/10.1073/pnas.2515134123" TargetMode="External"/><Relationship Id="rId370" Type="http://schemas.openxmlformats.org/officeDocument/2006/relationships/hyperlink" Target="https://www.pnas.org/doi/abs/10.1073/pnas.2513685123?mi=eymic2&amp;af=R&amp;access=on&amp;content=articlesChapters&amp;publication=pnas&amp;sortBy=Earliest&amp;target=default" TargetMode="External"/><Relationship Id="rId371" Type="http://schemas.openxmlformats.org/officeDocument/2006/relationships/hyperlink" Target="https://doi.org/10.1073/pnas.2513685123" TargetMode="External"/><Relationship Id="rId372" Type="http://schemas.openxmlformats.org/officeDocument/2006/relationships/hyperlink" Target="https://www.pnas.org/doi/abs/10.1073/pnas.2514991123?mi=eymic2&amp;af=R&amp;access=on&amp;content=articlesChapters&amp;publication=pnas&amp;sortBy=Earliest&amp;target=default" TargetMode="External"/><Relationship Id="rId373" Type="http://schemas.openxmlformats.org/officeDocument/2006/relationships/hyperlink" Target="https://doi.org/10.1073/pnas.2514991123" TargetMode="External"/><Relationship Id="rId374" Type="http://schemas.openxmlformats.org/officeDocument/2006/relationships/hyperlink" Target="https://www.pnas.org/doi/abs/10.1073/pnas.2507896123?mi=eymic2&amp;af=R&amp;access=on&amp;content=articlesChapters&amp;publication=pnas&amp;sortBy=Earliest&amp;target=default" TargetMode="External"/><Relationship Id="rId375" Type="http://schemas.openxmlformats.org/officeDocument/2006/relationships/hyperlink" Target="https://doi.org/10.1073/pnas.2507896123" TargetMode="External"/><Relationship Id="rId376" Type="http://schemas.openxmlformats.org/officeDocument/2006/relationships/hyperlink" Target="https://www.pnas.org/doi/abs/10.1073/pnas.2513161123?mi=eymic2&amp;af=R&amp;access=on&amp;content=articlesChapters&amp;publication=pnas&amp;sortBy=Earliest&amp;target=default" TargetMode="External"/><Relationship Id="rId377" Type="http://schemas.openxmlformats.org/officeDocument/2006/relationships/hyperlink" Target="https://doi.org/10.1073/pnas.2513161123" TargetMode="External"/><Relationship Id="rId378" Type="http://schemas.openxmlformats.org/officeDocument/2006/relationships/hyperlink" Target="https://www.pnas.org/doi/abs/10.1073/iti0726123?mi=eymic2&amp;af=R&amp;access=on&amp;content=articlesChapters&amp;publication=pnas&amp;sortBy=Earliest&amp;target=default" TargetMode="External"/><Relationship Id="rId379" Type="http://schemas.openxmlformats.org/officeDocument/2006/relationships/hyperlink" Target="https://doi.org/10.1073/iti0726123" TargetMode="External"/><Relationship Id="rId380" Type="http://schemas.openxmlformats.org/officeDocument/2006/relationships/hyperlink" Target="https://www.pnas.org/doi/abs/10.1073/pnas.2533600123?mi=eymic2&amp;af=R&amp;access=on&amp;content=articlesChapters&amp;publication=pnas&amp;sortBy=Earliest&amp;target=default" TargetMode="External"/><Relationship Id="rId381" Type="http://schemas.openxmlformats.org/officeDocument/2006/relationships/hyperlink" Target="https://doi.org/10.1073/pnas.2533600123" TargetMode="External"/><Relationship Id="rId382" Type="http://schemas.openxmlformats.org/officeDocument/2006/relationships/hyperlink" Target="https://www.pnas.org/doi/abs/10.1073/pnas.2529810123?mi=eymic2&amp;af=R&amp;access=on&amp;content=articlesChapters&amp;publication=pnas&amp;sortBy=Earliest&amp;target=default" TargetMode="External"/><Relationship Id="rId383" Type="http://schemas.openxmlformats.org/officeDocument/2006/relationships/hyperlink" Target="https://doi.org/10.1073/pnas.2529810123" TargetMode="External"/><Relationship Id="rId384" Type="http://schemas.openxmlformats.org/officeDocument/2006/relationships/hyperlink" Target="https://www.pnas.org/doi/abs/10.1073/pnas.2532234123?mi=eymic2&amp;af=R&amp;access=on&amp;content=articlesChapters&amp;publication=pnas&amp;sortBy=Earliest&amp;target=default" TargetMode="External"/><Relationship Id="rId385" Type="http://schemas.openxmlformats.org/officeDocument/2006/relationships/hyperlink" Target="https://doi.org/10.1073/pnas.2532234123" TargetMode="External"/><Relationship Id="rId386" Type="http://schemas.openxmlformats.org/officeDocument/2006/relationships/hyperlink" Target="https://www.pnas.org/doi/abs/10.1073/pnas.2516746123?mi=eymic2&amp;af=R&amp;access=on&amp;content=articlesChapters&amp;publication=pnas&amp;sortBy=Earliest&amp;target=default" TargetMode="External"/><Relationship Id="rId387" Type="http://schemas.openxmlformats.org/officeDocument/2006/relationships/hyperlink" Target="https://doi.org/10.1073/pnas.2516746123" TargetMode="External"/><Relationship Id="rId388" Type="http://schemas.openxmlformats.org/officeDocument/2006/relationships/hyperlink" Target="https://www.pnas.org/doi/abs/10.1073/pnas.2536314123?mi=eymic2&amp;af=R&amp;access=on&amp;content=articlesChapters&amp;publication=pnas&amp;sortBy=Earliest&amp;target=default" TargetMode="External"/><Relationship Id="rId389" Type="http://schemas.openxmlformats.org/officeDocument/2006/relationships/hyperlink" Target="https://doi.org/10.1073/pnas.2536314123" TargetMode="External"/><Relationship Id="rId390" Type="http://schemas.openxmlformats.org/officeDocument/2006/relationships/hyperlink" Target="https://www.pnas.org/doi/abs/10.1073/pnas.2537404123?mi=eymic2&amp;af=R&amp;access=on&amp;content=articlesChapters&amp;publication=pnas&amp;sortBy=Earliest&amp;target=default" TargetMode="External"/><Relationship Id="rId391" Type="http://schemas.openxmlformats.org/officeDocument/2006/relationships/hyperlink" Target="https://doi.org/10.1073/pnas.2537404123" TargetMode="External"/><Relationship Id="rId392" Type="http://schemas.openxmlformats.org/officeDocument/2006/relationships/hyperlink" Target="https://www.pnas.org/doi/abs/10.1073/pnas.2537958123?mi=eymic2&amp;af=R&amp;access=on&amp;content=articlesChapters&amp;publication=pnas&amp;sortBy=Earliest&amp;target=default" TargetMode="External"/><Relationship Id="rId393" Type="http://schemas.openxmlformats.org/officeDocument/2006/relationships/hyperlink" Target="https://doi.org/10.1073/pnas.2537958123" TargetMode="External"/><Relationship Id="rId394" Type="http://schemas.openxmlformats.org/officeDocument/2006/relationships/hyperlink" Target="https://www.pnas.org/doi/abs/10.1073/pnas.2600463123?mi=eymic2&amp;af=R&amp;access=on&amp;content=articlesChapters&amp;publication=pnas&amp;sortBy=Earliest&amp;target=default" TargetMode="External"/><Relationship Id="rId395" Type="http://schemas.openxmlformats.org/officeDocument/2006/relationships/hyperlink" Target="https://doi.org/10.1073/pnas.2600463123" TargetMode="External"/><Relationship Id="rId396" Type="http://schemas.openxmlformats.org/officeDocument/2006/relationships/hyperlink" Target="https://www.pnas.org/doi/abs/10.1073/pnas.2523071123?mi=eymic2&amp;af=R&amp;access=on&amp;content=articlesChapters&amp;publication=pnas&amp;sortBy=Earliest&amp;target=default" TargetMode="External"/><Relationship Id="rId397" Type="http://schemas.openxmlformats.org/officeDocument/2006/relationships/hyperlink" Target="https://doi.org/10.1073/pnas.2523071123" TargetMode="External"/><Relationship Id="rId398" Type="http://schemas.openxmlformats.org/officeDocument/2006/relationships/hyperlink" Target="https://www.pnas.org/doi/abs/10.1073/pnas.2528796123?mi=eymic2&amp;af=R&amp;access=on&amp;content=articlesChapters&amp;publication=pnas&amp;sortBy=Earliest&amp;target=default" TargetMode="External"/><Relationship Id="rId399" Type="http://schemas.openxmlformats.org/officeDocument/2006/relationships/hyperlink" Target="https://doi.org/10.1073/pnas.2528796123" TargetMode="External"/><Relationship Id="rId400" Type="http://schemas.openxmlformats.org/officeDocument/2006/relationships/hyperlink" Target="https://www.pnas.org/doi/abs/10.1073/pnas.2517506123?mi=eymic2&amp;af=R&amp;access=on&amp;content=articlesChapters&amp;publication=pnas&amp;sortBy=Earliest&amp;target=default" TargetMode="External"/><Relationship Id="rId401" Type="http://schemas.openxmlformats.org/officeDocument/2006/relationships/hyperlink" Target="https://doi.org/10.1073/pnas.2517506123" TargetMode="External"/><Relationship Id="rId402" Type="http://schemas.openxmlformats.org/officeDocument/2006/relationships/hyperlink" Target="https://www.pnas.org/doi/abs/10.1073/pnas.2523008123?mi=eymic2&amp;af=R&amp;access=on&amp;content=articlesChapters&amp;publication=pnas&amp;sortBy=Earliest&amp;target=default" TargetMode="External"/><Relationship Id="rId403" Type="http://schemas.openxmlformats.org/officeDocument/2006/relationships/hyperlink" Target="https://doi.org/10.1073/pnas.2523008123" TargetMode="External"/><Relationship Id="rId404" Type="http://schemas.openxmlformats.org/officeDocument/2006/relationships/hyperlink" Target="https://www.pnas.org/doi/abs/10.1073/pnas.2528167123?mi=eymic2&amp;af=R&amp;access=on&amp;content=articlesChapters&amp;publication=pnas&amp;sortBy=Earliest&amp;target=default" TargetMode="External"/><Relationship Id="rId405" Type="http://schemas.openxmlformats.org/officeDocument/2006/relationships/hyperlink" Target="https://doi.org/10.1073/pnas.2528167123" TargetMode="External"/><Relationship Id="rId406" Type="http://schemas.openxmlformats.org/officeDocument/2006/relationships/hyperlink" Target="https://www.pnas.org/doi/abs/10.1073/pnas.2527882123?mi=eymic2&amp;af=R&amp;access=on&amp;content=articlesChapters&amp;publication=pnas&amp;sortBy=Earliest&amp;target=default" TargetMode="External"/><Relationship Id="rId407" Type="http://schemas.openxmlformats.org/officeDocument/2006/relationships/hyperlink" Target="https://doi.org/10.1073/pnas.2527882123" TargetMode="External"/><Relationship Id="rId408" Type="http://schemas.openxmlformats.org/officeDocument/2006/relationships/hyperlink" Target="https://www.pnas.org/doi/abs/10.1073/pnas.2528379123?mi=eymic2&amp;af=R&amp;access=on&amp;content=articlesChapters&amp;publication=pnas&amp;sortBy=Earliest&amp;target=default" TargetMode="External"/><Relationship Id="rId409" Type="http://schemas.openxmlformats.org/officeDocument/2006/relationships/hyperlink" Target="https://doi.org/10.1073/pnas.2528379123" TargetMode="External"/><Relationship Id="rId410" Type="http://schemas.openxmlformats.org/officeDocument/2006/relationships/hyperlink" Target="https://www.pnas.org/doi/abs/10.1073/pnas.2522349123?mi=eymic2&amp;af=R&amp;access=on&amp;content=articlesChapters&amp;publication=pnas&amp;sortBy=Earliest&amp;target=default" TargetMode="External"/><Relationship Id="rId411" Type="http://schemas.openxmlformats.org/officeDocument/2006/relationships/hyperlink" Target="https://doi.org/10.1073/pnas.2522349123" TargetMode="External"/><Relationship Id="rId412" Type="http://schemas.openxmlformats.org/officeDocument/2006/relationships/hyperlink" Target="https://www.pnas.org/doi/abs/10.1073/pnas.2522267123?mi=eymic2&amp;af=R&amp;access=on&amp;content=articlesChapters&amp;publication=pnas&amp;sortBy=Earliest&amp;target=default" TargetMode="External"/><Relationship Id="rId413" Type="http://schemas.openxmlformats.org/officeDocument/2006/relationships/hyperlink" Target="https://doi.org/10.1073/pnas.2522267123" TargetMode="External"/><Relationship Id="rId414" Type="http://schemas.openxmlformats.org/officeDocument/2006/relationships/hyperlink" Target="https://www.pnas.org/doi/abs/10.1073/pnas.2526651123?mi=eymic2&amp;af=R&amp;access=on&amp;content=articlesChapters&amp;publication=pnas&amp;sortBy=Earliest&amp;target=default" TargetMode="External"/><Relationship Id="rId415" Type="http://schemas.openxmlformats.org/officeDocument/2006/relationships/hyperlink" Target="https://doi.org/10.1073/pnas.2526651123" TargetMode="External"/><Relationship Id="rId416" Type="http://schemas.openxmlformats.org/officeDocument/2006/relationships/hyperlink" Target="https://www.pnas.org/doi/abs/10.1073/pnas.2522228123?mi=eymic2&amp;af=R&amp;access=on&amp;content=articlesChapters&amp;publication=pnas&amp;sortBy=Earliest&amp;target=default" TargetMode="External"/><Relationship Id="rId417" Type="http://schemas.openxmlformats.org/officeDocument/2006/relationships/hyperlink" Target="https://doi.org/10.1073/pnas.2522228123" TargetMode="External"/><Relationship Id="rId418" Type="http://schemas.openxmlformats.org/officeDocument/2006/relationships/hyperlink" Target="https://www.pnas.org/doi/abs/10.1073/pnas.2525881123?mi=eymic2&amp;af=R&amp;access=on&amp;content=articlesChapters&amp;publication=pnas&amp;sortBy=Earliest&amp;target=default" TargetMode="External"/><Relationship Id="rId419" Type="http://schemas.openxmlformats.org/officeDocument/2006/relationships/hyperlink" Target="https://doi.org/10.1073/pnas.2525881123" TargetMode="External"/><Relationship Id="rId420" Type="http://schemas.openxmlformats.org/officeDocument/2006/relationships/hyperlink" Target="https://www.pnas.org/doi/abs/10.1073/pnas.2522052123?mi=eymic2&amp;af=R&amp;access=on&amp;content=articlesChapters&amp;publication=pnas&amp;sortBy=Earliest&amp;target=default" TargetMode="External"/><Relationship Id="rId421" Type="http://schemas.openxmlformats.org/officeDocument/2006/relationships/hyperlink" Target="https://doi.org/10.1073/pnas.2522052123" TargetMode="External"/><Relationship Id="rId422" Type="http://schemas.openxmlformats.org/officeDocument/2006/relationships/hyperlink" Target="https://www.pnas.org/doi/abs/10.1073/pnas.2520029123?mi=eymic2&amp;af=R&amp;access=on&amp;content=articlesChapters&amp;publication=pnas&amp;sortBy=Earliest&amp;target=default" TargetMode="External"/><Relationship Id="rId423" Type="http://schemas.openxmlformats.org/officeDocument/2006/relationships/hyperlink" Target="https://doi.org/10.1073/pnas.2520029123" TargetMode="External"/><Relationship Id="rId424" Type="http://schemas.openxmlformats.org/officeDocument/2006/relationships/hyperlink" Target="https://www.pnas.org/doi/abs/10.1073/pnas.2527021123?mi=eymic2&amp;af=R&amp;access=on&amp;content=articlesChapters&amp;publication=pnas&amp;sortBy=Earliest&amp;target=default" TargetMode="External"/><Relationship Id="rId425" Type="http://schemas.openxmlformats.org/officeDocument/2006/relationships/hyperlink" Target="https://doi.org/10.1073/pnas.2527021123" TargetMode="External"/><Relationship Id="rId426" Type="http://schemas.openxmlformats.org/officeDocument/2006/relationships/hyperlink" Target="https://www.pnas.org/doi/abs/10.1073/pnas.2518354123?mi=eymic2&amp;af=R&amp;access=on&amp;content=articlesChapters&amp;publication=pnas&amp;sortBy=Earliest&amp;target=default" TargetMode="External"/><Relationship Id="rId427" Type="http://schemas.openxmlformats.org/officeDocument/2006/relationships/hyperlink" Target="https://doi.org/10.1073/pnas.2518354123" TargetMode="External"/><Relationship Id="rId428" Type="http://schemas.openxmlformats.org/officeDocument/2006/relationships/hyperlink" Target="https://www.pnas.org/doi/abs/10.1073/pnas.2519437123?mi=eymic2&amp;af=R&amp;access=on&amp;content=articlesChapters&amp;publication=pnas&amp;sortBy=Earliest&amp;target=default" TargetMode="External"/><Relationship Id="rId429" Type="http://schemas.openxmlformats.org/officeDocument/2006/relationships/hyperlink" Target="https://doi.org/10.1073/pnas.2519437123" TargetMode="External"/><Relationship Id="rId430" Type="http://schemas.openxmlformats.org/officeDocument/2006/relationships/hyperlink" Target="https://www.pnas.org/doi/abs/10.1073/pnas.2518902123?mi=eymic2&amp;af=R&amp;access=on&amp;content=articlesChapters&amp;publication=pnas&amp;sortBy=Earliest&amp;target=default" TargetMode="External"/><Relationship Id="rId431" Type="http://schemas.openxmlformats.org/officeDocument/2006/relationships/hyperlink" Target="https://doi.org/10.1073/pnas.2518902123" TargetMode="External"/><Relationship Id="rId432" Type="http://schemas.openxmlformats.org/officeDocument/2006/relationships/hyperlink" Target="https://www.pnas.org/doi/abs/10.1073/pnas.2519118123?mi=eymic2&amp;af=R&amp;access=on&amp;content=articlesChapters&amp;publication=pnas&amp;sortBy=Earliest&amp;target=default" TargetMode="External"/><Relationship Id="rId433" Type="http://schemas.openxmlformats.org/officeDocument/2006/relationships/hyperlink" Target="https://doi.org/10.1073/pnas.2519118123" TargetMode="External"/><Relationship Id="rId434" Type="http://schemas.openxmlformats.org/officeDocument/2006/relationships/hyperlink" Target="https://advanced.onlinelibrary.wiley.com/doi/10.1002/aenm.70774?af=R" TargetMode="External"/><Relationship Id="rId435" Type="http://schemas.openxmlformats.org/officeDocument/2006/relationships/hyperlink" Target="https://doi.org/10.1002/aenm.70774" TargetMode="External"/><Relationship Id="rId436" Type="http://schemas.openxmlformats.org/officeDocument/2006/relationships/hyperlink" Target="https://advanced.onlinelibrary.wiley.com/doi/10.1002/aenm.70759?af=R" TargetMode="External"/><Relationship Id="rId437" Type="http://schemas.openxmlformats.org/officeDocument/2006/relationships/hyperlink" Target="https://doi.org/10.1002/aenm.70759" TargetMode="External"/><Relationship Id="rId438" Type="http://schemas.openxmlformats.org/officeDocument/2006/relationships/hyperlink" Target="https://onlinelibrary.wiley.com/doi/10.1002/anie.6478038?af=R" TargetMode="External"/><Relationship Id="rId439" Type="http://schemas.openxmlformats.org/officeDocument/2006/relationships/hyperlink" Target="https://doi.org/10.1002/anie.6478038" TargetMode="External"/><Relationship Id="rId440" Type="http://schemas.openxmlformats.org/officeDocument/2006/relationships/hyperlink" Target="https://onlinelibrary.wiley.com/doi/10.1002/anie.7633567?af=R" TargetMode="External"/><Relationship Id="rId441" Type="http://schemas.openxmlformats.org/officeDocument/2006/relationships/hyperlink" Target="https://doi.org/10.1002/anie.7633567" TargetMode="External"/><Relationship Id="rId442" Type="http://schemas.openxmlformats.org/officeDocument/2006/relationships/hyperlink" Target="https://advanced.onlinelibrary.wiley.com/doi/10.1002/aenm.70758?af=R" TargetMode="External"/><Relationship Id="rId443" Type="http://schemas.openxmlformats.org/officeDocument/2006/relationships/hyperlink" Target="https://doi.org/10.1002/aenm.70758" TargetMode="External"/><Relationship Id="rId444" Type="http://schemas.openxmlformats.org/officeDocument/2006/relationships/hyperlink" Target="https://onlinelibrary.wiley.com/doi/10.1002/anie.4871915?af=R" TargetMode="External"/><Relationship Id="rId445" Type="http://schemas.openxmlformats.org/officeDocument/2006/relationships/hyperlink" Target="https://doi.org/10.1002/anie.4871915" TargetMode="External"/><Relationship Id="rId446" Type="http://schemas.openxmlformats.org/officeDocument/2006/relationships/hyperlink" Target="https://onlinelibrary.wiley.com/doi/10.1002/anie.202523229?af=R" TargetMode="External"/><Relationship Id="rId447" Type="http://schemas.openxmlformats.org/officeDocument/2006/relationships/hyperlink" Target="https://doi.org/10.1002/anie.202523229" TargetMode="External"/><Relationship Id="rId448" Type="http://schemas.openxmlformats.org/officeDocument/2006/relationships/hyperlink" Target="https://onlinelibrary.wiley.com/doi/10.1002/anie.6076409?af=R" TargetMode="External"/><Relationship Id="rId449" Type="http://schemas.openxmlformats.org/officeDocument/2006/relationships/hyperlink" Target="https://doi.org/10.1002/anie.6076409" TargetMode="External"/><Relationship Id="rId450" Type="http://schemas.openxmlformats.org/officeDocument/2006/relationships/hyperlink" Target="https://onlinelibrary.wiley.com/doi/10.1002/anie.8039232?af=R" TargetMode="External"/><Relationship Id="rId451" Type="http://schemas.openxmlformats.org/officeDocument/2006/relationships/hyperlink" Target="https://doi.org/10.1002/anie.8039232" TargetMode="External"/><Relationship Id="rId452" Type="http://schemas.openxmlformats.org/officeDocument/2006/relationships/hyperlink" Target="https://onlinelibrary.wiley.com/doi/10.1002/anie.5862968?af=R" TargetMode="External"/><Relationship Id="rId453" Type="http://schemas.openxmlformats.org/officeDocument/2006/relationships/hyperlink" Target="https://doi.org/10.1002/anie.5862968" TargetMode="External"/><Relationship Id="rId454" Type="http://schemas.openxmlformats.org/officeDocument/2006/relationships/hyperlink" Target="https://onlinelibrary.wiley.com/doi/10.1002/anie.8595061?af=R" TargetMode="External"/><Relationship Id="rId455" Type="http://schemas.openxmlformats.org/officeDocument/2006/relationships/hyperlink" Target="https://doi.org/10.1002/anie.8595061" TargetMode="External"/><Relationship Id="rId456" Type="http://schemas.openxmlformats.org/officeDocument/2006/relationships/hyperlink" Target="https://onlinelibrary.wiley.com/doi/10.1002/anie.202524691?af=R" TargetMode="External"/><Relationship Id="rId457" Type="http://schemas.openxmlformats.org/officeDocument/2006/relationships/hyperlink" Target="https://doi.org/10.1002/anie.202524691" TargetMode="External"/><Relationship Id="rId458" Type="http://schemas.openxmlformats.org/officeDocument/2006/relationships/hyperlink" Target="https://onlinelibrary.wiley.com/doi/10.1002/anie.202523653?af=R" TargetMode="External"/><Relationship Id="rId459" Type="http://schemas.openxmlformats.org/officeDocument/2006/relationships/hyperlink" Target="https://doi.org/10.1002/anie.202523653" TargetMode="External"/><Relationship Id="rId460" Type="http://schemas.openxmlformats.org/officeDocument/2006/relationships/hyperlink" Target="https://advanced.onlinelibrary.wiley.com/doi/10.1002/aenm.70775?af=R" TargetMode="External"/><Relationship Id="rId461" Type="http://schemas.openxmlformats.org/officeDocument/2006/relationships/hyperlink" Target="https://doi.org/10.1002/aenm.70775" TargetMode="External"/><Relationship Id="rId462" Type="http://schemas.openxmlformats.org/officeDocument/2006/relationships/hyperlink" Target="https://advanced.onlinelibrary.wiley.com/doi/10.1002/adma.202523331?af=R" TargetMode="External"/><Relationship Id="rId463" Type="http://schemas.openxmlformats.org/officeDocument/2006/relationships/hyperlink" Target="https://doi.org/10.1002/adma.202523331" TargetMode="External"/><Relationship Id="rId464" Type="http://schemas.openxmlformats.org/officeDocument/2006/relationships/hyperlink" Target="https://advanced.onlinelibrary.wiley.com/doi/10.1002/adma.202523005?af=R" TargetMode="External"/><Relationship Id="rId465" Type="http://schemas.openxmlformats.org/officeDocument/2006/relationships/hyperlink" Target="https://doi.org/10.1002/adma.202523005" TargetMode="External"/><Relationship Id="rId466" Type="http://schemas.openxmlformats.org/officeDocument/2006/relationships/hyperlink" Target="https://onlinelibrary.wiley.com/doi/10.1002/anie.202518370?af=R" TargetMode="External"/><Relationship Id="rId467" Type="http://schemas.openxmlformats.org/officeDocument/2006/relationships/hyperlink" Target="https://doi.org/10.1002/anie.202518370" TargetMode="External"/><Relationship Id="rId468" Type="http://schemas.openxmlformats.org/officeDocument/2006/relationships/hyperlink" Target="https://advanced.onlinelibrary.wiley.com/doi/10.1002/adma.72592?af=R" TargetMode="External"/><Relationship Id="rId469" Type="http://schemas.openxmlformats.org/officeDocument/2006/relationships/hyperlink" Target="https://doi.org/10.1002/adma.72592" TargetMode="External"/><Relationship Id="rId470" Type="http://schemas.openxmlformats.org/officeDocument/2006/relationships/hyperlink" Target="https://onlinelibrary.wiley.com/doi/10.1002/anie.202524854?af=R" TargetMode="External"/><Relationship Id="rId471" Type="http://schemas.openxmlformats.org/officeDocument/2006/relationships/hyperlink" Target="https://doi.org/10.1002/anie.202524854" TargetMode="External"/><Relationship Id="rId472" Type="http://schemas.openxmlformats.org/officeDocument/2006/relationships/hyperlink" Target="https://advanced.onlinelibrary.wiley.com/doi/10.1002/adma.72276?af=R" TargetMode="External"/><Relationship Id="rId473" Type="http://schemas.openxmlformats.org/officeDocument/2006/relationships/hyperlink" Target="https://doi.org/10.1002/adma.72276" TargetMode="External"/><Relationship Id="rId474" Type="http://schemas.openxmlformats.org/officeDocument/2006/relationships/hyperlink" Target="https://advanced.onlinelibrary.wiley.com/doi/10.1002/adma.72274?af=R" TargetMode="External"/><Relationship Id="rId475" Type="http://schemas.openxmlformats.org/officeDocument/2006/relationships/hyperlink" Target="https://doi.org/10.1002/adma.72274" TargetMode="External"/><Relationship Id="rId476" Type="http://schemas.openxmlformats.org/officeDocument/2006/relationships/hyperlink" Target="https://advanced.onlinelibrary.wiley.com/doi/10.1002/adma.72277?af=R" TargetMode="External"/><Relationship Id="rId477" Type="http://schemas.openxmlformats.org/officeDocument/2006/relationships/hyperlink" Target="https://doi.org/10.1002/adma.72277" TargetMode="External"/><Relationship Id="rId478" Type="http://schemas.openxmlformats.org/officeDocument/2006/relationships/hyperlink" Target="http://dx.doi.org/10.1021/jacs.5c19824" TargetMode="External"/><Relationship Id="rId479" Type="http://schemas.openxmlformats.org/officeDocument/2006/relationships/hyperlink" Target="https://doi.org/10.1021/jacs.5c19824" TargetMode="External"/><Relationship Id="rId480" Type="http://schemas.openxmlformats.org/officeDocument/2006/relationships/hyperlink" Target="https://advanced.onlinelibrary.wiley.com/doi/10.1002/aenm.70570?af=R" TargetMode="External"/><Relationship Id="rId481" Type="http://schemas.openxmlformats.org/officeDocument/2006/relationships/hyperlink" Target="https://doi.org/10.1002/aenm.70570" TargetMode="External"/><Relationship Id="rId482" Type="http://schemas.openxmlformats.org/officeDocument/2006/relationships/hyperlink" Target="http://dx.doi.org/10.1021/acsenergylett.5c03890" TargetMode="External"/><Relationship Id="rId483" Type="http://schemas.openxmlformats.org/officeDocument/2006/relationships/hyperlink" Target="https://doi.org/10.1021/acsenergylett.5c03890" TargetMode="External"/><Relationship Id="rId484" Type="http://schemas.openxmlformats.org/officeDocument/2006/relationships/hyperlink" Target="https://advanced.onlinelibrary.wiley.com/doi/10.1002/adma.202515925?af=R" TargetMode="External"/><Relationship Id="rId485" Type="http://schemas.openxmlformats.org/officeDocument/2006/relationships/hyperlink" Target="https://doi.org/10.1002/adma.202515925" TargetMode="External"/><Relationship Id="rId486" Type="http://schemas.openxmlformats.org/officeDocument/2006/relationships/hyperlink" Target="https://advanced.onlinelibrary.wiley.com/doi/10.1002/adma.202516797?af=R" TargetMode="External"/><Relationship Id="rId487" Type="http://schemas.openxmlformats.org/officeDocument/2006/relationships/hyperlink" Target="https://doi.org/10.1002/adma.202516797" TargetMode="External"/><Relationship Id="rId488" Type="http://schemas.openxmlformats.org/officeDocument/2006/relationships/hyperlink" Target="https://advanced.onlinelibrary.wiley.com/doi/10.1002/adma.202523381?af=R" TargetMode="External"/><Relationship Id="rId489" Type="http://schemas.openxmlformats.org/officeDocument/2006/relationships/hyperlink" Target="https://doi.org/10.1002/adma.202523381" TargetMode="External"/><Relationship Id="rId490" Type="http://schemas.openxmlformats.org/officeDocument/2006/relationships/hyperlink" Target="https://onlinelibrary.wiley.com/doi/10.1002/anie.2434302?af=R" TargetMode="External"/><Relationship Id="rId491" Type="http://schemas.openxmlformats.org/officeDocument/2006/relationships/hyperlink" Target="https://doi.org/10.1002/anie.2434302" TargetMode="External"/><Relationship Id="rId492" Type="http://schemas.openxmlformats.org/officeDocument/2006/relationships/hyperlink" Target="https://advanced.onlinelibrary.wiley.com/doi/10.1002/adma.202523625?af=R" TargetMode="External"/><Relationship Id="rId493" Type="http://schemas.openxmlformats.org/officeDocument/2006/relationships/hyperlink" Target="https://doi.org/10.1002/adma.202523625" TargetMode="External"/><Relationship Id="rId494" Type="http://schemas.openxmlformats.org/officeDocument/2006/relationships/hyperlink" Target="https://onlinelibrary.wiley.com/doi/10.1002/anie.202525311?af=R" TargetMode="External"/><Relationship Id="rId495" Type="http://schemas.openxmlformats.org/officeDocument/2006/relationships/hyperlink" Target="https://doi.org/10.1002/anie.202525311" TargetMode="External"/><Relationship Id="rId496" Type="http://schemas.openxmlformats.org/officeDocument/2006/relationships/hyperlink" Target="https://advanced.onlinelibrary.wiley.com/doi/10.1002/adma.202510663?af=R" TargetMode="External"/><Relationship Id="rId497" Type="http://schemas.openxmlformats.org/officeDocument/2006/relationships/hyperlink" Target="https://doi.org/10.1002/adma.202510663" TargetMode="External"/><Relationship Id="rId498" Type="http://schemas.openxmlformats.org/officeDocument/2006/relationships/hyperlink" Target="https://advanced.onlinelibrary.wiley.com/doi/10.1002/adma.202517706?af=R" TargetMode="External"/><Relationship Id="rId499" Type="http://schemas.openxmlformats.org/officeDocument/2006/relationships/hyperlink" Target="https://doi.org/10.1002/adma.202517706" TargetMode="External"/><Relationship Id="rId500" Type="http://schemas.openxmlformats.org/officeDocument/2006/relationships/hyperlink" Target="http://dx.doi.org/10.1021/jacs.5c20053" TargetMode="External"/><Relationship Id="rId501" Type="http://schemas.openxmlformats.org/officeDocument/2006/relationships/hyperlink" Target="https://doi.org/10.1021/jacs.5c20053" TargetMode="External"/><Relationship Id="rId502" Type="http://schemas.openxmlformats.org/officeDocument/2006/relationships/hyperlink" Target="http://dx.doi.org/10.1021/jacs.5c19867" TargetMode="External"/><Relationship Id="rId503" Type="http://schemas.openxmlformats.org/officeDocument/2006/relationships/hyperlink" Target="https://doi.org/10.1021/jacs.5c19867" TargetMode="External"/><Relationship Id="rId504" Type="http://schemas.openxmlformats.org/officeDocument/2006/relationships/hyperlink" Target="http://dx.doi.org/10.1021/jacs.5c19777" TargetMode="External"/><Relationship Id="rId505" Type="http://schemas.openxmlformats.org/officeDocument/2006/relationships/hyperlink" Target="https://doi.org/10.1021/jacs.5c19777" TargetMode="External"/><Relationship Id="rId506" Type="http://schemas.openxmlformats.org/officeDocument/2006/relationships/hyperlink" Target="http://dx.doi.org/10.1021/jacs.5c14936" TargetMode="External"/><Relationship Id="rId507" Type="http://schemas.openxmlformats.org/officeDocument/2006/relationships/hyperlink" Target="https://doi.org/10.1021/jacs.5c14936" TargetMode="External"/><Relationship Id="rId508" Type="http://schemas.openxmlformats.org/officeDocument/2006/relationships/hyperlink" Target="http://dx.doi.org/10.1021/jacs.5c18541" TargetMode="External"/><Relationship Id="rId509" Type="http://schemas.openxmlformats.org/officeDocument/2006/relationships/hyperlink" Target="https://doi.org/10.1021/jacs.5c18541" TargetMode="External"/><Relationship Id="rId510" Type="http://schemas.openxmlformats.org/officeDocument/2006/relationships/hyperlink" Target="http://dx.doi.org/10.1021/jacs.5c19731" TargetMode="External"/><Relationship Id="rId511" Type="http://schemas.openxmlformats.org/officeDocument/2006/relationships/hyperlink" Target="https://doi.org/10.1021/jacs.5c19731" TargetMode="External"/><Relationship Id="rId512" Type="http://schemas.openxmlformats.org/officeDocument/2006/relationships/hyperlink" Target="http://dx.doi.org/10.1021/jacs.5c21528" TargetMode="External"/><Relationship Id="rId513" Type="http://schemas.openxmlformats.org/officeDocument/2006/relationships/hyperlink" Target="https://doi.org/10.1021/jacs.5c21528" TargetMode="External"/><Relationship Id="rId514" Type="http://schemas.openxmlformats.org/officeDocument/2006/relationships/hyperlink" Target="http://dx.doi.org/10.1021/jacs.5c21715" TargetMode="External"/><Relationship Id="rId515" Type="http://schemas.openxmlformats.org/officeDocument/2006/relationships/hyperlink" Target="https://doi.org/10.1021/jacs.5c21715" TargetMode="External"/><Relationship Id="rId516" Type="http://schemas.openxmlformats.org/officeDocument/2006/relationships/hyperlink" Target="http://dx.doi.org/10.1021/jacs.5c19779" TargetMode="External"/><Relationship Id="rId517" Type="http://schemas.openxmlformats.org/officeDocument/2006/relationships/hyperlink" Target="https://doi.org/10.1021/jacs.5c19779" TargetMode="External"/><Relationship Id="rId518" Type="http://schemas.openxmlformats.org/officeDocument/2006/relationships/hyperlink" Target="http://dx.doi.org/10.1021/jacs.5c17189" TargetMode="External"/><Relationship Id="rId519" Type="http://schemas.openxmlformats.org/officeDocument/2006/relationships/hyperlink" Target="https://doi.org/10.1021/jacs.5c17189" TargetMode="External"/><Relationship Id="rId520" Type="http://schemas.openxmlformats.org/officeDocument/2006/relationships/hyperlink" Target="http://dx.doi.org/10.1021/jacs.5c17263" TargetMode="External"/><Relationship Id="rId521" Type="http://schemas.openxmlformats.org/officeDocument/2006/relationships/hyperlink" Target="https://doi.org/10.1021/jacs.5c17263" TargetMode="External"/><Relationship Id="rId522" Type="http://schemas.openxmlformats.org/officeDocument/2006/relationships/hyperlink" Target="http://dx.doi.org/10.1021/jacs.5c19778" TargetMode="External"/><Relationship Id="rId523" Type="http://schemas.openxmlformats.org/officeDocument/2006/relationships/hyperlink" Target="https://doi.org/10.1021/jacs.5c19778" TargetMode="External"/><Relationship Id="rId524" Type="http://schemas.openxmlformats.org/officeDocument/2006/relationships/hyperlink" Target="http://dx.doi.org/10.1021/jacs.5c16290" TargetMode="External"/><Relationship Id="rId525" Type="http://schemas.openxmlformats.org/officeDocument/2006/relationships/hyperlink" Target="https://doi.org/10.1021/jacs.5c16290" TargetMode="External"/><Relationship Id="rId526" Type="http://schemas.openxmlformats.org/officeDocument/2006/relationships/hyperlink" Target="http://dx.doi.org/10.1021/jacs.6c02031" TargetMode="External"/><Relationship Id="rId527" Type="http://schemas.openxmlformats.org/officeDocument/2006/relationships/hyperlink" Target="https://doi.org/10.1021/jacs.6c02031" TargetMode="External"/><Relationship Id="rId528" Type="http://schemas.openxmlformats.org/officeDocument/2006/relationships/hyperlink" Target="http://dx.doi.org/10.1021/jacs.5c22624" TargetMode="External"/><Relationship Id="rId529" Type="http://schemas.openxmlformats.org/officeDocument/2006/relationships/hyperlink" Target="https://doi.org/10.1021/jacs.5c22624" TargetMode="External"/><Relationship Id="rId530" Type="http://schemas.openxmlformats.org/officeDocument/2006/relationships/hyperlink" Target="http://dx.doi.org/10.1021/jacs.5c22244" TargetMode="External"/><Relationship Id="rId531" Type="http://schemas.openxmlformats.org/officeDocument/2006/relationships/hyperlink" Target="https://doi.org/10.1021/jacs.5c22244" TargetMode="External"/><Relationship Id="rId532" Type="http://schemas.openxmlformats.org/officeDocument/2006/relationships/hyperlink" Target="http://dx.doi.org/10.1021/jacs.5c20845" TargetMode="External"/><Relationship Id="rId533" Type="http://schemas.openxmlformats.org/officeDocument/2006/relationships/hyperlink" Target="https://doi.org/10.1021/jacs.5c20845" TargetMode="External"/><Relationship Id="rId534" Type="http://schemas.openxmlformats.org/officeDocument/2006/relationships/hyperlink" Target="http://dx.doi.org/10.1021/jacs.5c20464" TargetMode="External"/><Relationship Id="rId535" Type="http://schemas.openxmlformats.org/officeDocument/2006/relationships/hyperlink" Target="https://doi.org/10.1021/jacs.5c20464" TargetMode="External"/><Relationship Id="rId536" Type="http://schemas.openxmlformats.org/officeDocument/2006/relationships/hyperlink" Target="https://www.nature.com/articles/s41586-025-10094-y" TargetMode="External"/><Relationship Id="rId537" Type="http://schemas.openxmlformats.org/officeDocument/2006/relationships/hyperlink" Target="https://www.nature.com/articles/s41586-025-10092-0" TargetMode="External"/><Relationship Id="rId538" Type="http://schemas.openxmlformats.org/officeDocument/2006/relationships/hyperlink" Target="https://www.nature.com/articles/s41586-025-10042-w" TargetMode="External"/><Relationship Id="rId539" Type="http://schemas.openxmlformats.org/officeDocument/2006/relationships/hyperlink" Target="https://www.nature.com/articles/s41586-025-10039-5" TargetMode="External"/><Relationship Id="rId540" Type="http://schemas.openxmlformats.org/officeDocument/2006/relationships/hyperlink" Target="https://www.nature.com/articles/s41586-026-10195-2" TargetMode="External"/><Relationship Id="rId541" Type="http://schemas.openxmlformats.org/officeDocument/2006/relationships/hyperlink" Target="https://www.nature.com/articles/s41586-026-10253-9" TargetMode="External"/><Relationship Id="rId542" Type="http://schemas.openxmlformats.org/officeDocument/2006/relationships/hyperlink" Target="https://www.nature.com/articles/s41586-025-10021-1" TargetMode="External"/><Relationship Id="rId543" Type="http://schemas.openxmlformats.org/officeDocument/2006/relationships/hyperlink" Target="https://www.nature.com/articles/s41586-025-10004-2" TargetMode="External"/><Relationship Id="rId544" Type="http://schemas.openxmlformats.org/officeDocument/2006/relationships/hyperlink" Target="https://www.nature.com/articles/s41928-026-01586-4" TargetMode="External"/><Relationship Id="rId545" Type="http://schemas.openxmlformats.org/officeDocument/2006/relationships/hyperlink" Target="https://www.nature.com/articles/s41586-025-09967-z" TargetMode="External"/><Relationship Id="rId546" Type="http://schemas.openxmlformats.org/officeDocument/2006/relationships/hyperlink" Target="https://www.sciencedirect.com/science/article/pii/S0306261926001388?dgcid=rss_sd_all" TargetMode="External"/><Relationship Id="rId547" Type="http://schemas.openxmlformats.org/officeDocument/2006/relationships/hyperlink" Target="https://www.sciencedirect.com/science/article/pii/S0306261926001637?dgcid=rss_sd_all" TargetMode="External"/><Relationship Id="rId548" Type="http://schemas.openxmlformats.org/officeDocument/2006/relationships/hyperlink" Target="https://www.nature.com/articles/s41586-026-10261-9" TargetMode="External"/><Relationship Id="rId549" Type="http://schemas.openxmlformats.org/officeDocument/2006/relationships/hyperlink" Target="https://www.nature.com/articles/s41586-026-10174-7" TargetMode="External"/><Relationship Id="rId550" Type="http://schemas.openxmlformats.org/officeDocument/2006/relationships/hyperlink" Target="https://www.nature.com/articles/s41586-026-10118-1" TargetMode="External"/><Relationship Id="rId551" Type="http://schemas.openxmlformats.org/officeDocument/2006/relationships/hyperlink" Target="https://www.nature.com/articles/s41586-025-10097-9" TargetMode="External"/><Relationship Id="rId552" Type="http://schemas.openxmlformats.org/officeDocument/2006/relationships/hyperlink" Target="https://www.nature.com/articles/s41586-026-10123-4" TargetMode="External"/><Relationship Id="rId553" Type="http://schemas.openxmlformats.org/officeDocument/2006/relationships/hyperlink" Target="https://www.nature.com/articles/s41586-026-10128-z" TargetMode="External"/><Relationship Id="rId554" Type="http://schemas.openxmlformats.org/officeDocument/2006/relationships/hyperlink" Target="https://www.nature.com/articles/s41586-026-10135-0" TargetMode="External"/><Relationship Id="rId555" Type="http://schemas.openxmlformats.org/officeDocument/2006/relationships/hyperlink" Target="https://www.nature.com/articles/s41586-026-10138-x" TargetMode="External"/><Relationship Id="rId556" Type="http://schemas.openxmlformats.org/officeDocument/2006/relationships/hyperlink" Target="https://www.nature.com/articles/s41586-026-10141-2" TargetMode="External"/><Relationship Id="rId557" Type="http://schemas.openxmlformats.org/officeDocument/2006/relationships/hyperlink" Target="https://www.nature.com/articles/s41586-026-10153-y" TargetMode="External"/><Relationship Id="rId558" Type="http://schemas.openxmlformats.org/officeDocument/2006/relationships/hyperlink" Target="https://www.nature.com/articles/s41586-026-10113-6" TargetMode="External"/><Relationship Id="rId559" Type="http://schemas.openxmlformats.org/officeDocument/2006/relationships/hyperlink" Target="https://www.nature.com/articles/s41586-026-10110-9" TargetMode="External"/><Relationship Id="rId560" Type="http://schemas.openxmlformats.org/officeDocument/2006/relationships/hyperlink" Target="https://www.nature.com/articles/s41586-026-10154-x" TargetMode="External"/><Relationship Id="rId561" Type="http://schemas.openxmlformats.org/officeDocument/2006/relationships/hyperlink" Target="https://www.nature.com/articles/s41586-026-10160-z" TargetMode="External"/><Relationship Id="rId562" Type="http://schemas.openxmlformats.org/officeDocument/2006/relationships/hyperlink" Target="https://www.nature.com/articles/s41586-026-10165-8" TargetMode="External"/><Relationship Id="rId563" Type="http://schemas.openxmlformats.org/officeDocument/2006/relationships/hyperlink" Target="https://www.nature.com/articles/s41586-026-10172-9" TargetMode="External"/><Relationship Id="rId564" Type="http://schemas.openxmlformats.org/officeDocument/2006/relationships/hyperlink" Target="https://www.nature.com/articles/s41586-026-10173-8" TargetMode="External"/><Relationship Id="rId565" Type="http://schemas.openxmlformats.org/officeDocument/2006/relationships/hyperlink" Target="https://www.nature.com/articles/s41586-026-10103-8" TargetMode="External"/><Relationship Id="rId566" Type="http://schemas.openxmlformats.org/officeDocument/2006/relationships/hyperlink" Target="https://www.nature.com/articles/s41586-026-10098-2" TargetMode="External"/><Relationship Id="rId567" Type="http://schemas.openxmlformats.org/officeDocument/2006/relationships/hyperlink" Target="https://www.nature.com/articles/s41586-026-10117-2" TargetMode="External"/><Relationship Id="rId568" Type="http://schemas.openxmlformats.org/officeDocument/2006/relationships/hyperlink" Target="https://www.nature.com/articles/s41586-026-10143-0" TargetMode="External"/><Relationship Id="rId569" Type="http://schemas.openxmlformats.org/officeDocument/2006/relationships/hyperlink" Target="https://www.nature.com/articles/d41586-026-00520-0" TargetMode="External"/><Relationship Id="rId570" Type="http://schemas.openxmlformats.org/officeDocument/2006/relationships/hyperlink" Target="https://www.nature.com/articles/s41565-025-02110-z" TargetMode="External"/><Relationship Id="rId571" Type="http://schemas.openxmlformats.org/officeDocument/2006/relationships/hyperlink" Target="https://www.nature.com/articles/d41586-026-00486-z" TargetMode="External"/><Relationship Id="rId572" Type="http://schemas.openxmlformats.org/officeDocument/2006/relationships/hyperlink" Target="https://www.nature.com/articles/d41586-026-00484-1" TargetMode="External"/><Relationship Id="rId573" Type="http://schemas.openxmlformats.org/officeDocument/2006/relationships/hyperlink" Target="https://www.nature.com/articles/d41586-026-00482-3" TargetMode="External"/><Relationship Id="rId574" Type="http://schemas.openxmlformats.org/officeDocument/2006/relationships/hyperlink" Target="https://www.nature.com/articles/d41586-026-00477-0" TargetMode="External"/><Relationship Id="rId575" Type="http://schemas.openxmlformats.org/officeDocument/2006/relationships/hyperlink" Target="https://www.nature.com/articles/d41586-026-00471-6" TargetMode="External"/><Relationship Id="rId576" Type="http://schemas.openxmlformats.org/officeDocument/2006/relationships/hyperlink" Target="https://www.nature.com/articles/d41586-026-00453-8" TargetMode="External"/><Relationship Id="rId577" Type="http://schemas.openxmlformats.org/officeDocument/2006/relationships/hyperlink" Target="https://www.nature.com/articles/d41586-026-00383-5" TargetMode="External"/><Relationship Id="rId578" Type="http://schemas.openxmlformats.org/officeDocument/2006/relationships/hyperlink" Target="https://www.nature.com/articles/d41586-026-00291-8" TargetMode="External"/><Relationship Id="rId579" Type="http://schemas.openxmlformats.org/officeDocument/2006/relationships/hyperlink" Target="https://www.nature.com/articles/d41586-026-00290-9" TargetMode="External"/><Relationship Id="rId580" Type="http://schemas.openxmlformats.org/officeDocument/2006/relationships/hyperlink" Target="https://www.nature.com/articles/d41586-026-00289-2" TargetMode="External"/><Relationship Id="rId581" Type="http://schemas.openxmlformats.org/officeDocument/2006/relationships/hyperlink" Target="https://www.nature.com/articles/d41586-026-00288-3" TargetMode="External"/><Relationship Id="rId582" Type="http://schemas.openxmlformats.org/officeDocument/2006/relationships/hyperlink" Target="https://www.nature.com/articles/d41586-026-00287-4" TargetMode="External"/><Relationship Id="rId583" Type="http://schemas.openxmlformats.org/officeDocument/2006/relationships/hyperlink" Target="https://www.nature.com/articles/d41586-026-00286-5" TargetMode="External"/><Relationship Id="rId584" Type="http://schemas.openxmlformats.org/officeDocument/2006/relationships/hyperlink" Target="https://www.nature.com/articles/d41586-026-00134-6" TargetMode="External"/><Relationship Id="rId585" Type="http://schemas.openxmlformats.org/officeDocument/2006/relationships/hyperlink" Target="https://www.cell.com/matter/fulltext/S2590-2385(25)00672-1?rss=yes" TargetMode="External"/><Relationship Id="rId586" Type="http://schemas.openxmlformats.org/officeDocument/2006/relationships/hyperlink" Target="https://www.cell.com/matter/fulltext/S2590-2385(25)00659-9?rss=yes" TargetMode="External"/><Relationship Id="rId587" Type="http://schemas.openxmlformats.org/officeDocument/2006/relationships/hyperlink" Target="https://www.cell.com/chem/fulltext/S2451-9294(25)00495-4?rss=yes" TargetMode="External"/><Relationship Id="rId588" Type="http://schemas.openxmlformats.org/officeDocument/2006/relationships/hyperlink" Target="https://www.nature.com/articles/s41565-026-02122-3" TargetMode="External"/><Relationship Id="rId589" Type="http://schemas.openxmlformats.org/officeDocument/2006/relationships/hyperlink" Target="https://www.cell.com/joule/fulltext/S2542-4351(25)00459-3?rss=yes" TargetMode="External"/><Relationship Id="rId590" Type="http://schemas.openxmlformats.org/officeDocument/2006/relationships/hyperlink" Target="https://www.cell.com/matter/fulltext/S2590-2385(25)00652-6?rss=yes" TargetMode="External"/><Relationship Id="rId591" Type="http://schemas.openxmlformats.org/officeDocument/2006/relationships/hyperlink" Target="https://www.nature.com/articles/d41586-026-00518-8" TargetMode="External"/><Relationship Id="rId592" Type="http://schemas.openxmlformats.org/officeDocument/2006/relationships/hyperlink" Target="https://www.nature.com/articles/d41586-026-00502-2" TargetMode="External"/><Relationship Id="rId593" Type="http://schemas.openxmlformats.org/officeDocument/2006/relationships/hyperlink" Target="https://www.nature.com/articles/s41467-026-69772-8" TargetMode="External"/><Relationship Id="rId594" Type="http://schemas.openxmlformats.org/officeDocument/2006/relationships/hyperlink" Target="https://www.nature.com/articles/s41563-026-02508-7" TargetMode="External"/><Relationship Id="rId595" Type="http://schemas.openxmlformats.org/officeDocument/2006/relationships/hyperlink" Target="http://pubs.rsc.org/en/Content/ArticleLanding/2026/CS/D5CS01175B" TargetMode="External"/><Relationship Id="rId596" Type="http://schemas.openxmlformats.org/officeDocument/2006/relationships/hyperlink" Target="http://pubs.rsc.org/en/Content/ArticleLanding/2026/CS/D5CS01300C" TargetMode="External"/><Relationship Id="rId597" Type="http://schemas.openxmlformats.org/officeDocument/2006/relationships/hyperlink" Target="https://www.nature.com/articles/s41560-026-02006-9" TargetMode="External"/><Relationship Id="rId598" Type="http://schemas.openxmlformats.org/officeDocument/2006/relationships/hyperlink" Target="https://www.nature.com/articles/s41560-026-01984-0" TargetMode="External"/><Relationship Id="rId599" Type="http://schemas.openxmlformats.org/officeDocument/2006/relationships/hyperlink" Target="https://www.nature.com/articles/s41560-026-01981-3" TargetMode="External"/><Relationship Id="rId600" Type="http://schemas.openxmlformats.org/officeDocument/2006/relationships/hyperlink" Target="https://www.nature.com/articles/s41560-025-01963-x" TargetMode="External"/><Relationship Id="rId601" Type="http://schemas.openxmlformats.org/officeDocument/2006/relationships/hyperlink" Target="https://www.nature.com/articles/s41467-026-69808-z" TargetMode="External"/><Relationship Id="rId602" Type="http://schemas.openxmlformats.org/officeDocument/2006/relationships/hyperlink" Target="http://pubs.rsc.org/en/Content/ArticleLanding/2026/EE/D5EE07058A" TargetMode="External"/><Relationship Id="rId603" Type="http://schemas.openxmlformats.org/officeDocument/2006/relationships/hyperlink" Target="https://www.nature.com/articles/d41586-026-00532-w" TargetMode="External"/><Relationship Id="rId604" Type="http://schemas.openxmlformats.org/officeDocument/2006/relationships/hyperlink" Target="http://pubs.rsc.org/en/Content/ArticleLanding/2026/EE/D5EE07347B" TargetMode="External"/><Relationship Id="rId605" Type="http://schemas.openxmlformats.org/officeDocument/2006/relationships/hyperlink" Target="https://www.cell.com/joule/fulltext/S2542-4351(25)00478-7?rss=yes" TargetMode="External"/><Relationship Id="rId606" Type="http://schemas.openxmlformats.org/officeDocument/2006/relationships/hyperlink" Target="https://www.nature.com/articles/d41586-026-00534-8" TargetMode="External"/><Relationship Id="rId607" Type="http://schemas.openxmlformats.org/officeDocument/2006/relationships/hyperlink" Target="http://pubs.rsc.org/en/Content/ArticleLanding/2026/EE/D6EE00021E" TargetMode="External"/><Relationship Id="rId608" Type="http://schemas.openxmlformats.org/officeDocument/2006/relationships/hyperlink" Target="https://www.nature.com/articles/s41467-026-69537-3" TargetMode="External"/><Relationship Id="rId609" Type="http://schemas.openxmlformats.org/officeDocument/2006/relationships/hyperlink" Target="https://www.nature.com/articles/s41467-026-69377-1" TargetMode="External"/><Relationship Id="rId610" Type="http://schemas.openxmlformats.org/officeDocument/2006/relationships/hyperlink" Target="https://www.nature.com/articles/s41467-026-69682-9" TargetMode="External"/><Relationship Id="rId611" Type="http://schemas.openxmlformats.org/officeDocument/2006/relationships/hyperlink" Target="https://www.nature.com/articles/s41467-026-69329-9" TargetMode="External"/><Relationship Id="rId612" Type="http://schemas.openxmlformats.org/officeDocument/2006/relationships/hyperlink" Target="https://www.nature.com/articles/s41467-025-67490-1" TargetMode="External"/><Relationship Id="rId613" Type="http://schemas.openxmlformats.org/officeDocument/2006/relationships/hyperlink" Target="https://onlinelibrary.wiley.com/doi/10.1002/anie.6372902?af=R" TargetMode="External"/><Relationship Id="rId614" Type="http://schemas.openxmlformats.org/officeDocument/2006/relationships/hyperlink" Target="https://doi.org/10.1002/anie.6372902" TargetMode="External"/><Relationship Id="rId615" Type="http://schemas.openxmlformats.org/officeDocument/2006/relationships/hyperlink" Target="https://onlinelibrary.wiley.com/doi/10.1002/anie.1030779?af=R" TargetMode="External"/><Relationship Id="rId616" Type="http://schemas.openxmlformats.org/officeDocument/2006/relationships/hyperlink" Target="https://doi.org/10.1002/anie.1030779" TargetMode="External"/><Relationship Id="rId617" Type="http://schemas.openxmlformats.org/officeDocument/2006/relationships/hyperlink" Target="https://onlinelibrary.wiley.com/doi/10.1002/anie.202520273?af=R" TargetMode="External"/><Relationship Id="rId618" Type="http://schemas.openxmlformats.org/officeDocument/2006/relationships/hyperlink" Target="https://doi.org/10.1002/anie.202520273" TargetMode="External"/><Relationship Id="rId619" Type="http://schemas.openxmlformats.org/officeDocument/2006/relationships/hyperlink" Target="https://onlinelibrary.wiley.com/doi/10.1002/anie.202524699?af=R" TargetMode="External"/><Relationship Id="rId620" Type="http://schemas.openxmlformats.org/officeDocument/2006/relationships/hyperlink" Target="https://doi.org/10.1002/anie.202524699" TargetMode="External"/><Relationship Id="rId621" Type="http://schemas.openxmlformats.org/officeDocument/2006/relationships/hyperlink" Target="https://onlinelibrary.wiley.com/doi/10.1002/anie.202517620?af=R" TargetMode="External"/><Relationship Id="rId622" Type="http://schemas.openxmlformats.org/officeDocument/2006/relationships/hyperlink" Target="https://doi.org/10.1002/anie.202517620" TargetMode="External"/><Relationship Id="rId623" Type="http://schemas.openxmlformats.org/officeDocument/2006/relationships/hyperlink" Target="https://onlinelibrary.wiley.com/doi/10.1002/anie.202525505?af=R" TargetMode="External"/><Relationship Id="rId624" Type="http://schemas.openxmlformats.org/officeDocument/2006/relationships/hyperlink" Target="https://doi.org/10.1002/anie.202525505" TargetMode="External"/><Relationship Id="rId625" Type="http://schemas.openxmlformats.org/officeDocument/2006/relationships/hyperlink" Target="https://onlinelibrary.wiley.com/doi/10.1002/anie.202525347?af=R" TargetMode="External"/><Relationship Id="rId626" Type="http://schemas.openxmlformats.org/officeDocument/2006/relationships/hyperlink" Target="https://doi.org/10.1002/anie.202525347" TargetMode="External"/><Relationship Id="rId627" Type="http://schemas.openxmlformats.org/officeDocument/2006/relationships/hyperlink" Target="https://onlinelibrary.wiley.com/doi/10.1002/anie.202525467?af=R" TargetMode="External"/><Relationship Id="rId628" Type="http://schemas.openxmlformats.org/officeDocument/2006/relationships/hyperlink" Target="https://doi.org/10.1002/anie.202525467" TargetMode="External"/><Relationship Id="rId629" Type="http://schemas.openxmlformats.org/officeDocument/2006/relationships/hyperlink" Target="https://onlinelibrary.wiley.com/doi/10.1002/anie.202525481?af=R" TargetMode="External"/><Relationship Id="rId630" Type="http://schemas.openxmlformats.org/officeDocument/2006/relationships/hyperlink" Target="https://doi.org/10.1002/anie.202525481" TargetMode="External"/><Relationship Id="rId631" Type="http://schemas.openxmlformats.org/officeDocument/2006/relationships/hyperlink" Target="https://onlinelibrary.wiley.com/doi/10.1002/anie.7549299?af=R" TargetMode="External"/><Relationship Id="rId632" Type="http://schemas.openxmlformats.org/officeDocument/2006/relationships/hyperlink" Target="https://doi.org/10.1002/anie.7549299" TargetMode="External"/><Relationship Id="rId633" Type="http://schemas.openxmlformats.org/officeDocument/2006/relationships/hyperlink" Target="https://onlinelibrary.wiley.com/doi/10.1002/anie.6901593?af=R" TargetMode="External"/><Relationship Id="rId634" Type="http://schemas.openxmlformats.org/officeDocument/2006/relationships/hyperlink" Target="https://doi.org/10.1002/anie.6901593" TargetMode="External"/><Relationship Id="rId635" Type="http://schemas.openxmlformats.org/officeDocument/2006/relationships/hyperlink" Target="https://onlinelibrary.wiley.com/doi/10.1002/anie.202522966?af=R" TargetMode="External"/><Relationship Id="rId636" Type="http://schemas.openxmlformats.org/officeDocument/2006/relationships/hyperlink" Target="https://doi.org/10.1002/anie.202522966" TargetMode="External"/><Relationship Id="rId637" Type="http://schemas.openxmlformats.org/officeDocument/2006/relationships/hyperlink" Target="https://onlinelibrary.wiley.com/doi/10.1002/anie.9375909?af=R" TargetMode="External"/><Relationship Id="rId638" Type="http://schemas.openxmlformats.org/officeDocument/2006/relationships/hyperlink" Target="https://doi.org/10.1002/anie.9375909" TargetMode="External"/><Relationship Id="rId639" Type="http://schemas.openxmlformats.org/officeDocument/2006/relationships/hyperlink" Target="https://onlinelibrary.wiley.com/doi/10.1002/anie.202519206?af=R" TargetMode="External"/><Relationship Id="rId640" Type="http://schemas.openxmlformats.org/officeDocument/2006/relationships/hyperlink" Target="https://doi.org/10.1002/anie.202519206" TargetMode="External"/><Relationship Id="rId641" Type="http://schemas.openxmlformats.org/officeDocument/2006/relationships/hyperlink" Target="https://advanced.onlinelibrary.wiley.com/doi/10.1002/adma.202515271?af=R" TargetMode="External"/><Relationship Id="rId642" Type="http://schemas.openxmlformats.org/officeDocument/2006/relationships/hyperlink" Target="https://doi.org/10.1002/adma.202515271" TargetMode="External"/><Relationship Id="rId643" Type="http://schemas.openxmlformats.org/officeDocument/2006/relationships/hyperlink" Target="https://onlinelibrary.wiley.com/doi/10.1002/anie.202523854?af=R" TargetMode="External"/><Relationship Id="rId644" Type="http://schemas.openxmlformats.org/officeDocument/2006/relationships/hyperlink" Target="https://doi.org/10.1002/anie.202523854" TargetMode="External"/><Relationship Id="rId645" Type="http://schemas.openxmlformats.org/officeDocument/2006/relationships/hyperlink" Target="https://www.science.org/doi/abs/10.1126/sciadv.aea4828?af=R" TargetMode="External"/><Relationship Id="rId646" Type="http://schemas.openxmlformats.org/officeDocument/2006/relationships/hyperlink" Target="https://doi.org/10.1126/sciadv.aea4828" TargetMode="External"/><Relationship Id="rId647" Type="http://schemas.openxmlformats.org/officeDocument/2006/relationships/hyperlink" Target="https://www.science.org/doi/abs/10.1126/sciadv.aeb4937?af=R" TargetMode="External"/><Relationship Id="rId648" Type="http://schemas.openxmlformats.org/officeDocument/2006/relationships/hyperlink" Target="https://doi.org/10.1126/sciadv.aeb4937" TargetMode="External"/><Relationship Id="rId649" Type="http://schemas.openxmlformats.org/officeDocument/2006/relationships/hyperlink" Target="https://www.science.org/doi/abs/10.1126/sciadv.aeb5163?af=R" TargetMode="External"/><Relationship Id="rId650" Type="http://schemas.openxmlformats.org/officeDocument/2006/relationships/hyperlink" Target="https://doi.org/10.1126/sciadv.aeb5163" TargetMode="External"/><Relationship Id="rId651" Type="http://schemas.openxmlformats.org/officeDocument/2006/relationships/hyperlink" Target="https://www.pnas.org/doi/abs/10.1073/pnas.2601483123?mi=eymic2&amp;af=R&amp;access=on&amp;content=articlesChapters&amp;publication=pnas&amp;sortBy=Earliest&amp;target=default" TargetMode="External"/><Relationship Id="rId652" Type="http://schemas.openxmlformats.org/officeDocument/2006/relationships/hyperlink" Target="https://doi.org/10.1073/pnas.2601483123" TargetMode="External"/><Relationship Id="rId653" Type="http://schemas.openxmlformats.org/officeDocument/2006/relationships/hyperlink" Target="https://www.pnas.org/doi/abs/10.1073/pnas.2600628123?mi=eymic2&amp;af=R&amp;access=on&amp;content=articlesChapters&amp;publication=pnas&amp;sortBy=Earliest&amp;target=default" TargetMode="External"/><Relationship Id="rId654" Type="http://schemas.openxmlformats.org/officeDocument/2006/relationships/hyperlink" Target="https://doi.org/10.1073/pnas.2600628123" TargetMode="External"/><Relationship Id="rId655" Type="http://schemas.openxmlformats.org/officeDocument/2006/relationships/hyperlink" Target="https://www.science.org/doi/abs/10.1126/sciadv.aeb6389?af=R" TargetMode="External"/><Relationship Id="rId656" Type="http://schemas.openxmlformats.org/officeDocument/2006/relationships/hyperlink" Target="https://doi.org/10.1126/sciadv.aeb6389" TargetMode="External"/><Relationship Id="rId657" Type="http://schemas.openxmlformats.org/officeDocument/2006/relationships/hyperlink" Target="https://www.science.org/doi/abs/10.1126/sciadv.aeb8498?af=R" TargetMode="External"/><Relationship Id="rId658" Type="http://schemas.openxmlformats.org/officeDocument/2006/relationships/hyperlink" Target="https://doi.org/10.1126/sciadv.aeb8498" TargetMode="External"/><Relationship Id="rId659" Type="http://schemas.openxmlformats.org/officeDocument/2006/relationships/hyperlink" Target="https://www.pnas.org/doi/abs/10.1073/pnas.2537940123?mi=eymic2&amp;af=R&amp;access=on&amp;content=articlesChapters&amp;publication=pnas&amp;sortBy=Earliest&amp;target=default" TargetMode="External"/><Relationship Id="rId660" Type="http://schemas.openxmlformats.org/officeDocument/2006/relationships/hyperlink" Target="https://doi.org/10.1073/pnas.2537940123" TargetMode="External"/><Relationship Id="rId661" Type="http://schemas.openxmlformats.org/officeDocument/2006/relationships/hyperlink" Target="https://www.pnas.org/doi/abs/10.1073/pnas.2537420123?mi=eymic2&amp;af=R&amp;access=on&amp;content=articlesChapters&amp;publication=pnas&amp;sortBy=Earliest&amp;target=default" TargetMode="External"/><Relationship Id="rId662" Type="http://schemas.openxmlformats.org/officeDocument/2006/relationships/hyperlink" Target="https://doi.org/10.1073/pnas.2537420123" TargetMode="External"/><Relationship Id="rId663" Type="http://schemas.openxmlformats.org/officeDocument/2006/relationships/hyperlink" Target="https://www.science.org/doi/abs/10.1126/sciadv.aec1272?af=R" TargetMode="External"/><Relationship Id="rId664" Type="http://schemas.openxmlformats.org/officeDocument/2006/relationships/hyperlink" Target="https://doi.org/10.1126/sciadv.aec1272" TargetMode="External"/><Relationship Id="rId665" Type="http://schemas.openxmlformats.org/officeDocument/2006/relationships/hyperlink" Target="https://www.science.org/doi/abs/10.1126/sciadv.aec2162?af=R" TargetMode="External"/><Relationship Id="rId666" Type="http://schemas.openxmlformats.org/officeDocument/2006/relationships/hyperlink" Target="https://doi.org/10.1126/sciadv.aec2162" TargetMode="External"/><Relationship Id="rId667" Type="http://schemas.openxmlformats.org/officeDocument/2006/relationships/hyperlink" Target="https://www.science.org/doi/abs/10.1126/sciadv.aec8383?af=R" TargetMode="External"/><Relationship Id="rId668" Type="http://schemas.openxmlformats.org/officeDocument/2006/relationships/hyperlink" Target="https://doi.org/10.1126/sciadv.aec8383" TargetMode="External"/><Relationship Id="rId669" Type="http://schemas.openxmlformats.org/officeDocument/2006/relationships/hyperlink" Target="https://www.science.org/doi/abs/10.1126/sciadv.aef4597?af=R" TargetMode="External"/><Relationship Id="rId670" Type="http://schemas.openxmlformats.org/officeDocument/2006/relationships/hyperlink" Target="https://doi.org/10.1126/sciadv.aef4597" TargetMode="External"/><Relationship Id="rId671" Type="http://schemas.openxmlformats.org/officeDocument/2006/relationships/hyperlink" Target="https://www.pnas.org/doi/abs/10.1073/pnas.2537378123?mi=eymic2&amp;af=R&amp;access=on&amp;content=articlesChapters&amp;publication=pnas&amp;sortBy=Earliest&amp;target=default" TargetMode="External"/><Relationship Id="rId672" Type="http://schemas.openxmlformats.org/officeDocument/2006/relationships/hyperlink" Target="https://doi.org/10.1073/pnas.2537378123" TargetMode="External"/><Relationship Id="rId673" Type="http://schemas.openxmlformats.org/officeDocument/2006/relationships/hyperlink" Target="https://www.pnas.org/doi/abs/10.1073/pnas.2535585123?mi=eymic2&amp;af=R&amp;access=on&amp;content=articlesChapters&amp;publication=pnas&amp;sortBy=Earliest&amp;target=default" TargetMode="External"/><Relationship Id="rId674" Type="http://schemas.openxmlformats.org/officeDocument/2006/relationships/hyperlink" Target="https://doi.org/10.1073/pnas.2535585123" TargetMode="External"/><Relationship Id="rId675" Type="http://schemas.openxmlformats.org/officeDocument/2006/relationships/hyperlink" Target="https://www.pnas.org/doi/abs/10.1073/pnas.2535287123?mi=eymic2&amp;af=R&amp;access=on&amp;content=articlesChapters&amp;publication=pnas&amp;sortBy=Earliest&amp;target=default" TargetMode="External"/><Relationship Id="rId676" Type="http://schemas.openxmlformats.org/officeDocument/2006/relationships/hyperlink" Target="https://doi.org/10.1073/pnas.2535287123" TargetMode="External"/><Relationship Id="rId677" Type="http://schemas.openxmlformats.org/officeDocument/2006/relationships/hyperlink" Target="https://www.pnas.org/doi/abs/10.1073/pnas.2533449123?mi=eymic2&amp;af=R&amp;access=on&amp;content=articlesChapters&amp;publication=pnas&amp;sortBy=Earliest&amp;target=default" TargetMode="External"/><Relationship Id="rId678" Type="http://schemas.openxmlformats.org/officeDocument/2006/relationships/hyperlink" Target="https://doi.org/10.1073/pnas.2533449123" TargetMode="External"/><Relationship Id="rId679" Type="http://schemas.openxmlformats.org/officeDocument/2006/relationships/hyperlink" Target="https://www.pnas.org/doi/abs/10.1073/pnas.2601584123?mi=eymic2&amp;af=R&amp;access=on&amp;content=articlesChapters&amp;publication=pnas&amp;sortBy=Earliest&amp;target=default" TargetMode="External"/><Relationship Id="rId680" Type="http://schemas.openxmlformats.org/officeDocument/2006/relationships/hyperlink" Target="https://doi.org/10.1073/pnas.2601584123" TargetMode="External"/><Relationship Id="rId681" Type="http://schemas.openxmlformats.org/officeDocument/2006/relationships/hyperlink" Target="https://www.pnas.org/doi/abs/10.1073/pnas.2602974123?mi=eymic2&amp;af=R&amp;access=on&amp;content=articlesChapters&amp;publication=pnas&amp;sortBy=Earliest&amp;target=default" TargetMode="External"/><Relationship Id="rId682" Type="http://schemas.openxmlformats.org/officeDocument/2006/relationships/hyperlink" Target="https://doi.org/10.1073/pnas.2602974123" TargetMode="External"/><Relationship Id="rId683" Type="http://schemas.openxmlformats.org/officeDocument/2006/relationships/hyperlink" Target="https://www.pnas.org/doi/abs/10.1073/pnas.2603284123?mi=eymic2&amp;af=R&amp;access=on&amp;content=articlesChapters&amp;publication=pnas&amp;sortBy=Earliest&amp;target=default" TargetMode="External"/><Relationship Id="rId684" Type="http://schemas.openxmlformats.org/officeDocument/2006/relationships/hyperlink" Target="https://doi.org/10.1073/pnas.2603284123" TargetMode="External"/><Relationship Id="rId685" Type="http://schemas.openxmlformats.org/officeDocument/2006/relationships/hyperlink" Target="https://www.pnas.org/doi/abs/10.1073/pnas.2603578123?mi=eymic2&amp;af=R&amp;access=on&amp;content=articlesChapters&amp;publication=pnas&amp;sortBy=Earliest&amp;target=default" TargetMode="External"/><Relationship Id="rId686" Type="http://schemas.openxmlformats.org/officeDocument/2006/relationships/hyperlink" Target="https://doi.org/10.1073/pnas.2603578123" TargetMode="External"/><Relationship Id="rId687" Type="http://schemas.openxmlformats.org/officeDocument/2006/relationships/hyperlink" Target="https://www.science.org/doi/abs/10.1126/sciadv.aea1660?af=R" TargetMode="External"/><Relationship Id="rId688" Type="http://schemas.openxmlformats.org/officeDocument/2006/relationships/hyperlink" Target="https://doi.org/10.1126/sciadv.aea1660" TargetMode="External"/><Relationship Id="rId689" Type="http://schemas.openxmlformats.org/officeDocument/2006/relationships/hyperlink" Target="https://www.science.org/doi/abs/10.1126/sciadv.aea0753?af=R" TargetMode="External"/><Relationship Id="rId690" Type="http://schemas.openxmlformats.org/officeDocument/2006/relationships/hyperlink" Target="https://doi.org/10.1126/sciadv.aea0753" TargetMode="External"/><Relationship Id="rId691" Type="http://schemas.openxmlformats.org/officeDocument/2006/relationships/hyperlink" Target="https://www.science.org/doi/abs/10.1126/sciadv.adz6794?af=R" TargetMode="External"/><Relationship Id="rId692" Type="http://schemas.openxmlformats.org/officeDocument/2006/relationships/hyperlink" Target="https://doi.org/10.1126/sciadv.adz6794" TargetMode="External"/><Relationship Id="rId693" Type="http://schemas.openxmlformats.org/officeDocument/2006/relationships/hyperlink" Target="https://www.science.org/doi/abs/10.1126/sciadv.adz2439?af=R" TargetMode="External"/><Relationship Id="rId694" Type="http://schemas.openxmlformats.org/officeDocument/2006/relationships/hyperlink" Target="https://doi.org/10.1126/sciadv.adz2439" TargetMode="External"/><Relationship Id="rId695" Type="http://schemas.openxmlformats.org/officeDocument/2006/relationships/hyperlink" Target="https://www.science.org/doi/abs/10.1126/sciadv.adz2299?af=R" TargetMode="External"/><Relationship Id="rId696" Type="http://schemas.openxmlformats.org/officeDocument/2006/relationships/hyperlink" Target="https://doi.org/10.1126/sciadv.adz2299" TargetMode="External"/><Relationship Id="rId697" Type="http://schemas.openxmlformats.org/officeDocument/2006/relationships/hyperlink" Target="https://www.science.org/doi/abs/10.1126/sciadv.adz1916?af=R" TargetMode="External"/><Relationship Id="rId698" Type="http://schemas.openxmlformats.org/officeDocument/2006/relationships/hyperlink" Target="https://doi.org/10.1126/sciadv.adz1916" TargetMode="External"/><Relationship Id="rId699" Type="http://schemas.openxmlformats.org/officeDocument/2006/relationships/hyperlink" Target="https://www.science.org/doi/abs/10.1126/sciadv.ady2977?af=R" TargetMode="External"/><Relationship Id="rId700" Type="http://schemas.openxmlformats.org/officeDocument/2006/relationships/hyperlink" Target="https://doi.org/10.1126/sciadv.ady2977" TargetMode="External"/><Relationship Id="rId701" Type="http://schemas.openxmlformats.org/officeDocument/2006/relationships/hyperlink" Target="https://www.science.org/doi/abs/10.1126/sciadv.ady2270?af=R" TargetMode="External"/><Relationship Id="rId702" Type="http://schemas.openxmlformats.org/officeDocument/2006/relationships/hyperlink" Target="https://doi.org/10.1126/sciadv.ady2270" TargetMode="External"/><Relationship Id="rId703" Type="http://schemas.openxmlformats.org/officeDocument/2006/relationships/hyperlink" Target="https://www.science.org/doi/abs/10.1126/sciadv.aea6079?af=R" TargetMode="External"/><Relationship Id="rId704" Type="http://schemas.openxmlformats.org/officeDocument/2006/relationships/hyperlink" Target="https://doi.org/10.1126/sciadv.aea6079" TargetMode="External"/><Relationship Id="rId705" Type="http://schemas.openxmlformats.org/officeDocument/2006/relationships/hyperlink" Target="https://www.science.org/doi/abs/10.1126/sciadv.ady1597?af=R" TargetMode="External"/><Relationship Id="rId706" Type="http://schemas.openxmlformats.org/officeDocument/2006/relationships/hyperlink" Target="https://doi.org/10.1126/sciadv.ady1597" TargetMode="External"/><Relationship Id="rId707" Type="http://schemas.openxmlformats.org/officeDocument/2006/relationships/hyperlink" Target="https://www.pnas.org/doi/abs/10.1073/pnas.2532796123?mi=eymic2&amp;af=R&amp;access=on&amp;content=articlesChapters&amp;publication=pnas&amp;sortBy=Earliest&amp;target=default" TargetMode="External"/><Relationship Id="rId708" Type="http://schemas.openxmlformats.org/officeDocument/2006/relationships/hyperlink" Target="https://doi.org/10.1073/pnas.2532796123" TargetMode="External"/><Relationship Id="rId709" Type="http://schemas.openxmlformats.org/officeDocument/2006/relationships/hyperlink" Target="https://www.science.org/doi/abs/10.1126/sciadv.adx7815?af=R" TargetMode="External"/><Relationship Id="rId710" Type="http://schemas.openxmlformats.org/officeDocument/2006/relationships/hyperlink" Target="https://doi.org/10.1126/sciadv.adx7815" TargetMode="External"/><Relationship Id="rId711" Type="http://schemas.openxmlformats.org/officeDocument/2006/relationships/hyperlink" Target="https://www.science.org/doi/abs/10.1126/sciadv.adw4669?af=R" TargetMode="External"/><Relationship Id="rId712" Type="http://schemas.openxmlformats.org/officeDocument/2006/relationships/hyperlink" Target="https://doi.org/10.1126/sciadv.adw4669" TargetMode="External"/><Relationship Id="rId713" Type="http://schemas.openxmlformats.org/officeDocument/2006/relationships/hyperlink" Target="https://www.science.org/doi/abs/10.1126/sciadv.adu6540?af=R" TargetMode="External"/><Relationship Id="rId714" Type="http://schemas.openxmlformats.org/officeDocument/2006/relationships/hyperlink" Target="https://doi.org/10.1126/sciadv.adu6540" TargetMode="External"/><Relationship Id="rId715" Type="http://schemas.openxmlformats.org/officeDocument/2006/relationships/hyperlink" Target="https://www.science.org/doi/abs/10.1126/sciadv.ads2015?af=R" TargetMode="External"/><Relationship Id="rId716" Type="http://schemas.openxmlformats.org/officeDocument/2006/relationships/hyperlink" Target="https://doi.org/10.1126/sciadv.ads2015" TargetMode="External"/><Relationship Id="rId717" Type="http://schemas.openxmlformats.org/officeDocument/2006/relationships/hyperlink" Target="https://www.science.org/doi/abs/10.1126/sciadv.aeb0032?af=R" TargetMode="External"/><Relationship Id="rId718" Type="http://schemas.openxmlformats.org/officeDocument/2006/relationships/hyperlink" Target="https://doi.org/10.1126/sciadv.aeb0032" TargetMode="External"/><Relationship Id="rId719" Type="http://schemas.openxmlformats.org/officeDocument/2006/relationships/hyperlink" Target="https://www.science.org/doi/abs/10.1126/sciadv.adr4237?af=R" TargetMode="External"/><Relationship Id="rId720" Type="http://schemas.openxmlformats.org/officeDocument/2006/relationships/hyperlink" Target="https://doi.org/10.1126/sciadv.adr4237" TargetMode="External"/><Relationship Id="rId721" Type="http://schemas.openxmlformats.org/officeDocument/2006/relationships/hyperlink" Target="https://www.pnas.org/doi/abs/10.1073/pnas.2603598123?mi=eymic2&amp;af=R&amp;access=on&amp;content=articlesChapters&amp;publication=pnas&amp;sortBy=Earliest&amp;target=default" TargetMode="External"/><Relationship Id="rId722" Type="http://schemas.openxmlformats.org/officeDocument/2006/relationships/hyperlink" Target="https://doi.org/10.1073/pnas.2603598123" TargetMode="External"/><Relationship Id="rId723" Type="http://schemas.openxmlformats.org/officeDocument/2006/relationships/hyperlink" Target="https://www.science.org/doi/abs/10.1126/sciadv.aeb4360?af=R" TargetMode="External"/><Relationship Id="rId724" Type="http://schemas.openxmlformats.org/officeDocument/2006/relationships/hyperlink" Target="https://doi.org/10.1126/sciadv.aeb4360" TargetMode="External"/><Relationship Id="rId725" Type="http://schemas.openxmlformats.org/officeDocument/2006/relationships/hyperlink" Target="https://www.science.org/doi/abs/10.1126/sciadv.aea2222?af=R" TargetMode="External"/><Relationship Id="rId726" Type="http://schemas.openxmlformats.org/officeDocument/2006/relationships/hyperlink" Target="https://doi.org/10.1126/sciadv.aea2222" TargetMode="External"/><Relationship Id="rId727" Type="http://schemas.openxmlformats.org/officeDocument/2006/relationships/hyperlink" Target="https://www.science.org/doi/abs/10.1126/sciadv.aea9014?af=R" TargetMode="External"/><Relationship Id="rId728" Type="http://schemas.openxmlformats.org/officeDocument/2006/relationships/hyperlink" Target="https://doi.org/10.1126/sciadv.aea9014" TargetMode="External"/><Relationship Id="rId729" Type="http://schemas.openxmlformats.org/officeDocument/2006/relationships/hyperlink" Target="https://www.science.org/doi/abs/10.1126/sciadv.adx8813?af=R" TargetMode="External"/><Relationship Id="rId730" Type="http://schemas.openxmlformats.org/officeDocument/2006/relationships/hyperlink" Target="https://doi.org/10.1126/sciadv.adx8813" TargetMode="External"/><Relationship Id="rId731" Type="http://schemas.openxmlformats.org/officeDocument/2006/relationships/hyperlink" Target="https://www.pnas.org/doi/abs/10.1073/pnas.2530597123?mi=eymic2&amp;af=R&amp;access=on&amp;content=articlesChapters&amp;publication=pnas&amp;sortBy=Earliest&amp;target=default" TargetMode="External"/><Relationship Id="rId732" Type="http://schemas.openxmlformats.org/officeDocument/2006/relationships/hyperlink" Target="https://doi.org/10.1073/pnas.2530597123" TargetMode="External"/><Relationship Id="rId733" Type="http://schemas.openxmlformats.org/officeDocument/2006/relationships/hyperlink" Target="https://www.pnas.org/doi/abs/10.1073/pnas.2511123123?mi=eymic2&amp;af=R&amp;access=on&amp;content=articlesChapters&amp;publication=pnas&amp;sortBy=Earliest&amp;target=default" TargetMode="External"/><Relationship Id="rId734" Type="http://schemas.openxmlformats.org/officeDocument/2006/relationships/hyperlink" Target="https://doi.org/10.1073/pnas.2511123123" TargetMode="External"/><Relationship Id="rId735" Type="http://schemas.openxmlformats.org/officeDocument/2006/relationships/hyperlink" Target="https://www.pnas.org/doi/abs/10.1073/pnas.2513031123?mi=eymic2&amp;af=R&amp;access=on&amp;content=articlesChapters&amp;publication=pnas&amp;sortBy=Earliest&amp;target=default" TargetMode="External"/><Relationship Id="rId736" Type="http://schemas.openxmlformats.org/officeDocument/2006/relationships/hyperlink" Target="https://doi.org/10.1073/pnas.2513031123" TargetMode="External"/><Relationship Id="rId737" Type="http://schemas.openxmlformats.org/officeDocument/2006/relationships/hyperlink" Target="https://www.pnas.org/doi/abs/10.1073/pnas.2514657123?mi=eymic2&amp;af=R&amp;access=on&amp;content=articlesChapters&amp;publication=pnas&amp;sortBy=Earliest&amp;target=default" TargetMode="External"/><Relationship Id="rId738" Type="http://schemas.openxmlformats.org/officeDocument/2006/relationships/hyperlink" Target="https://doi.org/10.1073/pnas.2514657123" TargetMode="External"/><Relationship Id="rId739" Type="http://schemas.openxmlformats.org/officeDocument/2006/relationships/hyperlink" Target="https://www.pnas.org/doi/abs/10.1073/pnas.2515033123?mi=eymic2&amp;af=R&amp;access=on&amp;content=articlesChapters&amp;publication=pnas&amp;sortBy=Earliest&amp;target=default" TargetMode="External"/><Relationship Id="rId740" Type="http://schemas.openxmlformats.org/officeDocument/2006/relationships/hyperlink" Target="https://doi.org/10.1073/pnas.2515033123" TargetMode="External"/><Relationship Id="rId741" Type="http://schemas.openxmlformats.org/officeDocument/2006/relationships/hyperlink" Target="https://www.pnas.org/doi/abs/10.1073/pnas.2515075123?mi=eymic2&amp;af=R&amp;access=on&amp;content=articlesChapters&amp;publication=pnas&amp;sortBy=Earliest&amp;target=default" TargetMode="External"/><Relationship Id="rId742" Type="http://schemas.openxmlformats.org/officeDocument/2006/relationships/hyperlink" Target="https://doi.org/10.1073/pnas.2515075123" TargetMode="External"/><Relationship Id="rId743" Type="http://schemas.openxmlformats.org/officeDocument/2006/relationships/hyperlink" Target="https://www.pnas.org/doi/abs/10.1073/pnas.2515331123?mi=eymic2&amp;af=R&amp;access=on&amp;content=articlesChapters&amp;publication=pnas&amp;sortBy=Earliest&amp;target=default" TargetMode="External"/><Relationship Id="rId744" Type="http://schemas.openxmlformats.org/officeDocument/2006/relationships/hyperlink" Target="https://doi.org/10.1073/pnas.2515331123" TargetMode="External"/><Relationship Id="rId745" Type="http://schemas.openxmlformats.org/officeDocument/2006/relationships/hyperlink" Target="https://www.pnas.org/doi/abs/10.1073/pnas.2515523123?mi=eymic2&amp;af=R&amp;access=on&amp;content=articlesChapters&amp;publication=pnas&amp;sortBy=Earliest&amp;target=default" TargetMode="External"/><Relationship Id="rId746" Type="http://schemas.openxmlformats.org/officeDocument/2006/relationships/hyperlink" Target="https://doi.org/10.1073/pnas.2515523123" TargetMode="External"/><Relationship Id="rId747" Type="http://schemas.openxmlformats.org/officeDocument/2006/relationships/hyperlink" Target="https://www.pnas.org/doi/abs/10.1073/pnas.2515986123?mi=eymic2&amp;af=R&amp;access=on&amp;content=articlesChapters&amp;publication=pnas&amp;sortBy=Earliest&amp;target=default" TargetMode="External"/><Relationship Id="rId748" Type="http://schemas.openxmlformats.org/officeDocument/2006/relationships/hyperlink" Target="https://doi.org/10.1073/pnas.2515986123" TargetMode="External"/><Relationship Id="rId749" Type="http://schemas.openxmlformats.org/officeDocument/2006/relationships/hyperlink" Target="https://www.pnas.org/doi/abs/10.1073/pnas.2516443123?mi=eymic2&amp;af=R&amp;access=on&amp;content=articlesChapters&amp;publication=pnas&amp;sortBy=Earliest&amp;target=default" TargetMode="External"/><Relationship Id="rId750" Type="http://schemas.openxmlformats.org/officeDocument/2006/relationships/hyperlink" Target="https://doi.org/10.1073/pnas.2516443123" TargetMode="External"/><Relationship Id="rId751" Type="http://schemas.openxmlformats.org/officeDocument/2006/relationships/hyperlink" Target="https://www.pnas.org/doi/abs/10.1073/pnas.2516464123?mi=eymic2&amp;af=R&amp;access=on&amp;content=articlesChapters&amp;publication=pnas&amp;sortBy=Earliest&amp;target=default" TargetMode="External"/><Relationship Id="rId752" Type="http://schemas.openxmlformats.org/officeDocument/2006/relationships/hyperlink" Target="https://doi.org/10.1073/pnas.2516464123" TargetMode="External"/><Relationship Id="rId753" Type="http://schemas.openxmlformats.org/officeDocument/2006/relationships/hyperlink" Target="https://www.pnas.org/doi/abs/10.1073/pnas.2516874123?mi=eymic2&amp;af=R&amp;access=on&amp;content=articlesChapters&amp;publication=pnas&amp;sortBy=Earliest&amp;target=default" TargetMode="External"/><Relationship Id="rId754" Type="http://schemas.openxmlformats.org/officeDocument/2006/relationships/hyperlink" Target="https://doi.org/10.1073/pnas.2516874123" TargetMode="External"/><Relationship Id="rId755" Type="http://schemas.openxmlformats.org/officeDocument/2006/relationships/hyperlink" Target="https://www.pnas.org/doi/abs/10.1073/pnas.2517734123?mi=eymic2&amp;af=R&amp;access=on&amp;content=articlesChapters&amp;publication=pnas&amp;sortBy=Earliest&amp;target=default" TargetMode="External"/><Relationship Id="rId756" Type="http://schemas.openxmlformats.org/officeDocument/2006/relationships/hyperlink" Target="https://doi.org/10.1073/pnas.2517734123" TargetMode="External"/><Relationship Id="rId757" Type="http://schemas.openxmlformats.org/officeDocument/2006/relationships/hyperlink" Target="https://www.pnas.org/doi/abs/10.1073/pnas.2518125123?mi=eymic2&amp;af=R&amp;access=on&amp;content=articlesChapters&amp;publication=pnas&amp;sortBy=Earliest&amp;target=default" TargetMode="External"/><Relationship Id="rId758" Type="http://schemas.openxmlformats.org/officeDocument/2006/relationships/hyperlink" Target="https://doi.org/10.1073/pnas.2518125123" TargetMode="External"/><Relationship Id="rId759" Type="http://schemas.openxmlformats.org/officeDocument/2006/relationships/hyperlink" Target="https://www.pnas.org/doi/abs/10.1073/pnas.2518282123?mi=eymic2&amp;af=R&amp;access=on&amp;content=articlesChapters&amp;publication=pnas&amp;sortBy=Earliest&amp;target=default" TargetMode="External"/><Relationship Id="rId760" Type="http://schemas.openxmlformats.org/officeDocument/2006/relationships/hyperlink" Target="https://doi.org/10.1073/pnas.2518282123" TargetMode="External"/><Relationship Id="rId761" Type="http://schemas.openxmlformats.org/officeDocument/2006/relationships/hyperlink" Target="https://www.pnas.org/doi/abs/10.1073/pnas.2518350123?mi=eymic2&amp;af=R&amp;access=on&amp;content=articlesChapters&amp;publication=pnas&amp;sortBy=Earliest&amp;target=default" TargetMode="External"/><Relationship Id="rId762" Type="http://schemas.openxmlformats.org/officeDocument/2006/relationships/hyperlink" Target="https://doi.org/10.1073/pnas.2518350123" TargetMode="External"/><Relationship Id="rId763" Type="http://schemas.openxmlformats.org/officeDocument/2006/relationships/hyperlink" Target="https://www.pnas.org/doi/abs/10.1073/pnas.2531804123?mi=eymic2&amp;af=R&amp;access=on&amp;content=articlesChapters&amp;publication=pnas&amp;sortBy=Earliest&amp;target=default" TargetMode="External"/><Relationship Id="rId764" Type="http://schemas.openxmlformats.org/officeDocument/2006/relationships/hyperlink" Target="https://doi.org/10.1073/pnas.2531804123" TargetMode="External"/><Relationship Id="rId765" Type="http://schemas.openxmlformats.org/officeDocument/2006/relationships/hyperlink" Target="https://www.pnas.org/doi/abs/10.1073/pnas.2528601123?mi=eymic2&amp;af=R&amp;access=on&amp;content=articlesChapters&amp;publication=pnas&amp;sortBy=Earliest&amp;target=default" TargetMode="External"/><Relationship Id="rId766" Type="http://schemas.openxmlformats.org/officeDocument/2006/relationships/hyperlink" Target="https://doi.org/10.1073/pnas.2528601123" TargetMode="External"/><Relationship Id="rId767" Type="http://schemas.openxmlformats.org/officeDocument/2006/relationships/hyperlink" Target="https://www.pnas.org/doi/abs/10.1073/pnas.2521556123?mi=eymic2&amp;af=R&amp;access=on&amp;content=articlesChapters&amp;publication=pnas&amp;sortBy=Earliest&amp;target=default" TargetMode="External"/><Relationship Id="rId768" Type="http://schemas.openxmlformats.org/officeDocument/2006/relationships/hyperlink" Target="https://doi.org/10.1073/pnas.2521556123" TargetMode="External"/><Relationship Id="rId769" Type="http://schemas.openxmlformats.org/officeDocument/2006/relationships/hyperlink" Target="https://www.pnas.org/doi/abs/10.1073/pnas.2521662123?mi=eymic2&amp;af=R&amp;access=on&amp;content=articlesChapters&amp;publication=pnas&amp;sortBy=Earliest&amp;target=default" TargetMode="External"/><Relationship Id="rId770" Type="http://schemas.openxmlformats.org/officeDocument/2006/relationships/hyperlink" Target="https://doi.org/10.1073/pnas.2521662123" TargetMode="External"/><Relationship Id="rId771" Type="http://schemas.openxmlformats.org/officeDocument/2006/relationships/hyperlink" Target="https://www.pnas.org/doi/abs/10.1073/pnas.2521923123?mi=eymic2&amp;af=R&amp;access=on&amp;content=articlesChapters&amp;publication=pnas&amp;sortBy=Earliest&amp;target=default" TargetMode="External"/><Relationship Id="rId772" Type="http://schemas.openxmlformats.org/officeDocument/2006/relationships/hyperlink" Target="https://doi.org/10.1073/pnas.2521923123" TargetMode="External"/><Relationship Id="rId773" Type="http://schemas.openxmlformats.org/officeDocument/2006/relationships/hyperlink" Target="https://www.pnas.org/doi/abs/10.1073/pnas.2520778123?mi=eymic2&amp;af=R&amp;access=on&amp;content=articlesChapters&amp;publication=pnas&amp;sortBy=Earliest&amp;target=default" TargetMode="External"/><Relationship Id="rId774" Type="http://schemas.openxmlformats.org/officeDocument/2006/relationships/hyperlink" Target="https://doi.org/10.1073/pnas.2520778123" TargetMode="External"/><Relationship Id="rId775" Type="http://schemas.openxmlformats.org/officeDocument/2006/relationships/hyperlink" Target="https://www.pnas.org/doi/abs/10.1073/pnas.2524999123?mi=eymic2&amp;af=R&amp;access=on&amp;content=articlesChapters&amp;publication=pnas&amp;sortBy=Earliest&amp;target=default" TargetMode="External"/><Relationship Id="rId776" Type="http://schemas.openxmlformats.org/officeDocument/2006/relationships/hyperlink" Target="https://doi.org/10.1073/pnas.2524999123" TargetMode="External"/><Relationship Id="rId777" Type="http://schemas.openxmlformats.org/officeDocument/2006/relationships/hyperlink" Target="https://www.pnas.org/doi/abs/10.1073/pnas.2524773123?mi=eymic2&amp;af=R&amp;access=on&amp;content=articlesChapters&amp;publication=pnas&amp;sortBy=Earliest&amp;target=default" TargetMode="External"/><Relationship Id="rId778" Type="http://schemas.openxmlformats.org/officeDocument/2006/relationships/hyperlink" Target="https://doi.org/10.1073/pnas.2524773123" TargetMode="External"/><Relationship Id="rId779" Type="http://schemas.openxmlformats.org/officeDocument/2006/relationships/hyperlink" Target="http://dx.doi.org/10.1021/jacs.5c18979" TargetMode="External"/><Relationship Id="rId780" Type="http://schemas.openxmlformats.org/officeDocument/2006/relationships/hyperlink" Target="https://doi.org/10.1021/jacs.5c18979" TargetMode="External"/><Relationship Id="rId781" Type="http://schemas.openxmlformats.org/officeDocument/2006/relationships/hyperlink" Target="http://dx.doi.org/10.1021/jacs.5c23037" TargetMode="External"/><Relationship Id="rId782" Type="http://schemas.openxmlformats.org/officeDocument/2006/relationships/hyperlink" Target="https://doi.org/10.1021/jacs.5c23037" TargetMode="External"/><Relationship Id="rId783" Type="http://schemas.openxmlformats.org/officeDocument/2006/relationships/hyperlink" Target="http://dx.doi.org/10.1021/acsenergylett.5c03907" TargetMode="External"/><Relationship Id="rId784" Type="http://schemas.openxmlformats.org/officeDocument/2006/relationships/hyperlink" Target="https://doi.org/10.1021/acsenergylett.5c03907" TargetMode="External"/><Relationship Id="rId785" Type="http://schemas.openxmlformats.org/officeDocument/2006/relationships/hyperlink" Target="https://advanced.onlinelibrary.wiley.com/doi/10.1002/adma.202523570?af=R" TargetMode="External"/><Relationship Id="rId786" Type="http://schemas.openxmlformats.org/officeDocument/2006/relationships/hyperlink" Target="https://doi.org/10.1002/adma.202523570" TargetMode="External"/><Relationship Id="rId787" Type="http://schemas.openxmlformats.org/officeDocument/2006/relationships/hyperlink" Target="https://advanced.onlinelibrary.wiley.com/doi/10.1002/adma.202520951?af=R" TargetMode="External"/><Relationship Id="rId788" Type="http://schemas.openxmlformats.org/officeDocument/2006/relationships/hyperlink" Target="https://doi.org/10.1002/adma.202520951" TargetMode="External"/><Relationship Id="rId789" Type="http://schemas.openxmlformats.org/officeDocument/2006/relationships/hyperlink" Target="https://advanced.onlinelibrary.wiley.com/doi/10.1002/adma.72577?af=R" TargetMode="External"/><Relationship Id="rId790" Type="http://schemas.openxmlformats.org/officeDocument/2006/relationships/hyperlink" Target="https://doi.org/10.1002/adma.72577" TargetMode="External"/><Relationship Id="rId791" Type="http://schemas.openxmlformats.org/officeDocument/2006/relationships/hyperlink" Target="http://dx.doi.org/10.1021/acsenergylett.5c03495" TargetMode="External"/><Relationship Id="rId792" Type="http://schemas.openxmlformats.org/officeDocument/2006/relationships/hyperlink" Target="https://doi.org/10.1021/acsenergylett.5c03495" TargetMode="External"/><Relationship Id="rId793" Type="http://schemas.openxmlformats.org/officeDocument/2006/relationships/hyperlink" Target="http://dx.doi.org/10.1021/jacs.6c00202" TargetMode="External"/><Relationship Id="rId794" Type="http://schemas.openxmlformats.org/officeDocument/2006/relationships/hyperlink" Target="https://doi.org/10.1021/jacs.6c00202" TargetMode="External"/><Relationship Id="rId795" Type="http://schemas.openxmlformats.org/officeDocument/2006/relationships/hyperlink" Target="http://dx.doi.org/10.1021/jacs.5c21158" TargetMode="External"/><Relationship Id="rId796" Type="http://schemas.openxmlformats.org/officeDocument/2006/relationships/hyperlink" Target="https://doi.org/10.1021/jacs.5c21158" TargetMode="External"/><Relationship Id="rId797" Type="http://schemas.openxmlformats.org/officeDocument/2006/relationships/hyperlink" Target="http://dx.doi.org/10.1021/jacs.6c01193" TargetMode="External"/><Relationship Id="rId798" Type="http://schemas.openxmlformats.org/officeDocument/2006/relationships/hyperlink" Target="https://doi.org/10.1021/jacs.6c01193" TargetMode="External"/><Relationship Id="rId799" Type="http://schemas.openxmlformats.org/officeDocument/2006/relationships/hyperlink" Target="http://dx.doi.org/10.1021/jacs.5c20599" TargetMode="External"/><Relationship Id="rId800" Type="http://schemas.openxmlformats.org/officeDocument/2006/relationships/hyperlink" Target="https://doi.org/10.1021/jacs.5c20599" TargetMode="External"/><Relationship Id="rId801" Type="http://schemas.openxmlformats.org/officeDocument/2006/relationships/hyperlink" Target="http://dx.doi.org/10.1021/acsenergylett.5c03869" TargetMode="External"/><Relationship Id="rId802" Type="http://schemas.openxmlformats.org/officeDocument/2006/relationships/hyperlink" Target="https://doi.org/10.1021/acsenergylett.5c03869" TargetMode="External"/><Relationship Id="rId803" Type="http://schemas.openxmlformats.org/officeDocument/2006/relationships/hyperlink" Target="http://dx.doi.org/10.1021/jacs.5c20679" TargetMode="External"/><Relationship Id="rId804" Type="http://schemas.openxmlformats.org/officeDocument/2006/relationships/hyperlink" Target="https://doi.org/10.1021/jacs.5c20679" TargetMode="External"/><Relationship Id="rId805" Type="http://schemas.openxmlformats.org/officeDocument/2006/relationships/hyperlink" Target="https://advanced.onlinelibrary.wiley.com/doi/10.1002/adma.202518655?af=R" TargetMode="External"/><Relationship Id="rId806" Type="http://schemas.openxmlformats.org/officeDocument/2006/relationships/hyperlink" Target="https://doi.org/10.1002/adma.202518655" TargetMode="External"/><Relationship Id="rId807" Type="http://schemas.openxmlformats.org/officeDocument/2006/relationships/hyperlink" Target="https://advanced.onlinelibrary.wiley.com/doi/10.1002/aenm.202506002?af=R" TargetMode="External"/><Relationship Id="rId808" Type="http://schemas.openxmlformats.org/officeDocument/2006/relationships/hyperlink" Target="https://doi.org/10.1002/aenm.202506002" TargetMode="External"/><Relationship Id="rId809" Type="http://schemas.openxmlformats.org/officeDocument/2006/relationships/hyperlink" Target="http://dx.doi.org/10.1021/jacs.5c21955" TargetMode="External"/><Relationship Id="rId810" Type="http://schemas.openxmlformats.org/officeDocument/2006/relationships/hyperlink" Target="https://doi.org/10.1021/jacs.5c21955" TargetMode="External"/><Relationship Id="rId811" Type="http://schemas.openxmlformats.org/officeDocument/2006/relationships/hyperlink" Target="http://dx.doi.org/10.1021/jacs.5c21201" TargetMode="External"/><Relationship Id="rId812" Type="http://schemas.openxmlformats.org/officeDocument/2006/relationships/hyperlink" Target="https://doi.org/10.1021/jacs.5c21201" TargetMode="External"/><Relationship Id="rId813" Type="http://schemas.openxmlformats.org/officeDocument/2006/relationships/hyperlink" Target="https://onlinelibrary.wiley.com/doi/10.1002/anie.202524803?af=R" TargetMode="External"/><Relationship Id="rId814" Type="http://schemas.openxmlformats.org/officeDocument/2006/relationships/hyperlink" Target="https://doi.org/10.1002/anie.202524803" TargetMode="External"/><Relationship Id="rId815" Type="http://schemas.openxmlformats.org/officeDocument/2006/relationships/hyperlink" Target="https://onlinelibrary.wiley.com/doi/10.1002/anie.6304086?af=R" TargetMode="External"/><Relationship Id="rId816" Type="http://schemas.openxmlformats.org/officeDocument/2006/relationships/hyperlink" Target="https://doi.org/10.1002/anie.6304086" TargetMode="External"/><Relationship Id="rId817" Type="http://schemas.openxmlformats.org/officeDocument/2006/relationships/hyperlink" Target="https://onlinelibrary.wiley.com/doi/10.1002/anie.202524978?af=R" TargetMode="External"/><Relationship Id="rId818" Type="http://schemas.openxmlformats.org/officeDocument/2006/relationships/hyperlink" Target="https://doi.org/10.1002/anie.202524978" TargetMode="External"/><Relationship Id="rId819" Type="http://schemas.openxmlformats.org/officeDocument/2006/relationships/hyperlink" Target="https://onlinelibrary.wiley.com/doi/10.1002/anie.202523382?af=R" TargetMode="External"/><Relationship Id="rId820" Type="http://schemas.openxmlformats.org/officeDocument/2006/relationships/hyperlink" Target="https://doi.org/10.1002/anie.202523382" TargetMode="External"/><Relationship Id="rId821" Type="http://schemas.openxmlformats.org/officeDocument/2006/relationships/hyperlink" Target="https://onlinelibrary.wiley.com/doi/10.1002/anie.1360507?af=R" TargetMode="External"/><Relationship Id="rId822" Type="http://schemas.openxmlformats.org/officeDocument/2006/relationships/hyperlink" Target="https://doi.org/10.1002/anie.1360507" TargetMode="External"/><Relationship Id="rId823" Type="http://schemas.openxmlformats.org/officeDocument/2006/relationships/hyperlink" Target="https://onlinelibrary.wiley.com/doi/10.1002/anie.2067337?af=R" TargetMode="External"/><Relationship Id="rId824" Type="http://schemas.openxmlformats.org/officeDocument/2006/relationships/hyperlink" Target="https://doi.org/10.1002/anie.2067337" TargetMode="External"/><Relationship Id="rId825" Type="http://schemas.openxmlformats.org/officeDocument/2006/relationships/hyperlink" Target="https://onlinelibrary.wiley.com/doi/10.1002/anie.8139928?af=R" TargetMode="External"/><Relationship Id="rId826" Type="http://schemas.openxmlformats.org/officeDocument/2006/relationships/hyperlink" Target="https://doi.org/10.1002/anie.8139928" TargetMode="External"/><Relationship Id="rId827" Type="http://schemas.openxmlformats.org/officeDocument/2006/relationships/hyperlink" Target="https://advanced.onlinelibrary.wiley.com/doi/10.1002/adma.202516945?af=R" TargetMode="External"/><Relationship Id="rId828" Type="http://schemas.openxmlformats.org/officeDocument/2006/relationships/hyperlink" Target="https://doi.org/10.1002/adma.202516945" TargetMode="External"/><Relationship Id="rId829" Type="http://schemas.openxmlformats.org/officeDocument/2006/relationships/hyperlink" Target="https://advanced.onlinelibrary.wiley.com/doi/10.1002/adma.202522979?af=R" TargetMode="External"/><Relationship Id="rId830" Type="http://schemas.openxmlformats.org/officeDocument/2006/relationships/hyperlink" Target="https://doi.org/10.1002/adma.202522979" TargetMode="External"/><Relationship Id="rId831" Type="http://schemas.openxmlformats.org/officeDocument/2006/relationships/hyperlink" Target="https://advanced.onlinelibrary.wiley.com/doi/10.1002/adma.202520368?af=R" TargetMode="External"/><Relationship Id="rId832" Type="http://schemas.openxmlformats.org/officeDocument/2006/relationships/hyperlink" Target="https://doi.org/10.1002/adma.202520368" TargetMode="External"/><Relationship Id="rId833" Type="http://schemas.openxmlformats.org/officeDocument/2006/relationships/hyperlink" Target="https://advanced.onlinelibrary.wiley.com/doi/10.1002/adma.202520890?af=R" TargetMode="External"/><Relationship Id="rId834" Type="http://schemas.openxmlformats.org/officeDocument/2006/relationships/hyperlink" Target="https://doi.org/10.1002/adma.202520890" TargetMode="External"/><Relationship Id="rId835" Type="http://schemas.openxmlformats.org/officeDocument/2006/relationships/hyperlink" Target="http://dx.doi.org/10.1021/jacs.5c21701" TargetMode="External"/><Relationship Id="rId836" Type="http://schemas.openxmlformats.org/officeDocument/2006/relationships/hyperlink" Target="https://doi.org/10.1021/jacs.5c21701" TargetMode="External"/><Relationship Id="rId837" Type="http://schemas.openxmlformats.org/officeDocument/2006/relationships/hyperlink" Target="https://advanced.onlinelibrary.wiley.com/doi/10.1002/adma.202517407?af=R" TargetMode="External"/><Relationship Id="rId838" Type="http://schemas.openxmlformats.org/officeDocument/2006/relationships/hyperlink" Target="https://doi.org/10.1002/adma.202517407" TargetMode="External"/><Relationship Id="rId839" Type="http://schemas.openxmlformats.org/officeDocument/2006/relationships/hyperlink" Target="https://advanced.onlinelibrary.wiley.com/doi/10.1002/aenm.70572?af=R" TargetMode="External"/><Relationship Id="rId840" Type="http://schemas.openxmlformats.org/officeDocument/2006/relationships/hyperlink" Target="https://doi.org/10.1002/aenm.70572" TargetMode="External"/><Relationship Id="rId841" Type="http://schemas.openxmlformats.org/officeDocument/2006/relationships/hyperlink" Target="http://dx.doi.org/10.1021/jacs.5c22048" TargetMode="External"/><Relationship Id="rId842" Type="http://schemas.openxmlformats.org/officeDocument/2006/relationships/hyperlink" Target="https://doi.org/10.1021/jacs.5c22048" TargetMode="External"/><Relationship Id="rId843" Type="http://schemas.openxmlformats.org/officeDocument/2006/relationships/hyperlink" Target="http://dx.doi.org/10.1021/jacs.5c22672" TargetMode="External"/><Relationship Id="rId844" Type="http://schemas.openxmlformats.org/officeDocument/2006/relationships/hyperlink" Target="https://doi.org/10.1021/jacs.5c22672" TargetMode="External"/><Relationship Id="rId845" Type="http://schemas.openxmlformats.org/officeDocument/2006/relationships/hyperlink" Target="http://dx.doi.org/10.1021/jacs.5c19395" TargetMode="External"/><Relationship Id="rId846" Type="http://schemas.openxmlformats.org/officeDocument/2006/relationships/hyperlink" Target="https://doi.org/10.1021/jacs.5c19395" TargetMode="External"/><Relationship Id="rId847" Type="http://schemas.openxmlformats.org/officeDocument/2006/relationships/hyperlink" Target="https://www.nature.com/articles/s41467-026-69171-z" TargetMode="External"/><Relationship Id="rId848" Type="http://schemas.openxmlformats.org/officeDocument/2006/relationships/hyperlink" Target="https://www.sciencedirect.com/science/article/pii/S0306261926001662?dgcid=rss_sd_all" TargetMode="External"/><Relationship Id="rId849" Type="http://schemas.openxmlformats.org/officeDocument/2006/relationships/hyperlink" Target="https://www.sciencedirect.com/science/article/pii/S0306261926001911?dgcid=rss_sd_all" TargetMode="External"/><Relationship Id="rId850" Type="http://schemas.openxmlformats.org/officeDocument/2006/relationships/hyperlink" Target="https://www.sciencedirect.com/science/article/pii/S0306261926001856?dgcid=rss_sd_all" TargetMode="External"/><Relationship Id="rId851" Type="http://schemas.openxmlformats.org/officeDocument/2006/relationships/hyperlink" Target="https://www.sciencedirect.com/science/article/pii/S0301421526001230?dgcid=rss_sd_all" TargetMode="External"/><Relationship Id="rId852" Type="http://schemas.openxmlformats.org/officeDocument/2006/relationships/hyperlink" Target="https://www.sciencedirect.com/science/article/pii/S030142152600128X?dgcid=rss_sd_all" TargetMode="External"/><Relationship Id="rId853" Type="http://schemas.openxmlformats.org/officeDocument/2006/relationships/hyperlink" Target="https://www.nature.com/articles/s41467-026-69673-w" TargetMode="External"/><Relationship Id="rId854" Type="http://schemas.openxmlformats.org/officeDocument/2006/relationships/hyperlink" Target="https://www.sciencedirect.com/science/article/pii/S030626192600173X?dgcid=rss_sd_all" TargetMode="External"/><Relationship Id="rId855" Type="http://schemas.openxmlformats.org/officeDocument/2006/relationships/hyperlink" Target="http://pubs.rsc.org/en/Content/ArticleLanding/2026/CS/D5CS00918A" TargetMode="External"/><Relationship Id="rId856" Type="http://schemas.openxmlformats.org/officeDocument/2006/relationships/hyperlink" Target="https://www.nature.com/articles/s41563-026-02507-8" TargetMode="External"/><Relationship Id="rId857" Type="http://schemas.openxmlformats.org/officeDocument/2006/relationships/hyperlink" Target="https://www.sciencedirect.com/science/article/pii/S0306261926001583?dgcid=rss_sd_all" TargetMode="External"/><Relationship Id="rId858" Type="http://schemas.openxmlformats.org/officeDocument/2006/relationships/hyperlink" Target="https://www.nature.com/articles/s41563-026-02492-y" TargetMode="External"/><Relationship Id="rId859" Type="http://schemas.openxmlformats.org/officeDocument/2006/relationships/hyperlink" Target="https://www.nature.com/articles/s41467-026-69777-3" TargetMode="External"/><Relationship Id="rId860" Type="http://schemas.openxmlformats.org/officeDocument/2006/relationships/hyperlink" Target="https://www.nature.com/articles/s41467-026-69602-x" TargetMode="External"/><Relationship Id="rId861" Type="http://schemas.openxmlformats.org/officeDocument/2006/relationships/hyperlink" Target="https://www.nature.com/articles/s41467-026-69706-4" TargetMode="External"/><Relationship Id="rId862" Type="http://schemas.openxmlformats.org/officeDocument/2006/relationships/hyperlink" Target="http://pubs.rsc.org/en/Content/ArticleLanding/2026/CS/D4CS00695J" TargetMode="External"/><Relationship Id="rId863" Type="http://schemas.openxmlformats.org/officeDocument/2006/relationships/hyperlink" Target="https://www.sciencedirect.com/science/article/pii/S0306261926002096?dgcid=rss_sd_all" TargetMode="External"/><Relationship Id="rId864" Type="http://schemas.openxmlformats.org/officeDocument/2006/relationships/hyperlink" Target="https://www.nature.com/articles/d41586-026-00157-z" TargetMode="External"/><Relationship Id="rId865" Type="http://schemas.openxmlformats.org/officeDocument/2006/relationships/hyperlink" Target="https://www.nature.com/articles/d41586-026-00537-5" TargetMode="External"/><Relationship Id="rId866" Type="http://schemas.openxmlformats.org/officeDocument/2006/relationships/hyperlink" Target="https://www.nature.com/articles/d41586-026-00531-x" TargetMode="External"/><Relationship Id="rId867" Type="http://schemas.openxmlformats.org/officeDocument/2006/relationships/hyperlink" Target="https://www.nature.com/articles/d41586-026-00506-y" TargetMode="External"/><Relationship Id="rId868" Type="http://schemas.openxmlformats.org/officeDocument/2006/relationships/hyperlink" Target="https://www.nature.com/articles/d41586-026-00365-7" TargetMode="External"/><Relationship Id="rId869" Type="http://schemas.openxmlformats.org/officeDocument/2006/relationships/hyperlink" Target="https://www.nature.com/articles/s41586-026-10274-4" TargetMode="External"/><Relationship Id="rId870" Type="http://schemas.openxmlformats.org/officeDocument/2006/relationships/hyperlink" Target="https://www.cell.com/chem/fulltext/S2451-9294(25)00504-2?rss=yes" TargetMode="External"/><Relationship Id="rId871" Type="http://schemas.openxmlformats.org/officeDocument/2006/relationships/hyperlink" Target="https://www.cell.com/joule/fulltext/S2542-4351(25)00477-5?rss=yes" TargetMode="External"/><Relationship Id="rId872" Type="http://schemas.openxmlformats.org/officeDocument/2006/relationships/hyperlink" Target="https://www.cell.com/joule/fulltext/S2542-4351(25)00479-9?rss=yes" TargetMode="External"/><Relationship Id="rId873" Type="http://schemas.openxmlformats.org/officeDocument/2006/relationships/hyperlink" Target="https://www.cell.com/matter/fulltext/S2590-2385(25)00657-5?rss=yes" TargetMode="External"/><Relationship Id="rId874" Type="http://schemas.openxmlformats.org/officeDocument/2006/relationships/hyperlink" Target="https://www.nature.com/articles/d41586-026-00117-7" TargetMode="External"/><Relationship Id="rId875" Type="http://schemas.openxmlformats.org/officeDocument/2006/relationships/hyperlink" Target="https://www.nature.com/articles/s41928-026-01584-6" TargetMode="External"/><Relationship Id="rId876" Type="http://schemas.openxmlformats.org/officeDocument/2006/relationships/hyperlink" Target="https://www.nature.com/articles/s44286-026-00365-4" TargetMode="External"/><Relationship Id="rId877" Type="http://schemas.openxmlformats.org/officeDocument/2006/relationships/hyperlink" Target="https://advanced.onlinelibrary.wiley.com/doi/10.1002/aenm.70768?af=R" TargetMode="External"/><Relationship Id="rId878" Type="http://schemas.openxmlformats.org/officeDocument/2006/relationships/hyperlink" Target="https://doi.org/10.1002/aenm.70768" TargetMode="External"/><Relationship Id="rId879" Type="http://schemas.openxmlformats.org/officeDocument/2006/relationships/hyperlink" Target="https://advanced.onlinelibrary.wiley.com/doi/10.1002/aenm.202503291?af=R" TargetMode="External"/><Relationship Id="rId880" Type="http://schemas.openxmlformats.org/officeDocument/2006/relationships/hyperlink" Target="https://doi.org/10.1002/aenm.202503291" TargetMode="External"/><Relationship Id="rId881" Type="http://schemas.openxmlformats.org/officeDocument/2006/relationships/hyperlink" Target="https://advanced.onlinelibrary.wiley.com/doi/10.1002/aenm.70779?af=R" TargetMode="External"/><Relationship Id="rId882" Type="http://schemas.openxmlformats.org/officeDocument/2006/relationships/hyperlink" Target="https://doi.org/10.1002/aenm.70779" TargetMode="External"/><Relationship Id="rId883" Type="http://schemas.openxmlformats.org/officeDocument/2006/relationships/hyperlink" Target="https://advanced.onlinelibrary.wiley.com/doi/10.1002/adma.202519230?af=R" TargetMode="External"/><Relationship Id="rId884" Type="http://schemas.openxmlformats.org/officeDocument/2006/relationships/hyperlink" Target="https://doi.org/10.1002/adma.202519230" TargetMode="External"/><Relationship Id="rId885" Type="http://schemas.openxmlformats.org/officeDocument/2006/relationships/hyperlink" Target="https://onlinelibrary.wiley.com/doi/10.1002/anie.5206101?af=R" TargetMode="External"/><Relationship Id="rId886" Type="http://schemas.openxmlformats.org/officeDocument/2006/relationships/hyperlink" Target="https://doi.org/10.1002/anie.5206101" TargetMode="External"/><Relationship Id="rId887" Type="http://schemas.openxmlformats.org/officeDocument/2006/relationships/hyperlink" Target="https://onlinelibrary.wiley.com/doi/10.1002/anie.202525745?af=R" TargetMode="External"/><Relationship Id="rId888" Type="http://schemas.openxmlformats.org/officeDocument/2006/relationships/hyperlink" Target="https://doi.org/10.1002/anie.202525745" TargetMode="External"/><Relationship Id="rId889" Type="http://schemas.openxmlformats.org/officeDocument/2006/relationships/hyperlink" Target="https://onlinelibrary.wiley.com/doi/10.1002/anie.202522625?af=R" TargetMode="External"/><Relationship Id="rId890" Type="http://schemas.openxmlformats.org/officeDocument/2006/relationships/hyperlink" Target="https://doi.org/10.1002/anie.202522625" TargetMode="External"/><Relationship Id="rId891" Type="http://schemas.openxmlformats.org/officeDocument/2006/relationships/hyperlink" Target="https://onlinelibrary.wiley.com/doi/10.1002/anie.9117281?af=R" TargetMode="External"/><Relationship Id="rId892" Type="http://schemas.openxmlformats.org/officeDocument/2006/relationships/hyperlink" Target="https://doi.org/10.1002/anie.9117281" TargetMode="External"/><Relationship Id="rId893" Type="http://schemas.openxmlformats.org/officeDocument/2006/relationships/hyperlink" Target="https://onlinelibrary.wiley.com/doi/10.1002/anie.202522493?af=R" TargetMode="External"/><Relationship Id="rId894" Type="http://schemas.openxmlformats.org/officeDocument/2006/relationships/hyperlink" Target="https://doi.org/10.1002/anie.202522493" TargetMode="External"/><Relationship Id="rId895" Type="http://schemas.openxmlformats.org/officeDocument/2006/relationships/hyperlink" Target="https://www.science.org/doi/abs/10.1126/science.adz2737?af=R" TargetMode="External"/><Relationship Id="rId896" Type="http://schemas.openxmlformats.org/officeDocument/2006/relationships/hyperlink" Target="https://doi.org/10.1126/science.adz2737" TargetMode="External"/><Relationship Id="rId897" Type="http://schemas.openxmlformats.org/officeDocument/2006/relationships/hyperlink" Target="https://www.science.org/doi/abs/10.1126/science.ady6651?af=R" TargetMode="External"/><Relationship Id="rId898" Type="http://schemas.openxmlformats.org/officeDocument/2006/relationships/hyperlink" Target="https://doi.org/10.1126/science.ady6651" TargetMode="External"/><Relationship Id="rId899" Type="http://schemas.openxmlformats.org/officeDocument/2006/relationships/hyperlink" Target="https://www.science.org/doi/abs/10.1126/science.aeg4377?af=R" TargetMode="External"/><Relationship Id="rId900" Type="http://schemas.openxmlformats.org/officeDocument/2006/relationships/hyperlink" Target="https://doi.org/10.1126/science.aeg4377" TargetMode="External"/><Relationship Id="rId901" Type="http://schemas.openxmlformats.org/officeDocument/2006/relationships/hyperlink" Target="https://www.science.org/doi/abs/10.1126/science.adq7188?af=R" TargetMode="External"/><Relationship Id="rId902" Type="http://schemas.openxmlformats.org/officeDocument/2006/relationships/hyperlink" Target="https://doi.org/10.1126/science.adq7188" TargetMode="External"/><Relationship Id="rId903" Type="http://schemas.openxmlformats.org/officeDocument/2006/relationships/hyperlink" Target="https://www.science.org/doi/abs/10.1126/science.adz6643?af=R" TargetMode="External"/><Relationship Id="rId904" Type="http://schemas.openxmlformats.org/officeDocument/2006/relationships/hyperlink" Target="https://doi.org/10.1126/science.adz6643" TargetMode="External"/><Relationship Id="rId905" Type="http://schemas.openxmlformats.org/officeDocument/2006/relationships/hyperlink" Target="https://www.science.org/doi/abs/10.1126/science.adt1275?af=R" TargetMode="External"/><Relationship Id="rId906" Type="http://schemas.openxmlformats.org/officeDocument/2006/relationships/hyperlink" Target="https://doi.org/10.1126/science.adt1275" TargetMode="External"/><Relationship Id="rId907" Type="http://schemas.openxmlformats.org/officeDocument/2006/relationships/hyperlink" Target="https://www.science.org/doi/abs/10.1126/science.adz8603?af=R" TargetMode="External"/><Relationship Id="rId908" Type="http://schemas.openxmlformats.org/officeDocument/2006/relationships/hyperlink" Target="https://doi.org/10.1126/science.adz8603" TargetMode="External"/><Relationship Id="rId909" Type="http://schemas.openxmlformats.org/officeDocument/2006/relationships/hyperlink" Target="https://www.science.org/doi/abs/10.1126/science.aeg3525?af=R" TargetMode="External"/><Relationship Id="rId910" Type="http://schemas.openxmlformats.org/officeDocument/2006/relationships/hyperlink" Target="https://doi.org/10.1126/science.aeg3525" TargetMode="External"/><Relationship Id="rId911" Type="http://schemas.openxmlformats.org/officeDocument/2006/relationships/hyperlink" Target="https://www.science.org/doi/abs/10.1126/science.aef5239?af=R" TargetMode="External"/><Relationship Id="rId912" Type="http://schemas.openxmlformats.org/officeDocument/2006/relationships/hyperlink" Target="https://doi.org/10.1126/science.aef5239" TargetMode="External"/><Relationship Id="rId913" Type="http://schemas.openxmlformats.org/officeDocument/2006/relationships/hyperlink" Target="https://www.science.org/doi/abs/10.1126/science.aef2556?af=R" TargetMode="External"/><Relationship Id="rId914" Type="http://schemas.openxmlformats.org/officeDocument/2006/relationships/hyperlink" Target="https://doi.org/10.1126/science.aef2556" TargetMode="External"/><Relationship Id="rId915" Type="http://schemas.openxmlformats.org/officeDocument/2006/relationships/hyperlink" Target="https://www.science.org/doi/abs/10.1126/science.aef2219?af=R" TargetMode="External"/><Relationship Id="rId916" Type="http://schemas.openxmlformats.org/officeDocument/2006/relationships/hyperlink" Target="https://doi.org/10.1126/science.aef2219" TargetMode="External"/><Relationship Id="rId917" Type="http://schemas.openxmlformats.org/officeDocument/2006/relationships/hyperlink" Target="https://www.science.org/doi/abs/10.1126/science.aeg5599?af=R" TargetMode="External"/><Relationship Id="rId918" Type="http://schemas.openxmlformats.org/officeDocument/2006/relationships/hyperlink" Target="https://doi.org/10.1126/science.aeg5599" TargetMode="External"/><Relationship Id="rId919" Type="http://schemas.openxmlformats.org/officeDocument/2006/relationships/hyperlink" Target="https://www.science.org/doi/abs/10.1126/science.aef0754?af=R" TargetMode="External"/><Relationship Id="rId920" Type="http://schemas.openxmlformats.org/officeDocument/2006/relationships/hyperlink" Target="https://doi.org/10.1126/science.aef0754" TargetMode="External"/><Relationship Id="rId921" Type="http://schemas.openxmlformats.org/officeDocument/2006/relationships/hyperlink" Target="https://www.science.org/doi/abs/10.1126/science.aee8641?af=R" TargetMode="External"/><Relationship Id="rId922" Type="http://schemas.openxmlformats.org/officeDocument/2006/relationships/hyperlink" Target="https://doi.org/10.1126/science.aee8641" TargetMode="External"/><Relationship Id="rId923" Type="http://schemas.openxmlformats.org/officeDocument/2006/relationships/hyperlink" Target="https://www.science.org/doi/abs/10.1126/science.aeg5598?af=R" TargetMode="External"/><Relationship Id="rId924" Type="http://schemas.openxmlformats.org/officeDocument/2006/relationships/hyperlink" Target="https://doi.org/10.1126/science.aeg5598" TargetMode="External"/><Relationship Id="rId925" Type="http://schemas.openxmlformats.org/officeDocument/2006/relationships/hyperlink" Target="https://www.science.org/doi/abs/10.1126/science.aee6316?af=R" TargetMode="External"/><Relationship Id="rId926" Type="http://schemas.openxmlformats.org/officeDocument/2006/relationships/hyperlink" Target="https://doi.org/10.1126/science.aee6316" TargetMode="External"/><Relationship Id="rId927" Type="http://schemas.openxmlformats.org/officeDocument/2006/relationships/hyperlink" Target="https://www.science.org/doi/abs/10.1126/science.aeg5597?af=R" TargetMode="External"/><Relationship Id="rId928" Type="http://schemas.openxmlformats.org/officeDocument/2006/relationships/hyperlink" Target="https://doi.org/10.1126/science.aeg5597" TargetMode="External"/><Relationship Id="rId929" Type="http://schemas.openxmlformats.org/officeDocument/2006/relationships/hyperlink" Target="https://www.science.org/doi/abs/10.1126/science.aee1009?af=R" TargetMode="External"/><Relationship Id="rId930" Type="http://schemas.openxmlformats.org/officeDocument/2006/relationships/hyperlink" Target="https://doi.org/10.1126/science.aee1009" TargetMode="External"/><Relationship Id="rId931" Type="http://schemas.openxmlformats.org/officeDocument/2006/relationships/hyperlink" Target="https://www.science.org/doi/abs/10.1126/science.aeg5596?af=R" TargetMode="External"/><Relationship Id="rId932" Type="http://schemas.openxmlformats.org/officeDocument/2006/relationships/hyperlink" Target="https://doi.org/10.1126/science.aeg5596" TargetMode="External"/><Relationship Id="rId933" Type="http://schemas.openxmlformats.org/officeDocument/2006/relationships/hyperlink" Target="https://www.science.org/doi/abs/10.1126/science.aed4896?af=R" TargetMode="External"/><Relationship Id="rId934" Type="http://schemas.openxmlformats.org/officeDocument/2006/relationships/hyperlink" Target="https://doi.org/10.1126/science.aed4896" TargetMode="External"/><Relationship Id="rId935" Type="http://schemas.openxmlformats.org/officeDocument/2006/relationships/hyperlink" Target="https://www.science.org/doi/abs/10.1126/science.aeg5595?af=R" TargetMode="External"/><Relationship Id="rId936" Type="http://schemas.openxmlformats.org/officeDocument/2006/relationships/hyperlink" Target="https://doi.org/10.1126/science.aeg5595" TargetMode="External"/><Relationship Id="rId937" Type="http://schemas.openxmlformats.org/officeDocument/2006/relationships/hyperlink" Target="https://www.science.org/doi/abs/10.1126/science.aeb8232?af=R" TargetMode="External"/><Relationship Id="rId938" Type="http://schemas.openxmlformats.org/officeDocument/2006/relationships/hyperlink" Target="https://doi.org/10.1126/science.aeb8232" TargetMode="External"/><Relationship Id="rId939" Type="http://schemas.openxmlformats.org/officeDocument/2006/relationships/hyperlink" Target="https://www.science.org/doi/abs/10.1126/science.aeg5594?af=R" TargetMode="External"/><Relationship Id="rId940" Type="http://schemas.openxmlformats.org/officeDocument/2006/relationships/hyperlink" Target="https://doi.org/10.1126/science.aeg5594" TargetMode="External"/><Relationship Id="rId941" Type="http://schemas.openxmlformats.org/officeDocument/2006/relationships/hyperlink" Target="https://www.science.org/doi/abs/10.1126/science.aeg5593?af=R" TargetMode="External"/><Relationship Id="rId942" Type="http://schemas.openxmlformats.org/officeDocument/2006/relationships/hyperlink" Target="https://doi.org/10.1126/science.aeg5593" TargetMode="External"/><Relationship Id="rId943" Type="http://schemas.openxmlformats.org/officeDocument/2006/relationships/hyperlink" Target="https://www.science.org/doi/abs/10.1126/science.aeg4776?af=R" TargetMode="External"/><Relationship Id="rId944" Type="http://schemas.openxmlformats.org/officeDocument/2006/relationships/hyperlink" Target="https://doi.org/10.1126/science.aeg4776" TargetMode="External"/><Relationship Id="rId945" Type="http://schemas.openxmlformats.org/officeDocument/2006/relationships/hyperlink" Target="https://www.science.org/doi/abs/10.1126/science.aeg4775?af=R" TargetMode="External"/><Relationship Id="rId946" Type="http://schemas.openxmlformats.org/officeDocument/2006/relationships/hyperlink" Target="https://doi.org/10.1126/science.aeg4775" TargetMode="External"/><Relationship Id="rId947" Type="http://schemas.openxmlformats.org/officeDocument/2006/relationships/hyperlink" Target="https://www.science.org/doi/abs/10.1126/science.aeg4774?af=R" TargetMode="External"/><Relationship Id="rId948" Type="http://schemas.openxmlformats.org/officeDocument/2006/relationships/hyperlink" Target="https://doi.org/10.1126/science.aeg4774" TargetMode="External"/><Relationship Id="rId949" Type="http://schemas.openxmlformats.org/officeDocument/2006/relationships/hyperlink" Target="https://www.science.org/doi/abs/10.1126/science.aea7140?af=R" TargetMode="External"/><Relationship Id="rId950" Type="http://schemas.openxmlformats.org/officeDocument/2006/relationships/hyperlink" Target="https://doi.org/10.1126/science.aea7140" TargetMode="External"/><Relationship Id="rId951" Type="http://schemas.openxmlformats.org/officeDocument/2006/relationships/hyperlink" Target="https://www.science.org/doi/abs/10.1126/science.aea6792?af=R" TargetMode="External"/><Relationship Id="rId952" Type="http://schemas.openxmlformats.org/officeDocument/2006/relationships/hyperlink" Target="https://doi.org/10.1126/science.aea6792" TargetMode="External"/><Relationship Id="rId953" Type="http://schemas.openxmlformats.org/officeDocument/2006/relationships/hyperlink" Target="https://www.science.org/doi/abs/10.1126/science.aea3835?af=R" TargetMode="External"/><Relationship Id="rId954" Type="http://schemas.openxmlformats.org/officeDocument/2006/relationships/hyperlink" Target="https://doi.org/10.1126/science.aea3835" TargetMode="External"/><Relationship Id="rId955" Type="http://schemas.openxmlformats.org/officeDocument/2006/relationships/hyperlink" Target="https://www.science.org/doi/abs/10.1126/science.aef8296?af=R" TargetMode="External"/><Relationship Id="rId956" Type="http://schemas.openxmlformats.org/officeDocument/2006/relationships/hyperlink" Target="https://doi.org/10.1126/science.aef8296" TargetMode="External"/><Relationship Id="rId957" Type="http://schemas.openxmlformats.org/officeDocument/2006/relationships/hyperlink" Target="https://advanced.onlinelibrary.wiley.com/doi/10.1002/adma.202517586?af=R" TargetMode="External"/><Relationship Id="rId958" Type="http://schemas.openxmlformats.org/officeDocument/2006/relationships/hyperlink" Target="https://doi.org/10.1002/adma.202517586" TargetMode="External"/><Relationship Id="rId959" Type="http://schemas.openxmlformats.org/officeDocument/2006/relationships/hyperlink" Target="https://www.science.org/doi/abs/10.1126/science.aea3381?af=R" TargetMode="External"/><Relationship Id="rId960" Type="http://schemas.openxmlformats.org/officeDocument/2006/relationships/hyperlink" Target="https://doi.org/10.1126/science.aea3381" TargetMode="External"/><Relationship Id="rId961" Type="http://schemas.openxmlformats.org/officeDocument/2006/relationships/hyperlink" Target="https://www.science.org/doi/abs/10.1126/science.aeg1937?af=R" TargetMode="External"/><Relationship Id="rId962" Type="http://schemas.openxmlformats.org/officeDocument/2006/relationships/hyperlink" Target="https://doi.org/10.1126/science.aeg1937" TargetMode="External"/><Relationship Id="rId963" Type="http://schemas.openxmlformats.org/officeDocument/2006/relationships/hyperlink" Target="https://www.science.org/doi/abs/10.1126/science.ady7186?af=R" TargetMode="External"/><Relationship Id="rId964" Type="http://schemas.openxmlformats.org/officeDocument/2006/relationships/hyperlink" Target="https://doi.org/10.1126/science.ady7186" TargetMode="External"/><Relationship Id="rId965" Type="http://schemas.openxmlformats.org/officeDocument/2006/relationships/hyperlink" Target="https://www.science.org/doi/abs/10.1126/science.aeb3295?af=R" TargetMode="External"/><Relationship Id="rId966" Type="http://schemas.openxmlformats.org/officeDocument/2006/relationships/hyperlink" Target="https://doi.org/10.1126/science.aeb3295" TargetMode="External"/><Relationship Id="rId967" Type="http://schemas.openxmlformats.org/officeDocument/2006/relationships/hyperlink" Target="https://www.science.org/doi/abs/10.1126/science.adx5486?af=R" TargetMode="External"/><Relationship Id="rId968" Type="http://schemas.openxmlformats.org/officeDocument/2006/relationships/hyperlink" Target="https://doi.org/10.1126/science.adx5486" TargetMode="External"/><Relationship Id="rId969" Type="http://schemas.openxmlformats.org/officeDocument/2006/relationships/hyperlink" Target="https://www.science.org/doi/abs/10.1126/science.adu8264?af=R" TargetMode="External"/><Relationship Id="rId970" Type="http://schemas.openxmlformats.org/officeDocument/2006/relationships/hyperlink" Target="https://doi.org/10.1126/science.adu8264" TargetMode="External"/><Relationship Id="rId971" Type="http://schemas.openxmlformats.org/officeDocument/2006/relationships/hyperlink" Target="https://www.science.org/doi/abs/10.1126/science.adr4287?af=R" TargetMode="External"/><Relationship Id="rId972" Type="http://schemas.openxmlformats.org/officeDocument/2006/relationships/hyperlink" Target="https://doi.org/10.1126/science.adr4287" TargetMode="External"/><Relationship Id="rId973" Type="http://schemas.openxmlformats.org/officeDocument/2006/relationships/hyperlink" Target="https://www.science.org/doi/abs/10.1126/science.adw5137?af=R" TargetMode="External"/><Relationship Id="rId974" Type="http://schemas.openxmlformats.org/officeDocument/2006/relationships/hyperlink" Target="https://doi.org/10.1126/science.adw5137" TargetMode="External"/><Relationship Id="rId975" Type="http://schemas.openxmlformats.org/officeDocument/2006/relationships/hyperlink" Target="http://dx.doi.org/10.1021/jacs.5c16307" TargetMode="External"/><Relationship Id="rId976" Type="http://schemas.openxmlformats.org/officeDocument/2006/relationships/hyperlink" Target="https://doi.org/10.1021/jacs.5c16307" TargetMode="External"/><Relationship Id="rId977" Type="http://schemas.openxmlformats.org/officeDocument/2006/relationships/hyperlink" Target="http://dx.doi.org/10.1021/jacs.5c21911" TargetMode="External"/><Relationship Id="rId978" Type="http://schemas.openxmlformats.org/officeDocument/2006/relationships/hyperlink" Target="https://doi.org/10.1021/jacs.5c21911" TargetMode="External"/><Relationship Id="rId979" Type="http://schemas.openxmlformats.org/officeDocument/2006/relationships/hyperlink" Target="http://dx.doi.org/10.1021/jacs.5c22747" TargetMode="External"/><Relationship Id="rId980" Type="http://schemas.openxmlformats.org/officeDocument/2006/relationships/hyperlink" Target="https://doi.org/10.1021/jacs.5c22747" TargetMode="External"/><Relationship Id="rId981" Type="http://schemas.openxmlformats.org/officeDocument/2006/relationships/hyperlink" Target="http://dx.doi.org/10.1021/acsenergylett.5c04137" TargetMode="External"/><Relationship Id="rId982" Type="http://schemas.openxmlformats.org/officeDocument/2006/relationships/hyperlink" Target="https://doi.org/10.1021/acsenergylett.5c04137" TargetMode="External"/><Relationship Id="rId983" Type="http://schemas.openxmlformats.org/officeDocument/2006/relationships/hyperlink" Target="http://dx.doi.org/10.1021/jacs.5c16025" TargetMode="External"/><Relationship Id="rId984" Type="http://schemas.openxmlformats.org/officeDocument/2006/relationships/hyperlink" Target="https://doi.org/10.1021/jacs.5c16025" TargetMode="External"/><Relationship Id="rId985" Type="http://schemas.openxmlformats.org/officeDocument/2006/relationships/hyperlink" Target="http://dx.doi.org/10.1021/jacs.5c21138" TargetMode="External"/><Relationship Id="rId986" Type="http://schemas.openxmlformats.org/officeDocument/2006/relationships/hyperlink" Target="https://doi.org/10.1021/jacs.5c21138" TargetMode="External"/><Relationship Id="rId987" Type="http://schemas.openxmlformats.org/officeDocument/2006/relationships/hyperlink" Target="http://dx.doi.org/10.1021/jacs.5c22787" TargetMode="External"/><Relationship Id="rId988" Type="http://schemas.openxmlformats.org/officeDocument/2006/relationships/hyperlink" Target="https://doi.org/10.1021/jacs.5c22787" TargetMode="External"/><Relationship Id="rId989" Type="http://schemas.openxmlformats.org/officeDocument/2006/relationships/hyperlink" Target="http://dx.doi.org/10.1021/jacs.5c19134" TargetMode="External"/><Relationship Id="rId990" Type="http://schemas.openxmlformats.org/officeDocument/2006/relationships/hyperlink" Target="https://doi.org/10.1021/jacs.5c19134" TargetMode="External"/><Relationship Id="rId991" Type="http://schemas.openxmlformats.org/officeDocument/2006/relationships/hyperlink" Target="http://dx.doi.org/10.1021/jacs.5c18235" TargetMode="External"/><Relationship Id="rId992" Type="http://schemas.openxmlformats.org/officeDocument/2006/relationships/hyperlink" Target="https://doi.org/10.1021/jacs.5c18235" TargetMode="External"/><Relationship Id="rId993" Type="http://schemas.openxmlformats.org/officeDocument/2006/relationships/hyperlink" Target="http://dx.doi.org/10.1021/jacs.5c20307" TargetMode="External"/><Relationship Id="rId994" Type="http://schemas.openxmlformats.org/officeDocument/2006/relationships/hyperlink" Target="https://doi.org/10.1021/jacs.5c20307" TargetMode="External"/><Relationship Id="rId995" Type="http://schemas.openxmlformats.org/officeDocument/2006/relationships/hyperlink" Target="http://dx.doi.org/10.1021/acsenergylett.5c03955" TargetMode="External"/><Relationship Id="rId996" Type="http://schemas.openxmlformats.org/officeDocument/2006/relationships/hyperlink" Target="https://doi.org/10.1021/acsenergylett.5c03955" TargetMode="External"/><Relationship Id="rId997" Type="http://schemas.openxmlformats.org/officeDocument/2006/relationships/hyperlink" Target="http://dx.doi.org/10.1021/jacs.5c22358" TargetMode="External"/><Relationship Id="rId998" Type="http://schemas.openxmlformats.org/officeDocument/2006/relationships/hyperlink" Target="https://doi.org/10.1021/jacs.5c22358" TargetMode="External"/><Relationship Id="rId999" Type="http://schemas.openxmlformats.org/officeDocument/2006/relationships/hyperlink" Target="http://dx.doi.org/10.1021/jacs.5c20834" TargetMode="External"/><Relationship Id="rId1000" Type="http://schemas.openxmlformats.org/officeDocument/2006/relationships/hyperlink" Target="https://doi.org/10.1021/jacs.5c20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