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2026-05-08</w:t>
      </w:r>
    </w:p>
    <w:p>
      <w:pPr>
        <w:spacing w:before="160" w:after="120"/>
      </w:pPr>
      <w:r>
        <w:rPr>
          <w:b/>
          <w:sz w:val="28"/>
        </w:rPr>
        <w:t>【光伏】</w:t>
      </w:r>
    </w:p>
    <w:p>
      <w:pPr>
        <w:spacing w:before="160" w:after="40" w:line="240" w:lineRule="auto"/>
      </w:pPr>
      <w:r>
        <w:rPr>
          <w:b/>
        </w:rPr>
        <w:t xml:space="preserve">[1] </w:t>
      </w:r>
      <w:hyperlink r:id="rId9">
        <w:r>
          <w:rPr>
            <w:color w:val="1155CC"/>
            <w:u w:val="single"/>
          </w:rPr>
          <w:t>一种新颖的物理启发方法，用于高效和稳健的超短期光伏功率预测</w:t>
        </w:r>
      </w:hyperlink>
    </w:p>
    <w:p>
      <w:pPr>
        <w:spacing w:before="0" w:after="80"/>
      </w:pPr>
      <w:r>
        <w:rPr>
          <w:i/>
          <w:sz w:val="20"/>
        </w:rPr>
        <w:t>EN: A novel physics-inspired method for efficient and robust ultra-short-term photovoltaic power forecasting</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在淘汰政策激励下，建筑集成光伏和车网基础设施的自适应协同规划：一个两阶段多目标优化框架</w:t>
        </w:r>
      </w:hyperlink>
    </w:p>
    <w:p>
      <w:pPr>
        <w:spacing w:before="0" w:after="80"/>
      </w:pPr>
      <w:r>
        <w:rPr>
          <w:i/>
          <w:sz w:val="20"/>
        </w:rPr>
        <w:t>EN: Adaptive co-planning of building-integrated photovoltaics and vehicle-to-grid infrastructure under phase-out policy incentives: A two-stage multi-objective optimization framework</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并网太阳能电厂的多功能低电压穿越控制策略：全面综述</w:t>
        </w:r>
      </w:hyperlink>
    </w:p>
    <w:p>
      <w:pPr>
        <w:spacing w:before="0" w:after="80"/>
      </w:pPr>
      <w:r>
        <w:rPr>
          <w:i/>
          <w:sz w:val="20"/>
        </w:rPr>
        <w:t>EN: Multi-functional low voltage ride-through control strategies for grid-interfaced solar power plants: A comprehensive review</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中国农村太阳能转型中的制度逻辑及其对弱势群体能源正义的影响</w:t>
        </w:r>
      </w:hyperlink>
    </w:p>
    <w:p>
      <w:pPr>
        <w:spacing w:before="0" w:after="80"/>
      </w:pPr>
      <w:r>
        <w:rPr>
          <w:i/>
          <w:sz w:val="20"/>
        </w:rPr>
        <w:t>EN: Institutional logics in China's rural solar transition and their impacts on energy justice for vulnerable communities</w:t>
      </w:r>
    </w:p>
    <w:p>
      <w:pPr>
        <w:spacing w:before="0" w:after="120"/>
      </w:pPr>
      <w:r>
        <w:rPr>
          <w:b/>
        </w:rPr>
        <w:t xml:space="preserve">Source: </w:t>
      </w:r>
      <w:r>
        <w:t>ScienceDirect Publication: Energy Policy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工程路径以实现稳定高效的柔性钙钛矿太阳能电池</w:t>
        </w:r>
      </w:hyperlink>
    </w:p>
    <w:p>
      <w:pPr>
        <w:spacing w:before="0" w:after="80"/>
      </w:pPr>
      <w:r>
        <w:rPr>
          <w:i/>
          <w:sz w:val="20"/>
        </w:rPr>
        <w:t>EN: Engineering Pathways Toward Stable and Efficient Flexible Perovskite Solar Cells</w:t>
      </w:r>
    </w:p>
    <w:p>
      <w:pPr>
        <w:spacing w:before="0" w:after="120"/>
      </w:pPr>
      <w:r>
        <w:rPr>
          <w:b/>
        </w:rPr>
        <w:t xml:space="preserve">Source: </w:t>
      </w:r>
      <w:r>
        <w:t>Wiley: Advanced Energy Materials: Table of Contents</w:t>
      </w:r>
      <w:r>
        <w:t xml:space="preserve">    </w:t>
      </w:r>
      <w:r>
        <w:rPr>
          <w:b/>
        </w:rPr>
        <w:t xml:space="preserve">Pub date: </w:t>
      </w:r>
      <w:r>
        <w:t>2026-05-02 09:01:06+00:00</w:t>
      </w:r>
      <w:r>
        <w:t xml:space="preserve">    </w:t>
      </w:r>
      <w:r>
        <w:rPr>
          <w:b/>
        </w:rPr>
        <w:t xml:space="preserve">DOI: </w:t>
      </w:r>
      <w:hyperlink r:id="rId14">
        <w:r>
          <w:rPr>
            <w:color w:val="1155CC"/>
            <w:u w:val="single"/>
          </w:rPr>
          <w:t>10.1002/aenm.70997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钙钛矿太阳能电池（F-PSCs）作为下一代光伏技术的前沿，结合了轻量化设计、机械柔性和低温溶液可加工性。在过去十年中，其光电转换效率（PCE）从2.62%显著提高到超过26%。本综述提供了这些发展的全面总结。我们首先分析了钙钛矿薄膜的结晶动力学，重点关注通过LaMer生长模型解释的均匀和非均匀成核路径。随后，我们讨论了基板工程，强调了决定薄膜质量和机械可靠性的聚合物和新型柔性基板。然后，我们研究了钙钛矿层优化策略，包括通过晶界调控和多功能界面缓冲层实现的微结构调节、缺陷钝化和应力管理方法。此外，我们强调了新兴的自愈合概念，该概念利用物理机制和化学策略在反复机械变形下增强耐久性。最后，我们评估了器件集成和大面积可扩展制造的最新进展，概述了商业化的关键机会和剩余挑战。通过整合这些见解，本综述建立了一个连贯的框架，以改善F-PSCs的结构弹性、操作稳定性和可扩展性，从而推进其向实用、灵活的转变。</w:t>
      </w:r>
    </w:p>
    <w:p>
      <w:pPr>
        <w:spacing w:before="0" w:after="200" w:lineRule="auto" w:line="276"/>
      </w:pPr>
      <w:r>
        <w:rPr>
          <w:b/>
        </w:rPr>
        <w:t xml:space="preserve">Abstract (EN): </w:t>
      </w:r>
      <w:r>
        <w:t>Flexible perovskite solar cells (F‐PSCs) have emerged as a forefront technology in next‐generation photovoltaics, combining lightweight design, mechanical flexibility, and low‐temperature solution processability. Over the past decade, their power conversion efficiency (PCE) has dramatically improved from 2.62% to beyond 26%. This review provides a comprehensive summary of these developments. We begin by analyzing the crystallization kinetics of perovskite thin films, focusing on both homogeneous and heterogeneous nucleation pathways as interpreted through the LaMer growth model. Subsequently, we discuss substrate engineering, emphasizing polymeric and novel flexible substrates that dictate film quality and mechanical reliability. Perovskite layer optimization strategies are then examined, including microstructure regulation, defect passivation, and stress‐management approaches achieved via grain boundary modulation and multifunctional interfacial buffer layers. Furthermore, we highlight the emerging self‐healing concept, which leverages both physical mechanisms and chemical strategies to enhance durability under repeated mechanical deformation. Finally, we evaluate recent progress in device integration and large‐area scalable manufacturing, outlining key opportunities and remaining challenges for commercialization. By consolidating these insights, this review establishes a coherent framework for improving the structural resilience, operational stability, and scalability of F‐PSCs, thereby advancing their transition toward practical, flexible, and wearable energy applications.</w:t>
      </w:r>
    </w:p>
    <w:p>
      <w:pPr>
        <w:spacing w:before="120" w:after="120"/>
      </w:pPr>
      <w:r>
        <w:rPr>
          <w:sz w:val="18"/>
        </w:rPr>
        <w:t>——————————————————————————————————————————————————————————————————————</w:t>
      </w:r>
    </w:p>
    <w:p>
      <w:pPr>
        <w:spacing w:before="160" w:after="40" w:line="240" w:lineRule="auto"/>
      </w:pPr>
      <w:r>
        <w:rPr>
          <w:b/>
        </w:rPr>
        <w:t xml:space="preserve">[6] </w:t>
      </w:r>
      <w:hyperlink r:id="rId15">
        <w:r>
          <w:rPr>
            <w:color w:val="1155CC"/>
            <w:u w:val="single"/>
          </w:rPr>
          <w:t>[ASAP] 光化学碘固定以稳定宽带隙钙钛矿太阳能电池</w:t>
        </w:r>
      </w:hyperlink>
    </w:p>
    <w:p>
      <w:pPr>
        <w:spacing w:before="0" w:after="80"/>
      </w:pPr>
      <w:r>
        <w:rPr>
          <w:i/>
          <w:sz w:val="20"/>
        </w:rPr>
        <w:t>EN: [ASAP] Photochemical Iodine Immobilization for Stabilizing Wide-Bandgap Perovskite Solar Cells</w:t>
      </w:r>
    </w:p>
    <w:p>
      <w:pPr>
        <w:spacing w:before="0" w:after="120"/>
      </w:pPr>
      <w:r>
        <w:rPr>
          <w:b/>
        </w:rPr>
        <w:t xml:space="preserve">Source: </w:t>
      </w:r>
      <w:r>
        <w:t>ACS Energy Letters: Latest Articles (ACS Publications)</w:t>
      </w:r>
      <w:r>
        <w:t xml:space="preserve">    </w:t>
      </w:r>
      <w:r>
        <w:rPr>
          <w:b/>
        </w:rPr>
        <w:t xml:space="preserve">Pub date: </w:t>
      </w:r>
      <w:r>
        <w:t>2026-05-02 13:43:46+00:00</w:t>
      </w:r>
      <w:r>
        <w:t xml:space="preserve">    </w:t>
      </w:r>
      <w:r>
        <w:rPr>
          <w:b/>
        </w:rPr>
        <w:t xml:space="preserve">DOI: </w:t>
      </w:r>
      <w:hyperlink r:id="rId16">
        <w:r>
          <w:rPr>
            <w:color w:val="1155CC"/>
            <w:u w:val="single"/>
          </w:rPr>
          <w:t>10.1021/acsenergylett.6c01038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
        <w:r>
          <w:rPr>
            <w:color w:val="1155CC"/>
            <w:u w:val="single"/>
          </w:rPr>
          <w:t>[ASAP] 通过溶液加工的SnOX层实现28.43%效率的全钙钛矿串联光伏电池的倒置宽带隙钙钛矿子电池</w:t>
        </w:r>
      </w:hyperlink>
    </w:p>
    <w:p>
      <w:pPr>
        <w:spacing w:before="0" w:after="80"/>
      </w:pPr>
      <w:r>
        <w:rPr>
          <w:i/>
          <w:sz w:val="20"/>
        </w:rPr>
        <w:t>EN: [ASAP] Solution-Processed SnOX Layers of an Inverted Wide-Bandgap Perovskite Sub-Cell Enable 28.43%-Efficient All-Perovskite Tandem Photovoltaics</w:t>
      </w:r>
    </w:p>
    <w:p>
      <w:pPr>
        <w:spacing w:before="0" w:after="120"/>
      </w:pPr>
      <w:r>
        <w:rPr>
          <w:b/>
        </w:rPr>
        <w:t xml:space="preserve">Source: </w:t>
      </w:r>
      <w:r>
        <w:t>ACS Energy Letters: Latest Articles (ACS Publications)</w:t>
      </w:r>
      <w:r>
        <w:t xml:space="preserve">    </w:t>
      </w:r>
      <w:r>
        <w:rPr>
          <w:b/>
        </w:rPr>
        <w:t xml:space="preserve">Pub date: </w:t>
      </w:r>
      <w:r>
        <w:t>2026-05-03 16:41:16+00:00</w:t>
      </w:r>
      <w:r>
        <w:t xml:space="preserve">    </w:t>
      </w:r>
      <w:r>
        <w:rPr>
          <w:b/>
        </w:rPr>
        <w:t xml:space="preserve">DOI: </w:t>
      </w:r>
      <w:hyperlink r:id="rId18">
        <w:r>
          <w:rPr>
            <w:color w:val="1155CC"/>
            <w:u w:val="single"/>
          </w:rPr>
          <w:t>10.1021/acsenergylett.6c00227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9">
        <w:r>
          <w:rPr>
            <w:color w:val="1155CC"/>
            <w:u w:val="single"/>
          </w:rPr>
          <w:t>面向所有人的净零电力系统的综合规划</w:t>
        </w:r>
      </w:hyperlink>
    </w:p>
    <w:p>
      <w:pPr>
        <w:spacing w:before="0" w:after="80"/>
      </w:pPr>
      <w:r>
        <w:rPr>
          <w:i/>
          <w:sz w:val="20"/>
        </w:rPr>
        <w:t>EN: Integrated planning of net-zero power systems for all</w:t>
      </w:r>
    </w:p>
    <w:p>
      <w:pPr>
        <w:spacing w:before="0" w:after="120"/>
      </w:pPr>
      <w:r>
        <w:rPr>
          <w:b/>
        </w:rPr>
        <w:t xml:space="preserve">Source: </w:t>
      </w:r>
      <w:r>
        <w:t>Nature Energy</w:t>
      </w:r>
      <w:r>
        <w:t xml:space="preserve">    </w:t>
      </w:r>
      <w:r>
        <w:rPr>
          <w:b/>
        </w:rPr>
        <w:t xml:space="preserve">Pub date: </w:t>
      </w:r>
      <w:r>
        <w:t>2026-05-04 00:00:00+00:00</w:t>
      </w:r>
      <w:r>
        <w:t xml:space="preserve">    </w:t>
      </w:r>
      <w:r>
        <w:rPr>
          <w:b/>
        </w:rPr>
        <w:t xml:space="preserve">DOI: </w:t>
      </w:r>
      <w:hyperlink r:id="rId20">
        <w:r>
          <w:rPr>
            <w:color w:val="1155CC"/>
            <w:u w:val="single"/>
          </w:rPr>
          <w:t>10.1038/s41560-026-02054-1</w:t>
        </w:r>
      </w:hyperlink>
    </w:p>
    <w:p>
      <w:pPr>
        <w:spacing w:before="0" w:after="120"/>
      </w:pPr>
      <w:r>
        <w:rPr>
          <w:b/>
        </w:rPr>
        <w:t xml:space="preserve">Notes: </w:t>
      </w:r>
      <w:r>
        <w:t>abstract_source=nature_html</w:t>
      </w:r>
    </w:p>
    <w:p>
      <w:pPr>
        <w:spacing w:before="0" w:after="80" w:lineRule="auto" w:line="276"/>
      </w:pPr>
      <w:r>
        <w:rPr>
          <w:b/>
        </w:rPr>
        <w:t xml:space="preserve">摘要（ZH）: </w:t>
      </w:r>
      <w:r>
        <w:t>到本世纪中叶实现全球净零电力系统需要整合框架来解决气候减缓和能源获取公平性问题。我们在此提出一个时空分辨的全球电力系统模型（0.25° × 0.25°，8,760小时），共同优化容量扩展和运营策略。研究结果表明，满足体面生活标准的普遍电力需求的净零全球电力系统在技术上是可行的，需要15–20 TW的可变可再生能源（VRE）。丰富的VRE资源在低收入地区（如非洲）提供了具有成本效益的电力获取，促进了气候正义。土地使用至关重要，仅太阳能光伏就需要超过900万公顷。超过80%的VRE位于距负荷中心200公里以内。需求侧管理可以将系统成本降低6.5%（约1820亿美元/年）。扩大国际传输和消除可再生技术贸易壁垒可以分别将成本降低5.6%（约1570亿美元/年）和12.2%（约3450亿美元/年），强调了国际合作在构建包容性净零电力系统中的关键作用。</w:t>
      </w:r>
    </w:p>
    <w:p>
      <w:pPr>
        <w:spacing w:before="0" w:after="200" w:lineRule="auto" w:line="276"/>
      </w:pPr>
      <w:r>
        <w:rPr>
          <w:b/>
        </w:rPr>
        <w:t xml:space="preserve">Abstract (EN): </w:t>
      </w:r>
      <w:r>
        <w:t>Achieving global net-zero power systems by mid-century demands integrated frameworks addressing climate mitigation and energy access equity. Here we present a spatio-temporally resolved global power system model (0.25° × 0.25°, 8,760 hours) co-optimizing capacity expansion and operational strategies. Findings show that net-zero global power systems meeting universal electricity needs for decent living standards are technically feasible, requiring 15–20 TW of variable renewable energy (VRE). Abundant VRE resources offer cost-effective electricity access in low-income regions, such as Africa, promoting climate justice. Land use is critical, with solar photovoltaics alone requiring over 9 million hectares. Over 80% of VRE is within 200 km of load centres. Demand-side management could reduce system costs by 6.5% (∼US$182 billion yr−1). Expanding international transmission and removing renewable technology trade barriers could cut costs by 5.6% (∼US$157 billion yr−1) and 12.2% (∼US$345 billion yr−1), underscoring the pivotal role of international collaboration in building inclusive net-zero power systems.</w:t>
      </w:r>
    </w:p>
    <w:p>
      <w:pPr>
        <w:spacing w:before="120" w:after="120"/>
      </w:pPr>
      <w:r>
        <w:rPr>
          <w:sz w:val="18"/>
        </w:rPr>
        <w:t>——————————————————————————————————————————————————————————————————————</w:t>
      </w:r>
    </w:p>
    <w:p>
      <w:pPr>
        <w:spacing w:before="160" w:after="40" w:line="240" w:lineRule="auto"/>
      </w:pPr>
      <w:r>
        <w:rPr>
          <w:b/>
        </w:rPr>
        <w:t xml:space="preserve">[9] </w:t>
      </w:r>
      <w:hyperlink r:id="rId21">
        <w:r>
          <w:rPr>
            <w:color w:val="1155CC"/>
            <w:u w:val="single"/>
          </w:rPr>
          <w:t>通过哌啶离子聚合物的混合界面工程实现21%效率的有机太阳能电池</w:t>
        </w:r>
      </w:hyperlink>
    </w:p>
    <w:p>
      <w:pPr>
        <w:spacing w:before="0" w:after="80"/>
      </w:pPr>
      <w:r>
        <w:rPr>
          <w:i/>
          <w:sz w:val="20"/>
        </w:rPr>
        <w:t>EN: Hybrid Interface Engineering With Piperidinium Ionic Polymers Toward 21% Efficiency of Organic Solar Cells</w:t>
      </w:r>
    </w:p>
    <w:p>
      <w:pPr>
        <w:spacing w:before="0" w:after="120"/>
      </w:pPr>
      <w:r>
        <w:rPr>
          <w:b/>
        </w:rPr>
        <w:t xml:space="preserve">Source: </w:t>
      </w:r>
      <w:r>
        <w:t>Wiley: Advanced Materials: Table of Contents</w:t>
      </w:r>
      <w:r>
        <w:t xml:space="preserve">    </w:t>
      </w:r>
      <w:r>
        <w:rPr>
          <w:b/>
        </w:rPr>
        <w:t xml:space="preserve">Pub date: </w:t>
      </w:r>
      <w:r>
        <w:t>2026-05-04 10:44:55+00:00</w:t>
      </w:r>
      <w:r>
        <w:t xml:space="preserve">    </w:t>
      </w:r>
      <w:r>
        <w:rPr>
          <w:b/>
        </w:rPr>
        <w:t xml:space="preserve">DOI: </w:t>
      </w:r>
      <w:hyperlink r:id="rId22">
        <w:r>
          <w:rPr>
            <w:color w:val="1155CC"/>
            <w:u w:val="single"/>
          </w:rPr>
          <w:t>10.1002/adma.73272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阴极界面层（CIL）作为有机太阳能电池（OSC）的关键界面组件，通过直接调节电极导电性、界面偶极和功函数来控制其性能。然而，基于苝二酰亚胺的CIL因其有限的导电性和较差的厚度容忍性而受到限制。为了解决这一问题，我们提出了一种通过将哌啶鎓离子聚合物（PIP）引入PDINN的杂化策略。离子化哌啶鎓基团的体积调节了杂化CIL的成膜动力学，并赋予额外的静电力以促进PDINN的更紧密分子堆积。此外，哌啶鎓离子化引入的强界面偶极共同优化了膜形态，降低了阴极功函数并增加了导电性，从而显著提高了CIL的厚度不敏感性和OSC性能。值得注意的是，在基于PM6:D18:L8-BO的器件中使用PDINN:PIP杂化CIL实现了20.85%的显著PCE，相较于使用单独PDINN作为CIL的对照器件（19.80%）有显著提升。这一方法还展示了广泛的适用性，在多种活性层系统中表现出优异的性能。总体而言，这项研究强调了哌啶鎓离子化对杂化CIL的有效性，以充分发挥其在OSC中的潜力。</w:t>
      </w:r>
    </w:p>
    <w:p>
      <w:pPr>
        <w:spacing w:before="0" w:after="200" w:lineRule="auto" w:line="276"/>
      </w:pPr>
      <w:r>
        <w:rPr>
          <w:b/>
        </w:rPr>
        <w:t xml:space="preserve">Abstract (EN): </w:t>
      </w:r>
      <w:r>
        <w:t>The cathode interlayer (CIL) serves as a critical interfacial component that governs the performance of organic solar cells (OSCs) by directly modulating electrode conductivity, interfacial dipole, and work function. However, the widespread use of perylene‐diimide‐based CILs is constrained by their intrinsic limitations in finite conductivity and poor thickness tolerance. To address this issue, we propose a hybridization strategy by incorporating a piperidinium ionic polymer (PIP) into PDINN. The bulkiness of the ionization piperidinium group modulates the film‐formation kinetics of hybrid CIL and endows additional electrostatic forces to promote tighter molecular packing of PDINN. Furthermore, the strong interfacial dipole introduced by piperidinium ionization collectively contributes to optimized film morphology, reduced cathode work function, and increased conductivity, resulting in superior CIL thickness insensitivity and markedly enhanced OSC performance. Notably, employing the PDINN:PIP hybrid CIL in PM6:D18:L8‐BO‐based devices yields a remarkable PCE of 20.85%, showing a pronounced improvement compared to the control device with individual PDINN as CIL (19.80%). This approach also demonstrated broad applicability, yielding excellent performance in multiple active‐layer systems. Overall, this research underscores the effectiveness of piperidinium ionization on hybrid CILs to fully exploit their potential in OSCs.</w:t>
      </w:r>
    </w:p>
    <w:p>
      <w:pPr>
        <w:spacing w:before="120" w:after="120"/>
      </w:pPr>
      <w:r>
        <w:rPr>
          <w:sz w:val="18"/>
        </w:rPr>
        <w:t>——————————————————————————————————————————————————————————————————————</w:t>
      </w:r>
    </w:p>
    <w:p>
      <w:pPr>
        <w:spacing w:before="160" w:after="40" w:line="240" w:lineRule="auto"/>
      </w:pPr>
      <w:r>
        <w:rPr>
          <w:b/>
        </w:rPr>
        <w:t xml:space="preserve">[10] </w:t>
      </w:r>
      <w:hyperlink r:id="rId23">
        <w:r>
          <w:rPr>
            <w:color w:val="1155CC"/>
            <w:u w:val="single"/>
          </w:rPr>
          <w:t>[ASAP] 卤化物钙钛矿的定向成核和生长</w:t>
        </w:r>
      </w:hyperlink>
    </w:p>
    <w:p>
      <w:pPr>
        <w:spacing w:before="0" w:after="80"/>
      </w:pPr>
      <w:r>
        <w:rPr>
          <w:i/>
          <w:sz w:val="20"/>
        </w:rPr>
        <w:t>EN: [ASAP] Oriented Nucleation and Growth of Halide Perovskites</w:t>
      </w:r>
    </w:p>
    <w:p>
      <w:pPr>
        <w:spacing w:before="0" w:after="120"/>
      </w:pPr>
      <w:r>
        <w:rPr>
          <w:b/>
        </w:rPr>
        <w:t xml:space="preserve">Source: </w:t>
      </w:r>
      <w:r>
        <w:t>Chemical Reviews: Latest Articles (ACS Publications)</w:t>
      </w:r>
      <w:r>
        <w:t xml:space="preserve">    </w:t>
      </w:r>
      <w:r>
        <w:rPr>
          <w:b/>
        </w:rPr>
        <w:t xml:space="preserve">Pub date: </w:t>
      </w:r>
      <w:r>
        <w:t>2026-05-04 15:24:20+00:00</w:t>
      </w:r>
      <w:r>
        <w:t xml:space="preserve">    </w:t>
      </w:r>
      <w:r>
        <w:rPr>
          <w:b/>
        </w:rPr>
        <w:t xml:space="preserve">DOI: </w:t>
      </w:r>
      <w:hyperlink r:id="rId24">
        <w:r>
          <w:rPr>
            <w:color w:val="1155CC"/>
            <w:u w:val="single"/>
          </w:rPr>
          <w:t>10.1021/acs.chemrev.5c00740</w:t>
        </w:r>
      </w:hyperlink>
    </w:p>
    <w:p>
      <w:pPr>
        <w:spacing w:before="0" w:after="120"/>
      </w:pPr>
      <w:r>
        <w:rPr>
          <w:b/>
        </w:rPr>
        <w:t xml:space="preserve">Notes: </w:t>
      </w:r>
      <w:r>
        <w:t>abstract_source=openalex</w:t>
      </w:r>
    </w:p>
    <w:p>
      <w:pPr>
        <w:spacing w:before="0" w:after="80" w:lineRule="auto" w:line="276"/>
      </w:pPr>
      <w:r>
        <w:rPr>
          <w:b/>
        </w:rPr>
        <w:t xml:space="preserve">摘要（ZH）: </w:t>
      </w:r>
      <w:r>
        <w:t>定向成核和生长的精确调控对于优化卤化物钙钛矿晶体结构和提高光电器件性能至关重要。这篇综述重点介绍了在各种卤化物钙钛矿系统中的定向调控进展，以及相关的表征技术及其应用。首先，我们介绍了晶体取向的表征技术，并研究了优先取向对光电器件性能的影响，包括闪烁体、探测器、太阳能电池、气体传感器和晶体管。同时，我们强调了三维钙钛矿单晶、二维（2D）钙钛矿、钙钛矿纳米晶（NCs）和光伏钙钛矿薄膜中的取向调制机制和策略，以及它们对性能的影响。随后，我们讨论了它们对单结和叠层太阳能电池的影响，同时阐明了在钙钛矿薄膜优先取向下的结构-性能相关性。此外，我们系统地回顾了通过溶液沉积、气相沉积和印刷技术实现大面积钙钛矿太阳能电池优先取向的薄膜制备策略，特别强调了成分工程、添加剂工程和溶剂工程的重要性。最后，概述了单晶、2D钙钛矿、NCs和光伏器件中钙钛矿定向成核和生长的关键挑战。这篇综述旨在提供一个</w:t>
      </w:r>
    </w:p>
    <w:p>
      <w:pPr>
        <w:spacing w:before="0" w:after="200" w:lineRule="auto" w:line="276"/>
      </w:pPr>
      <w:r>
        <w:rPr>
          <w:b/>
        </w:rPr>
        <w:t xml:space="preserve">Abstract (EN): </w:t>
      </w:r>
      <w:r>
        <w:t>Precise regulation of oriented nucleation and growth is critical for optimizing halide perovskite crystal structures and enhancing optoelectronic device performance. This review highlights advances in orientation regulation across various halide perovskite systems, alongside relevant characterization techniques and their applications. First, we introduce the characterization techniques for crystallographic orientation and investigate the impact of preferential orientation on the performance of optoelectronic devices, encompassing scintillators, detectors, solar cells, gas sensors, and transistors. Concurrently, we underscore the orientation modulation mechanisms and strategies in three-dimensional perovskite single crystals, two-dimensional (2D) perovskites, perovskite nanocrystals (NCs), and photovoltaic perovskite films, as well as their impacts on performance. Subsequently, we discuss their impacts on single-junction and tandem solar cells, while elucidating the structure-performance correlations under the preferential orientation of perovskite films. Additionally, we systematically review thin-film fabrication strategies for achieving preferential orientation in large-area perovskite solar cells via solution-based deposition, vapor-based deposition, and printing techniques, particularly emphasizing the significance of composition engineering, additive engineering, and solvent engineering. Finally, the key challenges in the oriented nucleation and growth of perovskites for single crystals, 2D perovskites, NCs, and photovoltaics are outlined. This review aims to provide a fundamental understanding of orientation modulation in halide perovskites and stimulate further innovation.</w:t>
      </w:r>
    </w:p>
    <w:p>
      <w:pPr>
        <w:spacing w:before="120" w:after="120"/>
      </w:pPr>
      <w:r>
        <w:rPr>
          <w:sz w:val="18"/>
        </w:rPr>
        <w:t>——————————————————————————————————————————————————————————————————————</w:t>
      </w:r>
    </w:p>
    <w:p>
      <w:pPr>
        <w:spacing w:before="160" w:after="40" w:line="240" w:lineRule="auto"/>
      </w:pPr>
      <w:r>
        <w:rPr>
          <w:b/>
        </w:rPr>
        <w:t xml:space="preserve">[11] </w:t>
      </w:r>
      <w:hyperlink r:id="rId25">
        <w:r>
          <w:rPr>
            <w:color w:val="1155CC"/>
            <w:u w:val="single"/>
          </w:rPr>
          <w:t>通过介观化学重构在SnO2中触发的界面体电耦合，用于可扩展的高效钙钛矿光伏</w:t>
        </w:r>
      </w:hyperlink>
    </w:p>
    <w:p>
      <w:pPr>
        <w:spacing w:before="0" w:after="80"/>
      </w:pPr>
      <w:r>
        <w:rPr>
          <w:i/>
          <w:sz w:val="20"/>
        </w:rPr>
        <w:t>EN: Interface‐Triggered Bulk Electrical Coupling in SnO2 via Mesoscopic Chemical Reconfiguration for Scalable, High‐Efficiency Perovskite Photovoltaics</w:t>
      </w:r>
    </w:p>
    <w:p>
      <w:pPr>
        <w:spacing w:before="0" w:after="120"/>
      </w:pPr>
      <w:r>
        <w:rPr>
          <w:b/>
        </w:rPr>
        <w:t xml:space="preserve">Source: </w:t>
      </w:r>
      <w:r>
        <w:t>Wiley: Advanced Materials: Table of Contents</w:t>
      </w:r>
      <w:r>
        <w:t xml:space="preserve">    </w:t>
      </w:r>
      <w:r>
        <w:rPr>
          <w:b/>
        </w:rPr>
        <w:t xml:space="preserve">Pub date: </w:t>
      </w:r>
      <w:r>
        <w:t>2026-05-05 06:28:22+00:00</w:t>
      </w:r>
      <w:r>
        <w:t xml:space="preserve">    </w:t>
      </w:r>
      <w:r>
        <w:rPr>
          <w:b/>
        </w:rPr>
        <w:t xml:space="preserve">DOI: </w:t>
      </w:r>
      <w:hyperlink r:id="rId26">
        <w:r>
          <w:rPr>
            <w:color w:val="1155CC"/>
            <w:u w:val="single"/>
          </w:rPr>
          <w:t>10.1002/adma.73286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n-i-p PSCs的效率和稳定性通常受到能量损失和缺陷诱导的界面失效的阻碍，这些问题根本上源于SnO2纳米晶体的介观表面化学不匹配。在此，我们提出了一种利用原位生成的[Al(OH)4]−离子重建表面电双层的表面重构策略。这种方法不仅产生了单分散、高稳定性的SnO2胶体，还协同钝化了由羟基和氧空位簇引起的深层缺陷。由此产生的无定形Sn-AlOx层引发了表面静电势，显著增强了ETL体内的电耦合，并建立了稳健的载流子传输路径。因此，我们实现了小面积电池的冠军效率为26.70%（认证为26.64%），小型模块（21.50 cm2）的效率为24.56%（认证为24.22%）。值得注意的是，完全刀涂的大面积模块（65 cm2）达到了21.91%的高效率。通过消除埋藏界面的反应位点，未封装的设备在1100小时的MPPT（ISOS-L-2）后保持了93%的初始效率，并展示了T90</w:t>
      </w:r>
    </w:p>
    <w:p>
      <w:pPr>
        <w:spacing w:before="0" w:after="200" w:lineRule="auto" w:line="276"/>
      </w:pPr>
      <w:r>
        <w:rPr>
          <w:b/>
        </w:rPr>
        <w:t xml:space="preserve">Abstract (EN): </w:t>
      </w:r>
      <w:r>
        <w:t>The efficiency and stability of n‐i‐p PSCs are often hindered by energy losses and defect‐induced interfacial failure, fundamentally stemming from mesoscopic surface chemical mismatch in SnO</w:t>
      </w:r>
      <w:r>
        <w:rPr>
          <w:vertAlign w:val="subscript"/>
        </w:rPr>
        <w:t>2</w:t>
      </w:r>
      <w:r>
        <w:t>nanocrystals. Herein, we propose a surface reconstruction strategy utilizing in situ generated [Al(OH)</w:t>
      </w:r>
      <w:r>
        <w:rPr>
          <w:vertAlign w:val="subscript"/>
        </w:rPr>
        <w:t>4</w:t>
      </w:r>
      <w:r>
        <w:t>]</w:t>
      </w:r>
      <w:r>
        <w:t xml:space="preserve"> </w:t>
      </w:r>
      <w:r>
        <w:t>−</w:t>
      </w:r>
      <w:r>
        <w:t>ions to rebuild the surface electrical double layer. This approach not only yields monodisperse, highly stable SnO</w:t>
      </w:r>
      <w:r>
        <w:rPr>
          <w:vertAlign w:val="subscript"/>
        </w:rPr>
        <w:t>2</w:t>
      </w:r>
      <w:r>
        <w:t>colloids but also synergistically passivates deep‐level defects arising from hydroxyl groups and oxygen vacancy clusters. The resulting amorphous Sn‐AlO</w:t>
      </w:r>
      <w:r>
        <w:t xml:space="preserve"> </w:t>
      </w:r>
      <w:r>
        <w:t>x</w:t>
      </w:r>
      <w:r>
        <w:t xml:space="preserve"> </w:t>
      </w:r>
      <w:r>
        <w:t>layer induces a surface electrostatic potential, significantly enhancing electrical coupling within the ETL bulk and establishing a robust carrier transport pathway. Consequently, we achieved champion efficiencies of 26.70% (certified 26.64%) for small‐area cells and 24.56% (certified 24.22%) for mini‐modules (21.50 cm</w:t>
      </w:r>
      <w:r>
        <w:rPr>
          <w:vertAlign w:val="subscript"/>
        </w:rPr>
        <w:t>2</w:t>
      </w:r>
      <w:r>
        <w:t>). Notably, fully blade‐coated large‐area modules (65 cm</w:t>
      </w:r>
      <w:r>
        <w:rPr>
          <w:vertAlign w:val="subscript"/>
        </w:rPr>
        <w:t>2</w:t>
      </w:r>
      <w:r>
        <w:t>) reached a high efficiency of 21.91%. By eliminating reactive sites at the buried interface, the unencapsulated devices retained 93% of their initial efficiency after 1100 h of MPPT (ISOS‐L‐2) and demonstrated a</w:t>
      </w:r>
      <w:r>
        <w:t xml:space="preserve"> </w:t>
      </w:r>
      <w:r>
        <w:t>T</w:t>
      </w:r>
      <w:r>
        <w:rPr>
          <w:vertAlign w:val="subscript"/>
        </w:rPr>
        <w:t>90</w:t>
      </w:r>
      <w:r>
        <w:t>lifetime exceeding 700 h at 85°C (ISOS‐D‐2). This study provides novel insights for the large‐scale production application of SnO</w:t>
      </w:r>
      <w:r>
        <w:rPr>
          <w:vertAlign w:val="subscript"/>
        </w:rPr>
        <w:t>2</w:t>
      </w:r>
      <w:r>
        <w:t>sol‐gel in n‐i‐p perovskite solar modules.</w:t>
      </w:r>
    </w:p>
    <w:p>
      <w:pPr>
        <w:spacing w:before="120" w:after="120"/>
      </w:pPr>
      <w:r>
        <w:rPr>
          <w:sz w:val="18"/>
        </w:rPr>
        <w:t>——————————————————————————————————————————————————————————————————————</w:t>
      </w:r>
    </w:p>
    <w:p>
      <w:pPr>
        <w:spacing w:before="160" w:after="40" w:line="240" w:lineRule="auto"/>
      </w:pPr>
      <w:r>
        <w:rPr>
          <w:b/>
        </w:rPr>
        <w:t xml:space="preserve">[12] </w:t>
      </w:r>
      <w:hyperlink r:id="rId27">
        <w:r>
          <w:rPr>
            <w:color w:val="1155CC"/>
            <w:u w:val="single"/>
          </w:rPr>
          <w:t>通过肼基诱导的轨道耦合在Ruddlesden-Popper钙钛矿中打破单环芳香间隔子的电子绝缘</w:t>
        </w:r>
      </w:hyperlink>
    </w:p>
    <w:p>
      <w:pPr>
        <w:spacing w:before="0" w:after="80"/>
      </w:pPr>
      <w:r>
        <w:rPr>
          <w:i/>
          <w:sz w:val="20"/>
        </w:rPr>
        <w:t>EN: Breaking Electronic Insulation of Monocyclic Aromatic Spacers via Hydrazide‐Induced Orbital Coupling in Ruddlesden‐Popper Perovskites</w:t>
      </w:r>
    </w:p>
    <w:p>
      <w:pPr>
        <w:spacing w:before="0" w:after="120"/>
      </w:pPr>
      <w:r>
        <w:rPr>
          <w:b/>
        </w:rPr>
        <w:t xml:space="preserve">Source: </w:t>
      </w:r>
      <w:r>
        <w:t>Wiley: Angewandte Chemie International Edition: Table of Contents</w:t>
      </w:r>
      <w:r>
        <w:t xml:space="preserve">    </w:t>
      </w:r>
      <w:r>
        <w:rPr>
          <w:b/>
        </w:rPr>
        <w:t xml:space="preserve">Pub date: </w:t>
      </w:r>
      <w:r>
        <w:t>2026-05-05 10:22:31+00:00</w:t>
      </w:r>
      <w:r>
        <w:t xml:space="preserve">    </w:t>
      </w:r>
      <w:r>
        <w:rPr>
          <w:b/>
        </w:rPr>
        <w:t xml:space="preserve">DOI: </w:t>
      </w:r>
      <w:hyperlink r:id="rId28">
        <w:r>
          <w:rPr>
            <w:color w:val="1155CC"/>
            <w:u w:val="single"/>
          </w:rPr>
          <w:t>10.1002/anie.4293157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Ruddlesden–Popper钙钛矿由于其相对于三维对应物的增强结构和环境稳定性而成为有前途的光伏材料。然而，有机间隔物与相邻无机框架之间的弱相互作用常常削弱结构稳定性并阻碍电荷传输。在此，我们展示了基于肼的间隔物噻吩-2-肼（ThCH）尽管其单环芳香结构，意外地在二维RP钙钛矿中引发了强烈的层间轨道耦合。研究发现，肼基团扩展了电子共轭并促进了ThCH与相邻无机框架之间的轨道杂化，这一现象在传统单环芳香间隔物中未观察到。这一效应通过具有相似结构基序的苯甲肼进一步验证。除了促进电子耦合外，肼功能性还增强了薄膜形成，产生了增强的结晶均匀性并促进了高效电荷传输。因此，基于ThCH的RP钙钛矿（名义n=4）器件在小面积器件中实现了22.41%（认证21.74%，0.074 cm2）的记录效率，在大面积器件中实现了20.74%（认证20.01%，1.015 cm2），这是准二维RP PSCs的最高报道。本研究建立了一种分子设计策略，利用多功能肼模块克服电子绝缘性。</w:t>
      </w:r>
    </w:p>
    <w:p>
      <w:pPr>
        <w:spacing w:before="0" w:after="200" w:lineRule="auto" w:line="276"/>
      </w:pPr>
      <w:r>
        <w:rPr>
          <w:b/>
        </w:rPr>
        <w:t xml:space="preserve">Abstract (EN): </w:t>
      </w:r>
      <w:r>
        <w:t>Ruddlesden–Popper perovskites are promising photovoltaic materials because their enhanced structural and environmental stability relative to their three‐dimensional counterparts. However, weak interactions between organic spacer and the adjacent inorganic framework often undermine structural stability and impede charge transport. Here, we demonstrate that the hydrazide‐based spacer, thiophene‐2‐hydrazide (ThCH), unexpectedly induces strong interlayer orbital coupling in 2D RP perovskites despite its monocyclic aromatic structure. It is found that the hydrazide group extends electronic conjugation and promotes orbital hybridization between ThCH and the adjacent inorganic framework, a phenomenon not observed in conventional single‐ring aromatic spacers. This effect is further verified by benzo hydrazide, which shares a similar structural motif. Beyond promoting electronic coupling, the hydrazide functionality enhances film formation, yielding enhanced crystallization uniformity and facilitating efficient charge transport. Consequently, ThCH‐based RP perovskite (nominal</w:t>
      </w:r>
      <w:r>
        <w:t xml:space="preserve"> </w:t>
      </w:r>
      <w:r>
        <w:t>n</w:t>
      </w:r>
      <w:r>
        <w:t xml:space="preserve"> </w:t>
      </w:r>
      <w:r>
        <w:t>= 4) devices achieve record efficiencies of 22.41% (certified 21.74%, 0.074 cm</w:t>
      </w:r>
      <w:r>
        <w:rPr>
          <w:vertAlign w:val="subscript"/>
        </w:rPr>
        <w:t>2</w:t>
      </w:r>
      <w:r>
        <w:t>) for small‐area devices and 20.74% (certified 20.01%, 1.015 cm</w:t>
      </w:r>
      <w:r>
        <w:rPr>
          <w:vertAlign w:val="subscript"/>
        </w:rPr>
        <w:t>2</w:t>
      </w:r>
      <w:r>
        <w:t>) for large‐area devices, the highest reported for quasi‐2D RP PSCs. This study establishes a molecular design strategy that uses multifunctional hydrazide modules to overcome the electronic insulation of single‐ring aromatic spacers, enabling robust and efficient RP PSCs.</w:t>
      </w:r>
    </w:p>
    <w:p>
      <w:pPr>
        <w:spacing w:before="120" w:after="120"/>
      </w:pPr>
      <w:r>
        <w:rPr>
          <w:sz w:val="18"/>
        </w:rPr>
        <w:t>——————————————————————————————————————————————————————————————————————</w:t>
      </w:r>
    </w:p>
    <w:p>
      <w:pPr>
        <w:spacing w:before="160" w:after="40" w:line="240" w:lineRule="auto"/>
      </w:pPr>
      <w:r>
        <w:rPr>
          <w:b/>
        </w:rPr>
        <w:t xml:space="preserve">[13] </w:t>
      </w:r>
      <w:hyperlink r:id="rId29">
        <w:r>
          <w:rPr>
            <w:color w:val="1155CC"/>
            <w:u w:val="single"/>
          </w:rPr>
          <w:t>钙钛矿太阳能电池的环境空气制造：挑战与策略</w:t>
        </w:r>
      </w:hyperlink>
    </w:p>
    <w:p>
      <w:pPr>
        <w:spacing w:before="0" w:after="80"/>
      </w:pPr>
      <w:r>
        <w:rPr>
          <w:i/>
          <w:sz w:val="20"/>
        </w:rPr>
        <w:t>EN: Ambient‐Air Fabrication of Perovskite Solar Cells: Challenges and Strategies</w:t>
      </w:r>
    </w:p>
    <w:p>
      <w:pPr>
        <w:spacing w:before="0" w:after="120"/>
      </w:pPr>
      <w:r>
        <w:rPr>
          <w:b/>
        </w:rPr>
        <w:t xml:space="preserve">Source: </w:t>
      </w:r>
      <w:r>
        <w:t>Wiley: Advanced Materials: Table of Contents</w:t>
      </w:r>
      <w:r>
        <w:t xml:space="preserve">    </w:t>
      </w:r>
      <w:r>
        <w:rPr>
          <w:b/>
        </w:rPr>
        <w:t xml:space="preserve">Pub date: </w:t>
      </w:r>
      <w:r>
        <w:t>2026-05-05 10:35:53+00:00</w:t>
      </w:r>
      <w:r>
        <w:t xml:space="preserve">    </w:t>
      </w:r>
      <w:r>
        <w:rPr>
          <w:b/>
        </w:rPr>
        <w:t xml:space="preserve">DOI: </w:t>
      </w:r>
      <w:hyperlink r:id="rId30">
        <w:r>
          <w:rPr>
            <w:color w:val="1155CC"/>
            <w:u w:val="single"/>
          </w:rPr>
          <w:t>10.1002/adma.73191</w:t>
        </w:r>
      </w:hyperlink>
    </w:p>
    <w:p>
      <w:pPr>
        <w:spacing w:before="0" w:after="120"/>
      </w:pPr>
      <w:r>
        <w:rPr>
          <w:b/>
        </w:rPr>
        <w:t xml:space="preserve">Notes: </w:t>
      </w:r>
      <w:r>
        <w:t>abstract_source=crossref</w:t>
      </w:r>
    </w:p>
    <w:p>
      <w:pPr>
        <w:spacing w:before="0" w:after="80" w:lineRule="auto" w:line="276"/>
      </w:pPr>
      <w:r>
        <w:rPr>
          <w:b/>
        </w:rPr>
        <w:t xml:space="preserve">摘要（ZH）: </w:t>
      </w:r>
      <w:r>
        <w:t>摘要 目前，钙钛矿太阳能电池的功率转换效率已超过27%，引起了学术界和工业界的广泛关注。然而，制造高效设备通常需要惰性气氛，这不可避免地增加了制造成本并阻碍了钙钛矿太阳能电池的大规模商业化。本文综述了在环境空气条件下制造钙钛矿太阳能电池的最新进展。详细讨论了环境因素对钙钛矿前体溶液和钙钛矿薄膜的影响。特别关注系统分析不同策略，包括埋入界面、体相和顶表面处理对在环境空气中制造的钙钛矿太阳能电池性能的影响。最后，总结了与环境空气制造相关的当前挑战，并进行了可行性分析和对未来发展的展望。</w:t>
      </w:r>
    </w:p>
    <w:p>
      <w:pPr>
        <w:spacing w:before="0" w:after="200" w:lineRule="auto" w:line="276"/>
      </w:pPr>
      <w:r>
        <w:rPr>
          <w:b/>
        </w:rPr>
        <w:t xml:space="preserve">Abstract (EN): </w:t>
      </w:r>
      <w:r>
        <w:t>At present, the power conversion efficiency of perovskite solar cells has exceeded 27%, attracting increasing attention from both academia and industry. However, fabricating high‐efficiency devices typically requires inert atmospheres, which inevitably increase manufacturing costs and hinder large‐scale commercialization of perovskite solar cells. This review systematically summarizes recent progress in the fabrication of perovskite solar cells under ambient air conditions. The effects of ambient environmental factors on perovskite precursor solutions and perovskite films are discussed in detail. Special attention is devoted to systematically analyzing different strategies, including buried‐interface, bulk, and top‐surface treatments for perovskite films, and their impact on the performance of perovskite solar cells fabricated in ambient air. Finally, the current challenges associated with ambient‐air fabrication are summarized, along with a feasibility analysis and a perspective on future development.</w:t>
      </w:r>
    </w:p>
    <w:p>
      <w:pPr>
        <w:spacing w:before="120" w:after="120"/>
      </w:pPr>
      <w:r>
        <w:rPr>
          <w:sz w:val="18"/>
        </w:rPr>
        <w:t>——————————————————————————————————————————————————————————————————————</w:t>
      </w:r>
    </w:p>
    <w:p>
      <w:pPr>
        <w:spacing w:before="160" w:after="40" w:line="240" w:lineRule="auto"/>
      </w:pPr>
      <w:r>
        <w:rPr>
          <w:b/>
        </w:rPr>
        <w:t xml:space="preserve">[14] </w:t>
      </w:r>
      <w:hyperlink r:id="rId31">
        <w:r>
          <w:rPr>
            <w:color w:val="1155CC"/>
            <w:u w:val="single"/>
          </w:rPr>
          <w:t>[ASAP] 全真空加工钙钛矿太阳能电池中的相均匀性和光热稳定性</w:t>
        </w:r>
      </w:hyperlink>
    </w:p>
    <w:p>
      <w:pPr>
        <w:spacing w:before="0" w:after="80"/>
      </w:pPr>
      <w:r>
        <w:rPr>
          <w:i/>
          <w:sz w:val="20"/>
        </w:rPr>
        <w:t>EN: [ASAP] Phase Homogeneity and Photothermal Stability in Fully Vacuum-Processed Perovskite Solar Cells</w:t>
      </w:r>
    </w:p>
    <w:p>
      <w:pPr>
        <w:spacing w:before="0" w:after="120"/>
      </w:pPr>
      <w:r>
        <w:rPr>
          <w:b/>
        </w:rPr>
        <w:t xml:space="preserve">Source: </w:t>
      </w:r>
      <w:r>
        <w:t>ACS Energy Letters: Latest Articles (ACS Publications)</w:t>
      </w:r>
      <w:r>
        <w:t xml:space="preserve">    </w:t>
      </w:r>
      <w:r>
        <w:rPr>
          <w:b/>
        </w:rPr>
        <w:t xml:space="preserve">Pub date: </w:t>
      </w:r>
      <w:r>
        <w:t>2026-05-05 14:30:43+00:00</w:t>
      </w:r>
      <w:r>
        <w:t xml:space="preserve">    </w:t>
      </w:r>
      <w:r>
        <w:rPr>
          <w:b/>
        </w:rPr>
        <w:t xml:space="preserve">DOI: </w:t>
      </w:r>
      <w:hyperlink r:id="rId32">
        <w:r>
          <w:rPr>
            <w:color w:val="1155CC"/>
            <w:u w:val="single"/>
          </w:rPr>
          <w:t>10.1021/acsenergylett.6c00575</w:t>
        </w:r>
      </w:hyperlink>
    </w:p>
    <w:p>
      <w:pPr>
        <w:spacing w:before="0" w:after="120"/>
      </w:pPr>
      <w:r>
        <w:rPr>
          <w:b/>
        </w:rPr>
        <w:t xml:space="preserve">Notes: </w:t>
      </w:r>
      <w:r>
        <w:t>abstract_source=openalex</w:t>
      </w:r>
    </w:p>
    <w:p>
      <w:pPr>
        <w:spacing w:before="0" w:after="80" w:lineRule="auto" w:line="276"/>
      </w:pPr>
      <w:r>
        <w:rPr>
          <w:b/>
        </w:rPr>
        <w:t xml:space="preserve">摘要（ZH）: </w:t>
      </w:r>
      <w:r>
        <w:t>真空沉积的卤化铅钙钛矿薄膜实现了无溶剂制造，消除了可能影响长期稳定性的残留加工溶剂。在此，我们研究了热蒸发混合阳离子组成FA0.8Cs0.2PbI3和FA0.8MA0.2PbI3（FA+ = 甲脒和MA+ = 甲基铵）在热和光应力下的稳定性。尽管从热力学角度来看，相稳定性等级通常描述为MA+ &lt; FA+ &lt; Cs+，其中基于Cs的钙钛矿预计最稳定，但两种组成都表现出热稳定性，在85°C连续加热超过500小时后保持其结构、光学和形态特性。然而，在持续照明下，出现了不同的降解途径：FA0.8Cs0.2PbI3表现出最大的形态和光学变化。这归因于在结晶过程中由CsI丰富的分离引起的化学不均匀性，使得点缺陷成为光降解的有效触发因素。通过部分用溴化物替代碘化物可以改善薄膜均匀性。基于这些结果，我们选择了FA0.8MA0.2PbI3和FA0.8Cs0.2Pb(I0.8Br0.2)3进行器件制造，并评估了它们的操作稳定性。所得的钙钛矿太阳能电池在室外操作四个月后保持其性能，并在室温下连续900小时的室内阳光等效照明下保持稳定。这些结果展示了高质量结晶过程如何揭示含MA钙钛矿配方在长期钙钛矿光伏中的潜力。</w:t>
      </w:r>
    </w:p>
    <w:p>
      <w:pPr>
        <w:spacing w:before="0" w:after="200" w:lineRule="auto" w:line="276"/>
      </w:pPr>
      <w:r>
        <w:rPr>
          <w:b/>
        </w:rPr>
        <w:t xml:space="preserve">Abstract (EN): </w:t>
      </w:r>
      <w:r>
        <w:t>Vacuum-deposited lead halide perovskite thin films enable solvent-free fabrication, eliminating residual processing solvents that might compromise the long-term stability. Here, we investigate the stability of thermally evaporated mixed-cation compositions FA0.8Cs0.2PbI3 and FA0.8MA0.2PbI3 (FA+ = formamidinium and MA+ = methylammonium) under thermal and light stress. Although from a thermodynamic perspective the phase stability hierarchy is typically described as MA+ &lt; FA+ &lt; Cs+, with Cs-based perovskites expected to be the most stable, both compositions exhibit thermal robustness, retaining their structural, optical, and morphological properties after continuous heating at 85 °C for over 500 h. Under continuous illumination, however, distinct degradation pathways emerge: FA0.8Cs0.2PbI3 shows the largest morphological and optical changes. This is attributed to chemical inhomogeneities caused by CsI-rich segregations during crystallization, which make point defects effective triggers for photodegradation. Film homogeneity improves by partially replacing iodide with bromide. Based on these results, we selected FA0.8MA0.2PbI3 and FA0.8Cs0.2Pb(I0.8Br0.2)3 for device fabrication and evaluated their operational stability. The resulting perovskite solar cells maintain their performance after four months of outdoor operation and withstand 900 h under continuous sun-equivalent indoor illumination at room temperature. These results demonstrate how a high-quality crystallization process can reveal the potential of MA-containing perovskite formulations for long-lived perovskite photovoltaics.</w:t>
      </w:r>
    </w:p>
    <w:p>
      <w:pPr>
        <w:spacing w:before="120" w:after="120"/>
      </w:pPr>
      <w:r>
        <w:rPr>
          <w:sz w:val="18"/>
        </w:rPr>
        <w:t>——————————————————————————————————————————————————————————————————————</w:t>
      </w:r>
    </w:p>
    <w:p>
      <w:pPr>
        <w:spacing w:before="160" w:after="40" w:line="240" w:lineRule="auto"/>
      </w:pPr>
      <w:r>
        <w:rPr>
          <w:b/>
        </w:rPr>
        <w:t xml:space="preserve">[15] </w:t>
      </w:r>
      <w:hyperlink r:id="rId33">
        <w:r>
          <w:rPr>
            <w:color w:val="1155CC"/>
            <w:u w:val="single"/>
          </w:rPr>
          <w:t>[ASAP] 锡钙钛矿太阳能电池性能的限制因素是什么？从能级和界面对齐的角度看</w:t>
        </w:r>
      </w:hyperlink>
    </w:p>
    <w:p>
      <w:pPr>
        <w:spacing w:before="0" w:after="80"/>
      </w:pPr>
      <w:r>
        <w:rPr>
          <w:i/>
          <w:sz w:val="20"/>
        </w:rPr>
        <w:t>EN: [ASAP] What Limits the Performance of Tin Perovskite Solar Cells? A Perspective from Energy Levels and Interfacial Alignment</w:t>
      </w:r>
    </w:p>
    <w:p>
      <w:pPr>
        <w:spacing w:before="0" w:after="120"/>
      </w:pPr>
      <w:r>
        <w:rPr>
          <w:b/>
        </w:rPr>
        <w:t xml:space="preserve">Source: </w:t>
      </w:r>
      <w:r>
        <w:t>ACS Energy Letters: Latest Articles (ACS Publications)</w:t>
      </w:r>
      <w:r>
        <w:t xml:space="preserve">    </w:t>
      </w:r>
      <w:r>
        <w:rPr>
          <w:b/>
        </w:rPr>
        <w:t xml:space="preserve">Pub date: </w:t>
      </w:r>
      <w:r>
        <w:t>2026-05-05 18:04:42+00:00</w:t>
      </w:r>
      <w:r>
        <w:t xml:space="preserve">    </w:t>
      </w:r>
      <w:r>
        <w:rPr>
          <w:b/>
        </w:rPr>
        <w:t xml:space="preserve">DOI: </w:t>
      </w:r>
      <w:hyperlink r:id="rId34">
        <w:r>
          <w:rPr>
            <w:color w:val="1155CC"/>
            <w:u w:val="single"/>
          </w:rPr>
          <w:t>10.1021/acsenergylett.6c00520</w:t>
        </w:r>
      </w:hyperlink>
    </w:p>
    <w:p>
      <w:pPr>
        <w:spacing w:before="0" w:after="120"/>
      </w:pPr>
      <w:r>
        <w:rPr>
          <w:b/>
        </w:rPr>
        <w:t xml:space="preserve">Notes: </w:t>
      </w:r>
      <w:r>
        <w:t>abstract_source=openalex</w:t>
      </w:r>
    </w:p>
    <w:p>
      <w:pPr>
        <w:spacing w:before="0" w:after="80" w:lineRule="auto" w:line="276"/>
      </w:pPr>
      <w:r>
        <w:rPr>
          <w:b/>
        </w:rPr>
        <w:t xml:space="preserve">摘要（ZH）: </w:t>
      </w:r>
      <w:r>
        <w:t>作为铅钙钛矿最有前途的替代材料，锡钙钛矿在太阳能电池中的潜力尚未完全实现。我们分析了锡钙钛矿中带边的起源，并揭示了一种普遍趋势，即导带最小值（CBM）主要归因于Sn 5p轨道能量，并通过周围卤素离子的库仑排斥进行抵消。发现锡钙钛矿的导带和价带边缘均高于其铅对应物。为了满足能级对齐的新要求，通常与锡钙钛矿一起使用的传输材料依赖于特殊的功能团，如富勒烯和聚（乙二氧噻吩）（PEDOT），但仍存在局限性。开发具有适当能级和载流子迁移率的传输材料有望实现进一步的性能提升，并为锡钙钛矿太阳能电池启用n–i–p器件结构。</w:t>
      </w:r>
    </w:p>
    <w:p>
      <w:pPr>
        <w:spacing w:before="0" w:after="200" w:lineRule="auto" w:line="276"/>
      </w:pPr>
      <w:r>
        <w:rPr>
          <w:b/>
        </w:rPr>
        <w:t xml:space="preserve">Abstract (EN): </w:t>
      </w:r>
      <w:r>
        <w:t>As the most promising alternative material to lead perovskites, tin perovskites have not completely realized their potential in solar cells. We analyze the origin of band edges in tin perovskites and reveal a general trend that the conduction band minimum (CBM) is primarily attributed to the Sn 5p orbital energy and offset by the surrounding halide ions through Coulombic repulsion. Both conduction and valence band edges of tin perovskites are found to be higher positioned than their lead counterparts. To meet the new requirements for energy level alignment, transport materials commonly used with tin perovskites rely on special functional groups such as fullerene and poly(ethylenedioxythiophene) (PEDOT), but still with limitations. Development of transport materials with proper energy levels and carrier mobilities is expected to achieve further performance enhancement, and enable the n–i–p device structure for tin perovskite solar cells.</w:t>
      </w:r>
    </w:p>
    <w:p>
      <w:pPr>
        <w:spacing w:before="120" w:after="120"/>
      </w:pPr>
      <w:r>
        <w:rPr>
          <w:sz w:val="18"/>
        </w:rPr>
        <w:t>——————————————————————————————————————————————————————————————————————</w:t>
      </w:r>
    </w:p>
    <w:p>
      <w:pPr>
        <w:spacing w:before="160" w:after="40" w:line="240" w:lineRule="auto"/>
      </w:pPr>
      <w:r>
        <w:rPr>
          <w:b/>
        </w:rPr>
        <w:t xml:space="preserve">[16] </w:t>
      </w:r>
      <w:hyperlink r:id="rId35">
        <w:r>
          <w:rPr>
            <w:color w:val="1155CC"/>
            <w:u w:val="single"/>
          </w:rPr>
          <w:t>[ASAP] 通过金属和间隔阳离子设计在二维钙钛矿中工程化热流</w:t>
        </w:r>
      </w:hyperlink>
    </w:p>
    <w:p>
      <w:pPr>
        <w:spacing w:before="0" w:after="80"/>
      </w:pPr>
      <w:r>
        <w:rPr>
          <w:i/>
          <w:sz w:val="20"/>
        </w:rPr>
        <w:t>EN: [ASAP] Engineering Heat Flow in Two-Dimensional Perovskites via Metal and Spacer Cation Design</w:t>
      </w:r>
    </w:p>
    <w:p>
      <w:pPr>
        <w:spacing w:before="0" w:after="120"/>
      </w:pPr>
      <w:r>
        <w:rPr>
          <w:b/>
        </w:rPr>
        <w:t xml:space="preserve">Source: </w:t>
      </w:r>
      <w:r>
        <w:t>ACS Energy Letters: Latest Articles (ACS Publications)</w:t>
      </w:r>
      <w:r>
        <w:t xml:space="preserve">    </w:t>
      </w:r>
      <w:r>
        <w:rPr>
          <w:b/>
        </w:rPr>
        <w:t xml:space="preserve">Pub date: </w:t>
      </w:r>
      <w:r>
        <w:t>2026-05-05 19:59:47+00:00</w:t>
      </w:r>
      <w:r>
        <w:t xml:space="preserve">    </w:t>
      </w:r>
      <w:r>
        <w:rPr>
          <w:b/>
        </w:rPr>
        <w:t xml:space="preserve">DOI: </w:t>
      </w:r>
      <w:hyperlink r:id="rId36">
        <w:r>
          <w:rPr>
            <w:color w:val="1155CC"/>
            <w:u w:val="single"/>
          </w:rPr>
          <w:t>10.1021/acsenergylett.6c00700</w:t>
        </w:r>
      </w:hyperlink>
    </w:p>
    <w:p>
      <w:pPr>
        <w:spacing w:before="0" w:after="120"/>
      </w:pPr>
      <w:r>
        <w:rPr>
          <w:b/>
        </w:rPr>
        <w:t xml:space="preserve">Notes: </w:t>
      </w:r>
      <w:r>
        <w:t>abstract_source=openalex</w:t>
      </w:r>
    </w:p>
    <w:p>
      <w:pPr>
        <w:spacing w:before="0" w:after="80" w:lineRule="auto" w:line="276"/>
      </w:pPr>
      <w:r>
        <w:rPr>
          <w:b/>
        </w:rPr>
        <w:t xml:space="preserve">摘要（ZH）: </w:t>
      </w:r>
      <w:r>
        <w:t>二维（2D）有机-无机杂化卤化物钙钛矿由于其层状结构提供了卓越的结构可调性和环境稳定性。然而，其固有的各向异性和较差的热传导性对器件的稳定性和操作构成了关键瓶颈。在此，我们通过同时改变π-共轭、半导体有机间隔阳离子和金属阳离子，系统地研究了一系列2D钙钛矿的成分工程热传导，使用非侵入性振动泵-可见探针（VPVP）平台。时间分辨VPVP光谱和显微镜独立量化了跨平面和面内热扩散率，并评估了各向异性热流。我们发现，半导体有机间隔分子的引入增强了跨平面热传导，同时抑制了面内热传导，逐步减少了热各向异性，并接近于扩展共轭有机间隔的近各向同性热传导。金属阳离子替代进一步调节了热传导，Sn基2D钙钛矿表现出相对于Pb类似物的增强热扩散率，而Ge的引入由于不对称金属-卤化物键合引起的晶格非谐性增加，导致热传播减弱。将热扩散率与结构参数相关联，包括层间距和八面体畸变，揭示了2D钙钛矿中的声子传导可以通过有机-无机晶格设计进行合理调节。</w:t>
      </w:r>
    </w:p>
    <w:p>
      <w:pPr>
        <w:spacing w:before="0" w:after="200" w:lineRule="auto" w:line="276"/>
      </w:pPr>
      <w:r>
        <w:rPr>
          <w:b/>
        </w:rPr>
        <w:t xml:space="preserve">Abstract (EN): </w:t>
      </w:r>
      <w:r>
        <w:t>Two-dimensional (2D) organic–inorganic hybrid halide perovskites offer exceptional structural tunability and environmental stability arising from their layered architecture. However, their intrinsically anisotropic and poor thermal transport presents a critical bottleneck for device stability and operation. Here, we systematically investigate compositionally engineered thermal transport in a series of 2D perovskites through simultaneous variation of π-conjugated, semiconducting organic-spacer cations and metal cations using a noninvasive vibrational pump-visible probe (VPVP) platform. Time-resolved VPVP spectroscopy and microscopy independently quantify cross-plane and in-plane thermal diffusivities and the evaluation of anisotropic heat flow. We found that incorporation of semiconducting organic spacer molecules enhances cross-plane thermal transport while suppressing in-plane heat conduction, progressively reducing thermal anisotropy and approaching near-isotropic heat transport for extended conjugated organic spacers. Metal cation substitution further modulates thermal transport, with Sn-based 2D perovskites exhibiting enhanced thermal diffusivity relative to Pb analogues, whereas Ge incorporation introduces increased lattice anharmonicity arising from asymmetric metal-halide bonding, leading to weakened heat propagation. Correlating thermal diffusivities with structural parameters, including interlayer spacing and octahedral distortion, reveals that phonon transport in 2D perovskites can be rationally tuned through organic–inorganic lattice design.</w:t>
      </w:r>
    </w:p>
    <w:p>
      <w:pPr>
        <w:spacing w:before="120" w:after="120"/>
      </w:pPr>
      <w:r>
        <w:rPr>
          <w:sz w:val="18"/>
        </w:rPr>
        <w:t>——————————————————————————————————————————————————————————————————————</w:t>
      </w:r>
    </w:p>
    <w:p>
      <w:pPr>
        <w:spacing w:before="160" w:after="40" w:line="240" w:lineRule="auto"/>
      </w:pPr>
      <w:r>
        <w:rPr>
          <w:b/>
        </w:rPr>
        <w:t xml:space="preserve">[17] </w:t>
      </w:r>
      <w:hyperlink r:id="rId37">
        <w:r>
          <w:rPr>
            <w:color w:val="1155CC"/>
            <w:u w:val="single"/>
          </w:rPr>
          <w:t>高性能倒置CsPbI3钙钛矿太阳能电池及其串联应用的最新进展</w:t>
        </w:r>
      </w:hyperlink>
    </w:p>
    <w:p>
      <w:pPr>
        <w:spacing w:before="0" w:after="80"/>
      </w:pPr>
      <w:r>
        <w:rPr>
          <w:i/>
          <w:sz w:val="20"/>
        </w:rPr>
        <w:t>EN: Recent Advances on High‐Performance Inverted CsPbI3 Perovskite Solar Cells and Their Tandem Application</w:t>
      </w:r>
    </w:p>
    <w:p>
      <w:pPr>
        <w:spacing w:before="0" w:after="120"/>
      </w:pPr>
      <w:r>
        <w:rPr>
          <w:b/>
        </w:rPr>
        <w:t xml:space="preserve">Source: </w:t>
      </w:r>
      <w:r>
        <w:t>Wiley: Advanced Materials: Table of Contents</w:t>
      </w:r>
      <w:r>
        <w:t xml:space="preserve">    </w:t>
      </w:r>
      <w:r>
        <w:rPr>
          <w:b/>
        </w:rPr>
        <w:t xml:space="preserve">Pub date: </w:t>
      </w:r>
      <w:r>
        <w:t>2026-05-06 08:38:34+00:00</w:t>
      </w:r>
      <w:r>
        <w:t xml:space="preserve">    </w:t>
      </w:r>
      <w:r>
        <w:rPr>
          <w:b/>
        </w:rPr>
        <w:t xml:space="preserve">DOI: </w:t>
      </w:r>
      <w:hyperlink r:id="rId38">
        <w:r>
          <w:rPr>
            <w:color w:val="1155CC"/>
            <w:u w:val="single"/>
          </w:rPr>
          <w:t>10.1002/adma.73292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倒置CsPbI3钙钛矿太阳能电池（PSCs）因其最佳带隙、优越的光热稳定性以及与商业底电池（如CuInSe2和硅）兼容的器件架构，在单结和串联太阳能电池中引起了更多关注。然而，其发展受到包括复杂的相变过程、界面能级不匹配、未钝化缺陷和次优传输层等挑战的阻碍。因此，全面了解CsPbI3的材料特性、相变机制和界面状态对于解决这些问题至关重要。在本综述中，我们系统地研究了CsPbI3的相变动力学，并总结了制造高效且稳定的倒置CsPbI3 PSCs的最新进展，重点关注：（1）相变和体结晶的调控；（2）界面能级管理和缺陷钝化；（3）空穴传输材料的选择及其在串联太阳能电池中的集成。最后，我们概述了剩余的挑战和未来的前景，以指导高性能和操作稳定的倒置无机钙钛矿基单结和串联光伏的发展。</w:t>
      </w:r>
    </w:p>
    <w:p>
      <w:pPr>
        <w:spacing w:before="0" w:after="200" w:lineRule="auto" w:line="276"/>
      </w:pPr>
      <w:r>
        <w:rPr>
          <w:b/>
        </w:rPr>
        <w:t xml:space="preserve">Abstract (EN): </w:t>
      </w:r>
      <w:r>
        <w:t>Inverted CsPbI</w:t>
      </w:r>
      <w:r>
        <w:rPr>
          <w:vertAlign w:val="subscript"/>
        </w:rPr>
        <w:t>3</w:t>
      </w:r>
      <w:r>
        <w:t>perovskite solar cells (PSCs) have attracted more attention in single‐junction and tandem solar cells, owing to the optimal band‐gap, superior photothermal stability, and device architecture compatible with commercial bottom cells such as CuInSe</w:t>
      </w:r>
      <w:r>
        <w:rPr>
          <w:vertAlign w:val="subscript"/>
        </w:rPr>
        <w:t>2</w:t>
      </w:r>
      <w:r>
        <w:t>and silicon. However, their development is hindered by challenges including the complex phase transition process, interfacial energy‐level mismatch, unpassivated defects, and the suboptimal transport layer. A comprehensive understanding of the material characteristics, phase transition mechanisms, and interface state of CsPbI</w:t>
      </w:r>
      <w:r>
        <w:rPr>
          <w:vertAlign w:val="subscript"/>
        </w:rPr>
        <w:t>3</w:t>
      </w:r>
      <w:r>
        <w:t>is therefore essential to address these issues. In this review, we systematically examine the phase‐transition dynamics of CsPbI</w:t>
      </w:r>
      <w:r>
        <w:rPr>
          <w:vertAlign w:val="subscript"/>
        </w:rPr>
        <w:t>3</w:t>
      </w:r>
      <w:r>
        <w:t>and summarize recent advances in fabricating efficient and stable inverted CsPbI</w:t>
      </w:r>
      <w:r>
        <w:rPr>
          <w:vertAlign w:val="subscript"/>
        </w:rPr>
        <w:t>3</w:t>
      </w:r>
      <w:r>
        <w:t>PSCs, focusing on: (1) Regulation of the phase transition and bulk crystallization; (2) Management of interface energy‐level and defect passivation; (3) Selection of hole transport materials and their integration in tandem solar cells. Finally, we outline the remaining challenges and future perspectives to guide the development of high‐performance and operationally stable inverted inorganic perovskite‐based single‐junction and tandem photovoltaics.</w:t>
      </w:r>
    </w:p>
    <w:p>
      <w:pPr>
        <w:spacing w:before="120" w:after="120"/>
      </w:pPr>
      <w:r>
        <w:rPr>
          <w:sz w:val="18"/>
        </w:rPr>
        <w:t>——————————————————————————————————————————————————————————————————————</w:t>
      </w:r>
    </w:p>
    <w:p>
      <w:pPr>
        <w:spacing w:before="160" w:after="40" w:line="240" w:lineRule="auto"/>
      </w:pPr>
      <w:r>
        <w:rPr>
          <w:b/>
        </w:rPr>
        <w:t xml:space="preserve">[18] </w:t>
      </w:r>
      <w:hyperlink r:id="rId39">
        <w:r>
          <w:rPr>
            <w:color w:val="1155CC"/>
            <w:u w:val="single"/>
          </w:rPr>
          <w:t>晶格一致性驱动的(111)取向宽带隙钙钛矿薄膜</w:t>
        </w:r>
      </w:hyperlink>
    </w:p>
    <w:p>
      <w:pPr>
        <w:spacing w:before="0" w:after="80"/>
      </w:pPr>
      <w:r>
        <w:rPr>
          <w:i/>
          <w:sz w:val="20"/>
        </w:rPr>
        <w:t>EN: Lattice Coherency‐Driven (111)‐Oriented Wide Bandgap Perovskite Films</w:t>
      </w:r>
    </w:p>
    <w:p>
      <w:pPr>
        <w:spacing w:before="0" w:after="120"/>
      </w:pPr>
      <w:r>
        <w:rPr>
          <w:b/>
        </w:rPr>
        <w:t xml:space="preserve">Source: </w:t>
      </w:r>
      <w:r>
        <w:t>Wiley: Advanced Energy Materials: Table of Contents</w:t>
      </w:r>
      <w:r>
        <w:t xml:space="preserve">    </w:t>
      </w:r>
      <w:r>
        <w:rPr>
          <w:b/>
        </w:rPr>
        <w:t xml:space="preserve">Pub date: </w:t>
      </w:r>
      <w:r>
        <w:t>2026-05-06 09:01:55+00:00</w:t>
      </w:r>
      <w:r>
        <w:t xml:space="preserve">    </w:t>
      </w:r>
      <w:r>
        <w:rPr>
          <w:b/>
        </w:rPr>
        <w:t xml:space="preserve">DOI: </w:t>
      </w:r>
      <w:hyperlink r:id="rId40">
        <w:r>
          <w:rPr>
            <w:color w:val="1155CC"/>
            <w:u w:val="single"/>
          </w:rPr>
          <w:t>10.1002/aenm.202506805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s）在功率转换效率（PCE）方面表现出惊人的进步，同时长期稳定性也有显著改善。然而，晶体生长的精确控制仍然具有挑战性，特别是对于基于溶液和低温加工的多晶钙钛矿薄膜。在此，我们引入了一种简单但有效的策略，通过利用种子模板的晶格一致性来调节宽带隙钙钛矿薄膜（FA0.79MA0.12Cs0.09Pb(I0.85Br0.15)3；FA = 甲脒，MA = 甲基铵）的晶体取向，其中MAPbBrXCl3−X不仅作为减缓晶体生长的动力学控制器，还作为种子模板，通过提供焓驱动的吉布斯自由能变化来重塑晶体取向沿面向上的（111）阵列的热力学能量成本。因此，借助种子模板生长的钙钛矿薄膜表现出优异的结晶性和优先取向，而对照样品则观察到较弱的结晶性和相对随机的取向。值得注意的是，尽管其不利</w:t>
      </w:r>
    </w:p>
    <w:p>
      <w:pPr>
        <w:spacing w:before="0" w:after="200" w:lineRule="auto" w:line="276"/>
      </w:pPr>
      <w:r>
        <w:rPr>
          <w:b/>
        </w:rPr>
        <w:t xml:space="preserve">Abstract (EN): </w:t>
      </w:r>
      <w:r>
        <w:t>Perovskite solar cells (PSCs) have exhibited astonishing progress in power conversion efficiency (PCE) along with a remarkable improvement in long‐term stability. A precise control on crystal growth, however, still remains challenging, particularly for poly‐crystalline perovskite films based on solution‐ and low temperature‐processing. Here in, we introduce a simple but effective strategy to regulate the crystallographic orientation of wide bandgap perovskite films (FA</w:t>
      </w:r>
      <w:r>
        <w:t xml:space="preserve"> </w:t>
      </w:r>
      <w:r>
        <w:t>0.79</w:t>
      </w:r>
      <w:r>
        <w:t xml:space="preserve"> </w:t>
      </w:r>
      <w:r>
        <w:t>MA</w:t>
      </w:r>
      <w:r>
        <w:t xml:space="preserve"> </w:t>
      </w:r>
      <w:r>
        <w:t>0.12</w:t>
      </w:r>
      <w:r>
        <w:t xml:space="preserve"> </w:t>
      </w:r>
      <w:r>
        <w:t>Cs</w:t>
      </w:r>
      <w:r>
        <w:t xml:space="preserve"> </w:t>
      </w:r>
      <w:r>
        <w:t>0.09</w:t>
      </w:r>
      <w:r>
        <w:t xml:space="preserve"> </w:t>
      </w:r>
      <w:r>
        <w:t>Pb(I</w:t>
      </w:r>
      <w:r>
        <w:t xml:space="preserve"> </w:t>
      </w:r>
      <w:r>
        <w:t>0.85</w:t>
      </w:r>
      <w:r>
        <w:t xml:space="preserve"> </w:t>
      </w:r>
      <w:r>
        <w:t>Br</w:t>
      </w:r>
      <w:r>
        <w:t xml:space="preserve"> </w:t>
      </w:r>
      <w:r>
        <w:t>0.15</w:t>
      </w:r>
      <w:r>
        <w:t xml:space="preserve"> </w:t>
      </w:r>
      <w:r>
        <w:t>)</w:t>
      </w:r>
      <w:r>
        <w:rPr>
          <w:vertAlign w:val="subscript"/>
        </w:rPr>
        <w:t>3</w:t>
      </w:r>
      <w:r>
        <w:t>; FA = formamidinium, MA = methylammonium) by utilizing lattice coherency with seed template, where MAPbBr</w:t>
      </w:r>
      <w:r>
        <w:t xml:space="preserve"> </w:t>
      </w:r>
      <w:r>
        <w:t>X</w:t>
      </w:r>
      <w:r>
        <w:t xml:space="preserve"> </w:t>
      </w:r>
      <w:r>
        <w:t>Cl</w:t>
      </w:r>
      <w:r>
        <w:t xml:space="preserve"> </w:t>
      </w:r>
      <w:r>
        <w:t>3−X</w:t>
      </w:r>
      <w:r>
        <w:t xml:space="preserve"> </w:t>
      </w:r>
      <w:r>
        <w:t>not only serves as a kinetic controller for retarding crystal growth but also performs as a seed template to reshape the thermodynamic energy cost for regulating crystal orientation along face‐up (111) array by offering enthalpy‐driven reduced Gibbs free energy change. Consequently, perovskite films grown with the aid of a seed template exhibit outstanding crystallinity with the preferential orientation, while a weak crystallinity with a relatively random orientation is observed from the control sample. Noticeably, devices employing the (111)‐oriented ordered structure, in spite of its unfavorable charge extraction, eventually result in competitive PCEs and superior long‐term stability at the elevated temperature to those of (001)‐oriented ones, emphasizing the importance of a highly ordered lattice with facet control in governing the device performance.</w:t>
      </w:r>
    </w:p>
    <w:p>
      <w:pPr>
        <w:spacing w:before="120" w:after="120"/>
      </w:pPr>
      <w:r>
        <w:rPr>
          <w:sz w:val="18"/>
        </w:rPr>
        <w:t>——————————————————————————————————————————————————————————————————————</w:t>
      </w:r>
    </w:p>
    <w:p>
      <w:pPr>
        <w:spacing w:before="160" w:after="40" w:line="240" w:lineRule="auto"/>
      </w:pPr>
      <w:r>
        <w:rPr>
          <w:b/>
        </w:rPr>
        <w:t xml:space="preserve">[19] </w:t>
      </w:r>
      <w:hyperlink r:id="rId41">
        <w:r>
          <w:rPr>
            <w:color w:val="1155CC"/>
            <w:u w:val="single"/>
          </w:rPr>
          <w:t>高效半透明钙钛矿太阳能电池和模块的多模式策略，创纪录的室内性能（Adv. Energy Mater. 17/2026）</w:t>
        </w:r>
      </w:hyperlink>
    </w:p>
    <w:p>
      <w:pPr>
        <w:spacing w:before="0" w:after="80"/>
      </w:pPr>
      <w:r>
        <w:rPr>
          <w:i/>
          <w:sz w:val="20"/>
        </w:rPr>
        <w:t>EN: Multimodal Strategy for Efficient Semi‐Transparent Perovskite Solar Cells and Modules with Record Indoor Performance (Adv. Energy Mater. 17/2026)</w:t>
      </w:r>
    </w:p>
    <w:p>
      <w:pPr>
        <w:spacing w:before="0" w:after="120"/>
      </w:pPr>
      <w:r>
        <w:rPr>
          <w:b/>
        </w:rPr>
        <w:t xml:space="preserve">Source: </w:t>
      </w:r>
      <w:r>
        <w:t>Wiley: Advanced Energy Materials: Table of Contents</w:t>
      </w:r>
      <w:r>
        <w:t xml:space="preserve">    </w:t>
      </w:r>
      <w:r>
        <w:rPr>
          <w:b/>
        </w:rPr>
        <w:t xml:space="preserve">Pub date: </w:t>
      </w:r>
      <w:r>
        <w:t>2026-05-06 09:56:41+00:00</w:t>
      </w:r>
      <w:r>
        <w:t xml:space="preserve">    </w:t>
      </w:r>
      <w:r>
        <w:rPr>
          <w:b/>
        </w:rPr>
        <w:t xml:space="preserve">DOI: </w:t>
      </w:r>
      <w:hyperlink r:id="rId42">
        <w:r>
          <w:rPr>
            <w:color w:val="1155CC"/>
            <w:u w:val="single"/>
          </w:rPr>
          <w:t>10.1002/aenm.70883</w:t>
        </w:r>
      </w:hyperlink>
    </w:p>
    <w:p>
      <w:pPr>
        <w:spacing w:before="0" w:after="120"/>
      </w:pPr>
      <w:r>
        <w:rPr>
          <w:b/>
        </w:rPr>
        <w:t xml:space="preserve">Notes: </w:t>
      </w:r>
      <w:r>
        <w:t>abstract_source=openalex</w:t>
      </w:r>
    </w:p>
    <w:p>
      <w:pPr>
        <w:spacing w:before="0" w:after="80" w:lineRule="auto" w:line="276"/>
      </w:pPr>
      <w:r>
        <w:rPr>
          <w:b/>
        </w:rPr>
        <w:t xml:space="preserve">摘要（ZH）: </w:t>
      </w:r>
      <w:r>
        <w:t>钙钛矿太阳能电池 在文章编号e05931中，J Xiang Liu、Muhammad Tariq Sajjad、Mojtaba Abdi-Jalebi及其同事展示了一种多模式策略，结合透明电极工程和分子钝化，以提高半透明钙钛矿太阳能电池的稳定性和光伏效率。封面突出了一个双功能三唑分子，抑制陷阱辅助复合，使其在室内照明下实现创纪录的性能。这项工作为将高效能量收集整合到下一代建筑集成光伏中提供了可扩展的途径。</w:t>
      </w:r>
    </w:p>
    <w:p>
      <w:pPr>
        <w:spacing w:before="0" w:after="200" w:lineRule="auto" w:line="276"/>
      </w:pPr>
      <w:r>
        <w:rPr>
          <w:b/>
        </w:rPr>
        <w:t xml:space="preserve">Abstract (EN): </w:t>
      </w:r>
      <w:r>
        <w:t>Perovskite Solar Cells In article number e05931, J Xiang Liu, Muhammad Tariq Sajjad, Mojtaba Abdi-Jalebi, and co-workers illustrate a multimodal strategy combining transparent-electrode engineering and molecular passivation to enhance the stability and photovoltaic efficiency of semi-transparent perovskite solar cells. The cover highlights a bifunctional triazole molecule suppressing trap-assisted recombination, enabling record performance under indoor-lighting. This work provides a scalable pathway for integrating high-efficiency energy harvesting into next-generation building-integrated photovoltaics.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3">
        <w:r>
          <w:rPr>
            <w:color w:val="1155CC"/>
            <w:u w:val="single"/>
          </w:rPr>
          <w:t>打破尺寸限制：合理的空位设计激活亚微米普鲁士蓝阴极用于钾离子存储</w:t>
        </w:r>
      </w:hyperlink>
    </w:p>
    <w:p>
      <w:pPr>
        <w:spacing w:before="0" w:after="80"/>
      </w:pPr>
      <w:r>
        <w:rPr>
          <w:i/>
          <w:sz w:val="20"/>
        </w:rPr>
        <w:t>EN: Breaking the Size Constraint: Rational Vacancy Design Activates Submicron Prussian Blue Cathodes for Potassium‐Ion Storage</w:t>
      </w:r>
    </w:p>
    <w:p>
      <w:pPr>
        <w:spacing w:before="0" w:after="120"/>
      </w:pPr>
      <w:r>
        <w:rPr>
          <w:b/>
        </w:rPr>
        <w:t xml:space="preserve">Source: </w:t>
      </w:r>
      <w:r>
        <w:t>Wiley: Angewandte Chemie International Edition: Table of Contents</w:t>
      </w:r>
      <w:r>
        <w:t xml:space="preserve">    </w:t>
      </w:r>
      <w:r>
        <w:rPr>
          <w:b/>
        </w:rPr>
        <w:t xml:space="preserve">Pub date: </w:t>
      </w:r>
      <w:r>
        <w:t>2026-05-03 05:02:21+00:00</w:t>
      </w:r>
      <w:r>
        <w:t xml:space="preserve">    </w:t>
      </w:r>
      <w:r>
        <w:rPr>
          <w:b/>
        </w:rPr>
        <w:t xml:space="preserve">DOI: </w:t>
      </w:r>
      <w:hyperlink r:id="rId44">
        <w:r>
          <w:rPr>
            <w:color w:val="1155CC"/>
            <w:u w:val="single"/>
          </w:rPr>
          <w:t>10.1002/anie.1058944</w:t>
        </w:r>
      </w:hyperlink>
    </w:p>
    <w:p>
      <w:pPr>
        <w:spacing w:before="0" w:after="120"/>
      </w:pPr>
      <w:r>
        <w:rPr>
          <w:b/>
        </w:rPr>
        <w:t xml:space="preserve">Notes: </w:t>
      </w:r>
      <w:r>
        <w:t>abstract_source=pubmed</w:t>
      </w:r>
    </w:p>
    <w:p>
      <w:pPr>
        <w:spacing w:before="0" w:after="80" w:lineRule="auto" w:line="276"/>
      </w:pPr>
      <w:r>
        <w:rPr>
          <w:b/>
        </w:rPr>
        <w:t xml:space="preserve">摘要（ZH）: </w:t>
      </w:r>
      <w:r>
        <w:t>耐用高性能正极的开发对于促进钾离子电池在电网规模储能中的潜在应用至关重要。普鲁士蓝类似物，如铁氰化铁（FeHCF），提供了优越的循环稳定性，但其电化学活性受到K+扩散深度差的限制，导致可逆容量随着颗粒尺寸的增加而急剧衰减，从而阻碍了其实际应用。在此，我们证明了在FeHCF框架中合理引入空位对于增强钾储存动力学至关重要。这种方法减轻了有害的颗粒尺寸效应，使500 nm FeHCF颗粒能够保留50 nm颗粒容量的72%。在此基础上，我们进一步提出了一种局部晶格重构策略以增强框架，促进可逆容量和容量保持。制备的500 nm颗粒尺寸的FeHCF在50 mA g-1下提供了90 mAh g-1的高可逆容量，并具有出色的循环稳定性（800次循环后保持率为82.6%），以及显著的倍率性能。这项工作展示了空位在优化PBA中K+储存动力学中的有益作用，为开发高性能钾离子电池正极提供了支持。</w:t>
      </w:r>
    </w:p>
    <w:p>
      <w:pPr>
        <w:spacing w:before="0" w:after="200" w:lineRule="auto" w:line="276"/>
      </w:pPr>
      <w:r>
        <w:rPr>
          <w:b/>
        </w:rPr>
        <w:t xml:space="preserve">Abstract (EN): </w:t>
      </w:r>
      <w:r>
        <w:t>The development of durable high-performance cathodes is paramount to promote the potential application of potassium-ion batteries in grid-scale energy storage. Prussian blue analogues, such as iron hexacyanoferrate (FeHCF), offer superior cyclic stability, but their electrochemical activity is limited by poor K+ diffusion depth, leading to a sharp decay in reversible capacity with increasing particle size and thus hindering their practical application. Herein, we demonstrate that the rational introduction of vacancies into the FeHCF framework is pivotal for enhancing potassium-storage kinetics. This approach mitigates the detrimental particle size effect, enabling 500 nm FeHCF particles to retain 72% of the capacity of 50 nm particles. Building upon this, we further propose a local lattice reconstruction strategy to reinforce the framework, promoting reversible capacity and capacity retention. The as-prepared FeHCF with a particle size of 500 nm delivers a high reversible capacity of 90 mAh g-1 at 50 mA g-1 and outstanding cycling stability (82.6% retention after 800 cycles), alongside remarkable rate performance. This work demonstrates the beneficial role of vacancies in optimizing K+ storage kinetics in PBAs, providing support for the development of high-performance potassium-ion battery cathodes.</w:t>
      </w:r>
    </w:p>
    <w:p>
      <w:pPr>
        <w:spacing w:before="120" w:after="120"/>
      </w:pPr>
      <w:r>
        <w:rPr>
          <w:sz w:val="18"/>
        </w:rPr>
        <w:t>——————————————————————————————————————————————————————————————————————</w:t>
      </w:r>
    </w:p>
    <w:p>
      <w:pPr>
        <w:spacing w:before="160" w:after="40" w:line="240" w:lineRule="auto"/>
      </w:pPr>
      <w:r>
        <w:rPr>
          <w:b/>
        </w:rPr>
        <w:t xml:space="preserve">[2] </w:t>
      </w:r>
      <w:hyperlink r:id="rId45">
        <w:r>
          <w:rPr>
            <w:color w:val="1155CC"/>
            <w:u w:val="single"/>
          </w:rPr>
          <w:t>[ASAP] 微结构化LiFePO4–碳锂离子电池电极中的结构–传输关系</w:t>
        </w:r>
      </w:hyperlink>
    </w:p>
    <w:p>
      <w:pPr>
        <w:spacing w:before="0" w:after="80"/>
      </w:pPr>
      <w:r>
        <w:rPr>
          <w:i/>
          <w:sz w:val="20"/>
        </w:rPr>
        <w:t>EN: [ASAP] Structure–Transport Relationships in Microarchitected LiFePO4–Carbon Li Ion Battery Electrodes</w:t>
      </w:r>
    </w:p>
    <w:p>
      <w:pPr>
        <w:spacing w:before="0" w:after="120"/>
      </w:pPr>
      <w:r>
        <w:rPr>
          <w:b/>
        </w:rPr>
        <w:t xml:space="preserve">Source: </w:t>
      </w:r>
      <w:r>
        <w:t>ACS Energy Letters: Latest Articles (ACS Publications)</w:t>
      </w:r>
      <w:r>
        <w:t xml:space="preserve">    </w:t>
      </w:r>
      <w:r>
        <w:rPr>
          <w:b/>
        </w:rPr>
        <w:t xml:space="preserve">Pub date: </w:t>
      </w:r>
      <w:r>
        <w:t>2026-05-04 09:19:53+00:00</w:t>
      </w:r>
      <w:r>
        <w:t xml:space="preserve">    </w:t>
      </w:r>
      <w:r>
        <w:rPr>
          <w:b/>
        </w:rPr>
        <w:t xml:space="preserve">DOI: </w:t>
      </w:r>
      <w:hyperlink r:id="rId46">
        <w:r>
          <w:rPr>
            <w:color w:val="1155CC"/>
            <w:u w:val="single"/>
          </w:rPr>
          <w:t>10.1021/acsenergylett.6c00372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7">
        <w:r>
          <w:rPr>
            <w:color w:val="1155CC"/>
            <w:u w:val="single"/>
          </w:rPr>
          <w:t>[ASAP] 带匹配描述符打破硫电催化剂的标度关系</w:t>
        </w:r>
      </w:hyperlink>
    </w:p>
    <w:p>
      <w:pPr>
        <w:spacing w:before="0" w:after="80"/>
      </w:pPr>
      <w:r>
        <w:rPr>
          <w:i/>
          <w:sz w:val="20"/>
        </w:rPr>
        <w:t>EN: [ASAP] A Band-Matching Descriptor Breaks Scaling Relations for Sulfur Electrocatalysts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2026-05-04 11:03:17+00:00</w:t>
      </w:r>
      <w:r>
        <w:t xml:space="preserve">    </w:t>
      </w:r>
      <w:r>
        <w:rPr>
          <w:b/>
        </w:rPr>
        <w:t xml:space="preserve">DOI: </w:t>
      </w:r>
      <w:hyperlink r:id="rId48">
        <w:r>
          <w:rPr>
            <w:color w:val="1155CC"/>
            <w:u w:val="single"/>
          </w:rPr>
          <w:t>10.1021/jacs.6c02040</w:t>
        </w:r>
      </w:hyperlink>
    </w:p>
    <w:p>
      <w:pPr>
        <w:spacing w:before="0" w:after="120"/>
      </w:pPr>
      <w:r>
        <w:rPr>
          <w:b/>
        </w:rPr>
        <w:t xml:space="preserve">Notes: </w:t>
      </w:r>
      <w:r>
        <w:t>abstract_source=pubmed</w:t>
      </w:r>
    </w:p>
    <w:p>
      <w:pPr>
        <w:spacing w:before="0" w:after="80" w:lineRule="auto" w:line="276"/>
      </w:pPr>
      <w:r>
        <w:rPr>
          <w:b/>
        </w:rPr>
        <w:t xml:space="preserve">摘要（ZH）: </w:t>
      </w:r>
      <w:r>
        <w:t>预测性描述符对于理性设计能够在锂硫（Li-S）电池中实现快速和可逆硫氧化还原的催化剂至关重要。尽管已经提出了几种描述符，但大多数仍受限于传统的吸附-活性权衡和相关的火山型行为。在此，我们发现广泛使用的过渡金属硫化物的催化活性由金属中心和表面硫原子之间的d/p带匹配比决定，从而超越了这一限制。通过调节带匹配比，调节锂多硫化物与催化剂表面之间的相互作用，建立了与硫还原和演化反应过电位的线性相关性，加速了硫转化动力学。NbS2的带匹配比为99.2%，提供了0.70 V的最小双功能过电位（硫还原反应（SRR）和硫演化反应（SER）过电位之和），比WS2（2.85 V，带匹配比为46.0%）低4倍。使用NbS2催化剂的Li-S电池在100个循环后表现出90.29%的异常高保持率，超过了大多数报道。这项工作将带匹配确立为硫电催化的一般原则，提供了一种超越金属-硫电池经典标度关系的预测设计规则。</w:t>
      </w:r>
    </w:p>
    <w:p>
      <w:pPr>
        <w:spacing w:before="0" w:after="200" w:lineRule="auto" w:line="276"/>
      </w:pPr>
      <w:r>
        <w:rPr>
          <w:b/>
        </w:rPr>
        <w:t xml:space="preserve">Abstract (EN): </w:t>
      </w:r>
      <w:r>
        <w:t>A predictive descriptor is crucial for the rational design of catalysts that enable fast and reversible sulfur redox in lithium-sulfur (Li-S) batteries. Although several descriptors have been proposed, most remain constrained by the conventional adsorption-activity trade-off and the associated volcano-type behavior. Here, we uncover that the catalytic activity of widely used transition-metal sulfides is dictated by the d/p band-matching ratio between metal centers and surface sulfur atoms, thereby going beyond this limitation. By tuning the band-matching ratio, which modulates the interaction between lithium polysulfides and the catalyst surface, a linear correlation with the overpotentials of both sulfur reduction and evolution reactions is established, accelerating the sulfur conversion kinetics. NbS2, with a band-matching ratio of 99.2%, delivers a minimal bifunctional overpotential of 0.70 V (the sum of sulfur reduction reaction (SRR) and sulfur evolution reaction (SER) overpotentials), 4-fold lower than that of WS2 (2.85 V, with a band-matching ratio of 46.0%). The Li-S battery that delivers a high initial areal capacity of 10.98 mAh cm-2 with the NbS2 catalyst exhibits an exceptionally high retention of 90.29% after 100 cycles, surpassing most of the reports. This work establishes band matching as a general principle for sulfur electrocatalysis, providing a predictive design rule that transcends classical scaling relations for metal-sulfur batteries.</w:t>
      </w:r>
    </w:p>
    <w:p>
      <w:pPr>
        <w:spacing w:before="120" w:after="120"/>
      </w:pPr>
      <w:r>
        <w:rPr>
          <w:sz w:val="18"/>
        </w:rPr>
        <w:t>——————————————————————————————————————————————————————————————————————</w:t>
      </w:r>
    </w:p>
    <w:p>
      <w:pPr>
        <w:spacing w:before="160" w:after="40" w:line="240" w:lineRule="auto"/>
      </w:pPr>
      <w:r>
        <w:rPr>
          <w:b/>
        </w:rPr>
        <w:t xml:space="preserve">[4] </w:t>
      </w:r>
      <w:hyperlink r:id="rId49">
        <w:r>
          <w:rPr>
            <w:color w:val="1155CC"/>
            <w:u w:val="single"/>
          </w:rPr>
          <w:t>预激活级联氧化还原使石墨中高电压多电子阴离子存储成为可能</w:t>
        </w:r>
      </w:hyperlink>
    </w:p>
    <w:p>
      <w:pPr>
        <w:spacing w:before="0" w:after="80"/>
      </w:pPr>
      <w:r>
        <w:rPr>
          <w:i/>
          <w:sz w:val="20"/>
        </w:rPr>
        <w:t>EN: Pre‐Activated Cascade Redox Enables High‐Voltage Multi‐Electron Anion Storage in Graphite</w:t>
      </w:r>
    </w:p>
    <w:p>
      <w:pPr>
        <w:spacing w:before="0" w:after="120"/>
      </w:pPr>
      <w:r>
        <w:rPr>
          <w:b/>
        </w:rPr>
        <w:t xml:space="preserve">Source: </w:t>
      </w:r>
      <w:r>
        <w:t>Wiley: Angewandte Chemie International Edition: Table of Contents</w:t>
      </w:r>
      <w:r>
        <w:t xml:space="preserve">    </w:t>
      </w:r>
      <w:r>
        <w:rPr>
          <w:b/>
        </w:rPr>
        <w:t xml:space="preserve">Pub date: </w:t>
      </w:r>
      <w:r>
        <w:t>2026-05-04 11:57:12+00:00</w:t>
      </w:r>
      <w:r>
        <w:t xml:space="preserve">    </w:t>
      </w:r>
      <w:r>
        <w:rPr>
          <w:b/>
        </w:rPr>
        <w:t xml:space="preserve">DOI: </w:t>
      </w:r>
      <w:hyperlink r:id="rId50">
        <w:r>
          <w:rPr>
            <w:color w:val="1155CC"/>
            <w:u w:val="single"/>
          </w:rPr>
          <w:t>10.1002/anie.5529195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阴极在双离子电池中实现高电压操作，但由于单电子化学和缓慢的阴离子嵌入而受到固有限制。在此，展示了一种由氧官能团稳定的氯化铁嵌入石墨，建立了预激活的级联多电子氧化还原路径。在中间电位下铁和氯的顺序氧化同时扩展了层间间距并重新分配电子密度，创造了一个有利于高电压PF6−嵌入的宿主。这种协同激活使每次氧化还原事件平均转移2.61个电子，突破了石墨的固有单电子限制。因此，阴极在3 A g−1下提供高达5 V（相对于Na/Na+）的电压，具有52 mAh g−1的稳定容量，显著优于传统石墨阴极（15 mAh g−1）。通过将多电子氧化还原化学与阴离子存储相结合，这种方法为高功率电化学能量存储开辟了新的方向。</w:t>
      </w:r>
    </w:p>
    <w:p>
      <w:pPr>
        <w:spacing w:before="0" w:after="200" w:lineRule="auto" w:line="276"/>
      </w:pPr>
      <w:r>
        <w:rPr>
          <w:b/>
        </w:rPr>
        <w:t xml:space="preserve">Abstract (EN): </w:t>
      </w:r>
      <w:r>
        <w:t>Graphite cathodes enable high‐voltage operation in dual‐ion batteries but are intrinsically constrained by a single‐electron chemistry and sluggish anion intercalation. Here, an iron‐chloride‐intercalated graphite  stabilized by oxygen functional groups is shown to establish a pre‐activated, cascade multi‐electron redox pathway. Sequential oxidation of iron and chlorine at intermediate potentials simultaneously expands interlayer spacing and redistributes electronic density, creating a favorable host for high‐voltage PF</w:t>
      </w:r>
      <w:r>
        <w:rPr>
          <w:vertAlign w:val="subscript"/>
        </w:rPr>
        <w:t>6</w:t>
      </w:r>
      <w:r>
        <w:t>−</w:t>
      </w:r>
      <w:r>
        <w:t>intercalation. This synergistic activation enables an average transfer of 2.61 electrons per redox event, breaking the intrinsic one‐electron limit of graphite. As a result, the cathode delivers up to 5 V (vs. Na/Na</w:t>
      </w:r>
      <w:r>
        <w:t xml:space="preserve"> </w:t>
      </w:r>
      <w:r>
        <w:t>+</w:t>
      </w:r>
      <w:r>
        <w:t xml:space="preserve"> </w:t>
      </w:r>
      <w:r>
        <w:t>) with a stable capacity of 52 mAh g</w:t>
      </w:r>
      <w:r>
        <w:t xml:space="preserve"> </w:t>
      </w:r>
      <w:r>
        <w:t>−1</w:t>
      </w:r>
      <w:r>
        <w:t xml:space="preserve"> </w:t>
      </w:r>
      <w:r>
        <w:t>at 3 A g</w:t>
      </w:r>
      <w:r>
        <w:t xml:space="preserve"> </w:t>
      </w:r>
      <w:r>
        <w:t>−1</w:t>
      </w:r>
      <w:r>
        <w:t xml:space="preserve"> </w:t>
      </w:r>
      <w:r>
        <w:t>, significantly outperforming conventional graphite cathodes (15 mAh g</w:t>
      </w:r>
      <w:r>
        <w:t xml:space="preserve"> </w:t>
      </w:r>
      <w:r>
        <w:t>−1</w:t>
      </w:r>
      <w:r>
        <w:t xml:space="preserve"> </w:t>
      </w:r>
      <w:r>
        <w:t>). By integrating multi‐electron redox chemistry with anion storage, this approach unlocks a new direction for high‐power electrochemical energy storage.</w:t>
      </w:r>
    </w:p>
    <w:p>
      <w:pPr>
        <w:spacing w:before="120" w:after="120"/>
      </w:pPr>
      <w:r>
        <w:rPr>
          <w:sz w:val="18"/>
        </w:rPr>
        <w:t>——————————————————————————————————————————————————————————————————————</w:t>
      </w:r>
    </w:p>
    <w:p>
      <w:pPr>
        <w:spacing w:before="160" w:after="40" w:line="240" w:lineRule="auto"/>
      </w:pPr>
      <w:r>
        <w:rPr>
          <w:b/>
        </w:rPr>
        <w:t xml:space="preserve">[5] </w:t>
      </w:r>
      <w:hyperlink r:id="rId51">
        <w:r>
          <w:rPr>
            <w:color w:val="1155CC"/>
            <w:u w:val="single"/>
          </w:rPr>
          <w:t>富锂阴极中富锂无序域的作用</w:t>
        </w:r>
      </w:hyperlink>
    </w:p>
    <w:p>
      <w:pPr>
        <w:spacing w:before="0" w:after="80"/>
      </w:pPr>
      <w:r>
        <w:rPr>
          <w:i/>
          <w:sz w:val="20"/>
        </w:rPr>
        <w:t>EN: The Role of Li‐Rich Disordered Domain in Li‐Rich Cathodes</w:t>
      </w:r>
    </w:p>
    <w:p>
      <w:pPr>
        <w:spacing w:before="0" w:after="120"/>
      </w:pPr>
      <w:r>
        <w:rPr>
          <w:b/>
        </w:rPr>
        <w:t xml:space="preserve">Source: </w:t>
      </w:r>
      <w:r>
        <w:t>Wiley: Angewandte Chemie International Edition: Table of Contents</w:t>
      </w:r>
      <w:r>
        <w:t xml:space="preserve">    </w:t>
      </w:r>
      <w:r>
        <w:rPr>
          <w:b/>
        </w:rPr>
        <w:t xml:space="preserve">Pub date: </w:t>
      </w:r>
      <w:r>
        <w:t>2026-05-05 10:20:42+00:00</w:t>
      </w:r>
      <w:r>
        <w:t xml:space="preserve">    </w:t>
      </w:r>
      <w:r>
        <w:rPr>
          <w:b/>
        </w:rPr>
        <w:t xml:space="preserve">DOI: </w:t>
      </w:r>
      <w:hyperlink r:id="rId52">
        <w:r>
          <w:rPr>
            <w:color w:val="1155CC"/>
            <w:u w:val="single"/>
          </w:rPr>
          <w:t>10.1002/anie.6316407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富锂正极由于富锂相和LiTMO2相（过渡金属[TM]=Mn, Ni）之间的结构不兼容性而遭受电化学降解。本研究识别并表征了一种先前被忽视的过渡相，即富锂无序（LRD）域，它连接这两种主要相，是异质氧化还原驱动应变和晶格位移的根本来源。高级结构分析揭示了过渡金属，特别是Ni，占据了该LRD域内的Li位点。我们证明，通过调整合成以限制LRD域，可以有效减缓其在（去）锂化过程中的结构演变。这个受限域作为缓冲层，隔离了相邻域之间的各向异性晶格应变，从而抑制氧损失并增强结构完整性。原位高温XRD进一步跟踪了该域在合成过程中的形成。因此，工程化的正极在2.0–4.8 V范围内提供了比原始正极高15%（25 mA g−1，50个循环）和26%（250 mA g−1，300个循环）的比容量增加，同时增强了长期循环稳定性。这项工作阐明了受限LRD域在稳定阴离子氧化还原中的关键作用，为设计先进的富锂正极提供了基本见解。</w:t>
      </w:r>
    </w:p>
    <w:p>
      <w:pPr>
        <w:spacing w:before="0" w:after="200" w:lineRule="auto" w:line="276"/>
      </w:pPr>
      <w:r>
        <w:rPr>
          <w:b/>
        </w:rPr>
        <w:t xml:space="preserve">Abstract (EN): </w:t>
      </w:r>
      <w:r>
        <w:t>Li‐rich cathodes suffer from electrochemical degradation due to structural incompatibility between the Li‐rich and LiTMO</w:t>
      </w:r>
      <w:r>
        <w:rPr>
          <w:vertAlign w:val="subscript"/>
        </w:rPr>
        <w:t>2</w:t>
      </w:r>
      <w:r>
        <w:t>‐like phases (transition metal [TM] = Mn, Ni). This study identifies and characterizes a previously overlooked transitional phase, the Li‐rich disordered (LRD) domain, which bridges these two primary phases and is the fundamental origin of heterogeneous redox‐driven strain and lattice displacements. Advanced structural analyses reveal that transition metals, particularly Ni, occupy Li sites within this LRD domain. We demonstrate that tailoring the synthesis to constrict the LRD domain effectively mitigates its structural evolution during (de)lithiation. This constricted domain acts as a buffer layer, isolating the anisotropic lattice strain between adjacent domains, thereby suppressing oxygen loss and enhancing structural integrity. In situ high‐temperature XRD further tracks the formation of this domain during synthesis. Consequently, the engineered cathode delivers a 15% (25 mA g</w:t>
      </w:r>
      <w:r>
        <w:t xml:space="preserve"> </w:t>
      </w:r>
      <w:r>
        <w:t>−1</w:t>
      </w:r>
      <w:r>
        <w:t xml:space="preserve"> </w:t>
      </w:r>
      <w:r>
        <w:t>, 50 cycles) and 26% (250 mA g</w:t>
      </w:r>
      <w:r>
        <w:t xml:space="preserve"> </w:t>
      </w:r>
      <w:r>
        <w:t>−1</w:t>
      </w:r>
      <w:r>
        <w:t xml:space="preserve"> </w:t>
      </w:r>
      <w:r>
        <w:t>, 300 cycles) increase in specific capacity than pristine within 2.0–4.8 V, alongside enhanced long‐term cycling stability. This work elucidates the critical role of the constricted LRD domain in stabilizing anionic redox, offering a fundamental insight for designing advanced Li‐rich cathodes.</w:t>
      </w:r>
    </w:p>
    <w:p>
      <w:pPr>
        <w:spacing w:before="120" w:after="120"/>
      </w:pPr>
      <w:r>
        <w:rPr>
          <w:sz w:val="18"/>
        </w:rPr>
        <w:t>——————————————————————————————————————————————————————————————————————</w:t>
      </w:r>
    </w:p>
    <w:p>
      <w:pPr>
        <w:spacing w:before="160" w:after="40" w:line="240" w:lineRule="auto"/>
      </w:pPr>
      <w:r>
        <w:rPr>
          <w:b/>
        </w:rPr>
        <w:t xml:space="preserve">[6] </w:t>
      </w:r>
      <w:hyperlink r:id="rId53">
        <w:r>
          <w:rPr>
            <w:color w:val="1155CC"/>
            <w:u w:val="single"/>
          </w:rPr>
          <w:t>硫电化学中前体的分子骨架编程</w:t>
        </w:r>
      </w:hyperlink>
    </w:p>
    <w:p>
      <w:pPr>
        <w:spacing w:before="0" w:after="80"/>
      </w:pPr>
      <w:r>
        <w:rPr>
          <w:i/>
          <w:sz w:val="20"/>
        </w:rPr>
        <w:t>EN: Molecular skeleton programming of premediators in sulfur electrochemistry</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54">
        <w:r>
          <w:rPr>
            <w:color w:val="1155CC"/>
            <w:u w:val="single"/>
          </w:rPr>
          <w:t>10.1038/s41586-026-10505-8</w:t>
        </w:r>
      </w:hyperlink>
    </w:p>
    <w:p>
      <w:pPr>
        <w:spacing w:before="0" w:after="120"/>
      </w:pPr>
      <w:r>
        <w:rPr>
          <w:b/>
        </w:rPr>
        <w:t xml:space="preserve">Notes: </w:t>
      </w:r>
      <w:r>
        <w:t>abstract_source=nature_html</w:t>
      </w:r>
    </w:p>
    <w:p>
      <w:pPr>
        <w:spacing w:before="0" w:after="80" w:lineRule="auto" w:line="276"/>
      </w:pPr>
      <w:r>
        <w:rPr>
          <w:b/>
        </w:rPr>
        <w:t xml:space="preserve">摘要（ZH）: </w:t>
      </w:r>
      <w:r>
        <w:t>分子介体在锂硫电池的电解质化学中展示了广泛的适用性，将硫转化从传统的多相反应转变为高度反应性路径1,2,3,4,5,6。尽管在阐明分子介体的机制作用方面付出了巨大努力7,8,9，但分子骨架调控对其介导效应的影响仍然鲜为人知。在此，我们提出2-氯嘧啶作为潜在的“预介体”和分子骨架设计的模型材料，可以通过芳香亲核取代在硫反应过程中原位激活为分子介体，均匀地在电极上诱导快速的氧化还原循环。结合量子化学和机器学习，我们开发了一种分子骨架编程策略，阐明了侧链基团的电子、几何和位点特征与介导性能之间的结构-性质关系，提供了对预介体激活速率和介导活性的控制。该策略从196个候选者中识别出2-氯-4-(三氟甲基)嘧啶作为有利的预介体，使锂硫电池在14.2-Ah级软包电池中实现了平均容量保持率81.7%超过800个循环，并具有549 Wh kg−1的能量密度。我们期望我们的分子骨架编程工作可能在更广泛的有机化学空间中设计功能分子中找到应用。</w:t>
      </w:r>
    </w:p>
    <w:p>
      <w:pPr>
        <w:spacing w:before="0" w:after="200" w:lineRule="auto" w:line="276"/>
      </w:pPr>
      <w:r>
        <w:rPr>
          <w:b/>
        </w:rPr>
        <w:t xml:space="preserve">Abstract (EN): </w:t>
      </w:r>
      <w:r>
        <w:t>Molecular mediators have demonstrated broad applicability in electrolyte chemistry of lithium–sulfur batteries, transforming sulfur conversion from traditional multiphase reactions to highly reactive pathways1,2,3,4,5,6. Despite tremendous efforts to elucidate the mechanistic roles of molecular mediators7,8,9, the influence of molecular skeleton regulation on their mediating effects remains barely understood. Here we propose 2-chloropyrimidine as a potential ‘premediator’ and a model material for molecular skeleton design, which can be in situ activated into a molecular mediator during sulfur reaction progression by means of aromatic nucleophilic substitution, homogeneously inducing a rapid redox loop over the electrode. Integrating quantum chemistry and machine learning, we develop a molecular skeleton programming strategy that illuminates the structure–property relationship between electronic, geometric and site features of side-chain groups and mediating performance, offering control over the activation rate and mediating activity of premediators. The strategy identifies 2-chloro-4-(trifluoromethyl)pyrimidine as a favourable premediator from 196 candidates, enabling lithium–sulfur batteries to achieve an average capacity retention of 81.7% over 800 cycles together with an energy density of 549 Wh kg−1 in a 14.2-Ah-level pouch cell. We expect that our work on molecular skeleton programming may find application in designing functional molecules in broader organic chemical spaces.</w:t>
      </w:r>
    </w:p>
    <w:p>
      <w:pPr>
        <w:spacing w:before="120" w:after="120"/>
      </w:pPr>
      <w:r>
        <w:rPr>
          <w:sz w:val="18"/>
        </w:rPr>
        <w:t>——————————————————————————————————————————————————————————————————————</w:t>
      </w:r>
    </w:p>
    <w:p>
      <w:pPr>
        <w:spacing w:before="160" w:after="40" w:line="240" w:lineRule="auto"/>
      </w:pPr>
      <w:r>
        <w:rPr>
          <w:b/>
        </w:rPr>
        <w:t xml:space="preserve">[7] </w:t>
      </w:r>
      <w:hyperlink r:id="rId55">
        <w:r>
          <w:rPr>
            <w:color w:val="1155CC"/>
            <w:u w:val="single"/>
          </w:rPr>
          <w:t>激活Mn2+/Mn7+氧化还原用于中性Zn||Mn化合物电池，具有2.2-V放电平台</w:t>
        </w:r>
      </w:hyperlink>
    </w:p>
    <w:p>
      <w:pPr>
        <w:spacing w:before="0" w:after="80"/>
      </w:pPr>
      <w:r>
        <w:rPr>
          <w:i/>
          <w:sz w:val="20"/>
        </w:rPr>
        <w:t>EN: Activating the Mn2+/Mn7+ redox for a neutral Zn||Mn-compound battery with 2.2-V discharge plateau</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56">
        <w:r>
          <w:rPr>
            <w:color w:val="1155CC"/>
            <w:u w:val="single"/>
          </w:rPr>
          <w:t>10.1126/sciadv.aea1401</w:t>
        </w:r>
      </w:hyperlink>
    </w:p>
    <w:p>
      <w:pPr>
        <w:spacing w:before="0" w:after="120"/>
      </w:pPr>
      <w:r>
        <w:rPr>
          <w:b/>
        </w:rPr>
        <w:t xml:space="preserve">Notes: </w:t>
      </w:r>
      <w:r>
        <w:t>abstract_source=crossref</w:t>
      </w:r>
    </w:p>
    <w:p>
      <w:pPr>
        <w:spacing w:before="0" w:after="80" w:lineRule="auto" w:line="276"/>
      </w:pPr>
      <w:r>
        <w:rPr>
          <w:b/>
        </w:rPr>
        <w:t xml:space="preserve">摘要（ZH）: </w:t>
      </w:r>
      <w:r>
        <w:t>1952 年，第一款商业碱性 Zn||MnO2 原电池被开发出来，其基于 Mn4+/Mn3+ 氧化还原反应（MnO2 ↔Mn2O3）。随后，在水系锌基电池中实现了 Mn 化合物（Mn-Comp）的单电子（Mn3+/Mn2+ 和 Mn7+/Mn6+）和双电子（Mn4+/Mn2+）氧化还原反应。然而，此后不再观察到新的 Mn 多价变化氧化还原反应。在本研究中，我们报告了一种中性超亲水水凝胶电解质，激活了 Mn2+/Mn7+ 转化反应（Mn2+ ↔MnO4−）。这一进展归因于扩展的电化学稳定窗口和高 Mn2+ 反应活性。这使得在水系锌金属电池中实现了≥2.2 V 的放电平台。Mn2+/Mn7+ 转化反应在循环期间的高可逆性。</w:t>
      </w:r>
    </w:p>
    <w:p>
      <w:pPr>
        <w:spacing w:before="0" w:after="200" w:lineRule="auto" w:line="276"/>
      </w:pPr>
      <w:r>
        <w:rPr>
          <w:b/>
        </w:rPr>
        <w:t xml:space="preserve">Abstract (EN): </w:t>
      </w:r>
      <w:r>
        <w:t>In 1952, the first commercially alkaline Zn||MnO</w:t>
      </w:r>
      <w:r>
        <w:rPr>
          <w:vertAlign w:val="subscript"/>
        </w:rPr>
        <w:t>2</w:t>
      </w:r>
      <w:r>
        <w:t>primary battery was developed, which is based on Mn</w:t>
      </w:r>
      <w:r>
        <w:t xml:space="preserve"> </w:t>
      </w:r>
      <w:r>
        <w:t>4+</w:t>
      </w:r>
      <w:r>
        <w:t xml:space="preserve"> </w:t>
      </w:r>
      <w:r>
        <w:t>/Mn</w:t>
      </w:r>
      <w:r>
        <w:t xml:space="preserve"> </w:t>
      </w:r>
      <w:r>
        <w:t>3+</w:t>
      </w:r>
      <w:r>
        <w:t xml:space="preserve"> </w:t>
      </w:r>
      <w:r>
        <w:t>redox reactions (MnO</w:t>
      </w:r>
      <w:r>
        <w:rPr>
          <w:vertAlign w:val="subscript"/>
        </w:rPr>
        <w:t>2</w:t>
      </w:r>
      <w:r>
        <w:t>↔Mn</w:t>
      </w:r>
      <w:r>
        <w:rPr>
          <w:vertAlign w:val="subscript"/>
        </w:rPr>
        <w:t>2</w:t>
      </w:r>
      <w:r>
        <w:t>O</w:t>
      </w:r>
      <w:r>
        <w:rPr>
          <w:vertAlign w:val="subscript"/>
        </w:rPr>
        <w:t>3</w:t>
      </w:r>
      <w:r>
        <w:t>). Subsequently, the single-electron (Mn</w:t>
      </w:r>
      <w:r>
        <w:t xml:space="preserve"> </w:t>
      </w:r>
      <w:r>
        <w:t>3+</w:t>
      </w:r>
      <w:r>
        <w:t xml:space="preserve"> </w:t>
      </w:r>
      <w:r>
        <w:t>/Mn</w:t>
      </w:r>
      <w:r>
        <w:t xml:space="preserve"> </w:t>
      </w:r>
      <w:r>
        <w:t>2+</w:t>
      </w:r>
      <w:r>
        <w:t xml:space="preserve"> </w:t>
      </w:r>
      <w:r>
        <w:t>and Mn</w:t>
      </w:r>
      <w:r>
        <w:t xml:space="preserve"> </w:t>
      </w:r>
      <w:r>
        <w:t>7+</w:t>
      </w:r>
      <w:r>
        <w:t xml:space="preserve"> </w:t>
      </w:r>
      <w:r>
        <w:t>/Mn</w:t>
      </w:r>
      <w:r>
        <w:t xml:space="preserve"> </w:t>
      </w:r>
      <w:r>
        <w:t>6+</w:t>
      </w:r>
      <w:r>
        <w:t xml:space="preserve"> </w:t>
      </w:r>
      <w:r>
        <w:t>) and two-electron (Mn</w:t>
      </w:r>
      <w:r>
        <w:t xml:space="preserve"> </w:t>
      </w:r>
      <w:r>
        <w:t>4+</w:t>
      </w:r>
      <w:r>
        <w:t xml:space="preserve"> </w:t>
      </w:r>
      <w:r>
        <w:t>/Mn</w:t>
      </w:r>
      <w:r>
        <w:t xml:space="preserve"> </w:t>
      </w:r>
      <w:r>
        <w:t>2+</w:t>
      </w:r>
      <w:r>
        <w:t xml:space="preserve"> </w:t>
      </w:r>
      <w:r>
        <w:t>) redox reactions of Mn compound (Mn-Comp) were achieved in aqueous Zn-based batteries. After that, however, the new Mn multivalent change redox reaction was no longer observed. In this study, we report a neutral superhydrophilic hydrogel electrolyte that activates a Mn</w:t>
      </w:r>
      <w:r>
        <w:t xml:space="preserve"> </w:t>
      </w:r>
      <w:r>
        <w:t>2+</w:t>
      </w:r>
      <w:r>
        <w:t xml:space="preserve"> </w:t>
      </w:r>
      <w:r>
        <w:t>/Mn</w:t>
      </w:r>
      <w:r>
        <w:t xml:space="preserve"> </w:t>
      </w:r>
      <w:r>
        <w:t>7+</w:t>
      </w:r>
      <w:r>
        <w:t xml:space="preserve"> </w:t>
      </w:r>
      <w:r>
        <w:t>conversion reaction (Mn</w:t>
      </w:r>
      <w:r>
        <w:t xml:space="preserve"> </w:t>
      </w:r>
      <w:r>
        <w:t>2+</w:t>
      </w:r>
      <w:r>
        <w:t xml:space="preserve"> </w:t>
      </w:r>
      <w:r>
        <w:t>↔MnO</w:t>
      </w:r>
      <w:r>
        <w:rPr>
          <w:vertAlign w:val="subscript"/>
        </w:rPr>
        <w:t>4</w:t>
      </w:r>
      <w:r>
        <w:t>−</w:t>
      </w:r>
      <w:r>
        <w:t>). This advance is attributed to an expanding electrochemical stability window and high Mn</w:t>
      </w:r>
      <w:r>
        <w:t xml:space="preserve"> </w:t>
      </w:r>
      <w:r>
        <w:t>2+</w:t>
      </w:r>
      <w:r>
        <w:t xml:space="preserve"> </w:t>
      </w:r>
      <w:r>
        <w:t>reaction activity. This enables a discharge plateau of ≥2.2 V in aqueous Zn metal batteries. The high reversibility of Mn</w:t>
      </w:r>
      <w:r>
        <w:t xml:space="preserve"> </w:t>
      </w:r>
      <w:r>
        <w:t>2+</w:t>
      </w:r>
      <w:r>
        <w:t xml:space="preserve"> </w:t>
      </w:r>
      <w:r>
        <w:t>/Mn</w:t>
      </w:r>
      <w:r>
        <w:t xml:space="preserve"> </w:t>
      </w:r>
      <w:r>
        <w:t>7+</w:t>
      </w:r>
      <w:r>
        <w:t xml:space="preserve"> </w:t>
      </w:r>
      <w:r>
        <w:t>conversion reactions during cycling was achieved by incorporating chelation groups in the designed hydrogel electrolyte, which effectively stabilizes the MnO</w:t>
      </w:r>
      <w:r>
        <w:rPr>
          <w:vertAlign w:val="subscript"/>
        </w:rPr>
        <w:t>4</w:t>
      </w:r>
      <w:r>
        <w:t>−</w:t>
      </w:r>
      <w:r>
        <w:t>. The aqueous Zn||Mn-Comp battery with a 2.2-V discharge plateau operates stably for ≥360 hours.</w:t>
      </w:r>
    </w:p>
    <w:p>
      <w:pPr>
        <w:spacing w:before="120" w:after="120"/>
      </w:pPr>
      <w:r>
        <w:rPr>
          <w:sz w:val="18"/>
        </w:rPr>
        <w:t>——————————————————————————————————————————————————————————————————————</w:t>
      </w:r>
    </w:p>
    <w:p>
      <w:pPr>
        <w:spacing w:before="160" w:after="40" w:line="240" w:lineRule="auto"/>
      </w:pPr>
      <w:r>
        <w:rPr>
          <w:b/>
        </w:rPr>
        <w:t xml:space="preserve">[8] </w:t>
      </w:r>
      <w:hyperlink r:id="rId57">
        <w:r>
          <w:rPr>
            <w:color w:val="1155CC"/>
            <w:u w:val="single"/>
          </w:rPr>
          <w:t>解密高硫负载Na-S电池的失效机制和改进策略，并通过电化学重构的Cu1.84Mo6S8/Na2Cu4S3异质结构促进多硫化物转化</w:t>
        </w:r>
      </w:hyperlink>
    </w:p>
    <w:p>
      <w:pPr>
        <w:spacing w:before="0" w:after="80"/>
      </w:pPr>
      <w:r>
        <w:rPr>
          <w:i/>
          <w:sz w:val="20"/>
        </w:rPr>
        <w:t>EN: Deciphering the Failure Mechanism and Improvement Strategy of High‐Sulfur‐Loading Na‐S Batteries and Promoting Polysulfide Conversion by Electrochemically Reconstructed Cu1.84Mo6S8/Na2Cu4S3 Heterostructure</w:t>
      </w:r>
    </w:p>
    <w:p>
      <w:pPr>
        <w:spacing w:before="0" w:after="120"/>
      </w:pPr>
      <w:r>
        <w:rPr>
          <w:b/>
        </w:rPr>
        <w:t xml:space="preserve">Source: </w:t>
      </w:r>
      <w:r>
        <w:t>Wiley: Advanced Energy Materials: Table of Contents</w:t>
      </w:r>
      <w:r>
        <w:t xml:space="preserve">    </w:t>
      </w:r>
      <w:r>
        <w:rPr>
          <w:b/>
        </w:rPr>
        <w:t xml:space="preserve">Pub date: </w:t>
      </w:r>
      <w:r>
        <w:t>2026-05-06 09:10:17+00:00</w:t>
      </w:r>
      <w:r>
        <w:t xml:space="preserve">    </w:t>
      </w:r>
      <w:r>
        <w:rPr>
          <w:b/>
        </w:rPr>
        <w:t xml:space="preserve">DOI: </w:t>
      </w:r>
      <w:hyperlink r:id="rId58">
        <w:r>
          <w:rPr>
            <w:color w:val="1155CC"/>
            <w:u w:val="single"/>
          </w:rPr>
          <w:t>10.1002/aenm.71040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高硫负载RT Na-S电池通常会遇到“欠压失效”问题，这将导致电池损坏和长期循环终止。在此，我们通过缓解化学/物理微短路，在电池级别（聚乙烯@Ketjen黑-聚丙烯腈-玻璃纤维@Ketjen黑（PE@KB-PAN-GF@KB）复合隔膜结构）和材料级别（Te添加）研究失效原因并缓解失效问题。为了催化多硫化钠（NaPSs）的转化，通过参考PE@Te/KB-PAN-GF@KB隔膜模型，我们重新组装了一个高硫负载RT Na-S电池，采用PE@Te/树脂碳-PAN-GF@MoO3/树脂碳复合隔膜，并创新性地提出了一种电化学重构策略，用于生成封装在树脂碳中的Cu1.84Mo6S8/Na2Cu4S3异质结催化剂。发现导电的Cu1.84Mo6S8与吸附的Na2Cu4S3之间存在内建电场</w:t>
      </w:r>
    </w:p>
    <w:p>
      <w:pPr>
        <w:spacing w:before="0" w:after="200" w:lineRule="auto" w:line="276"/>
      </w:pPr>
      <w:r>
        <w:rPr>
          <w:b/>
        </w:rPr>
        <w:t xml:space="preserve">Abstract (EN): </w:t>
      </w:r>
      <w:r>
        <w:t>High‐sulfur‐loading RT Na‐S batteries usually encounter the “under‐voltage failure” problem, which will lead to battery damage and long‐term cycling termination. Herein, we investigate the failure causes and mitigate the failure issue at both the battery level (polyethylene@ketjen black‐polyacrylonitrile‐glass fiber@ketjen black (PE@KB‐PAN‐GF@KB) composite separator construction) and material level (Te addition) through alleviating chemical/physical micro‐short circuits. To catalyze the conversion of sodium polysulfides (NaPSs), by referring to the PE@Te/KB‐PAN‐GF@KB separator model, we reassemble a high‐sulfur‐loading RT Na‐S battery with a PE@Te/resin carbon‐PAN‐GF@MoO</w:t>
      </w:r>
      <w:r>
        <w:rPr>
          <w:vertAlign w:val="subscript"/>
        </w:rPr>
        <w:t>3</w:t>
      </w:r>
      <w:r>
        <w:t>/resin carbon composite separator, and innovatively propose an electrochemical reconstruction strategy for generating a Cu</w:t>
      </w:r>
      <w:r>
        <w:t xml:space="preserve"> </w:t>
      </w:r>
      <w:r>
        <w:t>1.84</w:t>
      </w:r>
      <w:r>
        <w:t xml:space="preserve"> </w:t>
      </w:r>
      <w:r>
        <w:t>Mo</w:t>
      </w:r>
      <w:r>
        <w:rPr>
          <w:vertAlign w:val="subscript"/>
        </w:rPr>
        <w:t>6</w:t>
      </w:r>
      <w:r>
        <w:t>S</w:t>
      </w:r>
      <w:r>
        <w:rPr>
          <w:vertAlign w:val="subscript"/>
        </w:rPr>
        <w:t>8</w:t>
      </w:r>
      <w:r>
        <w:t>/Na</w:t>
      </w:r>
      <w:r>
        <w:rPr>
          <w:vertAlign w:val="subscript"/>
        </w:rPr>
        <w:t>2</w:t>
      </w:r>
      <w:r>
        <w:t>Cu</w:t>
      </w:r>
      <w:r>
        <w:rPr>
          <w:vertAlign w:val="subscript"/>
        </w:rPr>
        <w:t>4</w:t>
      </w:r>
      <w:r>
        <w:t>S</w:t>
      </w:r>
      <w:r>
        <w:rPr>
          <w:vertAlign w:val="subscript"/>
        </w:rPr>
        <w:t>3</w:t>
      </w:r>
      <w:r>
        <w:t>heterojunction catalyst encapsulated in resin carbon. It is uncovered that at the interface between the conductive Cu</w:t>
      </w:r>
      <w:r>
        <w:t xml:space="preserve"> </w:t>
      </w:r>
      <w:r>
        <w:t>1.84</w:t>
      </w:r>
      <w:r>
        <w:t xml:space="preserve"> </w:t>
      </w:r>
      <w:r>
        <w:t>Mo</w:t>
      </w:r>
      <w:r>
        <w:rPr>
          <w:vertAlign w:val="subscript"/>
        </w:rPr>
        <w:t>6</w:t>
      </w:r>
      <w:r>
        <w:t>S</w:t>
      </w:r>
      <w:r>
        <w:rPr>
          <w:vertAlign w:val="subscript"/>
        </w:rPr>
        <w:t>8</w:t>
      </w:r>
      <w:r>
        <w:t>and the adsorptive Na</w:t>
      </w:r>
      <w:r>
        <w:rPr>
          <w:vertAlign w:val="subscript"/>
        </w:rPr>
        <w:t>2</w:t>
      </w:r>
      <w:r>
        <w:t>Cu</w:t>
      </w:r>
      <w:r>
        <w:rPr>
          <w:vertAlign w:val="subscript"/>
        </w:rPr>
        <w:t>4</w:t>
      </w:r>
      <w:r>
        <w:t>S</w:t>
      </w:r>
      <w:r>
        <w:rPr>
          <w:vertAlign w:val="subscript"/>
        </w:rPr>
        <w:t>3</w:t>
      </w:r>
      <w:r>
        <w:t>, a built‐in electric field spontaneously emerges to achieve the redistribution of interface charges and expand the active area for capture‐migration‐transformation of NaPSs. Moreover, the lower conversion barrier heightens the catalytic activity of Cu</w:t>
      </w:r>
      <w:r>
        <w:t xml:space="preserve"> </w:t>
      </w:r>
      <w:r>
        <w:t>1.84</w:t>
      </w:r>
      <w:r>
        <w:t xml:space="preserve"> </w:t>
      </w:r>
      <w:r>
        <w:t>Mo</w:t>
      </w:r>
      <w:r>
        <w:rPr>
          <w:vertAlign w:val="subscript"/>
        </w:rPr>
        <w:t>6</w:t>
      </w:r>
      <w:r>
        <w:t>S</w:t>
      </w:r>
      <w:r>
        <w:rPr>
          <w:vertAlign w:val="subscript"/>
        </w:rPr>
        <w:t>8</w:t>
      </w:r>
      <w:r>
        <w:t>/Na</w:t>
      </w:r>
      <w:r>
        <w:rPr>
          <w:vertAlign w:val="subscript"/>
        </w:rPr>
        <w:t>2</w:t>
      </w:r>
      <w:r>
        <w:t>Cu</w:t>
      </w:r>
      <w:r>
        <w:rPr>
          <w:vertAlign w:val="subscript"/>
        </w:rPr>
        <w:t>4</w:t>
      </w:r>
      <w:r>
        <w:t>S</w:t>
      </w:r>
      <w:r>
        <w:rPr>
          <w:vertAlign w:val="subscript"/>
        </w:rPr>
        <w:t>3</w:t>
      </w:r>
      <w:r>
        <w:t>during the bidirectional sulfur conversion process. Consequently, the high‐sulfur‐loading RT Na‐S battery featuring the reconstructed Cu</w:t>
      </w:r>
      <w:r>
        <w:t xml:space="preserve"> </w:t>
      </w:r>
      <w:r>
        <w:t>1.84</w:t>
      </w:r>
      <w:r>
        <w:t xml:space="preserve"> </w:t>
      </w:r>
      <w:r>
        <w:t>Mo</w:t>
      </w:r>
      <w:r>
        <w:rPr>
          <w:vertAlign w:val="subscript"/>
        </w:rPr>
        <w:t>6</w:t>
      </w:r>
      <w:r>
        <w:t>S</w:t>
      </w:r>
      <w:r>
        <w:rPr>
          <w:vertAlign w:val="subscript"/>
        </w:rPr>
        <w:t>8</w:t>
      </w:r>
      <w:r>
        <w:t>/Na</w:t>
      </w:r>
      <w:r>
        <w:rPr>
          <w:vertAlign w:val="subscript"/>
        </w:rPr>
        <w:t>2</w:t>
      </w:r>
      <w:r>
        <w:t>Cu</w:t>
      </w:r>
      <w:r>
        <w:rPr>
          <w:vertAlign w:val="subscript"/>
        </w:rPr>
        <w:t>4</w:t>
      </w:r>
      <w:r>
        <w:t>S</w:t>
      </w:r>
      <w:r>
        <w:rPr>
          <w:vertAlign w:val="subscript"/>
        </w:rPr>
        <w:t>3</w:t>
      </w:r>
      <w:r>
        <w:t>heterojunction delivers outstanding electrochemical performance and excellent cycle life. This comprehensive research deepens the understanding of the failure behaviors and performance improvement mechanisms of RT Na‐S batteries, and guides the synthesis of heterostructures for advanced batteries.</w:t>
      </w:r>
    </w:p>
    <w:p>
      <w:pPr>
        <w:spacing w:before="120" w:after="120"/>
      </w:pPr>
      <w:r>
        <w:rPr>
          <w:sz w:val="18"/>
        </w:rPr>
        <w:t>——————————————————————————————————————————————————————————————————————</w:t>
      </w:r>
    </w:p>
    <w:p>
      <w:pPr>
        <w:spacing w:before="160" w:after="40" w:line="240" w:lineRule="auto"/>
      </w:pPr>
      <w:r>
        <w:rPr>
          <w:b/>
        </w:rPr>
        <w:t xml:space="preserve">[9] </w:t>
      </w:r>
      <w:hyperlink r:id="rId59">
        <w:r>
          <w:rPr>
            <w:color w:val="1155CC"/>
            <w:u w:val="single"/>
          </w:rPr>
          <w:t>双相阴极中有机硫和有机硒的动态交联用于平衡高性能锂电池</w:t>
        </w:r>
      </w:hyperlink>
    </w:p>
    <w:p>
      <w:pPr>
        <w:spacing w:before="0" w:after="80"/>
      </w:pPr>
      <w:r>
        <w:rPr>
          <w:i/>
          <w:sz w:val="20"/>
        </w:rPr>
        <w:t>EN: Dynamic Cross‐Linking of Organosulfur and Organoselenium in a Biphasic Cathode for Balanced High‐Performance Lithium Batteries</w:t>
      </w:r>
    </w:p>
    <w:p>
      <w:pPr>
        <w:spacing w:before="0" w:after="120"/>
      </w:pPr>
      <w:r>
        <w:rPr>
          <w:b/>
        </w:rPr>
        <w:t xml:space="preserve">Source: </w:t>
      </w:r>
      <w:r>
        <w:t>Wiley: Advanced Energy Materials: Table of Contents</w:t>
      </w:r>
      <w:r>
        <w:t xml:space="preserve">    </w:t>
      </w:r>
      <w:r>
        <w:rPr>
          <w:b/>
        </w:rPr>
        <w:t xml:space="preserve">Pub date: </w:t>
      </w:r>
      <w:r>
        <w:t>2026-05-06 09:12:25+00:00</w:t>
      </w:r>
      <w:r>
        <w:t xml:space="preserve">    </w:t>
      </w:r>
      <w:r>
        <w:rPr>
          <w:b/>
        </w:rPr>
        <w:t xml:space="preserve">DOI: </w:t>
      </w:r>
      <w:hyperlink r:id="rId60">
        <w:r>
          <w:rPr>
            <w:color w:val="1155CC"/>
            <w:u w:val="single"/>
          </w:rPr>
          <w:t>10.1002/aenm.71037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和有机硫化合物由于其高理论容量、元素丰富性和结构可调性，已成为高能锂电池的有前途的阴极材料。然而，由于固有的权衡，硫或有机硫阴极难以同时实现高容量、循环稳定性和氧化还原动力学。在此，报道了一种固液两相有机硫化物阴极，以克服下一代锂电池的性能权衡。通过有机硫聚合物与小分子有机硒化合物之间的原位交联显著增强了阴极的电荷转移和离子扩散动力学。此外，小分子有机硒及中间产物可以通过有机硫中的极性官能团固定在阴极内，从而使循环性能显著优于使用无机元素硫与有机硒配对的阴极。得益于这种互补效应，优化的阴极在2,700次循环中以2 mA g</w:t>
      </w:r>
      <w:r>
        <w:t xml:space="preserve"> </w:t>
      </w:r>
      <w:r>
        <w:t>−1</w:t>
      </w:r>
      <w:r>
        <w:t xml:space="preserve"> </w:t>
      </w:r>
      <w:r>
        <w:t>的电流密度表现出超长的循环稳定性，每循环容量衰减仅为0.017%，并实现了11.36 mAh cm</w:t>
      </w:r>
      <w:r>
        <w:t xml:space="preserve"> </w:t>
      </w:r>
      <w:r>
        <w:t>−2</w:t>
      </w:r>
      <w:r>
        <w:t xml:space="preserve"> </w:t>
      </w:r>
      <w:r>
        <w:t>的高面积容量。这种两相有机硫化物阴极策略为具有优异综合性能的锂有机电池提供了合理的设计范式。</w:t>
      </w:r>
    </w:p>
    <w:p>
      <w:pPr>
        <w:spacing w:before="0" w:after="200" w:lineRule="auto" w:line="276"/>
      </w:pPr>
      <w:r>
        <w:rPr>
          <w:b/>
        </w:rPr>
        <w:t xml:space="preserve">Abstract (EN): </w:t>
      </w:r>
      <w:r>
        <w:t>Sulfur and organosulfur compounds have emerged as promising cathode materials for high‐energy lithium batteries owing to their high theoretical capacity, element abundance, and structural tunability. However, either sulfur or organosulfur cathodes are difficult to achieve high capacity, cyclic stability, and redox kinetics at the same time due to the inherent trade‐off. Herein, a solid–liquid biphasic organochalcogen cathode is reported to overcome this performance trade‐off for next‐generation lithium batteries. The in situ cross‐linking between an organosulfur polymer and a small‐molecule organoselenium compound significantly enhances the charge transfer and ionic diffusion kinetics of the cathode. Furthermore, the small‐molecule organoselenium and intermediate products could be immobilized within the cathode by the polar functional groups within organosulfur, resulting in cycling performance that is markedly superior to that of cathodes using inorganic elemental sulfur paired with organoselenium. Benefiting from this complementary effect, the optimized cathode exhibited ultra‐long cycle stability with capacity decay of 0.017% per cycle within 2,700 cycles at 2 mA g</w:t>
      </w:r>
      <w:r>
        <w:t xml:space="preserve"> </w:t>
      </w:r>
      <w:r>
        <w:t>−1</w:t>
      </w:r>
      <w:r>
        <w:t xml:space="preserve"> </w:t>
      </w:r>
      <w:r>
        <w:t>and achieved a high areal capacity of 11.36 mAh cm</w:t>
      </w:r>
      <w:r>
        <w:t xml:space="preserve"> </w:t>
      </w:r>
      <w:r>
        <w:t>−2</w:t>
      </w:r>
      <w:r>
        <w:t xml:space="preserve"> </w:t>
      </w:r>
      <w:r>
        <w:t>. This biphasic organochalcogen cathode strategy provides a rational design paradigm for lithium‐organic batteries with excellent comprehensive performance.</w:t>
      </w:r>
    </w:p>
    <w:p>
      <w:pPr>
        <w:spacing w:before="120" w:after="120"/>
      </w:pPr>
      <w:r>
        <w:rPr>
          <w:sz w:val="18"/>
        </w:rPr>
        <w:t>——————————————————————————————————————————————————————————————————————</w:t>
      </w:r>
    </w:p>
    <w:p>
      <w:pPr>
        <w:spacing w:before="160" w:after="40" w:line="240" w:lineRule="auto"/>
      </w:pPr>
      <w:r>
        <w:rPr>
          <w:b/>
        </w:rPr>
        <w:t xml:space="preserve">[10] </w:t>
      </w:r>
      <w:hyperlink r:id="rId61">
        <w:r>
          <w:rPr>
            <w:color w:val="1155CC"/>
            <w:u w:val="single"/>
          </w:rPr>
          <w:t>[ASAP] 组成复杂的掺杂实现了具有超快充电和化学-电-机械稳定性的高电压尖晶石阴极</w:t>
        </w:r>
      </w:hyperlink>
    </w:p>
    <w:p>
      <w:pPr>
        <w:spacing w:before="0" w:after="80"/>
      </w:pPr>
      <w:r>
        <w:rPr>
          <w:i/>
          <w:sz w:val="20"/>
        </w:rPr>
        <w:t>EN: [ASAP] Compositionally Complex Doping Enables High-Voltage Spinel Cathodes with Ultrafast Charging and Chemo-Electro-Mechanical Stability</w:t>
      </w:r>
    </w:p>
    <w:p>
      <w:pPr>
        <w:spacing w:before="0" w:after="120"/>
      </w:pPr>
      <w:r>
        <w:rPr>
          <w:b/>
        </w:rPr>
        <w:t xml:space="preserve">Source: </w:t>
      </w:r>
      <w:r>
        <w:t>Journal of the American Chemical Society: Latest Articles (ACS Publications)</w:t>
      </w:r>
      <w:r>
        <w:t xml:space="preserve">    </w:t>
      </w:r>
      <w:r>
        <w:rPr>
          <w:b/>
        </w:rPr>
        <w:t xml:space="preserve">Pub date: </w:t>
      </w:r>
      <w:r>
        <w:t>2026-05-06 12:32:43+00:00</w:t>
      </w:r>
      <w:r>
        <w:t xml:space="preserve">    </w:t>
      </w:r>
      <w:r>
        <w:rPr>
          <w:b/>
        </w:rPr>
        <w:t xml:space="preserve">DOI: </w:t>
      </w:r>
      <w:hyperlink r:id="rId62">
        <w:r>
          <w:rPr>
            <w:color w:val="1155CC"/>
            <w:u w:val="single"/>
          </w:rPr>
          <w:t>10.1021/jacs.6c00611</w:t>
        </w:r>
      </w:hyperlink>
    </w:p>
    <w:p>
      <w:pPr>
        <w:spacing w:before="0" w:after="120"/>
      </w:pPr>
      <w:r>
        <w:rPr>
          <w:b/>
        </w:rPr>
        <w:t xml:space="preserve">Notes: </w:t>
      </w:r>
      <w:r>
        <w:t>abstract_source=pubmed</w:t>
      </w:r>
    </w:p>
    <w:p>
      <w:pPr>
        <w:spacing w:before="0" w:after="80" w:lineRule="auto" w:line="276"/>
      </w:pPr>
      <w:r>
        <w:rPr>
          <w:b/>
        </w:rPr>
        <w:t xml:space="preserve">摘要（ZH）: </w:t>
      </w:r>
      <w:r>
        <w:t>下一代锂离子电池需要高电压正极，结合卓越的稳定性和超快充电能力。由于其高工作电压、能量密度和成本效益，无钴尖晶石型氧化物是领先的候选材料，但其循环寿命仍受限于内在的化学-电化学-机械不稳定性。在此，通过利用成分复杂的掺杂，我们重新配置高电压尖晶石正极的反应热力学，将其固溶体范围扩展到更高的充电状态，实现超快充电，同时保持强大的化学-电化学-机械稳定性。多模式表征显示，重塑的反应路径有效抑制了高温晶内开裂、界面岩盐相转变和寄生副产物积累，从而保持高效的三维Li+扩散。该正极在10 C（25 °C）下4000次循环后达到81.8%，在3 C（60 °C）下1000次循环后达到82.0%的前所未有的超快充电耐久性。我们的工作表明，成分复杂的掺杂可以有效调节相变的热力学，并增强高电压尖晶石正极的化学-电化学-机械稳定性，为耐用快充正极材料的设计提供了新的见解。</w:t>
      </w:r>
    </w:p>
    <w:p>
      <w:pPr>
        <w:spacing w:before="0" w:after="200" w:lineRule="auto" w:line="276"/>
      </w:pPr>
      <w:r>
        <w:rPr>
          <w:b/>
        </w:rPr>
        <w:t xml:space="preserve">Abstract (EN): </w:t>
      </w:r>
      <w:r>
        <w:t>Next-generation lithium-ion batteries demand high-voltage cathodes that combine exceptional stability with ultrafast charging capability. Cobalt-free spinel-type oxides, owing to their high operating voltage, energy density, and cost effectiveness, are leading candidates, yet their cycle life is still constrained by intrinsic chemo-electro-mechanical instabilities. Here, by leveraging compositionally complex doping, we reconfigure the reaction thermodynamics of a high-voltage spinel cathode by extending its solid-solution regime to higher states of charge, enabling ultrafast charging while maintaining robust chemo-electro-mechanical stability. Multimodal characterization reveals that the reshaped reaction pathway effectively suppresses high-temperature intragranular cracking, interfacial rock salt phase transformation, and parasitic byproduct accumulation, thereby preserving efficient three-dimensional Li+ diffusion. The cathode delivers unprecedented ultrafast-charging durability, achieving 81.8% after 4000 cycles at 10 C (25 °C) and 82.0% after 1000 cycles at 3 C (60 °C). Our work demonstrates that compositionally complex doping can effectively modulate the thermodynamics of phase transformation and enhance the chemo-electro-mechanical stability of high-voltage spinel cathodes, providing new insights into the design of durable fast-charging cathode materials.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3">
        <w:r>
          <w:rPr>
            <w:color w:val="1155CC"/>
            <w:u w:val="single"/>
          </w:rPr>
          <w:t>富集电荷的离子导向聚合物/无机界面用于稳定和高倍率锌阳极</w:t>
        </w:r>
      </w:hyperlink>
    </w:p>
    <w:p>
      <w:pPr>
        <w:spacing w:before="0" w:after="80"/>
      </w:pPr>
      <w:r>
        <w:rPr>
          <w:i/>
          <w:sz w:val="20"/>
        </w:rPr>
        <w:t>EN: Ion-directed polymer/inorganic interphase with enriched charge for the stable and high-rate Zn anode</w:t>
      </w:r>
    </w:p>
    <w:p>
      <w:pPr>
        <w:spacing w:before="0" w:after="120"/>
      </w:pPr>
      <w:r>
        <w:rPr>
          <w:b/>
        </w:rPr>
        <w:t xml:space="preserve">Source: </w:t>
      </w:r>
      <w:r>
        <w:t>RSC - Energy Environ. Sci. latest articles</w:t>
      </w:r>
      <w:r>
        <w:t xml:space="preserve">    </w:t>
      </w:r>
      <w:r>
        <w:rPr>
          <w:b/>
        </w:rPr>
        <w:t xml:space="preserve">Pub date: </w:t>
      </w:r>
      <w:r>
        <w:t>2026-05-04 23:00:00+00:00</w:t>
      </w:r>
    </w:p>
    <w:p>
      <w:pPr>
        <w:spacing w:before="0" w:after="120"/>
      </w:pPr>
      <w:r>
        <w:rPr>
          <w:b/>
        </w:rPr>
        <w:t xml:space="preserve">Notes: </w:t>
      </w:r>
      <w:r>
        <w:t>abstract_source=rsc_html</w:t>
      </w:r>
    </w:p>
    <w:p>
      <w:pPr>
        <w:spacing w:before="0" w:after="80" w:lineRule="auto" w:line="276"/>
      </w:pPr>
      <w:r>
        <w:rPr>
          <w:b/>
        </w:rPr>
        <w:t xml:space="preserve">摘要（ZH）: </w:t>
      </w:r>
      <w:r>
        <w:t>锌负极的速率性能是实际锌离子电池的关键因素，而界面处锌离子的浓度梯度和聚集阻碍了其可逆性。在此，我们通过原位化学腐蚀在锌箔上提出了一种人工固体电解质界面，由外部导电聚合物（PEDOT-SO3H）和内部层状硫酸锌氢氧化物水合物（LZSH）组成。聚合物层提供了电容效应和Zn2+富集的离子选择性，以及通过负电荷对SO42-的排斥作用。自发地，-SO3-基团加速了Zn(H2O)62+的去溶剂化，从而实现了快速镀覆动力学。此外，通过化学腐蚀和聚合物限制，沿（001）的LZSH优选取向被调整，引导锌离子沿（002）的均匀沉积。结果，调制的负极（PZn）在20 mA cm-2下超过1500小时（累积镀覆容量为15 Ah cm-2）表现出优异的速率性能。与KxMnO2正极的全电池在1 A g-1下超过1000个循环表现出80.1%的容量保持率。Ah级软包电池进一步展示了水系锌离子电池的实用性。这项工作提供了一种通过导电聚合物调整功能界面的可行策略，以实现实际锌负极。</w:t>
      </w:r>
    </w:p>
    <w:p>
      <w:pPr>
        <w:spacing w:before="0" w:after="200" w:lineRule="auto" w:line="276"/>
      </w:pPr>
      <w:r>
        <w:rPr>
          <w:b/>
        </w:rPr>
        <w:t xml:space="preserve">Abstract (EN): </w:t>
      </w:r>
      <w:r>
        <w:t>The rate performance of the Zn anode is a crucial factor for the practical zinc-ion batteries, while concentration gradient and aggregation of zinc ions at the interface hinder its reversibility. Herein, we proposed an artificial solid electrolyte interphase on Zn foil by in-situ chemical corrosion, composed of external conducting polymer (PEDOT-SO3H) and internal layered zinc sulfate hydroxide hydrate (LZSH). The polymer layer provided the capacitive effect and ionic selectivity for Zn2+ enrichment, as well as repulsion for SO42- by negative charge. Spontaneously, the -SO3- group accelerated the desolvation of Zn(H2O)62+, thereby achieving fast plating kinetics. Moreover, by chemical corrosion and polymer restriction, the preferred orientation of LZSH along (001) was tailored, guiding the uniform deposition of zinc ions along (002) by lattice-lattice match. Consequently, the modulated anode (PZn) delivered an excellent rate performance at 20 mA cm-2 over 1500 h (cumulative plating capacity of 15 Ah cm-2). The full cell with KxMnO2 cathode delivered an impressive capacity retention of 80.1% at 1 A g-1 over 1000 cycles. The Ah-level pouch cell further demonstrated the practicality of aqueous zinc-ion batteries. This work offers a feasible strategy to tailor the functional interface by conducting polymer towards the practical Zn anode.</w:t>
      </w:r>
    </w:p>
    <w:p>
      <w:pPr>
        <w:spacing w:before="120" w:after="120"/>
      </w:pPr>
      <w:r>
        <w:rPr>
          <w:sz w:val="18"/>
        </w:rPr>
        <w:t>——————————————————————————————————————————————————————————————————————</w:t>
      </w:r>
    </w:p>
    <w:p>
      <w:pPr>
        <w:spacing w:before="160" w:after="40" w:line="240" w:lineRule="auto"/>
      </w:pPr>
      <w:r>
        <w:rPr>
          <w:b/>
        </w:rPr>
        <w:t xml:space="preserve">[2] </w:t>
      </w:r>
      <w:hyperlink r:id="rId64">
        <w:r>
          <w:rPr>
            <w:color w:val="1155CC"/>
            <w:u w:val="single"/>
          </w:rPr>
          <w:t>一种自下而上的亲锌梯度设计，使锌金属阳极在高电流和容量下实现长循环寿命</w:t>
        </w:r>
      </w:hyperlink>
    </w:p>
    <w:p>
      <w:pPr>
        <w:spacing w:before="0" w:after="80"/>
      </w:pPr>
      <w:r>
        <w:rPr>
          <w:i/>
          <w:sz w:val="20"/>
        </w:rPr>
        <w:t>EN: A Bottom‐Up Zincophilic Gradient Design Enabling Long‐Cycle‐Life Zn Metal Anodes Under High Currents and Capacities</w:t>
      </w:r>
    </w:p>
    <w:p>
      <w:pPr>
        <w:spacing w:before="0" w:after="120"/>
      </w:pPr>
      <w:r>
        <w:rPr>
          <w:b/>
        </w:rPr>
        <w:t xml:space="preserve">Source: </w:t>
      </w:r>
      <w:r>
        <w:t>Wiley: Advanced Materials: Table of Contents</w:t>
      </w:r>
      <w:r>
        <w:t xml:space="preserve">    </w:t>
      </w:r>
      <w:r>
        <w:rPr>
          <w:b/>
        </w:rPr>
        <w:t xml:space="preserve">Pub date: </w:t>
      </w:r>
      <w:r>
        <w:t>2026-05-05 06:26:28+00:00</w:t>
      </w:r>
      <w:r>
        <w:t xml:space="preserve">    </w:t>
      </w:r>
      <w:r>
        <w:rPr>
          <w:b/>
        </w:rPr>
        <w:t xml:space="preserve">DOI: </w:t>
      </w:r>
      <w:hyperlink r:id="rId65">
        <w:r>
          <w:rPr>
            <w:color w:val="1155CC"/>
            <w:u w:val="single"/>
          </w:rPr>
          <w:t>10.1002/adma.73294</w:t>
        </w:r>
      </w:hyperlink>
    </w:p>
    <w:p>
      <w:pPr>
        <w:spacing w:before="0" w:after="120"/>
      </w:pPr>
      <w:r>
        <w:rPr>
          <w:b/>
        </w:rPr>
        <w:t xml:space="preserve">Notes: </w:t>
      </w:r>
      <w:r>
        <w:t>abstract_source=crossref</w:t>
      </w:r>
    </w:p>
    <w:p>
      <w:pPr>
        <w:spacing w:before="0" w:after="80" w:lineRule="auto" w:line="276"/>
      </w:pPr>
      <w:r>
        <w:rPr>
          <w:b/>
        </w:rPr>
        <w:t xml:space="preserve">摘要（ZH）: </w:t>
      </w:r>
      <w:r>
        <w:t>金属负极对于实现高能量密度的电化学能量存储至关重要。然而，其在高电流密度和高面积容量下的实际性能受到缓慢的离子传输动力学的阻碍。这导致浓度极化，促进表面局部沉积并导致枝晶“顶生长”，最终导致电池失效。在这项工作中，我们设计了一种自下而上的亲锌梯度纳米纤维垫作为宿主结构，逆转了沉积路径。通过热力学驱动金属离子优先在宿主基底处成核，这一策略实现了均匀的自下而上沉积。因此，Zn负极在20 mA cm−2的高电流密度下实现了98.9%的平均库仑效率，持续1972个循环。具有此宿主的对称电池表现出卓越的稳定性，在50 mA cm−2的超高电流密度下运行1095小时，并在10 mAh cm−2的高面积容量下运行1328小时，显著优于现有方法。这项工作确立了梯度工程作为实现长寿命金属负极的有效且广泛适用的策略。</w:t>
      </w:r>
    </w:p>
    <w:p>
      <w:pPr>
        <w:spacing w:before="0" w:after="200" w:lineRule="auto" w:line="276"/>
      </w:pPr>
      <w:r>
        <w:rPr>
          <w:b/>
        </w:rPr>
        <w:t xml:space="preserve">Abstract (EN): </w:t>
      </w:r>
      <w:r>
        <w:t>Metal anodes are crucial for achieving high‐energy‐density electrochemical energy storage. However, their practical performance under high current densities and high areal capacities is hampered by sluggish ion‐transport kinetics. This leads to concentration polarization, which promotes surface‐localized deposition and results in dendritic “top‐growth”, ultimately causing cell failure. In this work, we design a bottom‐up zincophilic gradient nanofiber mat as a host structure that reverses the deposition pathway. By thermodynamically driving metal ion nucleation preferentially at the host base, this strategy enables uniform bottom‐up deposition. As a result, the Zn anode achieves an average Coulombic efficiency of 98.9% for 1972 cycles at a high current density of 20 mA cm</w:t>
      </w:r>
      <w:r>
        <w:t xml:space="preserve"> </w:t>
      </w:r>
      <w:r>
        <w:t>−2</w:t>
      </w:r>
      <w:r>
        <w:t xml:space="preserve"> </w:t>
      </w:r>
      <w:r>
        <w:t>. Symmetric cells with this host exhibit exceptional stability, operating for 1095 h at an ultrahigh current density of 50 mA cm</w:t>
      </w:r>
      <w:r>
        <w:t xml:space="preserve"> </w:t>
      </w:r>
      <w:r>
        <w:t>−2</w:t>
      </w:r>
      <w:r>
        <w:t xml:space="preserve"> </w:t>
      </w:r>
      <w:r>
        <w:t>and 1328 h under a high areal capacity of 10 mAh cm</w:t>
      </w:r>
      <w:r>
        <w:t xml:space="preserve"> </w:t>
      </w:r>
      <w:r>
        <w:t>−2</w:t>
      </w:r>
      <w:r>
        <w:t xml:space="preserve"> </w:t>
      </w:r>
      <w:r>
        <w:t>, substantially outperforming existing approaches. This work establishes gradient engineering as an effective and widely applicable strategy for enabling long‐life metal anodes.</w:t>
      </w:r>
    </w:p>
    <w:p>
      <w:pPr>
        <w:spacing w:before="120" w:after="120"/>
      </w:pPr>
      <w:r>
        <w:rPr>
          <w:sz w:val="18"/>
        </w:rPr>
        <w:t>——————————————————————————————————————————————————————————————————————</w:t>
      </w:r>
    </w:p>
    <w:p>
      <w:pPr>
        <w:spacing w:before="160" w:after="40" w:line="240" w:lineRule="auto"/>
      </w:pPr>
      <w:r>
        <w:rPr>
          <w:b/>
        </w:rPr>
        <w:t xml:space="preserve">[3] </w:t>
      </w:r>
      <w:hyperlink r:id="rId66">
        <w:r>
          <w:rPr>
            <w:color w:val="1155CC"/>
            <w:u w:val="single"/>
          </w:rPr>
          <w:t>用于实用锂金属电池的可塑纹理锂超过8,902 W kg−1</w:t>
        </w:r>
      </w:hyperlink>
    </w:p>
    <w:p>
      <w:pPr>
        <w:spacing w:before="0" w:after="80"/>
      </w:pPr>
      <w:r>
        <w:rPr>
          <w:i/>
          <w:sz w:val="20"/>
        </w:rPr>
        <w:t>EN: Malleable textured Li for practical lithium metal batteries over 8,902 W kg−1</w:t>
      </w:r>
    </w:p>
    <w:p>
      <w:pPr>
        <w:spacing w:before="0" w:after="120"/>
      </w:pPr>
      <w:r>
        <w:rPr>
          <w:b/>
        </w:rPr>
        <w:t xml:space="preserve">Source: </w:t>
      </w:r>
      <w:r>
        <w:t>Joule</w:t>
      </w:r>
      <w:r>
        <w:t xml:space="preserve">    </w:t>
      </w:r>
      <w:r>
        <w:rPr>
          <w:b/>
        </w:rPr>
        <w:t xml:space="preserve">Pub date: </w:t>
      </w:r>
      <w:r>
        <w:t>2026-05-06 00:00:00+00:00</w:t>
      </w:r>
      <w:r>
        <w:t xml:space="preserve">    </w:t>
      </w:r>
      <w:r>
        <w:rPr>
          <w:b/>
        </w:rPr>
        <w:t xml:space="preserve">DOI: </w:t>
      </w:r>
      <w:hyperlink r:id="rId67">
        <w:r>
          <w:rPr>
            <w:color w:val="1155CC"/>
            <w:u w:val="single"/>
          </w:rPr>
          <w:t>10.1016/j.joule.2026.102470</w:t>
        </w:r>
      </w:hyperlink>
    </w:p>
    <w:p>
      <w:pPr>
        <w:spacing w:before="0" w:after="120"/>
      </w:pPr>
      <w:r>
        <w:rPr>
          <w:b/>
        </w:rPr>
        <w:t xml:space="preserve">Notes: </w:t>
      </w:r>
      <w:r>
        <w:t>abstract_source=rss_cell</w:t>
      </w:r>
    </w:p>
    <w:p>
      <w:pPr>
        <w:spacing w:before="0" w:after="80" w:lineRule="auto" w:line="276"/>
      </w:pPr>
      <w:r>
        <w:rPr>
          <w:b/>
        </w:rPr>
        <w:t xml:space="preserve">摘要（ZH）: </w:t>
      </w:r>
      <w:r>
        <w:t>Wang等人引入了一种低温轧制策略，产生了具有增强机械适应性和低扩散障碍的可塑性纹理锂箔。通过这种协同组合，他们解决了阳极的机械不稳定性和动力学限制的双重挑战，释放了电动航空中高功率锂金属电池的潜力。</w:t>
      </w:r>
    </w:p>
    <w:p>
      <w:pPr>
        <w:spacing w:before="0" w:after="200" w:lineRule="auto" w:line="276"/>
      </w:pPr>
      <w:r>
        <w:rPr>
          <w:b/>
        </w:rPr>
        <w:t xml:space="preserve">Abstract (EN): </w:t>
      </w:r>
      <w:r>
        <w:t>Wang et al. introduce a cryogenic rolling strategy that yields malleable textured Li foils with enhanced mechanical adaptability and low diffusion barriers. Through this synergistic combination, they address the coupled challenges of mechanical instability and kinetic limitations at the anode, unlocking the potential for high-power lithium metal batteries in electric aviation.</w:t>
      </w:r>
    </w:p>
    <w:p>
      <w:pPr>
        <w:spacing w:before="120" w:after="120"/>
      </w:pPr>
      <w:r>
        <w:rPr>
          <w:sz w:val="18"/>
        </w:rPr>
        <w:t>——————————————————————————————————————————————————————————————————————</w:t>
      </w:r>
    </w:p>
    <w:p>
      <w:pPr>
        <w:spacing w:before="160" w:after="40" w:line="240" w:lineRule="auto"/>
      </w:pPr>
      <w:r>
        <w:rPr>
          <w:b/>
        </w:rPr>
        <w:t xml:space="preserve">[4] </w:t>
      </w:r>
      <w:hyperlink r:id="rId68">
        <w:r>
          <w:rPr>
            <w:color w:val="1155CC"/>
            <w:u w:val="single"/>
          </w:rPr>
          <w:t>用于无阳极锂金属电池的定量锂库存框架</w:t>
        </w:r>
      </w:hyperlink>
    </w:p>
    <w:p>
      <w:pPr>
        <w:spacing w:before="0" w:after="80"/>
      </w:pPr>
      <w:r>
        <w:rPr>
          <w:i/>
          <w:sz w:val="20"/>
        </w:rPr>
        <w:t>EN: A Quantitative Lithium Inventory Framework for Anode‐Free Lithium Metal Batteries</w:t>
      </w:r>
    </w:p>
    <w:p>
      <w:pPr>
        <w:spacing w:before="0" w:after="120"/>
      </w:pPr>
      <w:r>
        <w:rPr>
          <w:b/>
        </w:rPr>
        <w:t xml:space="preserve">Source: </w:t>
      </w:r>
      <w:r>
        <w:t>Wiley: Advanced Energy Materials: Table of Contents</w:t>
      </w:r>
      <w:r>
        <w:t xml:space="preserve">    </w:t>
      </w:r>
      <w:r>
        <w:rPr>
          <w:b/>
        </w:rPr>
        <w:t xml:space="preserve">Pub date: </w:t>
      </w:r>
      <w:r>
        <w:t>2026-05-06 08:57:49+00:00</w:t>
      </w:r>
      <w:r>
        <w:t xml:space="preserve">    </w:t>
      </w:r>
      <w:r>
        <w:rPr>
          <w:b/>
        </w:rPr>
        <w:t xml:space="preserve">DOI: </w:t>
      </w:r>
      <w:hyperlink r:id="rId69">
        <w:r>
          <w:rPr>
            <w:color w:val="1155CC"/>
            <w:u w:val="single"/>
          </w:rPr>
          <w:t>10.1002/aenm.71028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Li）金属电池由于其显著更高的比容量，具有几乎将传统锂离子电池的重量能量密度翻倍的潜力，从而能够应用于需要卓越能量重量比的应用，包括电动汽车、电动垂直起降飞机（eVTOL）和人形机器人。然而，由于锂库存不平衡导致的容量下降，以及在延长循环寿命下的安全问题，仍然是其实际部署的主要障碍。对锂在操作过程中如何在正极、负极和电解质之间重新分布的统一和定量理解仍然缺乏。在这项工作中，我们使用无阳极电池作为模型系统，并通过结合结构、化学和电化学分析定量跟踪锂库存。通过在多个循环阶段关闭锂质量平衡，我们识别出锂演变的三个主要特征阶段，并解决了与每个阶段相关的主要损失途径。由此产生的锂库存框架阐明了正极晶格锂、非活性锂积累和电解质耗尽之间的相互作用，并确定正极优化是无阳极电池的核心设计要求。此外，这里生成的阶段解析定量数据集提供了一个结构化的机制洞察来源，可以支持未来的数据驱动和物理启发的建模工作。</w:t>
      </w:r>
    </w:p>
    <w:p>
      <w:pPr>
        <w:spacing w:before="0" w:after="200" w:lineRule="auto" w:line="276"/>
      </w:pPr>
      <w:r>
        <w:rPr>
          <w:b/>
        </w:rPr>
        <w:t xml:space="preserve">Abstract (EN): </w:t>
      </w:r>
      <w:r>
        <w:t>Lithium (Li) metal batteries, with their substantially higher specific capacity, have the potential to nearly double the gravimetric energy density of conventional Li‐ion cells, enabling applications that demand exceptional energy‐to‐weight ratios, including electric vehicles, electric vertical takeoff and landing aircraft (eVTOL), and humanoid robots. However, capacity declines arising from Li inventory imbalance, together with safety concerns under extended cycle life, remain major barriers to their practical deployment. A unified and quantitative understanding of how Li redistributes among the cathode, anode, and electrolyte during operation is still lacking. In this work, we use anode‐free batteries as a model system and quantitatively track the Li inventory by combining structural, chemical, and electrochemical analyses. By closing the Li mass balance across multiple cycling stages, we identify three main characteristic regimes of Li evolution and resolve the dominant loss pathways associated with each regime. The resulting Li‐inventory framework clarifies the interplay among cathode lattice Li, inactive Li accumulation, and electrolyte depletion, and identifies cathode optimization as a central design requirement for anode‐free batteries. In addition, the stage‐resolved quantitative dataset generated here provides a structured source of mechanistic insight that can support future data‐driven and physics‐informed modeling efforts.</w:t>
      </w:r>
    </w:p>
    <w:p>
      <w:pPr>
        <w:spacing w:before="120" w:after="120"/>
      </w:pPr>
      <w:r>
        <w:rPr>
          <w:sz w:val="18"/>
        </w:rPr>
        <w:t>——————————————————————————————————————————————————————————————————————</w:t>
      </w:r>
    </w:p>
    <w:p>
      <w:pPr>
        <w:spacing w:before="160" w:after="40" w:line="240" w:lineRule="auto"/>
      </w:pPr>
      <w:r>
        <w:rPr>
          <w:b/>
        </w:rPr>
        <w:t xml:space="preserve">[5] </w:t>
      </w:r>
      <w:hyperlink r:id="rId70">
        <w:r>
          <w:rPr>
            <w:color w:val="1155CC"/>
            <w:u w:val="single"/>
          </w:rPr>
          <w:t>[ASAP] 分子尺度的混合策略协同溶剂调控和SO42–衍生的无机富集SEI用于锌阳极</w:t>
        </w:r>
      </w:hyperlink>
    </w:p>
    <w:p>
      <w:pPr>
        <w:spacing w:before="0" w:after="80"/>
      </w:pPr>
      <w:r>
        <w:rPr>
          <w:i/>
          <w:sz w:val="20"/>
        </w:rPr>
        <w:t>EN: [ASAP] Molecular-Scale Hybrid Strategy Synergizes Solvation Regulation and SO42–-Derived Inorganic-Rich SEI for Zn Anodes</w:t>
      </w:r>
    </w:p>
    <w:p>
      <w:pPr>
        <w:spacing w:before="0" w:after="120"/>
      </w:pPr>
      <w:r>
        <w:rPr>
          <w:b/>
        </w:rPr>
        <w:t xml:space="preserve">Source: </w:t>
      </w:r>
      <w:r>
        <w:t>ACS Energy Letters: Latest Articles (ACS Publications)</w:t>
      </w:r>
      <w:r>
        <w:t xml:space="preserve">    </w:t>
      </w:r>
      <w:r>
        <w:rPr>
          <w:b/>
        </w:rPr>
        <w:t xml:space="preserve">Pub date: </w:t>
      </w:r>
      <w:r>
        <w:t>2026-05-06 16:04:57+00:00</w:t>
      </w:r>
      <w:r>
        <w:t xml:space="preserve">    </w:t>
      </w:r>
      <w:r>
        <w:rPr>
          <w:b/>
        </w:rPr>
        <w:t xml:space="preserve">DOI: </w:t>
      </w:r>
      <w:hyperlink r:id="rId71">
        <w:r>
          <w:rPr>
            <w:color w:val="1155CC"/>
            <w:u w:val="single"/>
          </w:rPr>
          <w:t>10.1021/acsenergylett.6c00395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72">
        <w:r>
          <w:rPr>
            <w:color w:val="1155CC"/>
            <w:u w:val="single"/>
          </w:rPr>
          <w:t>[ASAP] 对“通过尿素添加剂调节煤衍生硬碳的微结构和官能团用于165 Wh kg–1钠离子袋电池”的更正</w:t>
        </w:r>
      </w:hyperlink>
    </w:p>
    <w:p>
      <w:pPr>
        <w:spacing w:before="0" w:after="80"/>
      </w:pPr>
      <w:r>
        <w:rPr>
          <w:i/>
          <w:sz w:val="20"/>
        </w:rPr>
        <w:t>EN: [ASAP] Correction to “Tuning the Microstructure and Functional Groups of Coal-Derived Hard Carbons by Urea Additives for 165 Wh kg–1 Sodium Ion Pouch Cells”</w:t>
      </w:r>
    </w:p>
    <w:p>
      <w:pPr>
        <w:spacing w:before="0" w:after="120"/>
      </w:pPr>
      <w:r>
        <w:rPr>
          <w:b/>
        </w:rPr>
        <w:t xml:space="preserve">Source: </w:t>
      </w:r>
      <w:r>
        <w:t>ACS Energy Letters: Latest Articles (ACS Publications)</w:t>
      </w:r>
      <w:r>
        <w:t xml:space="preserve">    </w:t>
      </w:r>
      <w:r>
        <w:rPr>
          <w:b/>
        </w:rPr>
        <w:t xml:space="preserve">Pub date: </w:t>
      </w:r>
      <w:r>
        <w:t>2026-05-06 18:20:40+00:00</w:t>
      </w:r>
      <w:r>
        <w:t xml:space="preserve">    </w:t>
      </w:r>
      <w:r>
        <w:rPr>
          <w:b/>
        </w:rPr>
        <w:t xml:space="preserve">DOI: </w:t>
      </w:r>
      <w:hyperlink r:id="rId73">
        <w:r>
          <w:rPr>
            <w:color w:val="1155CC"/>
            <w:u w:val="single"/>
          </w:rPr>
          <w:t>10.1021/acsenergylett.6c01244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74">
        <w:r>
          <w:rPr>
            <w:color w:val="1155CC"/>
            <w:u w:val="single"/>
          </w:rPr>
          <w:t>[ASAP] 局部热应变调节固态电解质界面，具有先进的高温耐受性</w:t>
        </w:r>
      </w:hyperlink>
    </w:p>
    <w:p>
      <w:pPr>
        <w:spacing w:before="0" w:after="80"/>
      </w:pPr>
      <w:r>
        <w:rPr>
          <w:i/>
          <w:sz w:val="20"/>
        </w:rPr>
        <w:t>EN: [ASAP] Local Thermal Strain Regulated Solid Electrolyte Interphase with Advanced High-Temperature Tolerance</w:t>
      </w:r>
    </w:p>
    <w:p>
      <w:pPr>
        <w:spacing w:before="0" w:after="120"/>
      </w:pPr>
      <w:r>
        <w:rPr>
          <w:b/>
        </w:rPr>
        <w:t xml:space="preserve">Source: </w:t>
      </w:r>
      <w:r>
        <w:t>Journal of the American Chemical Society: Latest Articles (ACS Publications)</w:t>
      </w:r>
      <w:r>
        <w:t xml:space="preserve">    </w:t>
      </w:r>
      <w:r>
        <w:rPr>
          <w:b/>
        </w:rPr>
        <w:t xml:space="preserve">Pub date: </w:t>
      </w:r>
      <w:r>
        <w:t>2026-05-06 19:50:11+00:00</w:t>
      </w:r>
      <w:r>
        <w:t xml:space="preserve">    </w:t>
      </w:r>
      <w:r>
        <w:rPr>
          <w:b/>
        </w:rPr>
        <w:t xml:space="preserve">DOI: </w:t>
      </w:r>
      <w:hyperlink r:id="rId75">
        <w:r>
          <w:rPr>
            <w:color w:val="1155CC"/>
            <w:u w:val="single"/>
          </w:rPr>
          <w:t>10.1021/jacs.6c02582</w:t>
        </w:r>
      </w:hyperlink>
    </w:p>
    <w:p>
      <w:pPr>
        <w:spacing w:before="0" w:after="120"/>
      </w:pPr>
      <w:r>
        <w:rPr>
          <w:b/>
        </w:rPr>
        <w:t xml:space="preserve">Notes: </w:t>
      </w:r>
      <w:r>
        <w:t>abstract_source=pubmed</w:t>
      </w:r>
    </w:p>
    <w:p>
      <w:pPr>
        <w:spacing w:before="0" w:after="80" w:lineRule="auto" w:line="276"/>
      </w:pPr>
      <w:r>
        <w:rPr>
          <w:b/>
        </w:rPr>
        <w:t xml:space="preserve">摘要（ZH）: </w:t>
      </w:r>
      <w:r>
        <w:t>固态电解质界面（SEI）在硬碳（HC）负极上的结构不稳定性，在高温循环下进一步恶化，严重阻碍了钠离子电池（SIB）的应用。在此，我们引入局部负热应变以催化SEI的形成，并通过使用负热膨胀（NTE）氧化物ZrW2O8提高其在高温循环中的结构耐久性。界面Na+传输和初始库仑效率（ICE）在0-80°C显著增强。具体而言，具有热应变缓解效果的NTE ZrW2O8，将机械弹性自缓解功能赋予内部无机层，协同提高SEI的温度耐受性和机械稳定性。优化后的HC在5.0 A g-1下经过8000多个循环仍能工作，甚至在60°C下保持86.3%的显著容量保持率（在2.0 A g-1下经过420个循环为226.7 mA h g-1）和在80°C下保持63.4%（在1.0 A g-1下经过250个循环为241.4 mA h g-1）。全电池在60°C下的容量保持率从22.8%提高到64.0%。相信这种新颖的SEI热应变调节将为在极端条件下设计稳定的SIB带来巨大前景。</w:t>
      </w:r>
    </w:p>
    <w:p>
      <w:pPr>
        <w:spacing w:before="0" w:after="200" w:lineRule="auto" w:line="276"/>
      </w:pPr>
      <w:r>
        <w:rPr>
          <w:b/>
        </w:rPr>
        <w:t xml:space="preserve">Abstract (EN): </w:t>
      </w:r>
      <w:r>
        <w:t>The structure instability of solid electrolyte interphase (SEI) on hard carbon (HC) anode, further worsening under high-temperature cycling, severely hinders the application of sodium-ion battery (SIB). Herein, we introduced locally negative thermal strain to catalyze SEI formation and improve its structure durability during high-temperature cycling, through using negative thermal expansion (NTE) oxide ZrW2O8. Both interfacial Na+ transfer and initial Coulombic efficiency (ICE) were enhanced significantly at 0-80 °C. Specifically, NTE ZrW2O8 with the mitigation effect on thermal strain, imparts self-relieving functionality with mechanical elasticity into internal inorganic layer, synergistically improving the temperature tolerance and mechanics stability of the SEI. The optimized HC with 93.3% ICE sustained working over 8000 cycles at 5.0 A g-1, even maintained remarkable capacity retentions of 86.3% at 60 °C (226.7 mA h g-1 at 2.0 A g-1 after 420 cycles) and 63.4% at 80 °C (241.4 mA h g-1 at 1.0 A g-1 after 250 cycles). The capacity retention ratio of full battery at 60 °C was improved from 22.8% to 64.0%. It is believed that this novel thermal strain modulation of SEI will hold great promise for the design of stable SIB under extreme conditions.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6">
        <w:r>
          <w:rPr>
            <w:color w:val="1155CC"/>
            <w:u w:val="single"/>
          </w:rPr>
          <w:t>阐明氟含量凝胶聚合物电解质原位形成的动力学介导聚合行为</w:t>
        </w:r>
      </w:hyperlink>
    </w:p>
    <w:p>
      <w:pPr>
        <w:spacing w:before="0" w:after="80"/>
      </w:pPr>
      <w:r>
        <w:rPr>
          <w:i/>
          <w:sz w:val="20"/>
        </w:rPr>
        <w:t>EN: Elucidating Kinetic‐Mediated Polymerization Behavior for In Situ Formation of Fluorine‐Containing Gel Polymer Electrolyte</w:t>
      </w:r>
    </w:p>
    <w:p>
      <w:pPr>
        <w:spacing w:before="0" w:after="120"/>
      </w:pPr>
      <w:r>
        <w:rPr>
          <w:b/>
        </w:rPr>
        <w:t xml:space="preserve">Source: </w:t>
      </w:r>
      <w:r>
        <w:t>Wiley: Angewandte Chemie International Edition: Table of Contents</w:t>
      </w:r>
      <w:r>
        <w:t xml:space="preserve">    </w:t>
      </w:r>
      <w:r>
        <w:rPr>
          <w:b/>
        </w:rPr>
        <w:t xml:space="preserve">Pub date: </w:t>
      </w:r>
      <w:r>
        <w:t>2026-05-03 05:00:26+00:00</w:t>
      </w:r>
      <w:r>
        <w:t xml:space="preserve">    </w:t>
      </w:r>
      <w:r>
        <w:rPr>
          <w:b/>
        </w:rPr>
        <w:t xml:space="preserve">DOI: </w:t>
      </w:r>
      <w:hyperlink r:id="rId77">
        <w:r>
          <w:rPr>
            <w:color w:val="1155CC"/>
            <w:u w:val="single"/>
          </w:rPr>
          <w:t>10.1002/anie.4962504</w:t>
        </w:r>
      </w:hyperlink>
    </w:p>
    <w:p>
      <w:pPr>
        <w:spacing w:before="0" w:after="120"/>
      </w:pPr>
      <w:r>
        <w:rPr>
          <w:b/>
        </w:rPr>
        <w:t xml:space="preserve">Notes: </w:t>
      </w:r>
      <w:r>
        <w:t>abstract_source=pubmed</w:t>
      </w:r>
    </w:p>
    <w:p>
      <w:pPr>
        <w:spacing w:before="0" w:after="80" w:lineRule="auto" w:line="276"/>
      </w:pPr>
      <w:r>
        <w:rPr>
          <w:b/>
        </w:rPr>
        <w:t xml:space="preserve">摘要（ZH）: </w:t>
      </w:r>
      <w:r>
        <w:t>通过原位聚合制备的氟化凝胶聚合物电解质（FGPEs）有望通过实现稳定的富LiF固体电解质界面（SEIs）和与高电压正极的良好兼容性，加速锂金属电池（LMBs）的大规模应用。然而，氟单元的吸电子特性减缓了此类单体的聚合动力学，导致GPEs的机械性能和循环耐久性受到影响。在此，提出了一种用于调节三氟乙基甲基丙烯酸酯（TFEMA）型单体聚合动力学的原位形成氟化共聚物的设计原则。这种策略产生了相对均匀的聚合物链，具有适中的分子量，随后交联形成坚固的氟化-氮化共聚物网络（FNPE）。定制的聚合物基质整合了由氟化片段促进的LiF含量SEI的形成能力、增强的机械强度和由N-异丙基丙烯酰胺（NIPAM）域贡献的富Li3N界面。因此，FNPE实现了NCM811（6.8 mg cm-2, 1.2 mAh cm-2）//Li全电池，具有高容量保持率（&gt; 80%，225个循环），并适用于宽温度范围（-15至60°C）和袋式电池配置（40 µm Li）。通过实验和多尺度建模研究，这项工作阐明了原位形成的FGPEs的内在动力学挑战，并为耐用的LMBs提供了一种新的共聚物型电解质设计原则。</w:t>
      </w:r>
    </w:p>
    <w:p>
      <w:pPr>
        <w:spacing w:before="0" w:after="200" w:lineRule="auto" w:line="276"/>
      </w:pPr>
      <w:r>
        <w:rPr>
          <w:b/>
        </w:rPr>
        <w:t xml:space="preserve">Abstract (EN): </w:t>
      </w:r>
      <w:r>
        <w:t>Fluorinated gel polymer electrolytes (FGPEs) prepared via in situ polymerization are expected to expedite the large-scale application of lithium metal batteries (LMBs) by enabling stable LiF-rich solid electrolyte interphases (SEIs) and good compatibility with high-voltage cathodes. However, the electron-withdrawing nature of fluorine units retards polymerization kinetics of such monomers, resulting in GPEs with compromised mechanical performance and cycling durability. Herein, a design principle for in situ formation of fluorinated copolymers is proposed to regulate the polymerization kinetics of trifluoroethyl methacrylate (TFEMA)-typed monomers. Such strategy yields relatively uniform polymer chains with moderate molecular weights, which are subsequently crosslinked to form a robust fluorinated-nitrogenated copolymer network (FNPE). The tailored polymer matrix integrates the capabilities to form a LiF-containing SEI promoted by fluorinated segments, enhanced mechanical robustness, and a Li3N-rich interphase contributed by the N-isopropylacrylamide (NIPAM) domains. Consequently, the FNPE achieves NCM811(6.8 mg cm-2, 1.2 mAh cm-2)//Li full cells with high capacity retention (&gt; 80%, 225 cycles), and applicable in wide temperature range (-15 to 60°C) and pouch cell configuration (40 µm Li). Through experimental and multiscale modeling investigations, this work elucidates the intrinsic kinetic challenge for in situ formed FGPEs and provides a new design principle of copolymer-type electrolytes for durable LMBs.</w:t>
      </w:r>
    </w:p>
    <w:p>
      <w:pPr>
        <w:spacing w:before="120" w:after="120"/>
      </w:pPr>
      <w:r>
        <w:rPr>
          <w:sz w:val="18"/>
        </w:rPr>
        <w:t>——————————————————————————————————————————————————————————————————————</w:t>
      </w:r>
    </w:p>
    <w:p>
      <w:pPr>
        <w:spacing w:before="160" w:after="40" w:line="240" w:lineRule="auto"/>
      </w:pPr>
      <w:r>
        <w:rPr>
          <w:b/>
        </w:rPr>
        <w:t xml:space="preserve">[2] </w:t>
      </w:r>
      <w:hyperlink r:id="rId78">
        <w:r>
          <w:rPr>
            <w:color w:val="1155CC"/>
            <w:u w:val="single"/>
          </w:rPr>
          <w:t>三相边界不稳定性是硫化物|(氧)卤化物双电解质固态电池的关键退化因素</w:t>
        </w:r>
      </w:hyperlink>
    </w:p>
    <w:p>
      <w:pPr>
        <w:spacing w:before="0" w:after="80"/>
      </w:pPr>
      <w:r>
        <w:rPr>
          <w:i/>
          <w:sz w:val="20"/>
        </w:rPr>
        <w:t>EN: Triple-phase boundary instability as a key degradation factor in sulfide|(oxy)halide dual-electrolyte solid-state batteries</w:t>
      </w:r>
    </w:p>
    <w:p>
      <w:pPr>
        <w:spacing w:before="0" w:after="120"/>
      </w:pPr>
      <w:r>
        <w:rPr>
          <w:b/>
        </w:rPr>
        <w:t xml:space="preserve">Source: </w:t>
      </w:r>
      <w:r>
        <w:t>Joule</w:t>
      </w:r>
      <w:r>
        <w:t xml:space="preserve">    </w:t>
      </w:r>
      <w:r>
        <w:rPr>
          <w:b/>
        </w:rPr>
        <w:t xml:space="preserve">Pub date: </w:t>
      </w:r>
      <w:r>
        <w:t>2026-05-04 00:00:00+00:00</w:t>
      </w:r>
      <w:r>
        <w:t xml:space="preserve">    </w:t>
      </w:r>
      <w:r>
        <w:rPr>
          <w:b/>
        </w:rPr>
        <w:t xml:space="preserve">DOI: </w:t>
      </w:r>
      <w:hyperlink r:id="rId79">
        <w:r>
          <w:rPr>
            <w:color w:val="1155CC"/>
            <w:u w:val="single"/>
          </w:rPr>
          <w:t>10.1016/j.joule.2026.102444</w:t>
        </w:r>
      </w:hyperlink>
    </w:p>
    <w:p>
      <w:pPr>
        <w:spacing w:before="0" w:after="120"/>
      </w:pPr>
      <w:r>
        <w:rPr>
          <w:b/>
        </w:rPr>
        <w:t xml:space="preserve">Notes: </w:t>
      </w:r>
      <w:r>
        <w:t>abstract_source=rss_cell</w:t>
      </w:r>
    </w:p>
    <w:p>
      <w:pPr>
        <w:spacing w:before="0" w:after="80" w:lineRule="auto" w:line="276"/>
      </w:pPr>
      <w:r>
        <w:rPr>
          <w:b/>
        </w:rPr>
        <w:t xml:space="preserve">摘要（ZH）: </w:t>
      </w:r>
      <w:r>
        <w:t>硫化物|(氧)卤化物双电解质固态电池使用硫化物电解质作为隔膜，并在正极（阴极）中使用(氧)卤化物电解质。硫化物隔膜和(氧)卤化物正极界面的稳定性尚未得到充分探索。此项工作旨在更好地理解该界面的不稳定性，并研究其降解机制，这取决于(氧)卤化物的化学性质。</w:t>
      </w:r>
    </w:p>
    <w:p>
      <w:pPr>
        <w:spacing w:before="0" w:after="200" w:lineRule="auto" w:line="276"/>
      </w:pPr>
      <w:r>
        <w:rPr>
          <w:b/>
        </w:rPr>
        <w:t xml:space="preserve">Abstract (EN): </w:t>
      </w:r>
      <w:r>
        <w:t>A sulfide|(oxy)halide dual-electrolyte solid-state battery uses a sulfide electrolyte as the separator and an (oxy)halide electrolyte in the positive electrode (cathode). The stability at the sulfide separator and (oxy)halide positive electrode interface has not yet been fully explored. This work aims to better understand the instability of this interface and study its degradation mechanism, depending on the (oxy)halide chemistry.</w:t>
      </w:r>
    </w:p>
    <w:p>
      <w:pPr>
        <w:spacing w:before="120" w:after="120"/>
      </w:pPr>
      <w:r>
        <w:rPr>
          <w:sz w:val="18"/>
        </w:rPr>
        <w:t>——————————————————————————————————————————————————————————————————————</w:t>
      </w:r>
    </w:p>
    <w:p>
      <w:pPr>
        <w:spacing w:before="160" w:after="40" w:line="240" w:lineRule="auto"/>
      </w:pPr>
      <w:r>
        <w:rPr>
          <w:b/>
        </w:rPr>
        <w:t xml:space="preserve">[3] </w:t>
      </w:r>
      <w:hyperlink r:id="rId80">
        <w:r>
          <w:rPr>
            <w:color w:val="1155CC"/>
            <w:u w:val="single"/>
          </w:rPr>
          <w:t>[ASAP] 系统性应对X射线辐射损伤：对锂硫电池固态电解质的定量研究</w:t>
        </w:r>
      </w:hyperlink>
    </w:p>
    <w:p>
      <w:pPr>
        <w:spacing w:before="0" w:after="80"/>
      </w:pPr>
      <w:r>
        <w:rPr>
          <w:i/>
          <w:sz w:val="20"/>
        </w:rPr>
        <w:t>EN: [ASAP] Facing X-ray Radiation Damage Systematically: A Quantitative Investigation on Solid-State Electrolytes for LiS Batteries</w:t>
      </w:r>
    </w:p>
    <w:p>
      <w:pPr>
        <w:spacing w:before="0" w:after="120"/>
      </w:pPr>
      <w:r>
        <w:rPr>
          <w:b/>
        </w:rPr>
        <w:t xml:space="preserve">Source: </w:t>
      </w:r>
      <w:r>
        <w:t>ACS Energy Letters: Latest Articles (ACS Publications)</w:t>
      </w:r>
      <w:r>
        <w:t xml:space="preserve">    </w:t>
      </w:r>
      <w:r>
        <w:rPr>
          <w:b/>
        </w:rPr>
        <w:t xml:space="preserve">Pub date: </w:t>
      </w:r>
      <w:r>
        <w:t>2026-05-04 15:39:21+00:00</w:t>
      </w:r>
      <w:r>
        <w:t xml:space="preserve">    </w:t>
      </w:r>
      <w:r>
        <w:rPr>
          <w:b/>
        </w:rPr>
        <w:t xml:space="preserve">DOI: </w:t>
      </w:r>
      <w:hyperlink r:id="rId81">
        <w:r>
          <w:rPr>
            <w:color w:val="1155CC"/>
            <w:u w:val="single"/>
          </w:rPr>
          <w:t>10.1021/acsenergylett.6c00098</w:t>
        </w:r>
      </w:hyperlink>
    </w:p>
    <w:p>
      <w:pPr>
        <w:spacing w:before="0" w:after="120"/>
      </w:pPr>
      <w:r>
        <w:rPr>
          <w:b/>
        </w:rPr>
        <w:t xml:space="preserve">Notes: </w:t>
      </w:r>
      <w:r>
        <w:t>abstract_source=openalex</w:t>
      </w:r>
    </w:p>
    <w:p>
      <w:pPr>
        <w:spacing w:before="0" w:after="80" w:lineRule="auto" w:line="276"/>
      </w:pPr>
      <w:r>
        <w:rPr>
          <w:b/>
        </w:rPr>
        <w:t xml:space="preserve">摘要（ZH）: </w:t>
      </w:r>
      <w:r>
        <w:t>X射线光谱技术在材料科学中被广泛应用，提供了关于元素组成、化学状态和结构的宝贵见解。考虑所用X射线辐射对样品的影响对于区分束引起的效应和材料特性至关重要，以避免误解并提高实验结果的可靠性。特别是像电池这样复杂系统的原位实验，在操作和降解机制下的各种化学反应中，从优化的无损实验参数中获益。我们提出了一种系统的调查策略来应对辐射损伤的挑战，并通过对选定的锂硫电池固态电解质材料的案例研究进行支持。使用同步辐射，应用近边X射线吸收精细结构来监测剂量依赖的X射线诱导变化。基于校准的仪器，化学变化与诱导剂量之间的定量相关性允许确定可以外推到其他实验的阈值等效物。</w:t>
      </w:r>
    </w:p>
    <w:p>
      <w:pPr>
        <w:spacing w:before="0" w:after="200" w:lineRule="auto" w:line="276"/>
      </w:pPr>
      <w:r>
        <w:rPr>
          <w:b/>
        </w:rPr>
        <w:t xml:space="preserve">Abstract (EN): </w:t>
      </w:r>
      <w:r>
        <w:t>X-ray spectroscopy techniques are widely used in material science providing valuable insights into elemental composition, chemical state and structure Considering the impact of the used X-ray radiation on the sample is crucial to differentiate between beam induced effects and material properties, avoiding misinterpretation, and improving reliability of experimental results. Especially operando experiments of complex systems like batteries with a variety of chemical reactions under operation and degradation mechanisms profit from optimized nondestructive experimental parameters. We present a systematic investigation strategy to face the challenge of radiation damage, supported by a case study on selected solid-state electrolyte materials for lithium sulfur batteries. Using synchrotron radiation, Near Edge X-ray Absorption Fine Structure is applied to monitor dose-dependent, X-ray-induced changes. Based on calibrated instrumentation a quantitative correlation between chemical changes and induced doses allows to determine threshold equivalents that can be extrapolated to other experiments.</w:t>
      </w:r>
    </w:p>
    <w:p>
      <w:pPr>
        <w:spacing w:before="120" w:after="120"/>
      </w:pPr>
      <w:r>
        <w:rPr>
          <w:sz w:val="18"/>
        </w:rPr>
        <w:t>——————————————————————————————————————————————————————————————————————</w:t>
      </w:r>
    </w:p>
    <w:p>
      <w:pPr>
        <w:spacing w:before="160" w:after="40" w:line="240" w:lineRule="auto"/>
      </w:pPr>
      <w:r>
        <w:rPr>
          <w:b/>
        </w:rPr>
        <w:t xml:space="preserve">[4] </w:t>
      </w:r>
      <w:hyperlink r:id="rId82">
        <w:r>
          <w:rPr>
            <w:color w:val="1155CC"/>
            <w:u w:val="single"/>
          </w:rPr>
          <w:t>通过F、N功能化聚合物基质在高闪点醚酯混合电解质中定制分子间化学和界面，以实现本质安全的准固态锂金属电池</w:t>
        </w:r>
      </w:hyperlink>
    </w:p>
    <w:p>
      <w:pPr>
        <w:spacing w:before="0" w:after="80"/>
      </w:pPr>
      <w:r>
        <w:rPr>
          <w:i/>
          <w:sz w:val="20"/>
        </w:rPr>
        <w:t>EN: Tailoring Intermolecular Chemistry and Interphases via F, N‐Functionalized Polymer Matrix in High‐Flash‐Point Ether‐Ester Hybrid Electrolytes for Intrinsically Safe Quasi‐Solid‐State Li Metal Batteries</w:t>
      </w:r>
    </w:p>
    <w:p>
      <w:pPr>
        <w:spacing w:before="0" w:after="120"/>
      </w:pPr>
      <w:r>
        <w:rPr>
          <w:b/>
        </w:rPr>
        <w:t xml:space="preserve">Source: </w:t>
      </w:r>
      <w:r>
        <w:t>Wiley: Angewandte Chemie International Edition: Table of Contents</w:t>
      </w:r>
      <w:r>
        <w:t xml:space="preserve">    </w:t>
      </w:r>
      <w:r>
        <w:rPr>
          <w:b/>
        </w:rPr>
        <w:t xml:space="preserve">Pub date: </w:t>
      </w:r>
      <w:r>
        <w:t>2026-05-05 10:19:55+00:00</w:t>
      </w:r>
      <w:r>
        <w:t xml:space="preserve">    </w:t>
      </w:r>
      <w:r>
        <w:rPr>
          <w:b/>
        </w:rPr>
        <w:t xml:space="preserve">DOI: </w:t>
      </w:r>
      <w:hyperlink r:id="rId83">
        <w:r>
          <w:rPr>
            <w:color w:val="1155CC"/>
            <w:u w:val="single"/>
          </w:rPr>
          <w:t>10.1002/anie.1984422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位聚合的准固态电解质（QSEs）对锂金属电池（LMBs）具有前景，但在高电压稳定性和动力学方面面临挑战。在此，通过在四乙二醇二甲醚（G4）/氟代乙烯碳酸酯（FEC）溶剂系统中原位共聚合2,2,2-三氟乙基丙烯酸酯（TFEA）和2-异氰酸乙基甲基丙烯酸酯（IEM），实现了一种新型醚-酯混合QSE。这种设计利用了功能化聚合物基质（─CF3和─N═C═O）与液体组分之间的协同作用。FEC的加入和聚合物骨架的调节效应将Li+溶剂化结构调整为富阴离子的配置，从而产生了坚固的、抗氧化的和富含无机物的界面。此外，氢键相互作用有效地固定了PF6−阴离子和自由的G4分子，从而提高了Li+迁移数，并使电化学稳定窗口超过4.8 V（相对于Li+/Li）。QSE在室温下表现出2.2 × 10−3 S cm−1的高离子电导率。因此，4.2 V Li|| LiFePO4（LFP）电池在1000个循环中表现出93%的容量保持率，而</w:t>
      </w:r>
    </w:p>
    <w:p>
      <w:pPr>
        <w:spacing w:before="0" w:after="200" w:lineRule="auto" w:line="276"/>
      </w:pPr>
      <w:r>
        <w:rPr>
          <w:b/>
        </w:rPr>
        <w:t xml:space="preserve">Abstract (EN): </w:t>
      </w:r>
      <w:r>
        <w:t>In situ polymerized quasi‐solid‐state electrolytes (QSEs) are promising for lithium metal batteries (LMBs) yet face challenges regarding high‐voltage stability and kinetics. Herein, a novel ether‐ester hybrid QSE is achieved through the in situ copolymerization of 2,2,2‐trifluoroethyl acrylate (TFEA) and 2‐isocyanatoethyl methacrylate (IEM) within a tetraethylene glycol dimethyl ether (G4)/fluoroethylene carbonate (FEC) solvent system. This design leverages synergistic interactions between the functionalized polymer matrix (─CF</w:t>
      </w:r>
      <w:r>
        <w:rPr>
          <w:vertAlign w:val="subscript"/>
        </w:rPr>
        <w:t>3</w:t>
      </w:r>
      <w:r>
        <w:t>and ─N═C═O) and liquid components. The incorporation of FEC and the regulatory effect of the polymer backbone tailor the Li</w:t>
      </w:r>
      <w:r>
        <w:t xml:space="preserve"> </w:t>
      </w:r>
      <w:r>
        <w:t>+</w:t>
      </w:r>
      <w:r>
        <w:t xml:space="preserve"> </w:t>
      </w:r>
      <w:r>
        <w:t>solvation structure toward an anion‐rich configuration, which gives rise to a robust, antioxidative, and inorganic‐rich interphase. Furthermore, hydrogen bonding interactions effectively immobilize PF</w:t>
      </w:r>
      <w:r>
        <w:rPr>
          <w:vertAlign w:val="subscript"/>
        </w:rPr>
        <w:t>6</w:t>
      </w:r>
      <w:r>
        <w:t>−</w:t>
      </w:r>
      <w:r>
        <w:t>anions and free G4 molecules, thereby elevating the Li</w:t>
      </w:r>
      <w:r>
        <w:t xml:space="preserve"> </w:t>
      </w:r>
      <w:r>
        <w:t>+</w:t>
      </w:r>
      <w:r>
        <w:t xml:space="preserve"> </w:t>
      </w:r>
      <w:r>
        <w:t>transference number and enabling the electrochemical stability window over 4.8 V (vs. Li</w:t>
      </w:r>
      <w:r>
        <w:t xml:space="preserve"> </w:t>
      </w:r>
      <w:r>
        <w:t>+</w:t>
      </w:r>
      <w:r>
        <w:t xml:space="preserve"> </w:t>
      </w:r>
      <w:r>
        <w:t>/Li). The QSE exhibited a high room‐temperature ionic conductivity of 2.2 × 10</w:t>
      </w:r>
      <w:r>
        <w:t xml:space="preserve"> </w:t>
      </w:r>
      <w:r>
        <w:t>−3</w:t>
      </w:r>
      <w:r>
        <w:t xml:space="preserve"> </w:t>
      </w:r>
      <w:r>
        <w:t>S cm</w:t>
      </w:r>
      <w:r>
        <w:t xml:space="preserve"> </w:t>
      </w:r>
      <w:r>
        <w:t>−1</w:t>
      </w:r>
      <w:r>
        <w:t xml:space="preserve"> </w:t>
      </w:r>
      <w:r>
        <w:t>. Consequently, 4.2 V Li|| LiFePO</w:t>
      </w:r>
      <w:r>
        <w:rPr>
          <w:vertAlign w:val="subscript"/>
        </w:rPr>
        <w:t>4</w:t>
      </w:r>
      <w:r>
        <w:t>(LFP) cells demonstrate 93% capacity retention over 1,000 cycles, while 4.5 V Li||NCM811 (NCM811) cells retain 80% over 300 cycles. A specific energy of 302.64 Wh kg</w:t>
      </w:r>
      <w:r>
        <w:t xml:space="preserve"> </w:t>
      </w:r>
      <w:r>
        <w:t>−1</w:t>
      </w:r>
      <w:r>
        <w:t xml:space="preserve"> </w:t>
      </w:r>
      <w:r>
        <w:t>is attained in a 2 Ah Li||NCM811 pouch‐type cell. These findings highlight tailored molecular design and controlled interactions as a viable route for advancing high‐energy‐density quasi‐solid‐state batteries.</w:t>
      </w:r>
    </w:p>
    <w:p>
      <w:pPr>
        <w:spacing w:before="120" w:after="120"/>
      </w:pPr>
      <w:r>
        <w:rPr>
          <w:sz w:val="18"/>
        </w:rPr>
        <w:t>——————————————————————————————————————————————————————————————————————</w:t>
      </w:r>
    </w:p>
    <w:p>
      <w:pPr>
        <w:spacing w:before="160" w:after="40" w:line="240" w:lineRule="auto"/>
      </w:pPr>
      <w:r>
        <w:rPr>
          <w:b/>
        </w:rPr>
        <w:t xml:space="preserve">[5] </w:t>
      </w:r>
      <w:hyperlink r:id="rId84">
        <w:r>
          <w:rPr>
            <w:color w:val="1155CC"/>
            <w:u w:val="single"/>
          </w:rPr>
          <w:t>单离子导电聚合物电解质在可充电单价和多价阳离子金属电池中的最新进展</w:t>
        </w:r>
      </w:hyperlink>
    </w:p>
    <w:p>
      <w:pPr>
        <w:spacing w:before="0" w:after="80"/>
      </w:pPr>
      <w:r>
        <w:rPr>
          <w:i/>
          <w:sz w:val="20"/>
        </w:rPr>
        <w:t>EN: Recent Progress of Single‐Ion Conducting Polymer Electrolytes for Rechargeable Mono‐ and Multivalent Cation‐Based Metal Batteries</w:t>
      </w:r>
    </w:p>
    <w:p>
      <w:pPr>
        <w:spacing w:before="0" w:after="120"/>
      </w:pPr>
      <w:r>
        <w:rPr>
          <w:b/>
        </w:rPr>
        <w:t xml:space="preserve">Source: </w:t>
      </w:r>
      <w:r>
        <w:t>Wiley: Angewandte Chemie International Edition: Table of Contents</w:t>
      </w:r>
      <w:r>
        <w:t xml:space="preserve">    </w:t>
      </w:r>
      <w:r>
        <w:rPr>
          <w:b/>
        </w:rPr>
        <w:t xml:space="preserve">Pub date: </w:t>
      </w:r>
      <w:r>
        <w:t>2026-05-05 10:27:43+00:00</w:t>
      </w:r>
      <w:r>
        <w:t xml:space="preserve">    </w:t>
      </w:r>
      <w:r>
        <w:rPr>
          <w:b/>
        </w:rPr>
        <w:t xml:space="preserve">DOI: </w:t>
      </w:r>
      <w:hyperlink r:id="rId85">
        <w:r>
          <w:rPr>
            <w:color w:val="1155CC"/>
            <w:u w:val="single"/>
          </w:rPr>
          <w:t>10.1002/anie.4247396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LMBs）由于其高能量密度而被广泛研究；然而，锂资源的稀缺性限制了其实际应用。新兴的单价和多价阳离子金属电池由于其高丰度提供了可能克服这一限制的有前途的替代方案。然而，使用传统液体电解质（LEs）开发这些电池面临安全问题、副反应和枝晶形成等挑战。用聚合物电解质（PEs）替代LEs可以显著提高电池安全性和界面兼容性。在各种PEs中，单离子导电聚合物电解质（SICPEs）由于其高阳离子迁移数、灵活性和易加工性而特别有吸引力。尽管如此，跨不同电池系统固定阴离子的系统策略仍未得到充分讨论和总结。此外，SICPEs的设计通常依赖于实验试错，其分子结构中氟含量成分的普遍使用引发了显著的环境问题。本综述全面总结了开发阴离子固定SICPEs的策略，强调了锂和其他新兴电池系统中不同SICPEs的相似性和差异。最后，我们概述了现有挑战和未来研究方向，以激发创新解决方案来定制SICPE特性并推进其实际应用。</w:t>
      </w:r>
    </w:p>
    <w:p>
      <w:pPr>
        <w:spacing w:before="0" w:after="200" w:lineRule="auto" w:line="276"/>
      </w:pPr>
      <w:r>
        <w:rPr>
          <w:b/>
        </w:rPr>
        <w:t xml:space="preserve">Abstract (EN): </w:t>
      </w:r>
      <w:r>
        <w:t>Lithium metal batteries (LMBs) have been extensively studied due to their high energy density; however, their practical application is limited by the scarcity of lithium resources. Emerging mono‐ and multivalent cation‐based metal batteries offer promising alternatives that may overcome this limitation owing to their high abundance. Nevertheless, the development of these batteries using conventional liquid electrolytes (LEs) faces challenges such as safety concerns, parasitic reactions and dendrite formation. Replacing LEs with polymer electrolytes (PEs) can significantly improve battery safety and interfacial compatibility. Among various PEs, single‐ion conducting polymer electrolytes (SICPEs) are particularly attractive due to their high cation transference numbers, flexibility, and easy processability. Despite this, systematic strategies for immobilizing anions across different battery systems remain insufficiently discussed and summarized. In addition, the design of SICPEs often depends on experimental trial and error, and the prevalent use of fluorine‐containing components in their molecular structures raises significant environmental concerns. This review provides a comprehensive summary of strategies for developing anion‐immobilizing SICPEs, highlighting the similarities and differences of different SICPEs for lithium and other emerging battery systems. Finally, we outline existing challenges and future research directions to inspire innovative solutions for tailoring SICPE properties and advancing their practical applications.</w:t>
      </w:r>
    </w:p>
    <w:p>
      <w:pPr>
        <w:spacing w:before="120" w:after="120"/>
      </w:pPr>
      <w:r>
        <w:rPr>
          <w:sz w:val="18"/>
        </w:rPr>
        <w:t>——————————————————————————————————————————————————————————————————————</w:t>
      </w:r>
    </w:p>
    <w:p>
      <w:pPr>
        <w:spacing w:before="160" w:after="40" w:line="240" w:lineRule="auto"/>
      </w:pPr>
      <w:r>
        <w:rPr>
          <w:b/>
        </w:rPr>
        <w:t xml:space="preserve">[6] </w:t>
      </w:r>
      <w:hyperlink r:id="rId55">
        <w:r>
          <w:rPr>
            <w:color w:val="1155CC"/>
            <w:u w:val="single"/>
          </w:rPr>
          <w:t>激活Mn2+/Mn7+氧化还原用于中性Zn||Mn化合物电池，具有2.2-V放电平台</w:t>
        </w:r>
      </w:hyperlink>
    </w:p>
    <w:p>
      <w:pPr>
        <w:spacing w:before="0" w:after="80"/>
      </w:pPr>
      <w:r>
        <w:rPr>
          <w:i/>
          <w:sz w:val="20"/>
        </w:rPr>
        <w:t>EN: Activating the Mn2+/Mn7+ redox for a neutral Zn||Mn-compound battery with 2.2-V discharge plateau</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56">
        <w:r>
          <w:rPr>
            <w:color w:val="1155CC"/>
            <w:u w:val="single"/>
          </w:rPr>
          <w:t>10.1126/sciadv.aea1401</w:t>
        </w:r>
      </w:hyperlink>
    </w:p>
    <w:p>
      <w:pPr>
        <w:spacing w:before="0" w:after="120"/>
      </w:pPr>
      <w:r>
        <w:rPr>
          <w:b/>
        </w:rPr>
        <w:t xml:space="preserve">Notes: </w:t>
      </w:r>
      <w:r>
        <w:t>abstract_source=crossref</w:t>
      </w:r>
    </w:p>
    <w:p>
      <w:pPr>
        <w:spacing w:before="0" w:after="80" w:lineRule="auto" w:line="276"/>
      </w:pPr>
      <w:r>
        <w:rPr>
          <w:b/>
        </w:rPr>
        <w:t xml:space="preserve">摘要（ZH）: </w:t>
      </w:r>
      <w:r>
        <w:t>1952 年，第一款商业碱性 Zn||MnO2 原电池被开发出来，其基于 Mn4+/Mn3+ 氧化还原反应（MnO2 ↔Mn2O3）。随后，在水系锌基电池中实现了 Mn 化合物（Mn-Comp）的单电子（Mn3+/Mn2+ 和 Mn7+/Mn6+）和双电子（Mn4+/Mn2+）氧化还原反应。然而，此后不再观察到新的 Mn 多价变化氧化还原反应。在本研究中，我们报告了一种中性超亲水水凝胶电解质，激活了 Mn2+/Mn7+ 转化反应（Mn2+ ↔MnO4−）。这一进展归因于扩展的电化学稳定窗口和高 Mn2+ 反应活性。这使得在水系锌金属电池中实现了≥2.2 V 的放电平台。Mn2+/Mn7+ 转化反应在循环期间的高可逆性。</w:t>
      </w:r>
    </w:p>
    <w:p>
      <w:pPr>
        <w:spacing w:before="0" w:after="200" w:lineRule="auto" w:line="276"/>
      </w:pPr>
      <w:r>
        <w:rPr>
          <w:b/>
        </w:rPr>
        <w:t xml:space="preserve">Abstract (EN): </w:t>
      </w:r>
      <w:r>
        <w:t>In 1952, the first commercially alkaline Zn||MnO</w:t>
      </w:r>
      <w:r>
        <w:rPr>
          <w:vertAlign w:val="subscript"/>
        </w:rPr>
        <w:t>2</w:t>
      </w:r>
      <w:r>
        <w:t>primary battery was developed, which is based on Mn</w:t>
      </w:r>
      <w:r>
        <w:t xml:space="preserve"> </w:t>
      </w:r>
      <w:r>
        <w:t>4+</w:t>
      </w:r>
      <w:r>
        <w:t xml:space="preserve"> </w:t>
      </w:r>
      <w:r>
        <w:t>/Mn</w:t>
      </w:r>
      <w:r>
        <w:t xml:space="preserve"> </w:t>
      </w:r>
      <w:r>
        <w:t>3+</w:t>
      </w:r>
      <w:r>
        <w:t xml:space="preserve"> </w:t>
      </w:r>
      <w:r>
        <w:t>redox reactions (MnO</w:t>
      </w:r>
      <w:r>
        <w:rPr>
          <w:vertAlign w:val="subscript"/>
        </w:rPr>
        <w:t>2</w:t>
      </w:r>
      <w:r>
        <w:t>↔Mn</w:t>
      </w:r>
      <w:r>
        <w:rPr>
          <w:vertAlign w:val="subscript"/>
        </w:rPr>
        <w:t>2</w:t>
      </w:r>
      <w:r>
        <w:t>O</w:t>
      </w:r>
      <w:r>
        <w:rPr>
          <w:vertAlign w:val="subscript"/>
        </w:rPr>
        <w:t>3</w:t>
      </w:r>
      <w:r>
        <w:t>). Subsequently, the single-electron (Mn</w:t>
      </w:r>
      <w:r>
        <w:t xml:space="preserve"> </w:t>
      </w:r>
      <w:r>
        <w:t>3+</w:t>
      </w:r>
      <w:r>
        <w:t xml:space="preserve"> </w:t>
      </w:r>
      <w:r>
        <w:t>/Mn</w:t>
      </w:r>
      <w:r>
        <w:t xml:space="preserve"> </w:t>
      </w:r>
      <w:r>
        <w:t>2+</w:t>
      </w:r>
      <w:r>
        <w:t xml:space="preserve"> </w:t>
      </w:r>
      <w:r>
        <w:t>and Mn</w:t>
      </w:r>
      <w:r>
        <w:t xml:space="preserve"> </w:t>
      </w:r>
      <w:r>
        <w:t>7+</w:t>
      </w:r>
      <w:r>
        <w:t xml:space="preserve"> </w:t>
      </w:r>
      <w:r>
        <w:t>/Mn</w:t>
      </w:r>
      <w:r>
        <w:t xml:space="preserve"> </w:t>
      </w:r>
      <w:r>
        <w:t>6+</w:t>
      </w:r>
      <w:r>
        <w:t xml:space="preserve"> </w:t>
      </w:r>
      <w:r>
        <w:t>) and two-electron (Mn</w:t>
      </w:r>
      <w:r>
        <w:t xml:space="preserve"> </w:t>
      </w:r>
      <w:r>
        <w:t>4+</w:t>
      </w:r>
      <w:r>
        <w:t xml:space="preserve"> </w:t>
      </w:r>
      <w:r>
        <w:t>/Mn</w:t>
      </w:r>
      <w:r>
        <w:t xml:space="preserve"> </w:t>
      </w:r>
      <w:r>
        <w:t>2+</w:t>
      </w:r>
      <w:r>
        <w:t xml:space="preserve"> </w:t>
      </w:r>
      <w:r>
        <w:t>) redox reactions of Mn compound (Mn-Comp) were achieved in aqueous Zn-based batteries. After that, however, the new Mn multivalent change redox reaction was no longer observed. In this study, we report a neutral superhydrophilic hydrogel electrolyte that activates a Mn</w:t>
      </w:r>
      <w:r>
        <w:t xml:space="preserve"> </w:t>
      </w:r>
      <w:r>
        <w:t>2+</w:t>
      </w:r>
      <w:r>
        <w:t xml:space="preserve"> </w:t>
      </w:r>
      <w:r>
        <w:t>/Mn</w:t>
      </w:r>
      <w:r>
        <w:t xml:space="preserve"> </w:t>
      </w:r>
      <w:r>
        <w:t>7+</w:t>
      </w:r>
      <w:r>
        <w:t xml:space="preserve"> </w:t>
      </w:r>
      <w:r>
        <w:t>conversion reaction (Mn</w:t>
      </w:r>
      <w:r>
        <w:t xml:space="preserve"> </w:t>
      </w:r>
      <w:r>
        <w:t>2+</w:t>
      </w:r>
      <w:r>
        <w:t xml:space="preserve"> </w:t>
      </w:r>
      <w:r>
        <w:t>↔MnO</w:t>
      </w:r>
      <w:r>
        <w:rPr>
          <w:vertAlign w:val="subscript"/>
        </w:rPr>
        <w:t>4</w:t>
      </w:r>
      <w:r>
        <w:t>−</w:t>
      </w:r>
      <w:r>
        <w:t>). This advance is attributed to an expanding electrochemical stability window and high Mn</w:t>
      </w:r>
      <w:r>
        <w:t xml:space="preserve"> </w:t>
      </w:r>
      <w:r>
        <w:t>2+</w:t>
      </w:r>
      <w:r>
        <w:t xml:space="preserve"> </w:t>
      </w:r>
      <w:r>
        <w:t>reaction activity. This enables a discharge plateau of ≥2.2 V in aqueous Zn metal batteries. The high reversibility of Mn</w:t>
      </w:r>
      <w:r>
        <w:t xml:space="preserve"> </w:t>
      </w:r>
      <w:r>
        <w:t>2+</w:t>
      </w:r>
      <w:r>
        <w:t xml:space="preserve"> </w:t>
      </w:r>
      <w:r>
        <w:t>/Mn</w:t>
      </w:r>
      <w:r>
        <w:t xml:space="preserve"> </w:t>
      </w:r>
      <w:r>
        <w:t>7+</w:t>
      </w:r>
      <w:r>
        <w:t xml:space="preserve"> </w:t>
      </w:r>
      <w:r>
        <w:t>conversion reactions during cycling was achieved by incorporating chelation groups in the designed hydrogel electrolyte, which effectively stabilizes the MnO</w:t>
      </w:r>
      <w:r>
        <w:rPr>
          <w:vertAlign w:val="subscript"/>
        </w:rPr>
        <w:t>4</w:t>
      </w:r>
      <w:r>
        <w:t>−</w:t>
      </w:r>
      <w:r>
        <w:t>. The aqueous Zn||Mn-Comp battery with a 2.2-V discharge plateau operates stably for ≥360 hours.</w:t>
      </w:r>
    </w:p>
    <w:p>
      <w:pPr>
        <w:spacing w:before="120" w:after="120"/>
      </w:pPr>
      <w:r>
        <w:rPr>
          <w:sz w:val="18"/>
        </w:rPr>
        <w:t>——————————————————————————————————————————————————————————————————————</w:t>
      </w:r>
    </w:p>
    <w:p>
      <w:pPr>
        <w:spacing w:before="160" w:after="40" w:line="240" w:lineRule="auto"/>
      </w:pPr>
      <w:r>
        <w:rPr>
          <w:b/>
        </w:rPr>
        <w:t xml:space="preserve">[7] </w:t>
      </w:r>
      <w:hyperlink r:id="rId86">
        <w:r>
          <w:rPr>
            <w:color w:val="1155CC"/>
            <w:u w:val="single"/>
          </w:rPr>
          <w:t>[ASAP] 硫掺杂Li2OHCl反钙钛矿电解质用于稳定固态锂金属电池中的固态电解质界面</w:t>
        </w:r>
      </w:hyperlink>
    </w:p>
    <w:p>
      <w:pPr>
        <w:spacing w:before="0" w:after="80"/>
      </w:pPr>
      <w:r>
        <w:rPr>
          <w:i/>
          <w:sz w:val="20"/>
        </w:rPr>
        <w:t>EN: [ASAP] Sulfur-Doped Li2OHCl Antiperovskite Electrolyte for Stabilizing the Solid Electrolyte Interphase in Solid-State Lithium-Metal Batteries</w:t>
      </w:r>
    </w:p>
    <w:p>
      <w:pPr>
        <w:spacing w:before="0" w:after="120"/>
      </w:pPr>
      <w:r>
        <w:rPr>
          <w:b/>
        </w:rPr>
        <w:t xml:space="preserve">Source: </w:t>
      </w:r>
      <w:r>
        <w:t>ACS Energy Letters: Latest Articles (ACS Publications)</w:t>
      </w:r>
      <w:r>
        <w:t xml:space="preserve">    </w:t>
      </w:r>
      <w:r>
        <w:rPr>
          <w:b/>
        </w:rPr>
        <w:t xml:space="preserve">Pub date: </w:t>
      </w:r>
      <w:r>
        <w:t>2026-05-06 08:29:08+00:00</w:t>
      </w:r>
      <w:r>
        <w:t xml:space="preserve">    </w:t>
      </w:r>
      <w:r>
        <w:rPr>
          <w:b/>
        </w:rPr>
        <w:t xml:space="preserve">DOI: </w:t>
      </w:r>
      <w:hyperlink r:id="rId87">
        <w:r>
          <w:rPr>
            <w:color w:val="1155CC"/>
            <w:u w:val="single"/>
          </w:rPr>
          <w:t>10.1021/acsenergylett.6c00619</w:t>
        </w:r>
      </w:hyperlink>
    </w:p>
    <w:p>
      <w:pPr>
        <w:spacing w:before="0" w:after="120"/>
      </w:pPr>
      <w:r>
        <w:rPr>
          <w:b/>
        </w:rPr>
        <w:t xml:space="preserve">Notes: </w:t>
      </w:r>
      <w:r>
        <w:t>abstract_source=openalex</w:t>
      </w:r>
    </w:p>
    <w:p>
      <w:pPr>
        <w:spacing w:before="0" w:after="80" w:lineRule="auto" w:line="276"/>
      </w:pPr>
      <w:r>
        <w:rPr>
          <w:b/>
        </w:rPr>
        <w:t xml:space="preserve">摘要（ZH）: </w:t>
      </w:r>
      <w:r>
        <w:t>固态锂金属电池的发展受到Li金属-电解质界面的界面不稳定性和无机电解质中有限的Li+传输的阻碍。富锂反钙钛矿如Li2OHCl具有前景，但受到不明确的SEI化学和不足的离子电导率的影响。在此，首次引入硫掺杂作为一种有针对性的策略，以工程化Li2OHCl的体结构和界面行为。用S2–部分取代O2–引发从正交到立方结构的转变，伴随着晶格畸变和Li–S键的减弱，这共同降低了Li+迁移障碍并增强了离子电导率。此外，硫掺杂驱动在Li2OHCl/Li界面形成富Li2S的固体电解质界面，能够均匀化Li+流量并有效抑制锂枝晶的成核。该工作提供了一种通用的杂原子掺杂策略，以优化LiRAP电解质中体和界面特性，用于先进的固态电池。</w:t>
      </w:r>
    </w:p>
    <w:p>
      <w:pPr>
        <w:spacing w:before="0" w:after="200" w:lineRule="auto" w:line="276"/>
      </w:pPr>
      <w:r>
        <w:rPr>
          <w:b/>
        </w:rPr>
        <w:t xml:space="preserve">Abstract (EN): </w:t>
      </w:r>
      <w:r>
        <w:t>The development of solid-state lithium-metal batteries is hindered by interfacial instability at the Li metal–electrolyte interface and limited Li+ transport in inorganic electrolytes. Lithium-rich antiperovskites such as Li2OHCl are promising but suffer from unclear SEI chemistry and insufficient ionic conductivity. Herein, sulfur doping is introduced for the first time as a targeted strategy to engineer both the bulk structure and interfacial behavior of Li2OHCl. Partial substitution of O2– with S2– induces a transformation from orthorhombic to cubic structure, accompanied by lattice distortion and weakened Li–S bonding, which collectively reduce the Li+ migration barrier and enhance ionic conductivity. Furthermore, sulfur doping drives the formation of a Li2S-rich solid electrolyte interphase at the Li2OHCl/Li interface, enabling homogenized Li+ flux and effective suppression of lithium dendrite nucleation. This work provides a general heteroatom-doping strategy to optimize both bulk and interfacial characteristics in LiRAP electrolytes for advanced solid-state batteries.</w:t>
      </w:r>
    </w:p>
    <w:p>
      <w:pPr>
        <w:spacing w:before="120" w:after="120"/>
      </w:pPr>
      <w:r>
        <w:rPr>
          <w:sz w:val="18"/>
        </w:rPr>
        <w:t>——————————————————————————————————————————————————————————————————————</w:t>
      </w:r>
    </w:p>
    <w:p>
      <w:pPr>
        <w:spacing w:before="160" w:after="40" w:line="240" w:lineRule="auto"/>
      </w:pPr>
      <w:r>
        <w:rPr>
          <w:b/>
        </w:rPr>
        <w:t xml:space="preserve">[8] </w:t>
      </w:r>
      <w:hyperlink r:id="rId88">
        <w:r>
          <w:rPr>
            <w:color w:val="1155CC"/>
            <w:u w:val="single"/>
          </w:rPr>
          <w:t>相行为驱动的氢键工程实现温度耐受的纤维状锌离子电池</w:t>
        </w:r>
      </w:hyperlink>
    </w:p>
    <w:p>
      <w:pPr>
        <w:spacing w:before="0" w:after="80"/>
      </w:pPr>
      <w:r>
        <w:rPr>
          <w:i/>
          <w:sz w:val="20"/>
        </w:rPr>
        <w:t>EN: Phase‐Behavior‐Driven Hydrogen‐Bond Engineering Enables Temperature‐Resilient Fibrous Zinc‐Ion Batteries</w:t>
      </w:r>
    </w:p>
    <w:p>
      <w:pPr>
        <w:spacing w:before="0" w:after="120"/>
      </w:pPr>
      <w:r>
        <w:rPr>
          <w:b/>
        </w:rPr>
        <w:t xml:space="preserve">Source: </w:t>
      </w:r>
      <w:r>
        <w:t>Wiley: Advanced Materials: Table of Contents</w:t>
      </w:r>
      <w:r>
        <w:t xml:space="preserve">    </w:t>
      </w:r>
      <w:r>
        <w:rPr>
          <w:b/>
        </w:rPr>
        <w:t xml:space="preserve">Pub date: </w:t>
      </w:r>
      <w:r>
        <w:t>2026-05-06 08:56:24+00:00</w:t>
      </w:r>
      <w:r>
        <w:t xml:space="preserve">    </w:t>
      </w:r>
      <w:r>
        <w:rPr>
          <w:b/>
        </w:rPr>
        <w:t xml:space="preserve">DOI: </w:t>
      </w:r>
      <w:hyperlink r:id="rId89">
        <w:r>
          <w:rPr>
            <w:color w:val="1155CC"/>
            <w:u w:val="single"/>
          </w:rPr>
          <w:t>10.1002/adma.73246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纤维状能量存储系统是下一代柔性和可穿戴电子产品的核心组件，但其实际应用受到水性电解质的有限温度弹性和机械脆弱的电解质-电极界面的阻碍。在此，我们设计了一种基于羟基丰富的甘油-乙二醇-H2O系统的原位深共晶水凝胶电解质，其中氢键网络被设计用于调节水的化学势和控制相变的自由能景观。强H2O-H2O氢键被转化为电解质中更均匀分布的弱氢键网络，从而降低了低温下冰形成的热力学驱动力，同时抑制了高温下H2O的挥发。同时，原位光聚合使得在电极表面直接形成一致的水凝胶层，提高了界面粘附性并减轻了副反应如氢气析出和锌腐蚀。得益于耦合的热力学和界面调节，Zn||PANI纽扣电池在-50°C至100°C的超宽温度范围内表现出稳定的操作，并在25°C下提供超过10,000次循环寿命，容量保持率为86.71%。纤维状Zn||PANI电池进一步在超过的循环中保持可靠性。</w:t>
      </w:r>
    </w:p>
    <w:p>
      <w:pPr>
        <w:spacing w:before="0" w:after="200" w:lineRule="auto" w:line="276"/>
      </w:pPr>
      <w:r>
        <w:rPr>
          <w:b/>
        </w:rPr>
        <w:t xml:space="preserve">Abstract (EN): </w:t>
      </w:r>
      <w:r>
        <w:t>Fibrous energy‐storage systems serve as a core component in the next‐generation flexible and wearable electronics, yet their practical application is hindered by the limited temperature resilience of aqueous electrolytes and the mechanically fragile electrolyte‐electrode interfaces. Herein, we design an in situ deep‐eutectic hydrogel electrolyte based on a hydroxyl‐rich glycerol‐ethylene glycol‐H</w:t>
      </w:r>
      <w:r>
        <w:rPr>
          <w:vertAlign w:val="subscript"/>
        </w:rPr>
        <w:t>2</w:t>
      </w:r>
      <w:r>
        <w:t>O system, in which the hydrogen‐bond network is engineered to modulate the chemical potential of water and the free‐energy landscape governing phase transitions. Strong H</w:t>
      </w:r>
      <w:r>
        <w:rPr>
          <w:vertAlign w:val="subscript"/>
        </w:rPr>
        <w:t>2</w:t>
      </w:r>
      <w:r>
        <w:t>O‐H</w:t>
      </w:r>
      <w:r>
        <w:rPr>
          <w:vertAlign w:val="subscript"/>
        </w:rPr>
        <w:t>2</w:t>
      </w:r>
      <w:r>
        <w:t>O H‐bonds are converted into a more uniformly distributed weak H‐bond network in the electrolyte, thereby reducing the thermodynamic driving force for ice formation at low temperatures while suppressing H</w:t>
      </w:r>
      <w:r>
        <w:rPr>
          <w:vertAlign w:val="subscript"/>
        </w:rPr>
        <w:t>2</w:t>
      </w:r>
      <w:r>
        <w:t>O volatilization at elevated temperatures. Meanwhile, in situ photopolymerization enables the direct formation of a conformal hydrogel layer on the electrode surface, improving interfacial adhesion and mitigating parasitic reactions such as hydrogen evolution and Zn corrosion. Benefiting from the coupled thermodynamic and interfacial regulation, Zn||PANI coin cell exhibits stable operation over an ultrawide temperature range of −50°C–100°C and delivers a cycling life exceeding 10 000 cycles with 86.71% capacity retention at 25°C. A fibrous Zn||PANI cell further maintains reliable cycling for over 500 cycles at −25°C, demonstrating the applicability of this strategy for temperature‐resilient wearable energy‐storage systems.</w:t>
      </w:r>
    </w:p>
    <w:p>
      <w:pPr>
        <w:spacing w:before="120" w:after="120"/>
      </w:pPr>
      <w:r>
        <w:rPr>
          <w:sz w:val="18"/>
        </w:rPr>
        <w:t>——————————————————————————————————————————————————————————————————————</w:t>
      </w:r>
    </w:p>
    <w:p>
      <w:pPr>
        <w:spacing w:before="160" w:after="40" w:line="240" w:lineRule="auto"/>
      </w:pPr>
      <w:r>
        <w:rPr>
          <w:b/>
        </w:rPr>
        <w:t xml:space="preserve">[9] </w:t>
      </w:r>
      <w:hyperlink r:id="rId90">
        <w:r>
          <w:rPr>
            <w:color w:val="1155CC"/>
            <w:u w:val="single"/>
          </w:rPr>
          <w:t>一种50 µm厚的纤维增强氟化聚合物塑料晶体电解质，实现高离子电导率和电压稳定性，用于先进的固态钠电池</w:t>
        </w:r>
      </w:hyperlink>
    </w:p>
    <w:p>
      <w:pPr>
        <w:spacing w:before="0" w:after="80"/>
      </w:pPr>
      <w:r>
        <w:rPr>
          <w:i/>
          <w:sz w:val="20"/>
        </w:rPr>
        <w:t>EN: A 50 µm‐Thick Fiber‐Reinforced Fluorinated Polymer Plastic Crystal Electrolyte Enabling High Ionic Conductivity and Voltage Stability for Advanced Solid‐State Sodium Batteries</w:t>
      </w:r>
    </w:p>
    <w:p>
      <w:pPr>
        <w:spacing w:before="0" w:after="120"/>
      </w:pPr>
      <w:r>
        <w:rPr>
          <w:b/>
        </w:rPr>
        <w:t xml:space="preserve">Source: </w:t>
      </w:r>
      <w:r>
        <w:t>Wiley: Advanced Energy Materials: Table of Contents</w:t>
      </w:r>
      <w:r>
        <w:t xml:space="preserve">    </w:t>
      </w:r>
      <w:r>
        <w:rPr>
          <w:b/>
        </w:rPr>
        <w:t xml:space="preserve">Pub date: </w:t>
      </w:r>
      <w:r>
        <w:t>2026-05-06 09:01:54+00:00</w:t>
      </w:r>
      <w:r>
        <w:t xml:space="preserve">    </w:t>
      </w:r>
      <w:r>
        <w:rPr>
          <w:b/>
        </w:rPr>
        <w:t xml:space="preserve">DOI: </w:t>
      </w:r>
      <w:hyperlink r:id="rId91">
        <w:r>
          <w:rPr>
            <w:color w:val="1155CC"/>
            <w:u w:val="single"/>
          </w:rPr>
          <w:t>10.1002/aenm.71026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低室温导电性、窄电化学稳定窗口和不足的机械强度限制了固态聚合物电解质在固态钠金属电池（SMBs）中的进一步应用。在此，我们报道了一种通过原位聚合制备的50 µm厚纤维增强氟化聚合物塑料晶体电解质（PPCE）。氟化聚合物有效地破坏了塑料晶体的有序结构，从而增加了提供快速Na+传输路径的无定形相的比例。同时，聚合物中的氟烃和醚单元削弱了其与Na+的结合能，促进了Na+的解离，实现了高室温导电性（2.34 mS cm−1）。此外，富氟基团增强了PPCE的抗氧化性，并提供了一个稳固的无机富氟界面，稳定了电极/电解质界面并扩展了高电压耐受性（4.83 V）。34 µm厚的聚乙烯纤维增强基材（抗拉强度：8.50 MPa）和共聚物骨架的整合提供了关键的机械支持。当与包括Na3V4(PO4)3在内的各种阴极配对时，Prus</w:t>
      </w:r>
    </w:p>
    <w:p>
      <w:pPr>
        <w:spacing w:before="0" w:after="200" w:lineRule="auto" w:line="276"/>
      </w:pPr>
      <w:r>
        <w:rPr>
          <w:b/>
        </w:rPr>
        <w:t xml:space="preserve">Abstract (EN): </w:t>
      </w:r>
      <w:r>
        <w:t>Low room‐temperature conductivity, narrow electrochemical stability window, and insufficient mechanical strength restrict the further application of solid polymer electrolytes in solid‐state sodium metal batteries (SMBs). Here, we reported a 50 µm‐thick fiber‐reinforced fluorinated polymer plastic crystal electrolyte (PPCE) prepared via in‐situ polymerization. The fluorinated polymer effectively disrupts the ordered structure of the plastic crystal, thus increasing the proportion of amorphous phase that provides rapid Na</w:t>
      </w:r>
      <w:r>
        <w:t xml:space="preserve"> </w:t>
      </w:r>
      <w:r>
        <w:t>+</w:t>
      </w:r>
      <w:r>
        <w:t xml:space="preserve"> </w:t>
      </w:r>
      <w:r>
        <w:t>transport pathways. Meanwhile, the fluorohydrocarbon and ether units within polymer weaken its binding energy with Na</w:t>
      </w:r>
      <w:r>
        <w:t xml:space="preserve"> </w:t>
      </w:r>
      <w:r>
        <w:t>+</w:t>
      </w:r>
      <w:r>
        <w:t xml:space="preserve"> </w:t>
      </w:r>
      <w:r>
        <w:t>, which facilitates Na</w:t>
      </w:r>
      <w:r>
        <w:t xml:space="preserve"> </w:t>
      </w:r>
      <w:r>
        <w:t>+</w:t>
      </w:r>
      <w:r>
        <w:t xml:space="preserve"> </w:t>
      </w:r>
      <w:r>
        <w:t>dissociation and achieves high room‐temperature conductivity (2.34 mS cm</w:t>
      </w:r>
      <w:r>
        <w:t xml:space="preserve"> </w:t>
      </w:r>
      <w:r>
        <w:t>−</w:t>
      </w:r>
      <w:r>
        <w:rPr>
          <w:vertAlign w:val="subscript"/>
        </w:rPr>
        <w:t>1</w:t>
      </w:r>
      <w:r>
        <w:t>). Furthermore, the fluorine‐rich groups enhance PPCE's oxidation resistance and deliver a robust, inorganic F‐rich interphase, which stabilize the electrode/electrolyte interface and extend high‐voltage tolerance (4.83 V). The integration of a 34 µm‐thick polyethylene fiber‐reinforced substrate (tensile strength: 8.50 MPa) and the copolymer skeleton provides critical mechanical support. When paired with various cathodes, including Na</w:t>
      </w:r>
      <w:r>
        <w:rPr>
          <w:vertAlign w:val="subscript"/>
        </w:rPr>
        <w:t>3</w:t>
      </w:r>
      <w:r>
        <w:t>V</w:t>
      </w:r>
      <w:r>
        <w:rPr>
          <w:vertAlign w:val="subscript"/>
        </w:rPr>
        <w:t>4</w:t>
      </w:r>
      <w:r>
        <w:t>(PO</w:t>
      </w:r>
      <w:r>
        <w:rPr>
          <w:vertAlign w:val="subscript"/>
        </w:rPr>
        <w:t>4</w:t>
      </w:r>
      <w:r>
        <w:t>)</w:t>
      </w:r>
      <w:r>
        <w:rPr>
          <w:vertAlign w:val="subscript"/>
        </w:rPr>
        <w:t>3</w:t>
      </w:r>
      <w:r>
        <w:t>, Prussian white, Na</w:t>
      </w:r>
      <w:r>
        <w:rPr>
          <w:vertAlign w:val="subscript"/>
        </w:rPr>
        <w:t>3</w:t>
      </w:r>
      <w:r>
        <w:t>V</w:t>
      </w:r>
      <w:r>
        <w:rPr>
          <w:vertAlign w:val="subscript"/>
        </w:rPr>
        <w:t>2</w:t>
      </w:r>
      <w:r>
        <w:t>(PO</w:t>
      </w:r>
      <w:r>
        <w:rPr>
          <w:vertAlign w:val="subscript"/>
        </w:rPr>
        <w:t>4</w:t>
      </w:r>
      <w:r>
        <w:t>)</w:t>
      </w:r>
      <w:r>
        <w:rPr>
          <w:vertAlign w:val="subscript"/>
        </w:rPr>
        <w:t>2</w:t>
      </w:r>
      <w:r>
        <w:t>F</w:t>
      </w:r>
      <w:r>
        <w:rPr>
          <w:vertAlign w:val="subscript"/>
        </w:rPr>
        <w:t>3</w:t>
      </w:r>
      <w:r>
        <w:t>, or NaNi</w:t>
      </w:r>
      <w:r>
        <w:t xml:space="preserve"> </w:t>
      </w:r>
      <w:r>
        <w:t>0.33</w:t>
      </w:r>
      <w:r>
        <w:t xml:space="preserve"> </w:t>
      </w:r>
      <w:r>
        <w:t>Fe</w:t>
      </w:r>
      <w:r>
        <w:t xml:space="preserve"> </w:t>
      </w:r>
      <w:r>
        <w:t>0.33</w:t>
      </w:r>
      <w:r>
        <w:t xml:space="preserve"> </w:t>
      </w:r>
      <w:r>
        <w:t>Mn</w:t>
      </w:r>
      <w:r>
        <w:t xml:space="preserve"> </w:t>
      </w:r>
      <w:r>
        <w:t>0.33</w:t>
      </w:r>
      <w:r>
        <w:t xml:space="preserve"> </w:t>
      </w:r>
      <w:r>
        <w:t>O</w:t>
      </w:r>
      <w:r>
        <w:rPr>
          <w:vertAlign w:val="subscript"/>
        </w:rPr>
        <w:t>2</w:t>
      </w:r>
      <w:r>
        <w:t>, the cells deliver high capacity, stable cyclability, and excellent rate performance. This work demonstrates a highly compatible and robust PPCE design, highlighting its broad application prospects in advanced solid‐state sodium batteries.</w:t>
      </w:r>
    </w:p>
    <w:p>
      <w:pPr>
        <w:spacing w:before="120" w:after="120"/>
      </w:pPr>
      <w:r>
        <w:rPr>
          <w:sz w:val="18"/>
        </w:rPr>
        <w:t>——————————————————————————————————————————————————————————————————————</w:t>
      </w:r>
    </w:p>
    <w:p>
      <w:pPr>
        <w:spacing w:before="160" w:after="40" w:line="240" w:lineRule="auto"/>
      </w:pPr>
      <w:r>
        <w:rPr>
          <w:b/>
        </w:rPr>
        <w:t xml:space="preserve">[10] </w:t>
      </w:r>
      <w:hyperlink r:id="rId92">
        <w:r>
          <w:rPr>
            <w:color w:val="1155CC"/>
            <w:u w:val="single"/>
          </w:rPr>
          <w:t>盐中盐介导的弱溶剂电解质实现快速充电和宽温度锂离子电池</w:t>
        </w:r>
      </w:hyperlink>
    </w:p>
    <w:p>
      <w:pPr>
        <w:spacing w:before="0" w:after="80"/>
      </w:pPr>
      <w:r>
        <w:rPr>
          <w:i/>
          <w:sz w:val="20"/>
        </w:rPr>
        <w:t>EN: Salt‐in‐Salt Mediated Weak‐Solvent Electrolyte Enabling Fast‐Charging and Wide‐Temperature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2026-05-06 09:34:05+00:00</w:t>
      </w:r>
      <w:r>
        <w:t xml:space="preserve">    </w:t>
      </w:r>
      <w:r>
        <w:rPr>
          <w:b/>
        </w:rPr>
        <w:t xml:space="preserve">DOI: </w:t>
      </w:r>
      <w:hyperlink r:id="rId93">
        <w:r>
          <w:rPr>
            <w:color w:val="1155CC"/>
            <w:u w:val="single"/>
          </w:rPr>
          <w:t>10.1002/anie.7451200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实现尖晶石LiNi</w:t>
      </w:r>
      <w:r>
        <w:t xml:space="preserve"> </w:t>
      </w:r>
      <w:r>
        <w:t>0.5</w:t>
      </w:r>
      <w:r>
        <w:t xml:space="preserve"> </w:t>
      </w:r>
      <w:r>
        <w:t>Mn</w:t>
      </w:r>
      <w:r>
        <w:t xml:space="preserve"> </w:t>
      </w:r>
      <w:r>
        <w:t>1.5</w:t>
      </w:r>
      <w:r>
        <w:t xml:space="preserve"> </w:t>
      </w:r>
      <w:r>
        <w:t>O</w:t>
      </w:r>
      <w:r>
        <w:rPr>
          <w:vertAlign w:val="subscript"/>
        </w:rPr>
        <w:t>4</w:t>
      </w:r>
      <w:r>
        <w:t>（LNMO）正极的实际应用需要具有快速充电能力和宽温度适应性的电解质，而传统电解质由于高电压稳定性不足、离子传输缓慢和界面不稳定而缺乏这些特性。在此，我们提出了一种盐中盐介导的“强弱协同”策略用于氟化弱溶剂电解质（WSEs），与传统的醚基或单组分WSEs不同。利用Mg(TFSI)</w:t>
      </w:r>
      <w:r>
        <w:rPr>
          <w:vertAlign w:val="subscript"/>
        </w:rPr>
        <w:t>2</w:t>
      </w:r>
      <w:r>
        <w:t>中Mg</w:t>
      </w:r>
      <w:r>
        <w:t xml:space="preserve"> </w:t>
      </w:r>
      <w:r>
        <w:t>2+</w:t>
      </w:r>
      <w:r>
        <w:t xml:space="preserve"> </w:t>
      </w:r>
      <w:r>
        <w:t>的中等路易斯酸性，我们促进LiDFOB解离以丰富阴离子富集接触离子对/聚集体（CIP/AGG）溶剂化结构，同时诱导对Li</w:t>
      </w:r>
      <w:r>
        <w:t xml:space="preserve"> </w:t>
      </w:r>
      <w:r>
        <w:t>+</w:t>
      </w:r>
      <w:r>
        <w:t xml:space="preserve"> </w:t>
      </w:r>
      <w:r>
        <w:t>协调溶剂/阴离子的“拖拽”效应，以协同加速Li</w:t>
      </w:r>
      <w:r>
        <w:t xml:space="preserve"> </w:t>
      </w:r>
      <w:r>
        <w:t>+</w:t>
      </w:r>
      <w:r>
        <w:t xml:space="preserve"> </w:t>
      </w:r>
      <w:r>
        <w:t>脱溶。值得注意的是，来自无机MgF</w:t>
      </w:r>
      <w:r>
        <w:rPr>
          <w:vertAlign w:val="subscript"/>
        </w:rPr>
        <w:t>2</w:t>
      </w:r>
      <w:r>
        <w:t>的Mg</w:t>
      </w:r>
      <w:r>
        <w:t xml:space="preserve"> </w:t>
      </w:r>
      <w:r>
        <w:t>2+</w:t>
      </w:r>
      <w:r>
        <w:t xml:space="preserve"> </w:t>
      </w:r>
      <w:r>
        <w:t>动态捕获界面阴离子，指导形成薄而坚固的无机CEI。该双重调控机制同时优化了体相电解质离子传导和界面稳定性，克服了传统WSEs中氧化抗性差和动力学缓慢的固有限制。因此，LNMO||Li电池表现出</w:t>
      </w:r>
    </w:p>
    <w:p>
      <w:pPr>
        <w:spacing w:before="0" w:after="200" w:lineRule="auto" w:line="276"/>
      </w:pPr>
      <w:r>
        <w:rPr>
          <w:b/>
        </w:rPr>
        <w:t xml:space="preserve">Abstract (EN): </w:t>
      </w:r>
      <w:r>
        <w:t>Realizing the practical application of spinel LiNi</w:t>
      </w:r>
      <w:r>
        <w:t xml:space="preserve"> </w:t>
      </w:r>
      <w:r>
        <w:t>0.5</w:t>
      </w:r>
      <w:r>
        <w:t xml:space="preserve"> </w:t>
      </w:r>
      <w:r>
        <w:t>Mn</w:t>
      </w:r>
      <w:r>
        <w:t xml:space="preserve"> </w:t>
      </w:r>
      <w:r>
        <w:t>1.5</w:t>
      </w:r>
      <w:r>
        <w:t xml:space="preserve"> </w:t>
      </w:r>
      <w:r>
        <w:t>O</w:t>
      </w:r>
      <w:r>
        <w:rPr>
          <w:vertAlign w:val="subscript"/>
        </w:rPr>
        <w:t>4</w:t>
      </w:r>
      <w:r>
        <w:t>(LNMO) cathodes requires electrolytes with fast‐charging capability and wide‐temperature adaptability, which conventional electrolytes lack due to insufficient high‐voltage stability, sluggish ion transport, and unstable interphases. Herein, we propose a salt‐in‐salt mediated “strong‐weak synergy” strategy for fluorinated weakly solvating electrolytes (WSEs), distinct from conventional ether‐based or single‐component WSEs. Harnessing the moderate Lewis acidity of Mg</w:t>
      </w:r>
      <w:r>
        <w:t xml:space="preserve"> </w:t>
      </w:r>
      <w:r>
        <w:t>2+</w:t>
      </w:r>
      <w:r>
        <w:t xml:space="preserve"> </w:t>
      </w:r>
      <w:r>
        <w:t>from Mg(TFSI)</w:t>
      </w:r>
      <w:r>
        <w:rPr>
          <w:vertAlign w:val="subscript"/>
        </w:rPr>
        <w:t>2</w:t>
      </w:r>
      <w:r>
        <w:t>, we promote LiDFOB dissociation to enrich anion‐rich contact ion pair/aggregate (CIP/AGG) solvation structures, while concurrently inducing a “drag” effect on Li</w:t>
      </w:r>
      <w:r>
        <w:t xml:space="preserve"> </w:t>
      </w:r>
      <w:r>
        <w:t>+</w:t>
      </w:r>
      <w:r>
        <w:t xml:space="preserve"> </w:t>
      </w:r>
      <w:r>
        <w:t>‐coordinated solvents/anions to synergistically accelerate Li</w:t>
      </w:r>
      <w:r>
        <w:t xml:space="preserve"> </w:t>
      </w:r>
      <w:r>
        <w:t>+</w:t>
      </w:r>
      <w:r>
        <w:t xml:space="preserve"> </w:t>
      </w:r>
      <w:r>
        <w:t>desolvation. Notably, Mg</w:t>
      </w:r>
      <w:r>
        <w:t xml:space="preserve"> </w:t>
      </w:r>
      <w:r>
        <w:t>2+</w:t>
      </w:r>
      <w:r>
        <w:t xml:space="preserve"> </w:t>
      </w:r>
      <w:r>
        <w:t>from inorganic MgF</w:t>
      </w:r>
      <w:r>
        <w:rPr>
          <w:vertAlign w:val="subscript"/>
        </w:rPr>
        <w:t>2</w:t>
      </w:r>
      <w:r>
        <w:t>dynamically captures interfacial anions, directing the formation of a thin, robust inorganic CEI. This dual‐regulation mechanism simultaneously optimizes bulk electrolyte ion conduction and interfacial stability, overcoming the intrinsic limitations of poor oxidation resistance and sluggish kinetics in traditional WSEs. Consequently, LNMO||Li cells exhibit exceptional fast‐charging capability and cycling stability across a wide temperature range (–30 to 70°C), with pouch cells retaining 88.9% capacity after 400 stable cycles. The developed electrolyte also exhibits non‐flammability and broad compatibility for nickel‐rich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 LiNi</w:t>
      </w:r>
      <w:r>
        <w:t xml:space="preserve"> </w:t>
      </w:r>
      <w:r>
        <w:t>0.92</w:t>
      </w:r>
      <w:r>
        <w:t xml:space="preserve"> </w:t>
      </w:r>
      <w:r>
        <w:t>Co</w:t>
      </w:r>
      <w:r>
        <w:t xml:space="preserve"> </w:t>
      </w:r>
      <w:r>
        <w:t>0.06</w:t>
      </w:r>
      <w:r>
        <w:t xml:space="preserve"> </w:t>
      </w:r>
      <w:r>
        <w:t>Mn</w:t>
      </w:r>
      <w:r>
        <w:t xml:space="preserve"> </w:t>
      </w:r>
      <w:r>
        <w:t>0.02</w:t>
      </w:r>
      <w:r>
        <w:t xml:space="preserve"> </w:t>
      </w:r>
      <w:r>
        <w:t>O</w:t>
      </w:r>
      <w:r>
        <w:rPr>
          <w:vertAlign w:val="subscript"/>
        </w:rPr>
        <w:t>2</w:t>
      </w:r>
      <w:r>
        <w:t>and olivine‐type LiFePO</w:t>
      </w:r>
      <w:r>
        <w:rPr>
          <w:vertAlign w:val="subscript"/>
        </w:rPr>
        <w:t>4</w:t>
      </w:r>
      <w:r>
        <w:t>cathodes. This work offers fundamental insights into solvation chemistry and interfacial engineering toward safe, high‐performance lithium‐ion batteries.</w:t>
      </w:r>
    </w:p>
    <w:p>
      <w:pPr>
        <w:spacing w:before="120" w:after="120"/>
      </w:pPr>
      <w:r>
        <w:rPr>
          <w:sz w:val="18"/>
        </w:rPr>
        <w:t>——————————————————————————————————————————————————————————————————————</w:t>
      </w:r>
    </w:p>
    <w:p>
      <w:pPr>
        <w:spacing w:before="160" w:after="40" w:line="240" w:lineRule="auto"/>
      </w:pPr>
      <w:r>
        <w:rPr>
          <w:b/>
        </w:rPr>
        <w:t xml:space="preserve">[11] </w:t>
      </w:r>
      <w:hyperlink r:id="rId94">
        <w:r>
          <w:rPr>
            <w:color w:val="1155CC"/>
            <w:u w:val="single"/>
          </w:rPr>
          <w:t>通过水凝胶电解质中的机械-离子耦合耗散实现的应变弹性锌离子电池</w:t>
        </w:r>
      </w:hyperlink>
    </w:p>
    <w:p>
      <w:pPr>
        <w:spacing w:before="0" w:after="80"/>
      </w:pPr>
      <w:r>
        <w:rPr>
          <w:i/>
          <w:sz w:val="20"/>
        </w:rPr>
        <w:t>EN: Strain-resilient zinc-ion batteries enabled by mechanical-ionic coupled dissipation in hydrogel electrolyte</w:t>
      </w:r>
    </w:p>
    <w:p>
      <w:pPr>
        <w:spacing w:before="0" w:after="120"/>
      </w:pPr>
      <w:r>
        <w:rPr>
          <w:b/>
        </w:rPr>
        <w:t xml:space="preserve">Source: </w:t>
      </w:r>
      <w:r>
        <w:t>Matter</w:t>
      </w:r>
      <w:r>
        <w:t xml:space="preserve">    </w:t>
      </w:r>
      <w:r>
        <w:rPr>
          <w:b/>
        </w:rPr>
        <w:t xml:space="preserve">Pub date: </w:t>
      </w:r>
      <w:r>
        <w:t>2026-05-07 00:00:00+00:00</w:t>
      </w:r>
      <w:r>
        <w:t xml:space="preserve">    </w:t>
      </w:r>
      <w:r>
        <w:rPr>
          <w:b/>
        </w:rPr>
        <w:t xml:space="preserve">DOI: </w:t>
      </w:r>
      <w:hyperlink r:id="rId95">
        <w:r>
          <w:rPr>
            <w:color w:val="1155CC"/>
            <w:u w:val="single"/>
          </w:rPr>
          <w:t>10.1016/j.matt.2026.102816</w:t>
        </w:r>
      </w:hyperlink>
    </w:p>
    <w:p>
      <w:pPr>
        <w:spacing w:before="0" w:after="120"/>
      </w:pPr>
      <w:r>
        <w:rPr>
          <w:b/>
        </w:rPr>
        <w:t xml:space="preserve">Notes: </w:t>
      </w:r>
      <w:r>
        <w:t>abstract_source=rss_cell</w:t>
      </w:r>
    </w:p>
    <w:p>
      <w:pPr>
        <w:spacing w:before="0" w:after="80" w:lineRule="auto" w:line="276"/>
      </w:pPr>
      <w:r>
        <w:rPr>
          <w:b/>
        </w:rPr>
        <w:t xml:space="preserve">摘要（ZH）: </w:t>
      </w:r>
      <w:r>
        <w:t>HEs的机械强度和离子电导率之间的权衡限制了其在ZIBs中的应用。通过构建ZnXP凝胶提出了一种耦合补偿策略，该策略协同增强了机械耗散和Zn2+传输，同时破坏了电解质内在的氢键，以实现ZIBs的持久可逆性。</w:t>
      </w:r>
    </w:p>
    <w:p>
      <w:pPr>
        <w:spacing w:before="0" w:after="200" w:lineRule="auto" w:line="276"/>
      </w:pPr>
      <w:r>
        <w:rPr>
          <w:b/>
        </w:rPr>
        <w:t xml:space="preserve">Abstract (EN): </w:t>
      </w:r>
      <w:r>
        <w:t>The trade-off between mechanical strength and ionic conductivity of HEs limits their application in ZIBs. A coupled compensation strategy is proposed via the construction of ZnXP gel, which synergistically enhances mechanical dissipation and Zn2+ transport while disrupting the intrinsic H-bonds within the electrolyte to achieve long-lasting reversibility of ZIBs.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96">
        <w:r>
          <w:rPr>
            <w:color w:val="1155CC"/>
            <w:u w:val="single"/>
          </w:rPr>
          <w:t>电动汽车能源管理的AI驱动电池智能：提高安全性、性能和寿命的策略——综述</w:t>
        </w:r>
      </w:hyperlink>
    </w:p>
    <w:p>
      <w:pPr>
        <w:spacing w:before="0" w:after="80"/>
      </w:pPr>
      <w:r>
        <w:rPr>
          <w:i/>
          <w:sz w:val="20"/>
        </w:rPr>
        <w:t>EN: AI-driven battery intelligence for energy management in electric vehicles: Strategies to enhance safety, performance, and lifetime — A review</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7">
        <w:r>
          <w:rPr>
            <w:color w:val="1155CC"/>
            <w:u w:val="single"/>
          </w:rPr>
          <w:t>基于阻抗建模的锂离子电池锂沉积在线检测</w:t>
        </w:r>
      </w:hyperlink>
    </w:p>
    <w:p>
      <w:pPr>
        <w:spacing w:before="0" w:after="80"/>
      </w:pPr>
      <w:r>
        <w:rPr>
          <w:i/>
          <w:sz w:val="20"/>
        </w:rPr>
        <w:t>EN: Impedance modeling-based online detection of lithium plating in lithium-ion batteries</w:t>
      </w:r>
    </w:p>
    <w:p>
      <w:pPr>
        <w:spacing w:before="0" w:after="120"/>
      </w:pPr>
      <w:r>
        <w:rPr>
          <w:b/>
        </w:rPr>
        <w:t xml:space="preserve">Source: </w:t>
      </w:r>
      <w:r>
        <w:t>ScienceDirect Publication: Applied Energy</w:t>
      </w:r>
      <w:r>
        <w:t xml:space="preserve">    </w:t>
      </w:r>
      <w:r>
        <w:rPr>
          <w:b/>
        </w:rPr>
        <w:t xml:space="preserve">Pub date: </w:t>
      </w:r>
      <w:r>
        <w:t>2026-05-05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8">
        <w:r>
          <w:rPr>
            <w:color w:val="1155CC"/>
            <w:u w:val="single"/>
          </w:rPr>
          <w:t>[ASAP] 锂电池的安全性：从材料到大格式电池的机制差距分析</w:t>
        </w:r>
      </w:hyperlink>
    </w:p>
    <w:p>
      <w:pPr>
        <w:spacing w:before="0" w:after="80"/>
      </w:pPr>
      <w:r>
        <w:rPr>
          <w:i/>
          <w:sz w:val="20"/>
        </w:rPr>
        <w:t>EN: [ASAP] Safety of Lithium Batteries: Mechanistic Gap Analysis from Materials to Large-Format Cells</w:t>
      </w:r>
    </w:p>
    <w:p>
      <w:pPr>
        <w:spacing w:before="0" w:after="120"/>
      </w:pPr>
      <w:r>
        <w:rPr>
          <w:b/>
        </w:rPr>
        <w:t xml:space="preserve">Source: </w:t>
      </w:r>
      <w:r>
        <w:t>ACS Energy Letters: Latest Articles (ACS Publications)</w:t>
      </w:r>
      <w:r>
        <w:t xml:space="preserve">    </w:t>
      </w:r>
      <w:r>
        <w:rPr>
          <w:b/>
        </w:rPr>
        <w:t xml:space="preserve">Pub date: </w:t>
      </w:r>
      <w:r>
        <w:t>2026-05-05 09:39:46+00:00</w:t>
      </w:r>
      <w:r>
        <w:t xml:space="preserve">    </w:t>
      </w:r>
      <w:r>
        <w:rPr>
          <w:b/>
        </w:rPr>
        <w:t xml:space="preserve">DOI: </w:t>
      </w:r>
      <w:hyperlink r:id="rId99">
        <w:r>
          <w:rPr>
            <w:color w:val="1155CC"/>
            <w:u w:val="single"/>
          </w:rPr>
          <w:t>10.1021/acsenergylett.6c00637</w:t>
        </w:r>
      </w:hyperlink>
    </w:p>
    <w:p>
      <w:pPr>
        <w:spacing w:before="0" w:after="120"/>
      </w:pPr>
      <w:r>
        <w:rPr>
          <w:b/>
        </w:rPr>
        <w:t xml:space="preserve">Notes: </w:t>
      </w:r>
      <w:r>
        <w:t>abstract_source=openalex</w:t>
      </w:r>
    </w:p>
    <w:p>
      <w:pPr>
        <w:spacing w:before="0" w:after="80" w:lineRule="auto" w:line="276"/>
      </w:pPr>
      <w:r>
        <w:rPr>
          <w:b/>
        </w:rPr>
        <w:t xml:space="preserve">摘要（ZH）: </w:t>
      </w:r>
      <w:r>
        <w:t>热失控（TR）仍然是商业电池中最关键的失效模式，但其在大尺寸电池中的启动和传播并未被传统的材料和纽扣电池级测试充分捕捉。我们进行了一项机制差距分析，并确定了限制TR行为跨长度尺度外推的三个主要因素：细胞内热量和质量传输、气体排放和喷射动力学，以及在现实操作条件下的降解。锂离子和固态化学的比较表明，架构驱动的异质性、界面不稳定性和尺度依赖的传输从根本上影响了电池级的TR动态。虽然常用的热表征技术提供了对内在反应性的洞察，但它们未能考虑架构特定的影响，包括电极串扰、压力积累和空间不均匀的电化学老化。我们提出了一个分层的、基于物理的安全框架，将多尺度实验与机制建模相结合，强调需要跨尺度诊断、验证的模拟和标准化的安全指标，以指导更安全、能量密集系统的设计。</w:t>
      </w:r>
    </w:p>
    <w:p>
      <w:pPr>
        <w:spacing w:before="0" w:after="200" w:lineRule="auto" w:line="276"/>
      </w:pPr>
      <w:r>
        <w:rPr>
          <w:b/>
        </w:rPr>
        <w:t xml:space="preserve">Abstract (EN): </w:t>
      </w:r>
      <w:r>
        <w:t>Thermal runaway (TR) remains the most critical failure mode in commercial batteries, yet its initiation and propagation in large-format cells are not adequately captured by conventional material- and coin cell-level tests. We conduct a mechanistic gap analysis and identify three primary factors that limit the extrapolation of TR behavior across length scales: intracellular heat and mass transport, gas venting and ejecta dynamics, and degradation under realistic operating conditions. A comparison of lithium-ion and solid-state chemistries demonstrates that architecture-driven heterogeneity, interfacial instability, and scale-dependent transport fundamentally influence TR dynamics at the cell level. While commonly used thermal characterization techniques provide insight into intrinsic reactivity, they fail to account for architecture-specific effects, including electrode crosstalk, pressure buildup, and spatially nonuniform electrochemical aging. We propose a hierarchical, physics-informed safety framework that integrates multiscale experiments with mechanistic modeling, emphasizing the need for cross-scale diagnostics, validated simulations, and standardized safety metrics to guide the design of safer, energy-dense systems.</w:t>
      </w:r>
    </w:p>
    <w:p>
      <w:pPr>
        <w:spacing w:before="120" w:after="120"/>
      </w:pPr>
      <w:r>
        <w:rPr>
          <w:sz w:val="18"/>
        </w:rPr>
        <w:t>——————————————————————————————————————————————————————————————————————</w:t>
      </w:r>
    </w:p>
    <w:p>
      <w:pPr>
        <w:spacing w:before="160" w:after="40" w:line="240" w:lineRule="auto"/>
      </w:pPr>
      <w:r>
        <w:rPr>
          <w:b/>
        </w:rPr>
        <w:t xml:space="preserve">[4] </w:t>
      </w:r>
      <w:hyperlink r:id="rId100">
        <w:r>
          <w:rPr>
            <w:color w:val="1155CC"/>
            <w:u w:val="single"/>
          </w:rPr>
          <w:t>战略性扩展生产者责任可以使中国的正式电动汽车电池回收量翻倍，并提高可持续性</w:t>
        </w:r>
      </w:hyperlink>
    </w:p>
    <w:p>
      <w:pPr>
        <w:spacing w:before="0" w:after="80"/>
      </w:pPr>
      <w:r>
        <w:rPr>
          <w:i/>
          <w:sz w:val="20"/>
        </w:rPr>
        <w:t>EN: Strategic extended producer responsibility can double China’s formal electric vehicle battery recycling with improved sustainability</w:t>
      </w:r>
    </w:p>
    <w:p>
      <w:pPr>
        <w:spacing w:before="0" w:after="120"/>
      </w:pPr>
      <w:r>
        <w:rPr>
          <w:b/>
        </w:rPr>
        <w:t xml:space="preserve">Source: </w:t>
      </w:r>
      <w:r>
        <w:t>One Earth</w:t>
      </w:r>
      <w:r>
        <w:t xml:space="preserve">    </w:t>
      </w:r>
      <w:r>
        <w:rPr>
          <w:b/>
        </w:rPr>
        <w:t xml:space="preserve">Pub date: </w:t>
      </w:r>
      <w:r>
        <w:t>2026-05-06 00:00:00+00:00</w:t>
      </w:r>
      <w:r>
        <w:t xml:space="preserve">    </w:t>
      </w:r>
      <w:r>
        <w:rPr>
          <w:b/>
        </w:rPr>
        <w:t xml:space="preserve">DOI: </w:t>
      </w:r>
      <w:hyperlink r:id="rId101">
        <w:r>
          <w:rPr>
            <w:color w:val="1155CC"/>
            <w:u w:val="single"/>
          </w:rPr>
          <w:t>10.1016/j.oneear.2026.101701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02">
        <w:r>
          <w:rPr>
            <w:color w:val="1155CC"/>
            <w:u w:val="single"/>
          </w:rPr>
          <w:t>[ASAP] 用于陶瓷涂层隔膜的离子捕获粘合剂以抑制NCM811电池中的过渡金属交叉</w:t>
        </w:r>
      </w:hyperlink>
    </w:p>
    <w:p>
      <w:pPr>
        <w:spacing w:before="0" w:after="80"/>
      </w:pPr>
      <w:r>
        <w:rPr>
          <w:i/>
          <w:sz w:val="20"/>
        </w:rPr>
        <w:t>EN: [ASAP] Ion-Trapping Binder for Ceramic-Coated Separators to Suppress Transition Metal Crossover in NCM811 Batteries</w:t>
      </w:r>
    </w:p>
    <w:p>
      <w:pPr>
        <w:spacing w:before="0" w:after="120"/>
      </w:pPr>
      <w:r>
        <w:rPr>
          <w:b/>
        </w:rPr>
        <w:t xml:space="preserve">Source: </w:t>
      </w:r>
      <w:r>
        <w:t>ACS Energy Letters: Latest Articles (ACS Publications)</w:t>
      </w:r>
      <w:r>
        <w:t xml:space="preserve">    </w:t>
      </w:r>
      <w:r>
        <w:rPr>
          <w:b/>
        </w:rPr>
        <w:t xml:space="preserve">Pub date: </w:t>
      </w:r>
      <w:r>
        <w:t>2026-05-07 09:43:39+00:00</w:t>
      </w:r>
      <w:r>
        <w:t xml:space="preserve">    </w:t>
      </w:r>
      <w:r>
        <w:rPr>
          <w:b/>
        </w:rPr>
        <w:t xml:space="preserve">DOI: </w:t>
      </w:r>
      <w:hyperlink r:id="rId103">
        <w:r>
          <w:rPr>
            <w:color w:val="1155CC"/>
            <w:u w:val="single"/>
          </w:rPr>
          <w:t>10.1021/acsenergylett.6c00812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04">
        <w:r>
          <w:rPr>
            <w:color w:val="1155CC"/>
            <w:u w:val="single"/>
          </w:rPr>
          <w:t>后褐煤地区能源转型中的时间错配：沉积露天矿中抽水蓄能的水文和岩土限制</w:t>
        </w:r>
      </w:hyperlink>
    </w:p>
    <w:p>
      <w:pPr>
        <w:spacing w:before="0" w:after="80"/>
      </w:pPr>
      <w:r>
        <w:rPr>
          <w:i/>
          <w:sz w:val="20"/>
        </w:rPr>
        <w:t>EN: Temporal mismatch in the energy transition of post-lignite regions: hydrological and geotechnical constraints for pumped hydropower energy storage in sedimentary opencast mines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5">
        <w:r>
          <w:rPr>
            <w:color w:val="1155CC"/>
            <w:u w:val="single"/>
          </w:rPr>
          <w:t>高熵协同单原子催化：桥接构型复杂性和原子精度的催化应用新范式</w:t>
        </w:r>
      </w:hyperlink>
    </w:p>
    <w:p>
      <w:pPr>
        <w:spacing w:before="0" w:after="80"/>
      </w:pPr>
      <w:r>
        <w:rPr>
          <w:i/>
          <w:sz w:val="20"/>
        </w:rPr>
        <w:t>EN: High-Entropy-Cooperated Single-Atom Catalysis: An Emerging Paradigm Bridging Configurational Complexity and Atomic Precision for Catalytic Applications</w:t>
      </w:r>
    </w:p>
    <w:p>
      <w:pPr>
        <w:spacing w:before="0" w:after="120"/>
      </w:pPr>
      <w:r>
        <w:rPr>
          <w:b/>
        </w:rPr>
        <w:t xml:space="preserve">Source: </w:t>
      </w:r>
      <w:r>
        <w:t>RSC - Energy Environ. Sci. latest articles</w:t>
      </w:r>
      <w:r>
        <w:t xml:space="preserve">    </w:t>
      </w:r>
      <w:r>
        <w:rPr>
          <w:b/>
        </w:rPr>
        <w:t xml:space="preserve">Pub date: </w:t>
      </w:r>
      <w:r>
        <w:t>2026-05-04 23:00:00+00:00</w:t>
      </w:r>
    </w:p>
    <w:p>
      <w:pPr>
        <w:spacing w:before="0" w:after="120"/>
      </w:pPr>
      <w:r>
        <w:rPr>
          <w:b/>
        </w:rPr>
        <w:t xml:space="preserve">Notes: </w:t>
      </w:r>
      <w:r>
        <w:t>abstract_source=rsc_html</w:t>
      </w:r>
    </w:p>
    <w:p>
      <w:pPr>
        <w:spacing w:before="0" w:after="80" w:lineRule="auto" w:line="276"/>
      </w:pPr>
      <w:r>
        <w:rPr>
          <w:b/>
        </w:rPr>
        <w:t xml:space="preserve">摘要（ZH）: </w:t>
      </w:r>
      <w:r>
        <w:t>单原子催化由于其在提高原子效率和在原子水平上定制催化性能方面的卓越能力，已成为多相催化的前沿。最近，将高熵效应整合到单原子催化剂中，为提高其催化性能开辟了新途径。本综述探讨了单原子催化中的高熵效应，重点介绍了催化剂合成策略和高熵效应在调节活性位点的电子结构、增强其催化活性、提高热稳定性和促进协同催化中的作用。我们讨论了构建高熵支撑体、引入高熵单原子位点以及将高熵纳米颗粒与单原子整合的设计策略，以及它们在各种催化过程中的应用，包括电催化水分解、金属-空气电池、电催化小分子反应和热催化。最后，我们总结并展望了高熵协作单原子催化剂的进展。</w:t>
      </w:r>
    </w:p>
    <w:p>
      <w:pPr>
        <w:spacing w:before="0" w:after="200" w:lineRule="auto" w:line="276"/>
      </w:pPr>
      <w:r>
        <w:rPr>
          <w:b/>
        </w:rPr>
        <w:t xml:space="preserve">Abstract (EN): </w:t>
      </w:r>
      <w:r>
        <w:t>Single-atom catalysis has emerged as a frontier in heterogeneous catalysis due to its exceptional ability to enhance atomic efficiency and tailor catalytic properties at the atomic level. Recently, the integration of high-entropy effects into single-atom catalysts has opened new avenues for enhancing their catalytic performance. This review explores the high-entropy effect in single-atom catalysis, focusing on the catalyst synthesis strategies and the role of high-entropy effect in modulating the electronic structures of active sites, enhancing their catalytic activities, improving the thermal stability, and promoting synergistic catalysis. We discuss the design strategies of constructing high-entropy supports, introducing high-entropy single-atom sites, and integrating high-entropy nanoparticles with single atoms, as well as their applications in various catalytic processes, including electrocatalytic water splitting, metal-air batteries, electrocatalytic small molecule reactions and thermal catalysis. Finally, we provide a summary and prospects for the advancement of high-entropy-cooperated single-atom catalysts.</w:t>
      </w:r>
    </w:p>
    <w:p>
      <w:pPr>
        <w:spacing w:before="120" w:after="120"/>
      </w:pPr>
      <w:r>
        <w:rPr>
          <w:sz w:val="18"/>
        </w:rPr>
        <w:t>——————————————————————————————————————————————————————————————————————</w:t>
      </w:r>
    </w:p>
    <w:p>
      <w:pPr>
        <w:spacing w:before="160" w:after="40" w:line="240" w:lineRule="auto"/>
      </w:pPr>
      <w:r>
        <w:rPr>
          <w:b/>
        </w:rPr>
        <w:t xml:space="preserve">[3] </w:t>
      </w:r>
      <w:hyperlink r:id="rId106">
        <w:r>
          <w:rPr>
            <w:color w:val="1155CC"/>
            <w:u w:val="single"/>
          </w:rPr>
          <w:t>磁感应有序结构辅助缺陷工程策略用于高性能全赝电容薄膜超级电容器</w:t>
        </w:r>
      </w:hyperlink>
    </w:p>
    <w:p>
      <w:pPr>
        <w:spacing w:before="0" w:after="80"/>
      </w:pPr>
      <w:r>
        <w:rPr>
          <w:i/>
          <w:sz w:val="20"/>
        </w:rPr>
        <w:t>EN: Magnetically Induced Ordered Structure‐Assisted Defect Engineering Strategy for High‐Performance All‐Pseudocapacitive Film Supercapacitors</w:t>
      </w:r>
    </w:p>
    <w:p>
      <w:pPr>
        <w:spacing w:before="0" w:after="120"/>
      </w:pPr>
      <w:r>
        <w:rPr>
          <w:b/>
        </w:rPr>
        <w:t xml:space="preserve">Source: </w:t>
      </w:r>
      <w:r>
        <w:t>Wiley: Advanced Materials: Table of Contents</w:t>
      </w:r>
      <w:r>
        <w:t xml:space="preserve">    </w:t>
      </w:r>
      <w:r>
        <w:rPr>
          <w:b/>
        </w:rPr>
        <w:t xml:space="preserve">Pub date: </w:t>
      </w:r>
      <w:r>
        <w:t>2026-05-06 13:19:08+00:00</w:t>
      </w:r>
      <w:r>
        <w:t xml:space="preserve">    </w:t>
      </w:r>
      <w:r>
        <w:rPr>
          <w:b/>
        </w:rPr>
        <w:t xml:space="preserve">DOI: </w:t>
      </w:r>
      <w:hyperlink r:id="rId107">
        <w:r>
          <w:rPr>
            <w:color w:val="1155CC"/>
            <w:u w:val="single"/>
          </w:rPr>
          <w:t>10.1002/adma.73302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重量轻和良好的柔性，薄膜超级电容器是可穿戴电子设备的理想电源。然而，由于对赝电容薄膜电极材料的研究有限，实现薄膜超级电容器的高能量密度仍然是一个挑战。在此，通过真空过滤技术制备了薄膜阳极（Fe@Fe3O4/CNTs）和阴极（NiCo-NiCo化合物/CNTs）。密度泛函理论计算结合实验结果表明，氧空位可以在Fe/Fe3O4界面诱导形成密集的局部电荷聚集区域，显著提高电化学反应中的电荷转移速率，使阳极在16.7 mg cm−2的高质量负载下实现7.88 F cm−2（749.1 C g−1）的比容量。同时，引入氧空位后，界面处的粘附能显著增加，增强了Fe和Fe3O4之间的结合强度，使其在长期充放电循环中不易因电流冲击而剥离，从而提高了Fe基阳极的循环稳定性（在20,000次循环后保持76%的电容）。</w:t>
      </w:r>
    </w:p>
    <w:p>
      <w:pPr>
        <w:spacing w:before="0" w:after="200" w:lineRule="auto" w:line="276"/>
      </w:pPr>
      <w:r>
        <w:rPr>
          <w:b/>
        </w:rPr>
        <w:t xml:space="preserve">Abstract (EN): </w:t>
      </w:r>
      <w:r>
        <w:t>Film supercapacitors, due to their light weight and good flexibility, are ideal power sources for wearable electronic devices. However, due to the limited research on pseudocapacitive film electrode materials, achieving high energy density for film supercapacitor remains a challenge. Here, the film anode (Fe@Fe</w:t>
      </w:r>
      <w:r>
        <w:rPr>
          <w:vertAlign w:val="subscript"/>
        </w:rPr>
        <w:t>3</w:t>
      </w:r>
      <w:r>
        <w:t>O</w:t>
      </w:r>
      <w:r>
        <w:rPr>
          <w:vertAlign w:val="subscript"/>
        </w:rPr>
        <w:t>4</w:t>
      </w:r>
      <w:r>
        <w:t>/CNTs) and cathode (NiCo‐NiCo compound/CNTs) were prepared by the vacuum filtration technology. Density functional theory calculations combined with experimental results revealed that oxygen vacancies can induce the formation of dense localized charge aggregation regions at the Fe/Fe</w:t>
      </w:r>
      <w:r>
        <w:rPr>
          <w:vertAlign w:val="subscript"/>
        </w:rPr>
        <w:t>3</w:t>
      </w:r>
      <w:r>
        <w:t>O</w:t>
      </w:r>
      <w:r>
        <w:rPr>
          <w:vertAlign w:val="subscript"/>
        </w:rPr>
        <w:t>4</w:t>
      </w:r>
      <w:r>
        <w:t>interface, significantly enhancing the charge transfer rate in electrochemical reactions, enabling the anode to achieve a specific capacity of 7.88 F cm</w:t>
      </w:r>
      <w:r>
        <w:t xml:space="preserve"> </w:t>
      </w:r>
      <w:r>
        <w:t>−2</w:t>
      </w:r>
      <w:r>
        <w:t xml:space="preserve"> </w:t>
      </w:r>
      <w:r>
        <w:t>(749.1 C g</w:t>
      </w:r>
      <w:r>
        <w:t xml:space="preserve"> </w:t>
      </w:r>
      <w:r>
        <w:t>−1</w:t>
      </w:r>
      <w:r>
        <w:t xml:space="preserve"> </w:t>
      </w:r>
      <w:r>
        <w:t>) at a high mass loading of 16.7 mg cm</w:t>
      </w:r>
      <w:r>
        <w:t xml:space="preserve"> </w:t>
      </w:r>
      <w:r>
        <w:t>−2</w:t>
      </w:r>
      <w:r>
        <w:t xml:space="preserve"> </w:t>
      </w:r>
      <w:r>
        <w:t>. Meanwhile, after introducing oxygen vacancies, the adhesion energy at the interface significantly increased, enhancing the binding strength between Fe and Fe</w:t>
      </w:r>
      <w:r>
        <w:rPr>
          <w:vertAlign w:val="subscript"/>
        </w:rPr>
        <w:t>3</w:t>
      </w:r>
      <w:r>
        <w:t>O</w:t>
      </w:r>
      <w:r>
        <w:rPr>
          <w:vertAlign w:val="subscript"/>
        </w:rPr>
        <w:t>4</w:t>
      </w:r>
      <w:r>
        <w:t>, making it less prone to peeling due to current shock during long‐term charge and discharge cycles, thereby improving the cycling stability of the Fe‐based anode (76% capacitance retention after 20 000 cycles). The all‐pseudocapacitive film supercapacitor successfully assembled obtains an excellent energy density of 1.362 mWh cm</w:t>
      </w:r>
      <w:r>
        <w:t xml:space="preserve"> </w:t>
      </w:r>
      <w:r>
        <w:t>−2</w:t>
      </w:r>
      <w:r>
        <w:t xml:space="preserve"> </w:t>
      </w:r>
      <w:r>
        <w:t>(122.5 Wh kg</w:t>
      </w:r>
      <w:r>
        <w:t xml:space="preserve"> </w:t>
      </w:r>
      <w:r>
        <w:t>−1</w:t>
      </w:r>
      <w:r>
        <w:t xml:space="preserve"> </w:t>
      </w:r>
      <w:r>
        <w:t>) at a total mass loading of 27.8 mg cm</w:t>
      </w:r>
      <w:r>
        <w:t xml:space="preserve"> </w:t>
      </w:r>
      <w:r>
        <w:t>−2</w:t>
      </w:r>
      <w:r>
        <w:t xml:space="preserve"> </w:t>
      </w:r>
      <w:r>
        <w:t>, far exceeding previously reported values.</w:t>
      </w:r>
    </w:p>
    <w:p>
      <w:pPr>
        <w:spacing w:before="120" w:after="120"/>
      </w:pPr>
      <w:r>
        <w:rPr>
          <w:sz w:val="18"/>
        </w:rPr>
        <w:t>——————————————————————————————————————————————————————————————————————</w:t>
      </w:r>
    </w:p>
    <w:p>
      <w:pPr>
        <w:spacing w:before="160" w:after="40" w:line="240" w:lineRule="auto"/>
      </w:pPr>
      <w:r>
        <w:rPr>
          <w:b/>
        </w:rPr>
        <w:t xml:space="preserve">[4] </w:t>
      </w:r>
      <w:hyperlink r:id="rId108">
        <w:r>
          <w:rPr>
            <w:color w:val="1155CC"/>
            <w:u w:val="single"/>
          </w:rPr>
          <w:t>揭示抽水蓄能生命周期环境经济性能的空间变异性：一项南北中国比较研究</w:t>
        </w:r>
      </w:hyperlink>
    </w:p>
    <w:p>
      <w:pPr>
        <w:spacing w:before="0" w:after="80"/>
      </w:pPr>
      <w:r>
        <w:rPr>
          <w:i/>
          <w:sz w:val="20"/>
        </w:rPr>
        <w:t>EN: Unveiling spatial variability in life cycle environmental-economic performance of pumped hydro storage: A north-south China comparative study</w:t>
      </w:r>
    </w:p>
    <w:p>
      <w:pPr>
        <w:spacing w:before="0" w:after="120"/>
      </w:pPr>
      <w:r>
        <w:rPr>
          <w:b/>
        </w:rPr>
        <w:t xml:space="preserve">Source: </w:t>
      </w:r>
      <w:r>
        <w:t>ScienceDirect Publication: Applied Energy</w:t>
      </w:r>
      <w:r>
        <w:t xml:space="preserve">    </w:t>
      </w:r>
      <w:r>
        <w:rPr>
          <w:b/>
        </w:rPr>
        <w:t xml:space="preserve">Pub date: </w:t>
      </w:r>
      <w:r>
        <w:t>2026-05-07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09">
        <w:r>
          <w:rPr>
            <w:color w:val="1155CC"/>
            <w:u w:val="single"/>
          </w:rPr>
          <w:t>双位点催化界面协同提升锌离子电池的去溶剂化和氧化还原动力学</w:t>
        </w:r>
      </w:hyperlink>
    </w:p>
    <w:p>
      <w:pPr>
        <w:spacing w:before="0" w:after="80"/>
      </w:pPr>
      <w:r>
        <w:rPr>
          <w:i/>
          <w:sz w:val="20"/>
        </w:rPr>
        <w:t>EN: Dual‐Site Catalytic Interfaces Synergistically Boost Desolvation and Redox Kinetics in Zinc‐Ion Batteries</w:t>
      </w:r>
    </w:p>
    <w:p>
      <w:pPr>
        <w:spacing w:before="0" w:after="120"/>
      </w:pPr>
      <w:r>
        <w:rPr>
          <w:b/>
        </w:rPr>
        <w:t xml:space="preserve">Source: </w:t>
      </w:r>
      <w:r>
        <w:t>Wiley: Advanced Materials: Table of Contents</w:t>
      </w:r>
      <w:r>
        <w:t xml:space="preserve">    </w:t>
      </w:r>
      <w:r>
        <w:rPr>
          <w:b/>
        </w:rPr>
        <w:t xml:space="preserve">Pub date: </w:t>
      </w:r>
      <w:r>
        <w:t>2026-05-07 06:14:04+00:00</w:t>
      </w:r>
      <w:r>
        <w:t xml:space="preserve">    </w:t>
      </w:r>
      <w:r>
        <w:rPr>
          <w:b/>
        </w:rPr>
        <w:t xml:space="preserve">DOI: </w:t>
      </w:r>
      <w:hyperlink r:id="rId110">
        <w:r>
          <w:rPr>
            <w:color w:val="1155CC"/>
            <w:u w:val="single"/>
          </w:rPr>
          <w:t>10.1002/adma.73307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溴电池由于其固有的安全性、高工作电压和低成本，在大规模储能方面具有显著的前景。然而，其应用受到阳极/电解质界面处缓慢的Zn2+去溶剂化和阴极溴物种缓慢的氧化还原动力学的限制。在这项工作中，我们开发了一种双位点催化界面，选择性地加速界面动力学而不改变体电解质。在面向阳极的一侧，乙酰丙酮铟分子提供了软路易斯酸In3+位点，这些位点与水弱配位并与溶剂化的Zn2+相互作用，有效降低了Zn2+去溶剂化能量，并实现了均匀、无枝晶的锌沉积。在面向阴极的一侧，乙酰丙酮铜分子提供了氧化还原活性的Cu2+/Cu+位点，催化Br0/Br−转化，加速反应动力学并提高可逆性。结果，去溶剂化能量屏障降低了约21%（从39.69降至31.25 kJ·mol−1）。具有双位点催化界面的锌溴电池表现出优异的性能。</w:t>
      </w:r>
    </w:p>
    <w:p>
      <w:pPr>
        <w:spacing w:before="0" w:after="200" w:lineRule="auto" w:line="276"/>
      </w:pPr>
      <w:r>
        <w:rPr>
          <w:b/>
        </w:rPr>
        <w:t xml:space="preserve">Abstract (EN): </w:t>
      </w:r>
      <w:r>
        <w:t>Aqueous zinc‐bromine batteries hold significant promise for large‐scale energy storage owing to their intrinsic safety, high operating voltage and low cost. Their deployment, however, is limited by sluggish Zn</w:t>
      </w:r>
      <w:r>
        <w:rPr>
          <w:vertAlign w:val="subscript"/>
        </w:rPr>
        <w:t>2</w:t>
      </w:r>
      <w:r>
        <w:t>+</w:t>
      </w:r>
      <w:r>
        <w:t xml:space="preserve"> </w:t>
      </w:r>
      <w:r>
        <w:t>desolvation at the anode/electrolyte interface and sluggish redox kinetics of bromine species at the cathode. In this work, we developed a dual‐site catalytic interface that selectively accelerates interfacial kinetics without altering the bulk electrolyte. On the anode‐facing side, the indium acetylacetonate molecules provide soft Lewis acid In</w:t>
      </w:r>
      <w:r>
        <w:rPr>
          <w:vertAlign w:val="subscript"/>
        </w:rPr>
        <w:t>3</w:t>
      </w:r>
      <w:r>
        <w:t>+</w:t>
      </w:r>
      <w:r>
        <w:t xml:space="preserve"> </w:t>
      </w:r>
      <w:r>
        <w:t>sites that weakly coordinate with water and interact with solvated Zn</w:t>
      </w:r>
      <w:r>
        <w:rPr>
          <w:vertAlign w:val="subscript"/>
        </w:rPr>
        <w:t>2</w:t>
      </w:r>
      <w:r>
        <w:t>+</w:t>
      </w:r>
      <w:r>
        <w:t xml:space="preserve"> </w:t>
      </w:r>
      <w:r>
        <w:t>, effectively lowering Zn</w:t>
      </w:r>
      <w:r>
        <w:rPr>
          <w:vertAlign w:val="subscript"/>
        </w:rPr>
        <w:t>2</w:t>
      </w:r>
      <w:r>
        <w:t>+</w:t>
      </w:r>
      <w:r>
        <w:t xml:space="preserve"> </w:t>
      </w:r>
      <w:r>
        <w:t>desolvation energy and enabling uniform, dendrite‐free zinc deposition. On the cathode‐facing side, the copper acetylacetonate molecules offer redox‐active Cu</w:t>
      </w:r>
      <w:r>
        <w:rPr>
          <w:vertAlign w:val="subscript"/>
        </w:rPr>
        <w:t>2</w:t>
      </w:r>
      <w:r>
        <w:t>+</w:t>
      </w:r>
      <w:r>
        <w:t xml:space="preserve"> </w:t>
      </w:r>
      <w:r>
        <w:t>/Cu</w:t>
      </w:r>
      <w:r>
        <w:t xml:space="preserve"> </w:t>
      </w:r>
      <w:r>
        <w:t>+</w:t>
      </w:r>
      <w:r>
        <w:t xml:space="preserve"> </w:t>
      </w:r>
      <w:r>
        <w:t>sites that catalyze the Br</w:t>
      </w:r>
      <w:r>
        <w:rPr>
          <w:vertAlign w:val="subscript"/>
        </w:rPr>
        <w:t>0</w:t>
      </w:r>
      <w:r>
        <w:t>/Br</w:t>
      </w:r>
      <w:r>
        <w:t xml:space="preserve"> </w:t>
      </w:r>
      <w:r>
        <w:t>−</w:t>
      </w:r>
      <w:r>
        <w:t>conversion, accelerating reaction kinetics and improving reversibility. As a result, the desolvation energy barrier decreases by approximately 21% (from 39.69 to 31.25 kJ·mol</w:t>
      </w:r>
      <w:r>
        <w:t xml:space="preserve"> </w:t>
      </w:r>
      <w:r>
        <w:t>−1</w:t>
      </w:r>
      <w:r>
        <w:t xml:space="preserve"> </w:t>
      </w:r>
      <w:r>
        <w:t>). The zinc‐bromine battery with dual‐site interface delivers a high specific capacity exceeding 293.8 mAh·g</w:t>
      </w:r>
      <w:r>
        <w:t xml:space="preserve"> </w:t>
      </w:r>
      <w:r>
        <w:t>−1</w:t>
      </w:r>
      <w:r>
        <w:t xml:space="preserve"> </w:t>
      </w:r>
      <w:r>
        <w:t>at 0.2 A·g</w:t>
      </w:r>
      <w:r>
        <w:t xml:space="preserve"> </w:t>
      </w:r>
      <w:r>
        <w:t>−1</w:t>
      </w:r>
      <w:r>
        <w:t xml:space="preserve"> </w:t>
      </w:r>
      <w:r>
        <w:t>, which reaches approximately 87.5% of the theoretical capacity of pure bromine (335.5 mAh·g</w:t>
      </w:r>
      <w:r>
        <w:t xml:space="preserve"> </w:t>
      </w:r>
      <w:r>
        <w:t>−1</w:t>
      </w:r>
      <w:r>
        <w:t xml:space="preserve"> </w:t>
      </w:r>
      <w:r>
        <w:t>). Our findings reveal that targeted interfacial catalysis can overcome kinetic bottlenecks in zinc batteries while preserving the intrinsic properties of the electrolyte, offering a general strategy for high‐performance energy storage systems.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11">
        <w:r>
          <w:rPr>
            <w:color w:val="1155CC"/>
            <w:u w:val="single"/>
          </w:rPr>
          <w:t>用于高效太阳能热电发电的可持续木质素-液态金属光热涂层</w:t>
        </w:r>
      </w:hyperlink>
    </w:p>
    <w:p>
      <w:pPr>
        <w:spacing w:before="0" w:after="80"/>
      </w:pPr>
      <w:r>
        <w:rPr>
          <w:i/>
          <w:sz w:val="20"/>
        </w:rPr>
        <w:t>EN: Sustainable Lignin‐Liquid Metal Photothermal Coating for Highly Efficient Solar Thermoelectric Generation</w:t>
      </w:r>
    </w:p>
    <w:p>
      <w:pPr>
        <w:spacing w:before="0" w:after="120"/>
      </w:pPr>
      <w:r>
        <w:rPr>
          <w:b/>
        </w:rPr>
        <w:t xml:space="preserve">Source: </w:t>
      </w:r>
      <w:r>
        <w:t>Wiley: Advanced Energy Materials: Table of Contents</w:t>
      </w:r>
      <w:r>
        <w:t xml:space="preserve">    </w:t>
      </w:r>
      <w:r>
        <w:rPr>
          <w:b/>
        </w:rPr>
        <w:t xml:space="preserve">Pub date: </w:t>
      </w:r>
      <w:r>
        <w:t>2026-05-02 08:50:37+00:00</w:t>
      </w:r>
      <w:r>
        <w:t xml:space="preserve">    </w:t>
      </w:r>
      <w:r>
        <w:rPr>
          <w:b/>
        </w:rPr>
        <w:t xml:space="preserve">DOI: </w:t>
      </w:r>
      <w:hyperlink r:id="rId112">
        <w:r>
          <w:rPr>
            <w:color w:val="1155CC"/>
            <w:u w:val="single"/>
          </w:rPr>
          <w:t>10.1002/aenm.71027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阳光转化为电力是一个有吸引力的前景。依赖于光学吸收器和机械设备的复杂性和紧凑性的太阳能热电发电（STEG）仅应用于大型电厂。在此，我们开发了一种基于木质素和液态金属（LM）的梯度纳米结构涂层，作为可扩展和可回收的光学吸收器。利用密度差异和表面配位相互作用在木质素基质中诱导LM的稳定梯度沉降。这种梯度纳米结构表现出非辐射弛豫和局域表面等离子体共振的协同机制，从紫外到近红外区域（250–2500 nm）实现了96.0%的高宽带吸收，超过了大多数可再生和不可再生吸收器。我们的木质素衍生涂层实现了数百公斤规模的生产。创建了一种顺序对齐堆叠策略，用于米级平板STEG设备，在户外条件下提供64.7 V的输出电压。环境和能源评估进一步表明，我们的木质素增值模式实现了高绿色电力生产，并建立了一个碳负过程，每1000 m²每年减少489.63 kg CO₂当量。我们提出的“木质素-液态金属协同光热增强”策略代表了一条将工业木质素转化为高性能和可扩展能源的可持续路径。</w:t>
      </w:r>
    </w:p>
    <w:p>
      <w:pPr>
        <w:spacing w:before="0" w:after="200" w:lineRule="auto" w:line="276"/>
      </w:pPr>
      <w:r>
        <w:rPr>
          <w:b/>
        </w:rPr>
        <w:t xml:space="preserve">Abstract (EN): </w:t>
      </w:r>
      <w:r>
        <w:t>Harvesting sunlight into electricity presents an attractive prospect. Solar thermoelectric generation (STEG) relying on complexity and compactness of optical absorbers and mechanical equipment is only applied in large‐scale power plants. Here, we develop a gradient nanostructured coating based on lignin and liquid metal (LM) that serves as a scalable and recyclable optical absorber. Density differences and surface coordination interactions are used to induce stable, gradient sedimentation of LM within the lignin matrix. This gradient nano‐structure exhibits synergetic mechanism of non‐radiative relaxation and localized surface plasmon resonance, leading to a high and broadband absorption of 96.0% from ultraviolet to near‐infrared region (250–2500 nm), surpassing most renewable and nonrenewable absorbers. Our lignin‐derived coating achieves hundreds kilograms‐scale production. A sequentially aligned stacking strategy is created for a meter‐scale flat‐panel STEG device, to offer a 64.7 V output voltage in outdoor conditions. Environmental and energy assessments further demonstrate that our lignin valorization mode achieves high green electricity productivity and establishes a carbon‐negative process, resulting in annual reduction of 489.63 kg CO</w:t>
      </w:r>
      <w:r>
        <w:rPr>
          <w:vertAlign w:val="subscript"/>
        </w:rPr>
        <w:t>2</w:t>
      </w:r>
      <w:r>
        <w:t>equivalent per 1000 m</w:t>
      </w:r>
      <w:r>
        <w:rPr>
          <w:vertAlign w:val="subscript"/>
        </w:rPr>
        <w:t>2</w:t>
      </w:r>
      <w:r>
        <w:t>. Our proposed “lignin‐liquid metal synergic photothermal enhancement” strategy represents a sustainable path in transforming industrial lignin into high‐performance and scalable energy conversion materials.</w:t>
      </w:r>
    </w:p>
    <w:p>
      <w:pPr>
        <w:spacing w:before="120" w:after="120"/>
      </w:pPr>
      <w:r>
        <w:rPr>
          <w:sz w:val="18"/>
        </w:rPr>
        <w:t>——————————————————————————————————————————————————————————————————————</w:t>
      </w:r>
    </w:p>
    <w:p>
      <w:pPr>
        <w:spacing w:before="160" w:after="40" w:line="240" w:lineRule="auto"/>
      </w:pPr>
      <w:r>
        <w:rPr>
          <w:b/>
        </w:rPr>
        <w:t xml:space="preserve">[2] </w:t>
      </w:r>
      <w:hyperlink r:id="rId113">
        <w:r>
          <w:rPr>
            <w:color w:val="1155CC"/>
            <w:u w:val="single"/>
          </w:rPr>
          <w:t>应变介导的晶界重构在Mg3Sb2基合金中解锁了高近室温热电性能</w:t>
        </w:r>
      </w:hyperlink>
    </w:p>
    <w:p>
      <w:pPr>
        <w:spacing w:before="0" w:after="80"/>
      </w:pPr>
      <w:r>
        <w:rPr>
          <w:i/>
          <w:sz w:val="20"/>
        </w:rPr>
        <w:t>EN: Strain-mediated grain-boundary reconstruction unlocks high near-room-temperature thermoelectric performance in Mg3Sb2-based alloy</w:t>
      </w:r>
    </w:p>
    <w:p>
      <w:pPr>
        <w:spacing w:before="0" w:after="120"/>
      </w:pPr>
      <w:r>
        <w:rPr>
          <w:b/>
        </w:rPr>
        <w:t xml:space="preserve">Source: </w:t>
      </w:r>
      <w:r>
        <w:t>RSC - Energy Environ. Sci. latest articles</w:t>
      </w:r>
      <w:r>
        <w:t xml:space="preserve">    </w:t>
      </w:r>
      <w:r>
        <w:rPr>
          <w:b/>
        </w:rPr>
        <w:t xml:space="preserve">Pub date: </w:t>
      </w:r>
      <w:r>
        <w:t>2026-05-03 23:00:00+00:00</w:t>
      </w:r>
    </w:p>
    <w:p>
      <w:pPr>
        <w:spacing w:before="0" w:after="120"/>
      </w:pPr>
      <w:r>
        <w:rPr>
          <w:b/>
        </w:rPr>
        <w:t xml:space="preserve">Notes: </w:t>
      </w:r>
      <w:r>
        <w:t>abstract_source=rsc_html</w:t>
      </w:r>
    </w:p>
    <w:p>
      <w:pPr>
        <w:spacing w:before="0" w:after="80" w:lineRule="auto" w:line="276"/>
      </w:pPr>
      <w:r>
        <w:rPr>
          <w:b/>
        </w:rPr>
        <w:t xml:space="preserve">摘要（ZH）: </w:t>
      </w:r>
      <w:r>
        <w:t>在宽温度范围内，包括接近室温的高热电效率的实现，对于单一的基于Mg3Sb2的材料仍然具有挑战性，因为有利于低温电荷传输的微观结构通常与需要抑制声子的结构相冲突。在此，我们证明了微妙的晶格扰动可以引导Mg3Sb2基系统中晶界谱的应变介导重构。边界谱重构显著削弱了晶界势垒，并通过提高相干孪晶界的比例来减轻载流子散射，恢复了接近室温的功率因子。在相同的加工窗口内，多功能CuGaTe2添加剂也经历了成分分配，产生了均匀分散的原位Cu-Ga富含金属间化合物相以及点缺陷。由此产生的多尺度缺陷景观提供了宽带声子散射，并将晶格热导率抑制到扩散极限。因此，优化的合金在ΔT=250 K时提供了1.3的卓越ZT ave，超过了最先进的n型Bi 2 Te 3，同时在300-723 K范围内保持ZT ave =1.59，并在623 K时达到2.08的峰值ZT。设备演示进一步验证了材料层面的优势，组装的TE模块（ΔT=300 K）为8%，单腿发电机（ΔT=400 K）为12.4%。这些结果确立了晶界谱重构作为解锁高近室温性能和弥合长期温度范围的有效杠杆。</w:t>
      </w:r>
    </w:p>
    <w:p>
      <w:pPr>
        <w:spacing w:before="0" w:after="200" w:lineRule="auto" w:line="276"/>
      </w:pPr>
      <w:r>
        <w:rPr>
          <w:b/>
        </w:rPr>
        <w:t xml:space="preserve">Abstract (EN): </w:t>
      </w:r>
      <w:r>
        <w:t>Achieving high thermoelectric efficiency across wide temperature range, including near room temperature, within a single Mg3Sb2-based material remains challenging, because the microstructures that favor low-temperature charge transport often conflict with those required for phonon suppression. Here we demonstrate that subtle lattice perturbations can steer a strain-mediated reconstruction of the grainboundary spectrum in Mg3Sb2-based system. The boundary-spectrum reconfiguration markedly weakens grain-boundary potential barriers and alleviates carrier scattering by raising the fraction of coherent twin boundaries, restoring the power factor near room temperature. Within the same processing window, the multifunctional CuGaTe2 additive also undergoes composition-partitioning, yielding uniformly dispersed in-situ Cu-Ga-rich intermetallic phase together with point defects. The resulting multi-length-scale defect landscape provides broadband phonon scattering and suppresses lattice thermal conductivity toward the diffusion limit. Consequently, the optimized alloy delivers an exceptional ZT ave of 1.3 at ΔT=250 K, that exceeds state-of-the-art n-type Bi 2 Te 3 , while maintaining ZT ave =1.59 from 300-723 K with a peak ZT of 2.08 at 623 K. Device demonstrations further validate the materials-level advantages with 8% for the assembled TE module (ΔT=300 K) and 12.4% for a single-leg generator (ΔT=400 K). These results establish grain-boundary spectrum reconstruction as an effective lever to unlock high near-room-temperature performance and bridge the long-standing temperature range issue in n-type Mg3Sb2 for wideranging waste-heat recovery.</w:t>
      </w:r>
    </w:p>
    <w:p>
      <w:pPr>
        <w:spacing w:before="120" w:after="120"/>
      </w:pPr>
      <w:r>
        <w:rPr>
          <w:sz w:val="18"/>
        </w:rPr>
        <w:t>——————————————————————————————————————————————————————————————————————</w:t>
      </w:r>
    </w:p>
    <w:p>
      <w:pPr>
        <w:spacing w:before="160" w:after="40" w:line="240" w:lineRule="auto"/>
      </w:pPr>
      <w:r>
        <w:rPr>
          <w:b/>
        </w:rPr>
        <w:t xml:space="preserve">[3] </w:t>
      </w:r>
      <w:hyperlink r:id="rId114">
        <w:r>
          <w:rPr>
            <w:color w:val="1155CC"/>
            <w:u w:val="single"/>
          </w:rPr>
          <w:t>晶界复合物稳定具有优异性能的Mg3Sb2基热电设备</w:t>
        </w:r>
      </w:hyperlink>
    </w:p>
    <w:p>
      <w:pPr>
        <w:spacing w:before="0" w:after="80"/>
      </w:pPr>
      <w:r>
        <w:rPr>
          <w:i/>
          <w:sz w:val="20"/>
        </w:rPr>
        <w:t>EN: Grain boundary complexions stabilize Mg3Sb2-based thermoelectric devices with superior performance</w:t>
      </w:r>
    </w:p>
    <w:p>
      <w:pPr>
        <w:spacing w:before="0" w:after="120"/>
      </w:pPr>
      <w:r>
        <w:rPr>
          <w:b/>
        </w:rPr>
        <w:t xml:space="preserve">Source: </w:t>
      </w:r>
      <w:r>
        <w:t>Joule</w:t>
      </w:r>
      <w:r>
        <w:t xml:space="preserve">    </w:t>
      </w:r>
      <w:r>
        <w:rPr>
          <w:b/>
        </w:rPr>
        <w:t xml:space="preserve">Pub date: </w:t>
      </w:r>
      <w:r>
        <w:t>2026-05-04 00:00:00+00:00</w:t>
      </w:r>
      <w:r>
        <w:t xml:space="preserve">    </w:t>
      </w:r>
      <w:r>
        <w:rPr>
          <w:b/>
        </w:rPr>
        <w:t xml:space="preserve">DOI: </w:t>
      </w:r>
      <w:hyperlink r:id="rId115">
        <w:r>
          <w:rPr>
            <w:color w:val="1155CC"/>
            <w:u w:val="single"/>
          </w:rPr>
          <w:t>10.1016/j.joule.2026.102443</w:t>
        </w:r>
      </w:hyperlink>
    </w:p>
    <w:p>
      <w:pPr>
        <w:spacing w:before="0" w:after="120"/>
      </w:pPr>
      <w:r>
        <w:rPr>
          <w:b/>
        </w:rPr>
        <w:t xml:space="preserve">Notes: </w:t>
      </w:r>
      <w:r>
        <w:t>abstract_source=rss_cell</w:t>
      </w:r>
    </w:p>
    <w:p>
      <w:pPr>
        <w:spacing w:before="0" w:after="80" w:lineRule="auto" w:line="276"/>
      </w:pPr>
      <w:r>
        <w:rPr>
          <w:b/>
        </w:rPr>
        <w:t xml:space="preserve">摘要（ZH）: </w:t>
      </w:r>
      <w:r>
        <w:t>富Ga的晶界（GB）结构抑制了GB和表面上的Mg空位形成，并防止Mg沿GB向外扩散，从而提高了Mg3Sb2热电材料的热稳定性。这种GB工程为解决高温下能源材料的热稳定性挑战提供了一种有前景的策略。</w:t>
      </w:r>
    </w:p>
    <w:p>
      <w:pPr>
        <w:spacing w:before="0" w:after="200" w:lineRule="auto" w:line="276"/>
      </w:pPr>
      <w:r>
        <w:rPr>
          <w:b/>
        </w:rPr>
        <w:t xml:space="preserve">Abstract (EN): </w:t>
      </w:r>
      <w:r>
        <w:t>Ga-rich grain boundary (GB) complexions suppress Mg-vacancy formation on GBs and surfaces and prevent Mg from diffusing outward along GBs, thereby enhancing the thermal stability of Mg3Sb2 thermoelectrics. This GB engineering offers a promising strategy to address the thermal stability challenges in energy materials at elevated temperatures.</w:t>
      </w:r>
    </w:p>
    <w:p>
      <w:pPr>
        <w:spacing w:before="120" w:after="120"/>
      </w:pPr>
      <w:r>
        <w:rPr>
          <w:sz w:val="18"/>
        </w:rPr>
        <w:t>——————————————————————————————————————————————————————————————————————</w:t>
      </w:r>
    </w:p>
    <w:p>
      <w:pPr>
        <w:spacing w:before="160" w:after="40" w:line="240" w:lineRule="auto"/>
      </w:pPr>
      <w:r>
        <w:rPr>
          <w:b/>
        </w:rPr>
        <w:t xml:space="preserve">[4] </w:t>
      </w:r>
      <w:hyperlink r:id="rId116">
        <w:r>
          <w:rPr>
            <w:color w:val="1155CC"/>
            <w:u w:val="single"/>
          </w:rPr>
          <w:t>理性调节堆叠纳米片组件的吸湿振荡以实现连续环境能量收集</w:t>
        </w:r>
      </w:hyperlink>
    </w:p>
    <w:p>
      <w:pPr>
        <w:spacing w:before="0" w:after="80"/>
      </w:pPr>
      <w:r>
        <w:rPr>
          <w:i/>
          <w:sz w:val="20"/>
        </w:rPr>
        <w:t>EN: Rational Tuning of Hygroscopic Oscillation of Stacked Nanoflake Assemblies for Continuous Ambient Energy Harvesting</w:t>
      </w:r>
    </w:p>
    <w:p>
      <w:pPr>
        <w:spacing w:before="0" w:after="120"/>
      </w:pPr>
      <w:r>
        <w:rPr>
          <w:b/>
        </w:rPr>
        <w:t xml:space="preserve">Source: </w:t>
      </w:r>
      <w:r>
        <w:t>Wiley: Advanced Materials: Table of Contents</w:t>
      </w:r>
      <w:r>
        <w:t xml:space="preserve">    </w:t>
      </w:r>
      <w:r>
        <w:rPr>
          <w:b/>
        </w:rPr>
        <w:t xml:space="preserve">Pub date: </w:t>
      </w:r>
      <w:r>
        <w:t>2026-05-04 10:41:54+00:00</w:t>
      </w:r>
      <w:r>
        <w:t xml:space="preserve">    </w:t>
      </w:r>
      <w:r>
        <w:rPr>
          <w:b/>
        </w:rPr>
        <w:t xml:space="preserve">DOI: </w:t>
      </w:r>
      <w:hyperlink r:id="rId117">
        <w:r>
          <w:rPr>
            <w:color w:val="1155CC"/>
            <w:u w:val="single"/>
          </w:rPr>
          <w:t>10.1002/adma.73261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响应性材料在外部刺激下变形，但通常单向移动，限制了其在能量转换和收集中的应用。令人惊讶的是，由吸湿性二维纳米片（如碳化钛 (MXene) 和氧化石墨烯 (GO)）组成的膜在暴露于稳定的水蒸气流时表现出自发和持续的振荡。虽然这种行为暗示了堆叠纳米片组装体 (SNA) 在推进和发电方面的巨大潜力，但这种自主往复运动的潜在机制仍然知之甚少，阻碍了其实际应用。在此，我们通过识别控制湿度驱动振荡动态的关键因素来解决这一挑战，这些因素最终融合为系统的三个特征无量纲参数。这些参数允许可控地调节振荡频率、振幅和静态弯曲角。此外，我们的研究表明，振荡是由湿度传输和机械运动之间的负反馈回路维持的。在这些见解的指导下，我们实现了 SNA 膜的合理设计和优化，以在弱环境湿度梯度中实现连续推进和能量收集的实际应用。</w:t>
      </w:r>
    </w:p>
    <w:p>
      <w:pPr>
        <w:spacing w:before="0" w:after="200" w:lineRule="auto" w:line="276"/>
      </w:pPr>
      <w:r>
        <w:rPr>
          <w:b/>
        </w:rPr>
        <w:t xml:space="preserve">Abstract (EN): </w:t>
      </w:r>
      <w:r>
        <w:t>Responsive materials deform under external stimuli but often move unidirectionally, limiting their application in energy conversion and harvesting. Astonishingly, membranes composed of hygroscopic 2D nanoflakes, such as titanium carbide (MXene) and graphene oxide (GO), exhibit spontaneous and sustained oscillations when exposed to a steady flow of water vapor. While this behavior implies significant potential of the stacked nanoflake assemblies (SNA) for propulsion and electricity generation, the underlying mechanism of this autonomous reciprocating motion remains poorly understood, hindering its practical applications. Herein, we address this challenge by identifying the key factors governing the dynamics of moisture‐driven oscillations, which finally fuse into three characteristic dimensionless parameters of the system. These parameters allow for the controllable tuning of the oscillation frequency, amplitude, and static bending angle. Furthermore, our study reveals that the oscillation is sustained by a negative feedback loop between moisture transport and mechanical motion. Guided by these insights, we achieve the rational design and optimization of SNA membranes for practical applications in continuous propulsion and energy harvesting from a weak ambient humidity gradient.</w:t>
      </w:r>
    </w:p>
    <w:p>
      <w:pPr>
        <w:spacing w:before="120" w:after="120"/>
      </w:pPr>
      <w:r>
        <w:rPr>
          <w:sz w:val="18"/>
        </w:rPr>
        <w:t>——————————————————————————————————————————————————————————————————————</w:t>
      </w:r>
    </w:p>
    <w:p>
      <w:pPr>
        <w:spacing w:before="160" w:after="40" w:line="240" w:lineRule="auto"/>
      </w:pPr>
      <w:r>
        <w:rPr>
          <w:b/>
        </w:rPr>
        <w:t xml:space="preserve">[5] </w:t>
      </w:r>
      <w:hyperlink r:id="rId118">
        <w:r>
          <w:rPr>
            <w:color w:val="1155CC"/>
            <w:u w:val="single"/>
          </w:rPr>
          <w:t>基于物理信息的热能分配系统数字孪生开发与主动学习</w:t>
        </w:r>
      </w:hyperlink>
    </w:p>
    <w:p>
      <w:pPr>
        <w:spacing w:before="0" w:after="80"/>
      </w:pPr>
      <w:r>
        <w:rPr>
          <w:i/>
          <w:sz w:val="20"/>
        </w:rPr>
        <w:t>EN: Physics-informed digital twin development of thermal energy distribution systems with active learning</w:t>
      </w:r>
    </w:p>
    <w:p>
      <w:pPr>
        <w:spacing w:before="0" w:after="120"/>
      </w:pPr>
      <w:r>
        <w:rPr>
          <w:b/>
        </w:rPr>
        <w:t xml:space="preserve">Source: </w:t>
      </w:r>
      <w:r>
        <w:t>ScienceDirect Publication: Applied Energy</w:t>
      </w:r>
      <w:r>
        <w:t xml:space="preserve">    </w:t>
      </w:r>
      <w:r>
        <w:rPr>
          <w:b/>
        </w:rPr>
        <w:t xml:space="preserve">Pub date: </w:t>
      </w:r>
      <w:r>
        <w:t>2026-05-05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19">
        <w:r>
          <w:rPr>
            <w:color w:val="1155CC"/>
            <w:u w:val="single"/>
          </w:rPr>
          <w:t>三层范德华异质结构中的不对称热传输</w:t>
        </w:r>
      </w:hyperlink>
    </w:p>
    <w:p>
      <w:pPr>
        <w:spacing w:before="0" w:after="80"/>
      </w:pPr>
      <w:r>
        <w:rPr>
          <w:i/>
          <w:sz w:val="20"/>
        </w:rPr>
        <w:t>EN: Asymmetric thermal transport in a trilayer van der Waals heterostructure</w:t>
      </w:r>
    </w:p>
    <w:p>
      <w:pPr>
        <w:spacing w:before="0" w:after="120"/>
      </w:pPr>
      <w:r>
        <w:rPr>
          <w:b/>
        </w:rPr>
        <w:t xml:space="preserve">Source: </w:t>
      </w:r>
      <w:r>
        <w:t>Nature Electronics</w:t>
      </w:r>
      <w:r>
        <w:t xml:space="preserve">    </w:t>
      </w:r>
      <w:r>
        <w:rPr>
          <w:b/>
        </w:rPr>
        <w:t xml:space="preserve">Pub date: </w:t>
      </w:r>
      <w:r>
        <w:t>2026-05-05 00:00:00+00:00</w:t>
      </w:r>
      <w:r>
        <w:t xml:space="preserve">    </w:t>
      </w:r>
      <w:r>
        <w:rPr>
          <w:b/>
        </w:rPr>
        <w:t xml:space="preserve">DOI: </w:t>
      </w:r>
      <w:hyperlink r:id="rId120">
        <w:r>
          <w:rPr>
            <w:color w:val="1155CC"/>
            <w:u w:val="single"/>
          </w:rPr>
          <w:t>10.1038/s41928-026-01620-5</w:t>
        </w:r>
      </w:hyperlink>
    </w:p>
    <w:p>
      <w:pPr>
        <w:spacing w:before="0" w:after="120"/>
      </w:pPr>
      <w:r>
        <w:rPr>
          <w:b/>
        </w:rPr>
        <w:t xml:space="preserve">Notes: </w:t>
      </w:r>
      <w:r>
        <w:t>abstract_source=nature_html</w:t>
      </w:r>
    </w:p>
    <w:p>
      <w:pPr>
        <w:spacing w:before="0" w:after="80" w:lineRule="auto" w:line="276"/>
      </w:pPr>
      <w:r>
        <w:rPr>
          <w:b/>
        </w:rPr>
        <w:t xml:space="preserve">摘要（ZH）: </w:t>
      </w:r>
      <w:r>
        <w:t>集成电路架构内部产生的热量需要通过多层界面在垂直方向上有效传递到封装表面。同时，需要阻止反向热流以防止热敏元件失效。然而，实现垂直方向上所需的不对称声子传输具有挑战性。在此，我们报告了一种提供不对称热传输的三层范德华异质结构。这种热Janus晶体由二硫化钼（MoS2）/硫化硒化钼（MoSSe）/二硒化钨（WSe2）组成，厚度小于5 nm。通过精确调整MoS2/MoSSe和MoSSe/WSe2界面的扭转角度，可以将不对称性（定义为在相反温度梯度下界面热导的相对变化）从23%调节到104%。分子动力学模拟表明，MoS2/MoSSe和MoSSe/WSe2界面的面内和垂直声子模式的贡献不同，导致热传输的不对称性。在使用场效应晶体管和58 mW微线加热器进行的热测试中，当热量从WSe2流向MoS2时，表面温度比热量通过异质结构流向相反方向时降低了3.9 K。</w:t>
      </w:r>
    </w:p>
    <w:p>
      <w:pPr>
        <w:spacing w:before="0" w:after="200" w:lineRule="auto" w:line="276"/>
      </w:pPr>
      <w:r>
        <w:rPr>
          <w:b/>
        </w:rPr>
        <w:t xml:space="preserve">Abstract (EN): </w:t>
      </w:r>
      <w:r>
        <w:t>The heat generated within integrated circuit architectures needs to be efficiently transferred to the package surface through multilayer interfaces in the out-of-plane direction. At the same time, reverse heat flow needs to be blocked to prevent the failure of thermally sensitive components. Achieving the necessary asymmetric phonon transport in the out-of-plane direction is, however, challenging. Here we report a trilayer van der Waals heterostructure that offers asymmetric thermal transport. This thermal Janus crystal is made of molybdenum disulfide (MoS2)/molybdenum sulfide selenide (MoSSe)/tungsten diselenide (WSe2) and has a thickness of less than 5 nm. By precisely adjusting the twist angles at the MoS2/MoSSe and MoSSe/WSe2 interfaces, the asymmetric property—defined as the relative change in the interfacial thermal conductance under opposite temperature gradients—can be tuned from 23% to 104%. Molecular dynamics simulations indicate that the contributions of in-plane and out-of-plane phonon modes at the MoS2/MoSSe and MoSSe/WSe2 interfaces are different, which leads to asymmetry in the heat transport. In a thermal test with a field-effect transistor and using a 58-mW microwire heater, the surface temperature is reduced by 3.9 K when heat flows from WSe2 to MoS2 compared with when the heat flows in the opposite direction through the heterostructure.</w:t>
      </w:r>
    </w:p>
    <w:p>
      <w:pPr>
        <w:spacing w:before="120" w:after="120"/>
      </w:pPr>
      <w:r>
        <w:rPr>
          <w:sz w:val="18"/>
        </w:rPr>
        <w:t>——————————————————————————————————————————————————————————————————————</w:t>
      </w:r>
    </w:p>
    <w:p>
      <w:pPr>
        <w:spacing w:before="160" w:after="40" w:line="240" w:lineRule="auto"/>
      </w:pPr>
      <w:r>
        <w:rPr>
          <w:b/>
        </w:rPr>
        <w:t xml:space="preserve">[7] </w:t>
      </w:r>
      <w:hyperlink r:id="rId121">
        <w:r>
          <w:rPr>
            <w:color w:val="1155CC"/>
            <w:u w:val="single"/>
          </w:rPr>
          <w:t>用于低温能量收集的无碲热电材料和器件</w:t>
        </w:r>
      </w:hyperlink>
    </w:p>
    <w:p>
      <w:pPr>
        <w:spacing w:before="0" w:after="80"/>
      </w:pPr>
      <w:r>
        <w:rPr>
          <w:i/>
          <w:sz w:val="20"/>
        </w:rPr>
        <w:t>EN: Tellurium-free thermoelectric materials and devices for low-temperature energy harvesting</w:t>
      </w:r>
    </w:p>
    <w:p>
      <w:pPr>
        <w:spacing w:before="0" w:after="120"/>
      </w:pPr>
      <w:r>
        <w:rPr>
          <w:b/>
        </w:rPr>
        <w:t xml:space="preserve">Source: </w:t>
      </w:r>
      <w:r>
        <w:t>Nature Reviews Materials</w:t>
      </w:r>
      <w:r>
        <w:t xml:space="preserve">    </w:t>
      </w:r>
      <w:r>
        <w:rPr>
          <w:b/>
        </w:rPr>
        <w:t xml:space="preserve">Pub date: </w:t>
      </w:r>
      <w:r>
        <w:t>2026-05-07 00:00:00+00:00</w:t>
      </w:r>
      <w:r>
        <w:t xml:space="preserve">    </w:t>
      </w:r>
      <w:r>
        <w:rPr>
          <w:b/>
        </w:rPr>
        <w:t xml:space="preserve">DOI: </w:t>
      </w:r>
      <w:hyperlink r:id="rId122">
        <w:r>
          <w:rPr>
            <w:color w:val="1155CC"/>
            <w:u w:val="single"/>
          </w:rPr>
          <w:t>10.1038/s41578-026-00923-5</w:t>
        </w:r>
      </w:hyperlink>
    </w:p>
    <w:p>
      <w:pPr>
        <w:spacing w:before="0" w:after="120"/>
      </w:pPr>
      <w:r>
        <w:rPr>
          <w:b/>
        </w:rPr>
        <w:t xml:space="preserve">Notes: </w:t>
      </w:r>
      <w:r>
        <w:t>abstract_source=nature_html</w:t>
      </w:r>
    </w:p>
    <w:p>
      <w:pPr>
        <w:spacing w:before="0" w:after="80" w:lineRule="auto" w:line="276"/>
      </w:pPr>
      <w:r>
        <w:rPr>
          <w:b/>
        </w:rPr>
        <w:t xml:space="preserve">摘要（ZH）: </w:t>
      </w:r>
      <w:r>
        <w:t>收集低温废热（低于573 K），占总废热的约89%，仍然是一个相当大的技术挑战。热电（TE）发电为解决这一问题提供了可行的解决方案。目前，商业TE技术几乎完全依赖于Bi2Te3，主要用于珀尔帖制冷。然而，碲（Te）的稀缺性，以及Bi2Te3在423 K以上的较低TE性能和热稳定性，阻碍了其能量收集的潜力。因此，人们对无碲TE材料和设备，包括MgAgSb、Mg3Sb2和SnSe，作为Bi2Te3的替代品产生了浓厚的兴趣。在这篇综述中，我们重点介绍了无碲热电材料的发展和有效策略，从材料层面到界面和设备层面。具体而言，我们讨论了其高性能的物理起源、设计TE界面材料的计算策略，以及模块组装和实际发电系统的设计。最后，我们讨论了这些新兴系统在低温能量收集中的未来前景和挑战。</w:t>
      </w:r>
    </w:p>
    <w:p>
      <w:pPr>
        <w:spacing w:before="0" w:after="200" w:lineRule="auto" w:line="276"/>
      </w:pPr>
      <w:r>
        <w:rPr>
          <w:b/>
        </w:rPr>
        <w:t xml:space="preserve">Abstract (EN): </w:t>
      </w:r>
      <w:r>
        <w:t>Harvesting low-temperature waste heat (below 573 K), which constitutes around 89% of the total waste heat, remains a considerable technical challenge. Thermoelectric (TE) power generation offers a viable solution to this issue. Currently, commercial TE technology relies almost exclusively on Bi2Te3, used predominantly for Peltier cooling. However, the scarcity of tellurium (Te), along with the lower TE performance and thermal stability of Bi2Te3 above 423 K, hampers its potential for energy harvesting. As a result, there has been a surge of interest in tellurium-free TE materials and devices, including MgAgSb, Mg3Sb2 and SnSe, as alternatives to Bi2Te3. In this Review, we highlight advancements and effective strategies for the development of Te-free thermoelectrics, from the material level to the interface and device levels. Specifically, we discuss the physical origin of their high-performance, computational strategies to design TE interface materials, as well as module assembly and design of practical power generation systems. We conclude by discussing the future prospects and challenges of these emerging systems for low-temperature energy harvesting.</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23">
        <w:r>
          <w:rPr>
            <w:color w:val="1155CC"/>
            <w:u w:val="single"/>
          </w:rPr>
          <w:t>基于核能的综合能源系统（NIES）：关键状态评审</w:t>
        </w:r>
      </w:hyperlink>
    </w:p>
    <w:p>
      <w:pPr>
        <w:spacing w:before="0" w:after="80"/>
      </w:pPr>
      <w:r>
        <w:rPr>
          <w:i/>
          <w:sz w:val="20"/>
        </w:rPr>
        <w:t>EN: Nuclear-based integrated energy systems (NIES): a critical status review</w:t>
      </w:r>
    </w:p>
    <w:p>
      <w:pPr>
        <w:spacing w:before="0" w:after="120"/>
      </w:pPr>
      <w:r>
        <w:rPr>
          <w:b/>
        </w:rPr>
        <w:t xml:space="preserve">Source: </w:t>
      </w:r>
      <w:r>
        <w:t>ScienceDirect Publication: Applied Energy</w:t>
      </w:r>
      <w:r>
        <w:t xml:space="preserve">    </w:t>
      </w:r>
      <w:r>
        <w:rPr>
          <w:b/>
        </w:rPr>
        <w:t xml:space="preserve">Pub date: </w:t>
      </w:r>
      <w:r>
        <w:t>2026-05-04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24">
        <w:r>
          <w:rPr>
            <w:color w:val="1155CC"/>
            <w:u w:val="single"/>
          </w:rPr>
          <w:t>工业规模碱性水电解槽堆中空间热不均匀性和热点形成的实验和数值分析</w:t>
        </w:r>
      </w:hyperlink>
    </w:p>
    <w:p>
      <w:pPr>
        <w:spacing w:before="0" w:after="80"/>
      </w:pPr>
      <w:r>
        <w:rPr>
          <w:i/>
          <w:sz w:val="20"/>
        </w:rPr>
        <w:t>EN: Experimental and numerical analysis of spatial thermal non-uniformity and hotspot formation in an industrial-scale alkaline water electrolyzer stack</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5">
        <w:r>
          <w:rPr>
            <w:color w:val="1155CC"/>
            <w:u w:val="single"/>
          </w:rPr>
          <w:t>胡萝卜与大棒：加速氢能和电转X经济的工具比较分析</w:t>
        </w:r>
      </w:hyperlink>
    </w:p>
    <w:p>
      <w:pPr>
        <w:spacing w:before="0" w:after="80"/>
      </w:pPr>
      <w:r>
        <w:rPr>
          <w:i/>
          <w:sz w:val="20"/>
        </w:rPr>
        <w:t>EN: Carrot and stick: A comparative analysis of instruments for accelerating the hydrogen and power-to-X economy</w:t>
      </w:r>
    </w:p>
    <w:p>
      <w:pPr>
        <w:spacing w:before="0" w:after="120"/>
      </w:pPr>
      <w:r>
        <w:rPr>
          <w:b/>
        </w:rPr>
        <w:t xml:space="preserve">Source: </w:t>
      </w:r>
      <w:r>
        <w:t>ScienceDirect Publication: Energy Policy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6">
        <w:r>
          <w:rPr>
            <w:color w:val="1155CC"/>
            <w:u w:val="single"/>
          </w:rPr>
          <w:t>酸性氧析出过渡金属氧化物催化剂：当前状态和实现高效PEM水电解的关键策略</w:t>
        </w:r>
      </w:hyperlink>
    </w:p>
    <w:p>
      <w:pPr>
        <w:spacing w:before="0" w:after="80"/>
      </w:pPr>
      <w:r>
        <w:rPr>
          <w:i/>
          <w:sz w:val="20"/>
        </w:rPr>
        <w:t>EN: Transition Metal Oxide Catalysts for Acidic Oxygen Evolution: Current Status and Key Strategies Toward Efficient PEM Water Electrolysis</w:t>
      </w:r>
    </w:p>
    <w:p>
      <w:pPr>
        <w:spacing w:before="0" w:after="120"/>
      </w:pPr>
      <w:r>
        <w:rPr>
          <w:b/>
        </w:rPr>
        <w:t xml:space="preserve">Source: </w:t>
      </w:r>
      <w:r>
        <w:t>Wiley: Advanced Energy Materials: Table of Contents</w:t>
      </w:r>
      <w:r>
        <w:t xml:space="preserve">    </w:t>
      </w:r>
      <w:r>
        <w:rPr>
          <w:b/>
        </w:rPr>
        <w:t xml:space="preserve">Pub date: </w:t>
      </w:r>
      <w:r>
        <w:t>2026-05-02 09:03:28+00:00</w:t>
      </w:r>
      <w:r>
        <w:t xml:space="preserve">    </w:t>
      </w:r>
      <w:r>
        <w:rPr>
          <w:b/>
        </w:rPr>
        <w:t xml:space="preserve">DOI: </w:t>
      </w:r>
      <w:hyperlink r:id="rId127">
        <w:r>
          <w:rPr>
            <w:color w:val="1155CC"/>
            <w:u w:val="single"/>
          </w:rPr>
          <w:t>10.1002/aenm.71024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水电解（PEMWE）由于其高效率、紧凑设计和灵活操作，是绿色氢气生产的有前途技术。然而，对贵金属基阳极催化剂的依赖显著增加了氢气生产成本。过渡金属氧化物因其多样的组成、可调的结构和较低的成本，已成为酸性氧气演化反应（OER）的替代品。本综述总结了超越纯IrO2、RuO2及其混合物的过渡金属氧化物催化剂的最新进展。介绍了包括吸附物演化机制、晶格氧机制和氧化物路径机制在内的基本OER机制，强调了它们在调节催化活性和稳定性中的作用。系统回顾了代表性催化剂系统，如尖晶石、钙钛矿、焦硅酸盐、二氧化物和高熵氧化物，突出性能增强策略，包括异质结构构建、元素掺杂和缺陷工程。讨论了反应路径工程、腐蚀抑制和动态结构稳定性等新兴概念，作为克服活性与稳定性权衡的有效方法。最后，概述了当前的挑战和未来的展望，强调了人工智能辅助催化剂设计、表征优化、可扩展合成等方面。</w:t>
      </w:r>
    </w:p>
    <w:p>
      <w:pPr>
        <w:spacing w:before="0" w:after="200" w:lineRule="auto" w:line="276"/>
      </w:pPr>
      <w:r>
        <w:rPr>
          <w:b/>
        </w:rPr>
        <w:t xml:space="preserve">Abstract (EN): </w:t>
      </w:r>
      <w:r>
        <w:t>Proton exchange membrane water electrolysis (PEMWE) is a promising technology for green hydrogen production due to its high efficiency, compact design, and flexible operation. However, the reliance on noble metal‐based anode catalysts significantly increases hydrogen production costs. Transition metal oxides have emerged as alternatives for the acidic oxygen evolution reaction (OER) because of their diverse compositions, tunable structures, and lower cost. This review summarizes recent advances in transition metal oxide catalysts beyond pure IrO</w:t>
      </w:r>
      <w:r>
        <w:rPr>
          <w:vertAlign w:val="subscript"/>
        </w:rPr>
        <w:t>2</w:t>
      </w:r>
      <w:r>
        <w:t>, RuO</w:t>
      </w:r>
      <w:r>
        <w:rPr>
          <w:vertAlign w:val="subscript"/>
        </w:rPr>
        <w:t>2</w:t>
      </w:r>
      <w:r>
        <w:t>, and their mixtures. Fundamental OER mechanisms, including the adsorbate evolution mechanism, lattice oxygen mechanism, and oxide pathway mechanism, are introduced, with emphasis on their roles in regulating catalytic activity and stability. Representative catalyst systems such as spinels, perovskites, pyrochlores, dioxides, and high entropy oxides are systematically reviewed, highlighting performance enhancement strategies including heterostructure construction, elemental doping, and defect engineering. Emerging concepts such as reaction pathway engineering, corrosion suppression, and dynamic structural stability are discussed as effective approaches to overcoming the trade‐off between activity and stability. Finally, current challenges and future perspectives are outlined, with emphasis on artificial intelligence‐assisted catalyst design, characterization optimization, scalable synthesis, and standardized industrial evaluation, to accelerate the practical deployment of advanced acidic OER catalysts in sustainable hydrogen production.</w:t>
      </w:r>
    </w:p>
    <w:p>
      <w:pPr>
        <w:spacing w:before="120" w:after="120"/>
      </w:pPr>
      <w:r>
        <w:rPr>
          <w:sz w:val="18"/>
        </w:rPr>
        <w:t>——————————————————————————————————————————————————————————————————————</w:t>
      </w:r>
    </w:p>
    <w:p>
      <w:pPr>
        <w:spacing w:before="160" w:after="40" w:line="240" w:lineRule="auto"/>
      </w:pPr>
      <w:r>
        <w:rPr>
          <w:b/>
        </w:rPr>
        <w:t xml:space="preserve">[4] </w:t>
      </w:r>
      <w:hyperlink r:id="rId128">
        <w:r>
          <w:rPr>
            <w:color w:val="1155CC"/>
            <w:u w:val="single"/>
          </w:rPr>
          <w:t>与太阳能驱动化学循环燃料转换和能量存储耦合的近零碳排放氢电共生系统的热力学分析</w:t>
        </w:r>
      </w:hyperlink>
    </w:p>
    <w:p>
      <w:pPr>
        <w:spacing w:before="0" w:after="80"/>
      </w:pPr>
      <w:r>
        <w:rPr>
          <w:i/>
          <w:sz w:val="20"/>
        </w:rPr>
        <w:t>EN: Thermodynamic analysis of a near-zero carbon emissions hydrogen-electricity cogeneration system coupled with solar driven chemical looping fuel conversion and energy storage</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29">
        <w:r>
          <w:rPr>
            <w:color w:val="1155CC"/>
            <w:u w:val="single"/>
          </w:rPr>
          <w:t>提升氢能，减少排放：低碳氢的监管设计</w:t>
        </w:r>
      </w:hyperlink>
    </w:p>
    <w:p>
      <w:pPr>
        <w:spacing w:before="0" w:after="80"/>
      </w:pPr>
      <w:r>
        <w:rPr>
          <w:i/>
          <w:sz w:val="20"/>
        </w:rPr>
        <w:t>EN: Boosting hydrogen, slashing emissions: the regulatory design of low-carbon hydrogen</w:t>
      </w:r>
    </w:p>
    <w:p>
      <w:pPr>
        <w:spacing w:before="0" w:after="120"/>
      </w:pPr>
      <w:r>
        <w:rPr>
          <w:b/>
        </w:rPr>
        <w:t xml:space="preserve">Source: </w:t>
      </w:r>
      <w:r>
        <w:t>ScienceDirect Publication: Energy Policy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30">
        <w:r>
          <w:rPr>
            <w:color w:val="1155CC"/>
            <w:u w:val="single"/>
          </w:rPr>
          <w:t>可再生氢：PPA和附加性要求对选定欧洲国家的系统性影响</w:t>
        </w:r>
      </w:hyperlink>
    </w:p>
    <w:p>
      <w:pPr>
        <w:spacing w:before="0" w:after="80"/>
      </w:pPr>
      <w:r>
        <w:rPr>
          <w:i/>
          <w:sz w:val="20"/>
        </w:rPr>
        <w:t>EN: Renewable hydrogen: The system-wide impact of PPAs and additionality requirements for selected European countries</w:t>
      </w:r>
    </w:p>
    <w:p>
      <w:pPr>
        <w:spacing w:before="0" w:after="120"/>
      </w:pPr>
      <w:r>
        <w:rPr>
          <w:b/>
        </w:rPr>
        <w:t xml:space="preserve">Source: </w:t>
      </w:r>
      <w:r>
        <w:t>ScienceDirect Publication: Energy Policy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31">
        <w:r>
          <w:rPr>
            <w:color w:val="1155CC"/>
            <w:u w:val="single"/>
          </w:rPr>
          <w:t>电网韧性的氢能储存系统：多维度的综合评述和未来方向</w:t>
        </w:r>
      </w:hyperlink>
    </w:p>
    <w:p>
      <w:pPr>
        <w:spacing w:before="0" w:after="80"/>
      </w:pPr>
      <w:r>
        <w:rPr>
          <w:i/>
          <w:sz w:val="20"/>
        </w:rPr>
        <w:t>EN: Hydrogen energy storage systems for power grid resilience: A comprehensive review and future directions from multidimensional aspects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32">
        <w:r>
          <w:rPr>
            <w:color w:val="1155CC"/>
            <w:u w:val="single"/>
          </w:rPr>
          <w:t>通过稳健的CuPd异质结实现的太阳能驱动硝酸盐还原氨合成与CO2捕获相结合以实现可持续农业</w:t>
        </w:r>
      </w:hyperlink>
    </w:p>
    <w:p>
      <w:pPr>
        <w:spacing w:before="0" w:after="80"/>
      </w:pPr>
      <w:r>
        <w:rPr>
          <w:i/>
          <w:sz w:val="20"/>
        </w:rPr>
        <w:t>EN: Solar‐Driven Ammonia Synthesis From Nitrate Reduction Paired With CO2 Capture for Sustainable Agriculture via a Robust CuPd Heterojunction</w:t>
      </w:r>
    </w:p>
    <w:p>
      <w:pPr>
        <w:spacing w:before="0" w:after="120"/>
      </w:pPr>
      <w:r>
        <w:rPr>
          <w:b/>
        </w:rPr>
        <w:t xml:space="preserve">Source: </w:t>
      </w:r>
      <w:r>
        <w:t>Wiley: Angewandte Chemie International Edition: Table of Contents</w:t>
      </w:r>
      <w:r>
        <w:t xml:space="preserve">    </w:t>
      </w:r>
      <w:r>
        <w:rPr>
          <w:b/>
        </w:rPr>
        <w:t xml:space="preserve">Pub date: </w:t>
      </w:r>
      <w:r>
        <w:t>2026-05-03 05:14:43+00:00</w:t>
      </w:r>
      <w:r>
        <w:t xml:space="preserve">    </w:t>
      </w:r>
      <w:r>
        <w:rPr>
          <w:b/>
        </w:rPr>
        <w:t xml:space="preserve">DOI: </w:t>
      </w:r>
      <w:hyperlink r:id="rId133">
        <w:r>
          <w:rPr>
            <w:color w:val="1155CC"/>
            <w:u w:val="single"/>
          </w:rPr>
          <w:t>10.1002/anie.9278631</w:t>
        </w:r>
      </w:hyperlink>
    </w:p>
    <w:p>
      <w:pPr>
        <w:spacing w:before="0" w:after="120"/>
      </w:pPr>
      <w:r>
        <w:rPr>
          <w:b/>
        </w:rPr>
        <w:t xml:space="preserve">Notes: </w:t>
      </w:r>
      <w:r>
        <w:t>abstract_source=pubmed</w:t>
      </w:r>
    </w:p>
    <w:p>
      <w:pPr>
        <w:spacing w:before="0" w:after="80" w:lineRule="auto" w:line="276"/>
      </w:pPr>
      <w:r>
        <w:rPr>
          <w:b/>
        </w:rPr>
        <w:t xml:space="preserve">摘要（ZH）: </w:t>
      </w:r>
      <w:r>
        <w:t>向可持续农业的过渡需要同时提高作物产量和减少环境影响的技术。太阳能驱动的硝酸盐增值，当与工业烟气中的CO2捕获结合时，提供了一种有前途的双重策略，用于生产高价值肥料，同时减缓碳排放。然而，其实际实施受到两个相互关联的挑战的阻碍：（i）太阳辐射的间歇性和（ii）竞争性氢气析出反应（HER），这严重影响了所需氮产品的法拉第效率（FE）。在此，我们通过设计一种具有无定形/结晶异质结的异质CuPd电催化剂来解决这些挑战。该催化剂在宽电位窗口（-0.4至-1.4 V）内抑制HER，保持&gt;80% FE（氨）超过100小时。催化剂的稳健性使得即使在低辐射（0.4太阳）下也能稳定的太阳能电解，实现&gt;70% FE（氨）和6%的太阳能到燃料转换效率，同时阴极电解液以6-20 mg h-1的速率捕获CO2。技术经济分析表明，与生物对手相比具有成本竞争力。当应用于植物栽培时，该人工光合作用系统将太阳能到生物质的转换效率提高了3.5倍。通过统一太阳能收集、废硝酸盐还原和碳封存，我们的工作为间歇性可再生能源提供了一个可扩展的闭环农化生态系统和先进催化剂设计的蓝图。</w:t>
      </w:r>
    </w:p>
    <w:p>
      <w:pPr>
        <w:spacing w:before="0" w:after="200" w:lineRule="auto" w:line="276"/>
      </w:pPr>
      <w:r>
        <w:rPr>
          <w:b/>
        </w:rPr>
        <w:t xml:space="preserve">Abstract (EN): </w:t>
      </w:r>
      <w:r>
        <w:t>The transition to sustainable agriculture requires technologies that simultaneously enhance crop yields and reduce environmental impacts. Solar-driven nitrate valorization, when coupled with CO2 capture from industrial flue gas, presents a promising dual strategy for producing high-value fertilizers while mitigating carbon emissions. However, its practical implementation is hindered by two interrelated challenges: (i) the intermittent nature of solar irradiation and (ii) the competitive hydrogen evolution reaction (HER), which severely compromises Faradaic efficiency (FE) of desired nitrogenous products. Here, we address these challenges by designing a heterogeneous CuPd electrocatalyst featuring an amorphous/crystalline heterojunction. This catalyst suppresses HER across a broad potential window (-0.4 to -1.4 V), maintaining &gt;80% FE(ammonia) for &gt;100 h. The catalytic robustness enables stable solar-powered electrolysis even under low irradiation (0.4 sun), achieving &gt;70% FE(ammonia) and 6% solar-to-fuel conversion efficiency, while catholyte simultaneously captures CO2 at a rate of 6-20 mg h-1. Techno-economic analysis demonstrates cost competitiveness against biological counterparts. When applied to plant cultivation, this artificial photosynthesis system boosts solar-to-biomass conversion efficiency by 3.5-fold compared to natural photosynthesis. By unifying solar energy harvesting, waste nitrate reduction, and carbon sequestration, our work provides a scalable blueprint for a closed-loop agrochemical ecosystem and advanced catalyst design for intermittent renewable-powered electrosynthesis.</w:t>
      </w:r>
    </w:p>
    <w:p>
      <w:pPr>
        <w:spacing w:before="120" w:after="120"/>
      </w:pPr>
      <w:r>
        <w:rPr>
          <w:sz w:val="18"/>
        </w:rPr>
        <w:t>——————————————————————————————————————————————————————————————————————</w:t>
      </w:r>
    </w:p>
    <w:p>
      <w:pPr>
        <w:spacing w:before="160" w:after="40" w:line="240" w:lineRule="auto"/>
      </w:pPr>
      <w:r>
        <w:rPr>
          <w:b/>
        </w:rPr>
        <w:t xml:space="preserve">[9] </w:t>
      </w:r>
      <w:hyperlink r:id="rId134">
        <w:r>
          <w:rPr>
            <w:color w:val="1155CC"/>
            <w:u w:val="single"/>
          </w:rPr>
          <w:t>双位点协同超薄Pt基高熵合金纳米片实现高性能工业碱性HER</w:t>
        </w:r>
      </w:hyperlink>
    </w:p>
    <w:p>
      <w:pPr>
        <w:spacing w:before="0" w:after="80"/>
      </w:pPr>
      <w:r>
        <w:rPr>
          <w:i/>
          <w:sz w:val="20"/>
        </w:rPr>
        <w:t>EN: Dual‐Site Synergistic Ultrathin Pt‐Based High‐Entropy Alloy Nanosheets Enabling High‐Performance Industrial Alkaline HER</w:t>
      </w:r>
    </w:p>
    <w:p>
      <w:pPr>
        <w:spacing w:before="0" w:after="120"/>
      </w:pPr>
      <w:r>
        <w:rPr>
          <w:b/>
        </w:rPr>
        <w:t xml:space="preserve">Source: </w:t>
      </w:r>
      <w:r>
        <w:t>Wiley: Advanced Materials: Table of Contents</w:t>
      </w:r>
      <w:r>
        <w:t xml:space="preserve">    </w:t>
      </w:r>
      <w:r>
        <w:rPr>
          <w:b/>
        </w:rPr>
        <w:t xml:space="preserve">Pub date: </w:t>
      </w:r>
      <w:r>
        <w:t>2026-05-04 10:38:41+00:00</w:t>
      </w:r>
      <w:r>
        <w:t xml:space="preserve">    </w:t>
      </w:r>
      <w:r>
        <w:rPr>
          <w:b/>
        </w:rPr>
        <w:t xml:space="preserve">DOI: </w:t>
      </w:r>
      <w:hyperlink r:id="rId135">
        <w:r>
          <w:rPr>
            <w:color w:val="1155CC"/>
            <w:u w:val="single"/>
          </w:rPr>
          <w:t>10.1002/adma.73288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 (2D) 基于铂 (Pt) 的高熵合金 (HEAs) 因其完全暴露的活性表面和可调的多元素协同作用而成为有前途的电催化剂。然而，合成如此超薄、均匀的纳米结构仍然是一个艰巨的挑战，因为传统方法难以克服基于铂系统的固有各向异性生长倾向。在此，我们开发了一种以钯 (Pd) 为结构模板的成核控制策略，以实现具有原子均匀性的超薄 PtPdRuNiInSn HEA 纳米片。这种结构结合了最大化的表面可及性和多元素协同作用，在 -70 mV 对 RHE 时提供了 16.5 A mg−1 的卓越碱性析氢活性，比 Pt/C 提高了 19.6 倍。原位光谱和 DFT 计算表明，Pt/Pd/Ru 位点优化了 H* 吸附，而 Ni/In/Sn 位点促进了 OH* 活化，协同降低了反应障碍。熵稳定配置表现出卓越的耐久性（50000 次循环后几乎没有活性损失）和工业可行性，使阴离子交换膜电解槽能够在 1 A cm−2 下稳定运行 2500 小时。这项工作为设计先进的基于铂的二维高熵电催化剂建立了一般范式。</w:t>
      </w:r>
    </w:p>
    <w:p>
      <w:pPr>
        <w:spacing w:before="0" w:after="200" w:lineRule="auto" w:line="276"/>
      </w:pPr>
      <w:r>
        <w:rPr>
          <w:b/>
        </w:rPr>
        <w:t xml:space="preserve">Abstract (EN): </w:t>
      </w:r>
      <w:r>
        <w:t>Two‐dimensional (2D) Pt‐based high‐entropy alloys (HEAs) are promising electrocatalysts due to fully exposed active surfaces and tunable multi‐element synergy. However, synthesizing such ultrathin, homogeneous nanostructures remains a formidable challenge, as conventional methods struggle to overcome the intrinsic anisotropic growth tendencies of Pt‐based systems. Herein, we develop a nucleation‐controlled strategy using Pd as structural template to achieve ultrathin PtPdRuNiInSn HEA nanosheets with atomic homogeneity. This structure combines maximized surface accessibility with multi‐element synergy, delivering exceptional alkaline hydrogen evolution activity of 16.5 A mg</w:t>
      </w:r>
      <w:r>
        <w:t xml:space="preserve"> </w:t>
      </w:r>
      <w:r>
        <w:t>−1</w:t>
      </w:r>
      <w:r>
        <w:t xml:space="preserve"> </w:t>
      </w:r>
      <w:r>
        <w:t>at −70 mV versus RHE, a 19.6‐fold enhancement over Pt/C. Operando spectroscopy and DFT calculations reveal that Pt/Pd/Ru sites optimize H* adsorption while Ni/In/Sn sites facilitate OH* activation, synergistically lowering the reaction barriers. The entropy‐stabilized configuration demonstrates outstanding durability (negligible activity loss after 50000 cycles) and industrial viability, enabling anion‐exchange membrane electrolyzers to operate steadily for 2500 hours at 1 A cm</w:t>
      </w:r>
      <w:r>
        <w:t xml:space="preserve"> </w:t>
      </w:r>
      <w:r>
        <w:t>−2</w:t>
      </w:r>
      <w:r>
        <w:t xml:space="preserve"> </w:t>
      </w:r>
      <w:r>
        <w:t>. This work establishes a general paradigm for designing advanced Pt‐based 2D high‐entropy electrocatalysts.</w:t>
      </w:r>
    </w:p>
    <w:p>
      <w:pPr>
        <w:spacing w:before="120" w:after="120"/>
      </w:pPr>
      <w:r>
        <w:rPr>
          <w:sz w:val="18"/>
        </w:rPr>
        <w:t>——————————————————————————————————————————————————————————————————————</w:t>
      </w:r>
    </w:p>
    <w:p>
      <w:pPr>
        <w:spacing w:before="160" w:after="40" w:line="240" w:lineRule="auto"/>
      </w:pPr>
      <w:r>
        <w:rPr>
          <w:b/>
        </w:rPr>
        <w:t xml:space="preserve">[10] </w:t>
      </w:r>
      <w:hyperlink r:id="rId136">
        <w:r>
          <w:rPr>
            <w:color w:val="1155CC"/>
            <w:u w:val="single"/>
          </w:rPr>
          <w:t>[ASAP] 甲烷到甲醇的等离子体电催化氧化</w:t>
        </w:r>
      </w:hyperlink>
    </w:p>
    <w:p>
      <w:pPr>
        <w:spacing w:before="0" w:after="80"/>
      </w:pPr>
      <w:r>
        <w:rPr>
          <w:i/>
          <w:sz w:val="20"/>
        </w:rPr>
        <w:t>EN: [ASAP] Plasma Electrocatalytic Oxidation of Methane to Methanol</w:t>
      </w:r>
    </w:p>
    <w:p>
      <w:pPr>
        <w:spacing w:before="0" w:after="120"/>
      </w:pPr>
      <w:r>
        <w:rPr>
          <w:b/>
        </w:rPr>
        <w:t xml:space="preserve">Source: </w:t>
      </w:r>
      <w:r>
        <w:t>Journal of the American Chemical Society: Latest Articles (ACS Publications)</w:t>
      </w:r>
      <w:r>
        <w:t xml:space="preserve">    </w:t>
      </w:r>
      <w:r>
        <w:rPr>
          <w:b/>
        </w:rPr>
        <w:t xml:space="preserve">Pub date: </w:t>
      </w:r>
      <w:r>
        <w:t>2026-05-04 18:05:58+00:00</w:t>
      </w:r>
      <w:r>
        <w:t xml:space="preserve">    </w:t>
      </w:r>
      <w:r>
        <w:rPr>
          <w:b/>
        </w:rPr>
        <w:t xml:space="preserve">DOI: </w:t>
      </w:r>
      <w:hyperlink r:id="rId137">
        <w:r>
          <w:rPr>
            <w:color w:val="1155CC"/>
            <w:u w:val="single"/>
          </w:rPr>
          <w:t>10.1021/jacs.6c02305</w:t>
        </w:r>
      </w:hyperlink>
    </w:p>
    <w:p>
      <w:pPr>
        <w:spacing w:before="0" w:after="120"/>
      </w:pPr>
      <w:r>
        <w:rPr>
          <w:b/>
        </w:rPr>
        <w:t xml:space="preserve">Notes: </w:t>
      </w:r>
      <w:r>
        <w:t>abstract_source=pubmed</w:t>
      </w:r>
    </w:p>
    <w:p>
      <w:pPr>
        <w:spacing w:before="0" w:after="80" w:lineRule="auto" w:line="276"/>
      </w:pPr>
      <w:r>
        <w:rPr>
          <w:b/>
        </w:rPr>
        <w:t xml:space="preserve">摘要（ZH）: </w:t>
      </w:r>
      <w:r>
        <w:t>在常温下使用可再生电力选择性电催化将甲烷（CH4）转化为甲醇（CH3OH）提供了一种有趣的选择，可以提供易于运输的甲烷衍生分子。CH4的高热力学稳定性和化学惰性目前限制了生产率和选择性。在此，我们报告了一种混合等离子体-电催化系统，该系统能够在常温下实现CH4到CH3OH的转化。通过使用等离子体预活化CH4，挑战从电化学CH4氧化转变为甲基自由基（•CH3）转化。我们记录了在等离子体-催化剂-电解质界面处短寿命CH3自由基和吸附羟基（*OH）的耦合。我们在CH3自由基到CH3OH转化的电化学阶段实现了&gt;90%的法拉第效率，甲醇产量为60 g甲醇 kWh-1，总电能中等离子体能量占90%。我们操作混合等离子体-电催化系统890小时，平均法拉第效率为86%。这项研究提出了一种新的基于自由基的途径，并有助于激活和电解转化反应。</w:t>
      </w:r>
    </w:p>
    <w:p>
      <w:pPr>
        <w:spacing w:before="0" w:after="200" w:lineRule="auto" w:line="276"/>
      </w:pPr>
      <w:r>
        <w:rPr>
          <w:b/>
        </w:rPr>
        <w:t xml:space="preserve">Abstract (EN): </w:t>
      </w:r>
      <w:r>
        <w:t>Selective electrocatalytic conversion of methane (CH4) to methanol (CH3OH) using renewable electricity under ambient conditions offers an option of interest in providing methane-derived molecules that are readily transported. The high thermodynamic stability and chemical inertness of CH4 today limit both the productivity and selectivity. Here, we report a hybrid plasma-electrocatalytic system that enables CH4-to-CH3OH conversion under ambient conditions. By using plasma to preactivate CH4, the challenge transits from electrochemical CH4 oxidation to methyl radical (•CH3) conversion. We document the coupling of short-lived CH3 radicals and adsorbed hydroxyl groups (*OH) at the plasma-catalyst-electrolyte interface. We achieve &gt;90% faradaic efficiency in the electrochemical stage of CH3 radicals to CH3OH conversion and a methanol yield on total electrical energy of 60 gmethanol kWh-1, with plasma energy accounting for 90% of the total electricity. We operated the hybrid plasma-electrocatalytic system for 890 h with an average faradaic efficiency of 86%. This study presents a new radical-based pathway and contributes to activate-and-electrolyze conversion reactions.</w:t>
      </w:r>
    </w:p>
    <w:p>
      <w:pPr>
        <w:spacing w:before="120" w:after="120"/>
      </w:pPr>
      <w:r>
        <w:rPr>
          <w:sz w:val="18"/>
        </w:rPr>
        <w:t>——————————————————————————————————————————————————————————————————————</w:t>
      </w:r>
    </w:p>
    <w:p>
      <w:pPr>
        <w:spacing w:before="160" w:after="40" w:line="240" w:lineRule="auto"/>
      </w:pPr>
      <w:r>
        <w:rPr>
          <w:b/>
        </w:rPr>
        <w:t xml:space="preserve">[11] </w:t>
      </w:r>
      <w:hyperlink r:id="rId138">
        <w:r>
          <w:rPr>
            <w:color w:val="1155CC"/>
            <w:u w:val="single"/>
          </w:rPr>
          <w:t>通过锶基底介导的共烧结制造的可扩展质子陶瓷燃料电池的前景技术经济分析</w:t>
        </w:r>
      </w:hyperlink>
    </w:p>
    <w:p>
      <w:pPr>
        <w:spacing w:before="0" w:after="80"/>
      </w:pPr>
      <w:r>
        <w:rPr>
          <w:i/>
          <w:sz w:val="20"/>
        </w:rPr>
        <w:t>EN: Prospective techno-economic analysis of scalable protonic ceramic fuel cell fabricated via strontium substrate-mediated co-sintering</w:t>
      </w:r>
    </w:p>
    <w:p>
      <w:pPr>
        <w:spacing w:before="0" w:after="120"/>
      </w:pPr>
      <w:r>
        <w:rPr>
          <w:b/>
        </w:rPr>
        <w:t xml:space="preserve">Source: </w:t>
      </w:r>
      <w:r>
        <w:t>ScienceDirect Publication: Applied Energy</w:t>
      </w:r>
      <w:r>
        <w:t xml:space="preserve">    </w:t>
      </w:r>
      <w:r>
        <w:rPr>
          <w:b/>
        </w:rPr>
        <w:t xml:space="preserve">Pub date: </w:t>
      </w:r>
      <w:r>
        <w:t>2026-05-06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39">
        <w:r>
          <w:rPr>
            <w:color w:val="1155CC"/>
            <w:u w:val="single"/>
          </w:rPr>
          <w:t>用于高效耐用光电化学制氢的晶圆级二维高熵过渡金属二硫化物薄膜催化剂</w:t>
        </w:r>
      </w:hyperlink>
    </w:p>
    <w:p>
      <w:pPr>
        <w:spacing w:before="0" w:after="80"/>
      </w:pPr>
      <w:r>
        <w:rPr>
          <w:i/>
          <w:sz w:val="20"/>
        </w:rPr>
        <w:t>EN: Wafer‐Scale 2D High‐Entropy Transition Metal Dichalcogenide Thin‐Film Catalysts for Efficient and Durable Photoelectrochemical Hydrogen Production</w:t>
      </w:r>
    </w:p>
    <w:p>
      <w:pPr>
        <w:spacing w:before="0" w:after="120"/>
      </w:pPr>
      <w:r>
        <w:rPr>
          <w:b/>
        </w:rPr>
        <w:t xml:space="preserve">Source: </w:t>
      </w:r>
      <w:r>
        <w:t>Wiley: Advanced Materials: Table of Contents</w:t>
      </w:r>
      <w:r>
        <w:t xml:space="preserve">    </w:t>
      </w:r>
      <w:r>
        <w:rPr>
          <w:b/>
        </w:rPr>
        <w:t xml:space="preserve">Pub date: </w:t>
      </w:r>
      <w:r>
        <w:t>2026-05-06 08:34:56+00:00</w:t>
      </w:r>
      <w:r>
        <w:t xml:space="preserve">    </w:t>
      </w:r>
      <w:r>
        <w:rPr>
          <w:b/>
        </w:rPr>
        <w:t xml:space="preserve">DOI: </w:t>
      </w:r>
      <w:hyperlink r:id="rId140">
        <w:r>
          <w:rPr>
            <w:color w:val="1155CC"/>
            <w:u w:val="single"/>
          </w:rPr>
          <w:t>10.1002/adma.73236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二维过渡金属二硫化物（TMDs）在光电化学（PEC）氢析出反应（HER）中的性能受到金属阳离子选择有限的限制，主要是MoS2，其惰性基面和不稳定的1T相阻碍了PEC效率。高熵TMDs，在其中局部晶格畸变和电荷重新分布发生在范德华层状结构中，预计通过改善催化活性、光载流子动力学和相稳定性来克服这些内在限制。在此，我们展示了一种在p-Si光阴极上具有畸变1T相的晶圆级2D高熵（MoWTaNbRu）S2薄膜催化剂用于PEC-HER。高熵效应引发了显著的电子重新分布，增强了费米能级附近d轨道的贡献并优化了氢吸附能量学。PEC动力学分析，包括强度调制光电流光谱，表明（MoWTaNbRu）S2显著抑制了光生电荷载流子的复合，使得更高效的电荷提取和加速的界面反应动力学成为可能。此外，高熵驱动的亚稳态1T相的稳定性确保了光阴极的优异耐久性。因此，（MoWTaNbRu）S2/TiO</w:t>
      </w:r>
    </w:p>
    <w:p>
      <w:pPr>
        <w:spacing w:before="0" w:after="200" w:lineRule="auto" w:line="276"/>
      </w:pPr>
      <w:r>
        <w:rPr>
          <w:b/>
        </w:rPr>
        <w:t xml:space="preserve">Abstract (EN): </w:t>
      </w:r>
      <w:r>
        <w:t>Photoelectrochemical (PEC) performance of conventional 2D transition metal dichalcogenides (TMDs) in hydrogen evolution reaction (HER) is constrained by the limited selection of metal cations, predominantly MoS</w:t>
      </w:r>
      <w:r>
        <w:rPr>
          <w:vertAlign w:val="subscript"/>
        </w:rPr>
        <w:t>2</w:t>
      </w:r>
      <w:r>
        <w:t>, whose inert basal planes and unstable 1T phases hinder PEC efficiency. High‐entropy TMDs, in which local lattice distortion and charge redistribution occur within a van der Waals layered structure, are expected to overcome these intrinsic limitations by improving catalytic activity, photocarrier dynamics, and phase stability. Here, we demonstrate a wafer‐scale 2D high‐entropy (MoWTaNbRu)S</w:t>
      </w:r>
      <w:r>
        <w:rPr>
          <w:vertAlign w:val="subscript"/>
        </w:rPr>
        <w:t>2</w:t>
      </w:r>
      <w:r>
        <w:t>thin‐film catalyst with distorted 1T phase on</w:t>
      </w:r>
      <w:r>
        <w:t xml:space="preserve"> </w:t>
      </w:r>
      <w:r>
        <w:t>p</w:t>
      </w:r>
      <w:r>
        <w:t xml:space="preserve"> </w:t>
      </w:r>
      <w:r>
        <w:t>‐Si photocathode for PEC‐HER. The high‐entropy effect induces substantial electronic redistribution, enhancing the contribution of</w:t>
      </w:r>
      <w:r>
        <w:t xml:space="preserve"> </w:t>
      </w:r>
      <w:r>
        <w:t>d</w:t>
      </w:r>
      <w:r>
        <w:t xml:space="preserve"> </w:t>
      </w:r>
      <w:r>
        <w:t>‐orbitals near the Fermi level and optimizing hydrogen adsorption energetics. PEC kinetic analyses, including intensity‐modulated photocurrent spectroscopy, demonstrate that (MoWTaNbRu)S</w:t>
      </w:r>
      <w:r>
        <w:rPr>
          <w:vertAlign w:val="subscript"/>
        </w:rPr>
        <w:t>2</w:t>
      </w:r>
      <w:r>
        <w:t>markedly suppresses the recombination of photogenerated charge carriers, enabling more efficient charge extraction and accelerated interfacial reaction kinetics. Furthermore, the high‐entropy‐driven stabilization of the metastable 1T phase ensures excellent durability of the photocathode. As a result, the (MoWTaNbRu)S</w:t>
      </w:r>
      <w:r>
        <w:rPr>
          <w:vertAlign w:val="subscript"/>
        </w:rPr>
        <w:t>2</w:t>
      </w:r>
      <w:r>
        <w:t>/TiO</w:t>
      </w:r>
      <w:r>
        <w:rPr>
          <w:vertAlign w:val="subscript"/>
        </w:rPr>
        <w:t>2</w:t>
      </w:r>
      <w:r>
        <w:t>/</w:t>
      </w:r>
      <w:r>
        <w:t>p</w:t>
      </w:r>
      <w:r>
        <w:t xml:space="preserve"> </w:t>
      </w:r>
      <w:r>
        <w:t>‐Si photocathode shows a remarkable photocurrent density and stability for over 100 h, outperforming single‐metal TMDs. This study demonstrates how configurational entropy enhances catalytic activity, photocarrier transport, and phase stability of TMDs, establishing a general design principle for next‐generation PEC catalysts.</w:t>
      </w:r>
    </w:p>
    <w:p>
      <w:pPr>
        <w:spacing w:before="120" w:after="120"/>
      </w:pPr>
      <w:r>
        <w:rPr>
          <w:sz w:val="18"/>
        </w:rPr>
        <w:t>——————————————————————————————————————————————————————————————————————</w:t>
      </w:r>
    </w:p>
    <w:p>
      <w:pPr>
        <w:spacing w:before="160" w:after="40" w:line="240" w:lineRule="auto"/>
      </w:pPr>
      <w:r>
        <w:rPr>
          <w:b/>
        </w:rPr>
        <w:t xml:space="preserve">[13] </w:t>
      </w:r>
      <w:hyperlink r:id="rId141">
        <w:r>
          <w:rPr>
            <w:color w:val="1155CC"/>
            <w:u w:val="single"/>
          </w:rPr>
          <w:t>通过应变诱导的界面水重组打破氢演化的动力学pH效应</w:t>
        </w:r>
      </w:hyperlink>
    </w:p>
    <w:p>
      <w:pPr>
        <w:spacing w:before="0" w:after="80"/>
      </w:pPr>
      <w:r>
        <w:rPr>
          <w:i/>
          <w:sz w:val="20"/>
        </w:rPr>
        <w:t>EN: Breaking the kinetic pH effect in hydrogen evolution via strain-induced interfacial water reorganization</w:t>
      </w:r>
    </w:p>
    <w:p>
      <w:pPr>
        <w:spacing w:before="0" w:after="120"/>
      </w:pPr>
      <w:r>
        <w:rPr>
          <w:b/>
        </w:rPr>
        <w:t xml:space="preserve">Source: </w:t>
      </w:r>
      <w:r>
        <w:t>RSC - Energy Environ. Sci. latest articles</w:t>
      </w:r>
      <w:r>
        <w:t xml:space="preserve">    </w:t>
      </w:r>
      <w:r>
        <w:rPr>
          <w:b/>
        </w:rPr>
        <w:t xml:space="preserve">Pub date: </w:t>
      </w:r>
      <w:r>
        <w:t>2026-05-06 23:00:00+00:00</w:t>
      </w:r>
    </w:p>
    <w:p>
      <w:pPr>
        <w:spacing w:before="0" w:after="120"/>
      </w:pPr>
      <w:r>
        <w:rPr>
          <w:b/>
        </w:rPr>
        <w:t xml:space="preserve">Notes: </w:t>
      </w:r>
      <w:r>
        <w:t>abstract_source=rsc_html</w:t>
      </w:r>
    </w:p>
    <w:p>
      <w:pPr>
        <w:spacing w:before="0" w:after="80" w:lineRule="auto" w:line="276"/>
      </w:pPr>
      <w:r>
        <w:rPr>
          <w:b/>
        </w:rPr>
        <w:t xml:space="preserve">摘要（ZH）: </w:t>
      </w:r>
      <w:r>
        <w:t>氢析出反应中长期未解决的非能斯特动力学pH效应，表现为酸性和碱性介质之间数量级的动力学差距，是这些电解质之间显著活性差距的根源。虽然理论范式提出界面水重组对于缓解pH依赖的动力学至关重要，但开发能够精确操控这一微环境的实用系统，同时打破活性和稳定性之间的固有权衡，仍然是一个艰巨的挑战，阻碍了对界面微环境调节作用的全面理解。在此，富含晶界的电催化剂的工程提供了一个明确的系统，以精确解耦和调节界面微环境。结合原位光谱和理论模拟揭示了晶界诱导的应变调节表面亲氧性，从而战略性地调节界面氢键网络的连通性，而不仅仅是改变内在反应能量学。这种增强的连通性促进了水和质子的转移，几乎实现了pH独立的动力学，具有前所未有的接近于1的差距因子。在设备层面，使用优化的GB-PtIr@CNT阴极的阴离子交换膜水电解槽在仅1.84 V下提供2 A cm-2的电流密度，同时在1 A cm-2下保持1000小时的稳健稳定性。这些发现强调了晶界工程作为一种稳健策略的潜力。</w:t>
      </w:r>
    </w:p>
    <w:p>
      <w:pPr>
        <w:spacing w:before="0" w:after="200" w:lineRule="auto" w:line="276"/>
      </w:pPr>
      <w:r>
        <w:rPr>
          <w:b/>
        </w:rPr>
        <w:t xml:space="preserve">Abstract (EN): </w:t>
      </w:r>
      <w:r>
        <w:t>The long-unresolved non-Nernstian kinetic pH effect in the hydrogen evolution reaction, manifested as the order-of-magnitude kinetic gap between acidic and alkaline media, underlies the substantial activity gap between these electrolytes. While theoretical paradigms propose interfacial water reorganization as essential for mitigating pH-dependent kinetics, the development of practical systems to precisely manipulate this microenvironment while breaking the inherent trade-off between activity and stability remains a formidable challenge, hindering a comprehensive understanding of the mediating role of the interfacial microenvironment. Herein, the engineering of grain-boundary-rich electrocatalysts provides a well-defined system to precisely decouple and modulate the interfacial microenvironment. A combination of in situ spectroscopy and theoretical simulations reveals that grain-boundary-induced strain regulates surface oxophilicity, thereby strategically modulating the connectivity of interfacial hydrogen-bond networks rather than merely altering intrinsic reaction energetics. This enhanced connectivity fosters a local microenvironment that facilitates water and proton transfer, enabling nearly pH-independent kinetics with unprecedented gap factors approaching unity. At the device level, an anion exchange membrane water electrolyzer utilizing the optimized GB-PtIr@CNT cathode delivers a current density of 2 A cm-2 at only 1.84 V, while maintaining robust stability for 1,000 h at 1 A cm-2. These findings underscore grain boundary engineering as a robust strategy for the precise tailoring of electrochemical interfaces, offering a pathway to accelerate pH-dependent reaction kinetics.</w:t>
      </w:r>
    </w:p>
    <w:p>
      <w:pPr>
        <w:spacing w:before="120" w:after="120"/>
      </w:pPr>
      <w:r>
        <w:rPr>
          <w:sz w:val="18"/>
        </w:rPr>
        <w:t>——————————————————————————————————————————————————————————————————————</w:t>
      </w:r>
    </w:p>
    <w:p>
      <w:pPr>
        <w:spacing w:before="160" w:after="40" w:line="240" w:lineRule="auto"/>
      </w:pPr>
      <w:r>
        <w:rPr>
          <w:b/>
        </w:rPr>
        <w:t xml:space="preserve">[14] </w:t>
      </w:r>
      <w:hyperlink r:id="rId142">
        <w:r>
          <w:rPr>
            <w:color w:val="1155CC"/>
            <w:u w:val="single"/>
          </w:rPr>
          <w:t>自粘高熵氧化物亚纳米线整体电催化剂</w:t>
        </w:r>
      </w:hyperlink>
    </w:p>
    <w:p>
      <w:pPr>
        <w:spacing w:before="0" w:after="80"/>
      </w:pPr>
      <w:r>
        <w:rPr>
          <w:i/>
          <w:sz w:val="20"/>
        </w:rPr>
        <w:t>EN: Self-adhesive high-entropy oxide sub-nanowire monolithic electrocatalysts</w:t>
      </w:r>
    </w:p>
    <w:p>
      <w:pPr>
        <w:spacing w:before="0" w:after="120"/>
      </w:pPr>
      <w:r>
        <w:rPr>
          <w:b/>
        </w:rPr>
        <w:t xml:space="preserve">Source: </w:t>
      </w:r>
      <w:r>
        <w:t>Nature Nanotechnology</w:t>
      </w:r>
      <w:r>
        <w:t xml:space="preserve">    </w:t>
      </w:r>
      <w:r>
        <w:rPr>
          <w:b/>
        </w:rPr>
        <w:t xml:space="preserve">Pub date: </w:t>
      </w:r>
      <w:r>
        <w:t>2026-05-07 00:00:00+00:00</w:t>
      </w:r>
      <w:r>
        <w:t xml:space="preserve">    </w:t>
      </w:r>
      <w:r>
        <w:rPr>
          <w:b/>
        </w:rPr>
        <w:t xml:space="preserve">DOI: </w:t>
      </w:r>
      <w:hyperlink r:id="rId143">
        <w:r>
          <w:rPr>
            <w:color w:val="1155CC"/>
            <w:u w:val="single"/>
          </w:rPr>
          <w:t>10.1038/s41565-026-02175-4</w:t>
        </w:r>
      </w:hyperlink>
    </w:p>
    <w:p>
      <w:pPr>
        <w:spacing w:before="0" w:after="120"/>
      </w:pPr>
      <w:r>
        <w:rPr>
          <w:b/>
        </w:rPr>
        <w:t xml:space="preserve">Notes: </w:t>
      </w:r>
      <w:r>
        <w:t>abstract_source=nature_html</w:t>
      </w:r>
    </w:p>
    <w:p>
      <w:pPr>
        <w:spacing w:before="0" w:after="80" w:lineRule="auto" w:line="276"/>
      </w:pPr>
      <w:r>
        <w:rPr>
          <w:b/>
        </w:rPr>
        <w:t xml:space="preserve">摘要（ZH）: </w:t>
      </w:r>
      <w:r>
        <w:t>工业海水电解在实现高催化活性和长期耐久性方面仍然受到限制，主要限制包括催化剂层的结构退化和机械不稳定性。在此，我们展示了一种自粘高熵氧化物亚纳米线整体催化剂，克服了这两个障碍。该催化剂在温和条件下合成，将14种金属元素结合到均匀的约1.2 nm亚纳米线中，与导电基板具有强的内在粘附性，消除了对外部粘合剂的需求。它还具有非常规的活性位点，使其能够高效且耐久地激活晶格氧，同时在长时间操作中保持结构完整性。在1 M KOH中表现出129 mV的过电位，在1 M KOH + 海水中表现出153 mV的过电位，且在1,000 mA cm−2下分别连续运行4,700小时和4,400小时。集成到阴离子交换膜海水电解槽中，它在1.70 V（80 °C）下提供3,000 mA cm−2，并在环境条件下以2,000 mA cm−2连续运行超过3,819小时。</w:t>
      </w:r>
    </w:p>
    <w:p>
      <w:pPr>
        <w:spacing w:before="0" w:after="200" w:lineRule="auto" w:line="276"/>
      </w:pPr>
      <w:r>
        <w:rPr>
          <w:b/>
        </w:rPr>
        <w:t xml:space="preserve">Abstract (EN): </w:t>
      </w:r>
      <w:r>
        <w:t>Industrial seawater electrolysis remains constrained in achieving both high catalytic activity and long-term durability, with key limitations including structural degradation and mechanical instability within catalyst layers. Here we show a self-adhesive high-entropy oxide sub-nanowire monolithic catalyst that overcomes both obstacles. The catalyst is synthesized under mild conditions and incorporates 14 metal elements into uniform ~1.2 nm sub-nanowires with strong intrinsic adhesion to conductive substrates, eliminating the need for external binders. It also features unconventional active sites that enable efficient and durable lattice oxygen activation while preserving structural integrity during prolonged operation. It exhibits overpotentials of 129 mV in 1 M KOH and 153 mV in 1 M KOH + seawater at 10 mA cm−2, and maintains continuous operation at 1,000 mA cm−2 for 4,700 h and 4,400 h, respectively. Integrated into an anion exchange membrane seawater electrolyser, it delivers 3,000 mA cm−2 at 1.70 V (80 °C) and operates continuously for over 3,819 h at 2,000 mA cm−2 under ambient conditions.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44">
        <w:r>
          <w:rPr>
            <w:color w:val="1155CC"/>
            <w:u w:val="single"/>
          </w:rPr>
          <w:t>建筑能效标准：对华盛顿特区建筑能效和温室气体排放的影响</w:t>
        </w:r>
      </w:hyperlink>
    </w:p>
    <w:p>
      <w:pPr>
        <w:spacing w:before="0" w:after="80"/>
      </w:pPr>
      <w:r>
        <w:rPr>
          <w:i/>
          <w:sz w:val="20"/>
        </w:rPr>
        <w:t>EN: Building energy performance standards: impacts on building energy efficiency and GHG emissions in Washington, DC</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45">
        <w:r>
          <w:rPr>
            <w:color w:val="1155CC"/>
            <w:u w:val="single"/>
          </w:rPr>
          <w:t>使用N-杂环亚胺进行耐氧电化学CO2分离，每电子释放超化学计量</w:t>
        </w:r>
      </w:hyperlink>
    </w:p>
    <w:p>
      <w:pPr>
        <w:spacing w:before="0" w:after="80"/>
      </w:pPr>
      <w:r>
        <w:rPr>
          <w:i/>
          <w:sz w:val="20"/>
        </w:rPr>
        <w:t>EN: Oxygen-tolerant electrochemical CO2 separation using N-heterocyclic imines with superstoichiometric release per electron</w:t>
      </w:r>
    </w:p>
    <w:p>
      <w:pPr>
        <w:spacing w:before="0" w:after="120"/>
      </w:pPr>
      <w:r>
        <w:rPr>
          <w:b/>
        </w:rPr>
        <w:t xml:space="preserve">Source: </w:t>
      </w:r>
      <w:r>
        <w:t>Nature Energy</w:t>
      </w:r>
      <w:r>
        <w:t xml:space="preserve">    </w:t>
      </w:r>
      <w:r>
        <w:rPr>
          <w:b/>
        </w:rPr>
        <w:t xml:space="preserve">Pub date: </w:t>
      </w:r>
      <w:r>
        <w:t>2026-05-04 00:00:00+00:00</w:t>
      </w:r>
      <w:r>
        <w:t xml:space="preserve">    </w:t>
      </w:r>
      <w:r>
        <w:rPr>
          <w:b/>
        </w:rPr>
        <w:t xml:space="preserve">DOI: </w:t>
      </w:r>
      <w:hyperlink r:id="rId146">
        <w:r>
          <w:rPr>
            <w:color w:val="1155CC"/>
            <w:u w:val="single"/>
          </w:rPr>
          <w:t>10.1038/s41560-026-02055-0</w:t>
        </w:r>
      </w:hyperlink>
    </w:p>
    <w:p>
      <w:pPr>
        <w:spacing w:before="0" w:after="120"/>
      </w:pPr>
      <w:r>
        <w:rPr>
          <w:b/>
        </w:rPr>
        <w:t xml:space="preserve">Notes: </w:t>
      </w:r>
      <w:r>
        <w:t>abstract_source=nature_html</w:t>
      </w:r>
    </w:p>
    <w:p>
      <w:pPr>
        <w:spacing w:before="0" w:after="80" w:lineRule="auto" w:line="276"/>
      </w:pPr>
      <w:r>
        <w:rPr>
          <w:b/>
        </w:rPr>
        <w:t xml:space="preserve">摘要（ZH）: </w:t>
      </w:r>
      <w:r>
        <w:t>电化学介导的CO2捕获提供了一种有前途的热化学捕获替代方案，但基准吸附剂存在一个不受欢迎的权衡：强CO2结合需要高度负的还原电位，导致不良的氧还原。同时，更正的电位会妥协结合。在这里，我们使用N-杂环亚胺（NHI）绕过这一权衡，它们在中性状态下表现出可调的CO2结合强度（约50–100 kJ mol−1 CO2），并在电氧化时释放CO2，与现有的分子捕获机制不同。虽然初始NHI结构由于基于溶剂的氢抽取表现出氧化还原不可逆性，但一种苯撑连接的双（NHI）设计通过在苯环上的电荷离域实现氧化还原可逆性，同时实现每电子2 CO2的摆动。一个对称的电化学介导的CO2捕获系统在40个循环中表现出稳定的循环性能，并在比氧还原反应高出500 mV的电位下运行，预计理论最低能耗约为10 kJ mol−1 CO2，系统工作为28–43 kJ mol−1 CO2在5–15% CO2下。</w:t>
      </w:r>
    </w:p>
    <w:p>
      <w:pPr>
        <w:spacing w:before="0" w:after="200" w:lineRule="auto" w:line="276"/>
      </w:pPr>
      <w:r>
        <w:rPr>
          <w:b/>
        </w:rPr>
        <w:t xml:space="preserve">Abstract (EN): </w:t>
      </w:r>
      <w:r>
        <w:t>Electrochemically mediated CO2 capture offers a promising alternative to thermochemical capture, but benchmark sorbents possess an undesired trade-off: strong CO2 binding necessitates a highly negative reduction potential, driving undesirable oxygen reduction. Meanwhile, more positive potentials compromise binding. Here we circumvent this trade-off using N-heterocyclic imines (NHIs), which exhibit a tailorable CO2 binding strength (~50–100 kJ mol−1 CO2) in the neutral state and release CO2 upon electro-oxidation, distinct from prevailing molecular capture mechanisms. Whereas initial NHI structures exhibited redox irreversibility due to solvent-based hydrogen abstraction, a phenylene-linked bis(NHI) design achieves redox reversibility by charge delocalization on the benzene ring, which simultaneously enables a 2 CO2 per e− swing. A symmetric electrochemically mediated CO2 capture system demonstrated stable cycling performance over 40 cycles and operated &gt; 500 mV more positive than the oxygen reduction reaction, with projected theoretical minimum energy consumption of ~10 kJ mol−1 CO2 and a system work of 28–43 kJ mol−1 CO2 under 5–15% CO2.</w:t>
      </w:r>
    </w:p>
    <w:p>
      <w:pPr>
        <w:spacing w:before="120" w:after="120"/>
      </w:pPr>
      <w:r>
        <w:rPr>
          <w:sz w:val="18"/>
        </w:rPr>
        <w:t>——————————————————————————————————————————————————————————————————————</w:t>
      </w:r>
    </w:p>
    <w:p>
      <w:pPr>
        <w:spacing w:before="160" w:after="40" w:line="240" w:lineRule="auto"/>
      </w:pPr>
      <w:r>
        <w:rPr>
          <w:b/>
        </w:rPr>
        <w:t xml:space="preserve">[2] </w:t>
      </w:r>
      <w:hyperlink r:id="rId147">
        <w:r>
          <w:rPr>
            <w:color w:val="1155CC"/>
            <w:u w:val="single"/>
          </w:rPr>
          <w:t>[ASAP] 硫氰酸盐“钝化”解锁了在铜基催化剂上高选择性和高效的酸性CO2电还原为CH4</w:t>
        </w:r>
      </w:hyperlink>
    </w:p>
    <w:p>
      <w:pPr>
        <w:spacing w:before="0" w:after="80"/>
      </w:pPr>
      <w:r>
        <w:rPr>
          <w:i/>
          <w:sz w:val="20"/>
        </w:rPr>
        <w:t>EN: [ASAP] Thiocyanate “Passivation” Unlocks Highly Selective and Efficient Acidic CO2 Electroreduction to CH4 on Cu-Based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2026-05-04 14:37:49+00:00</w:t>
      </w:r>
      <w:r>
        <w:t xml:space="preserve">    </w:t>
      </w:r>
      <w:r>
        <w:rPr>
          <w:b/>
        </w:rPr>
        <w:t xml:space="preserve">DOI: </w:t>
      </w:r>
      <w:hyperlink r:id="rId148">
        <w:r>
          <w:rPr>
            <w:color w:val="1155CC"/>
            <w:u w:val="single"/>
          </w:rPr>
          <w:t>10.1021/jacs.6c04132</w:t>
        </w:r>
      </w:hyperlink>
    </w:p>
    <w:p>
      <w:pPr>
        <w:spacing w:before="0" w:after="120"/>
      </w:pPr>
      <w:r>
        <w:rPr>
          <w:b/>
        </w:rPr>
        <w:t xml:space="preserve">Notes: </w:t>
      </w:r>
      <w:r>
        <w:t>abstract_source=openalex</w:t>
      </w:r>
    </w:p>
    <w:p>
      <w:pPr>
        <w:spacing w:before="0" w:after="80" w:lineRule="auto" w:line="276"/>
      </w:pPr>
      <w:r>
        <w:rPr>
          <w:b/>
        </w:rPr>
        <w:t xml:space="preserve">摘要（ZH）: </w:t>
      </w:r>
      <w:r>
        <w:t>并为表面化学的设计提供了见解，以精确调控催化过程以实现目标产物的生产。</w:t>
      </w:r>
    </w:p>
    <w:p>
      <w:pPr>
        <w:spacing w:before="0" w:after="200" w:lineRule="auto" w:line="276"/>
      </w:pPr>
      <w:r>
        <w:rPr>
          <w:b/>
        </w:rPr>
        <w:t xml:space="preserve">Abstract (EN): </w:t>
      </w:r>
      <w:r>
        <w:t>and offers insights into the design of surface chemistry for precise regulation of catalytic processes to achieve targeted product production.</w:t>
      </w:r>
    </w:p>
    <w:p>
      <w:pPr>
        <w:spacing w:before="120" w:after="120"/>
      </w:pPr>
      <w:r>
        <w:rPr>
          <w:sz w:val="18"/>
        </w:rPr>
        <w:t>——————————————————————————————————————————————————————————————————————</w:t>
      </w:r>
    </w:p>
    <w:p>
      <w:pPr>
        <w:spacing w:before="160" w:after="40" w:line="240" w:lineRule="auto"/>
      </w:pPr>
      <w:r>
        <w:rPr>
          <w:b/>
        </w:rPr>
        <w:t xml:space="preserve">[3] </w:t>
      </w:r>
      <w:hyperlink r:id="rId149">
        <w:r>
          <w:rPr>
            <w:color w:val="1155CC"/>
            <w:u w:val="single"/>
          </w:rPr>
          <w:t>[ASAP] 零电荷电位作为CO2电还原的动力学描述符</w:t>
        </w:r>
      </w:hyperlink>
    </w:p>
    <w:p>
      <w:pPr>
        <w:spacing w:before="0" w:after="80"/>
      </w:pPr>
      <w:r>
        <w:rPr>
          <w:i/>
          <w:sz w:val="20"/>
        </w:rPr>
        <w:t>EN: [ASAP] Potential of Zero Charge as a Kinetic Descriptor for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2026-05-04 18:38:09+00:00</w:t>
      </w:r>
      <w:r>
        <w:t xml:space="preserve">    </w:t>
      </w:r>
      <w:r>
        <w:rPr>
          <w:b/>
        </w:rPr>
        <w:t xml:space="preserve">DOI: </w:t>
      </w:r>
      <w:hyperlink r:id="rId150">
        <w:r>
          <w:rPr>
            <w:color w:val="1155CC"/>
            <w:u w:val="single"/>
          </w:rPr>
          <w:t>10.1021/jacs.6c02109</w:t>
        </w:r>
      </w:hyperlink>
    </w:p>
    <w:p>
      <w:pPr>
        <w:spacing w:before="0" w:after="120"/>
      </w:pPr>
      <w:r>
        <w:rPr>
          <w:b/>
        </w:rPr>
        <w:t xml:space="preserve">Notes: </w:t>
      </w:r>
      <w:r>
        <w:t>abstract_source=pubmed</w:t>
      </w:r>
    </w:p>
    <w:p>
      <w:pPr>
        <w:spacing w:before="0" w:after="80" w:lineRule="auto" w:line="276"/>
      </w:pPr>
      <w:r>
        <w:rPr>
          <w:b/>
        </w:rPr>
        <w:t xml:space="preserve">摘要（ZH）: </w:t>
      </w:r>
      <w:r>
        <w:t>电催化剂的合理设计长期以来依赖于基于中间体结合能的热力学描述符。然而，这些描述符往往忽略了电解固有的电位依赖性表面充电，限制了其在操作条件下捕捉反应动力学的能力。在此，我们确定了零电荷电位（PZC），它调节界面电子能量景观，作为CO2电还原的动力学描述符。通过评估11种催化剂在广泛的pH范围（从酸性到碱性）内，我们揭示了过电位与PZC之间在多种反应路径（包括CO、甲酸盐和多碳产物）上的强相关性。通过综合电化学分析、同位素标记、原位光谱和计算建模，我们表明PZC从根本上调节电子转移动力学。在给定的负电位下，具有更正PZC的催化剂引入了更大的静电贡献以抵消其较低的化学势，从而加速电子向催化剂表面和反应中间体的转移。这种基于PZC的动力学描述符进一步扩展到酸性氢析出反应，突显其在电催化系统中的广泛适用性。</w:t>
      </w:r>
    </w:p>
    <w:p>
      <w:pPr>
        <w:spacing w:before="0" w:after="200" w:lineRule="auto" w:line="276"/>
      </w:pPr>
      <w:r>
        <w:rPr>
          <w:b/>
        </w:rPr>
        <w:t xml:space="preserve">Abstract (EN): </w:t>
      </w:r>
      <w:r>
        <w:t>The rational design of electrocatalysts has long relied on thermodynamic descriptors based on intermediate binding energies. However, such descriptors often overlook potential-dependent surface charging inherent to electrolysis, limiting its ability to capture the reaction kinetics under operational conditions. Here, we identify the potential of zero charge (PZC), which regulates the interfacial electron energy landscape, as a kinetic descriptor for CO2 electroreduction. By evaluating 11 catalysts across a wide pH range (acidic to alkaline), we reveal strong correlations between overpotential and PZC for multiple reaction pathways, including CO, formate, and multicarbon products. Through integrated electrochemical analysis, isotope labeling, in situ spectroscopy, and computational modeling, we show that PZC fundamentally regulates electron-transfer kinetics. At a given negetive potential, a catalyst with a more positive PZC introduces a larger electrostatic contribution to the electron energy to offset their lower chemical potential, which accelerates electron transfer to both the catalyst surface and reaction intermediates. This PZC-based kinetic descriptor further extends to the acidic hydrogen evolution reaction, highlighting its broad applicability across electrocatalytic systems.</w:t>
      </w:r>
    </w:p>
    <w:p>
      <w:pPr>
        <w:spacing w:before="120" w:after="120"/>
      </w:pPr>
      <w:r>
        <w:rPr>
          <w:sz w:val="18"/>
        </w:rPr>
        <w:t>——————————————————————————————————————————————————————————————————————</w:t>
      </w:r>
    </w:p>
    <w:p>
      <w:pPr>
        <w:spacing w:before="160" w:after="40" w:line="240" w:lineRule="auto"/>
      </w:pPr>
      <w:r>
        <w:rPr>
          <w:b/>
        </w:rPr>
        <w:t xml:space="preserve">[4] </w:t>
      </w:r>
      <w:hyperlink r:id="rId151">
        <w:r>
          <w:rPr>
            <w:color w:val="1155CC"/>
            <w:u w:val="single"/>
          </w:rPr>
          <w:t>面积均匀性实现了基于隔膜的CO电解槽的规模化</w:t>
        </w:r>
      </w:hyperlink>
    </w:p>
    <w:p>
      <w:pPr>
        <w:spacing w:before="0" w:after="80"/>
      </w:pPr>
      <w:r>
        <w:rPr>
          <w:i/>
          <w:sz w:val="20"/>
        </w:rPr>
        <w:t>EN: Areal uniformity enables scaled separator-based CO electrolyzers</w:t>
      </w:r>
    </w:p>
    <w:p>
      <w:pPr>
        <w:spacing w:before="0" w:after="120"/>
      </w:pPr>
      <w:r>
        <w:rPr>
          <w:b/>
        </w:rPr>
        <w:t xml:space="preserve">Source: </w:t>
      </w:r>
      <w:r>
        <w:t>Joule</w:t>
      </w:r>
      <w:r>
        <w:t xml:space="preserve">    </w:t>
      </w:r>
      <w:r>
        <w:rPr>
          <w:b/>
        </w:rPr>
        <w:t xml:space="preserve">Pub date: </w:t>
      </w:r>
      <w:r>
        <w:t>2026-05-06 00:00:00+00:00</w:t>
      </w:r>
      <w:r>
        <w:t xml:space="preserve">    </w:t>
      </w:r>
      <w:r>
        <w:rPr>
          <w:b/>
        </w:rPr>
        <w:t xml:space="preserve">DOI: </w:t>
      </w:r>
      <w:hyperlink r:id="rId152">
        <w:r>
          <w:rPr>
            <w:color w:val="1155CC"/>
            <w:u w:val="single"/>
          </w:rPr>
          <w:t>10.1016/j.joule.2026.102441</w:t>
        </w:r>
      </w:hyperlink>
    </w:p>
    <w:p>
      <w:pPr>
        <w:spacing w:before="0" w:after="120"/>
      </w:pPr>
      <w:r>
        <w:rPr>
          <w:b/>
        </w:rPr>
        <w:t xml:space="preserve">Notes: </w:t>
      </w:r>
      <w:r>
        <w:t>abstract_source=rss_cell</w:t>
      </w:r>
    </w:p>
    <w:p>
      <w:pPr>
        <w:spacing w:before="0" w:after="80" w:lineRule="auto" w:line="276"/>
      </w:pPr>
      <w:r>
        <w:rPr>
          <w:b/>
        </w:rPr>
        <w:t xml:space="preserve">摘要（ZH）: </w:t>
      </w:r>
      <w:r>
        <w:t>工业规模的电化学CO还原面临机械挑战，阻碍了性能。我们展示了一种基于隔膜的CO电解槽，在800 cm2的操作下使用刚性框架支撑，实现了活性区域的均匀压缩。该单电池装置在52%的法拉第效率下实现了125 A的乙烯电流，并保留了约65%的实验室规模能量效率，表明了一条通向大面积CO电解的实用途径。</w:t>
      </w:r>
    </w:p>
    <w:p>
      <w:pPr>
        <w:spacing w:before="0" w:after="200" w:lineRule="auto" w:line="276"/>
      </w:pPr>
      <w:r>
        <w:rPr>
          <w:b/>
        </w:rPr>
        <w:t xml:space="preserve">Abstract (EN): </w:t>
      </w:r>
      <w:r>
        <w:t>Industrial-scale electrochemical CO reduction faces mechanical challenges that hinder performance. We demonstrate a separator-based CO electrolyzer operating at 800 cm2 using a rigid framing support that enables uniform compression across the active area. The single-cell device achieves 125 A of ethylene current at 52% Faradaic efficiency and retains ∼65% of the bench-scale energy efficiency, suggesting a practical route toward large-area CO electrolysis.</w:t>
      </w:r>
    </w:p>
    <w:p>
      <w:pPr>
        <w:spacing w:before="120" w:after="120"/>
      </w:pPr>
      <w:r>
        <w:rPr>
          <w:sz w:val="18"/>
        </w:rPr>
        <w:t>——————————————————————————————————————————————————————————————————————</w:t>
      </w:r>
    </w:p>
    <w:p>
      <w:pPr>
        <w:spacing w:before="160" w:after="40" w:line="240" w:lineRule="auto"/>
      </w:pPr>
      <w:r>
        <w:rPr>
          <w:b/>
        </w:rPr>
        <w:t xml:space="preserve">[5] </w:t>
      </w:r>
      <w:hyperlink r:id="rId153">
        <w:r>
          <w:rPr>
            <w:color w:val="1155CC"/>
            <w:u w:val="single"/>
          </w:rPr>
          <w:t>[ASAP] 地球作为反应器：在新兴地下能源和资源技术背景下的碳矿化地球化学</w:t>
        </w:r>
      </w:hyperlink>
    </w:p>
    <w:p>
      <w:pPr>
        <w:spacing w:before="0" w:after="80"/>
      </w:pPr>
      <w:r>
        <w:rPr>
          <w:i/>
          <w:sz w:val="20"/>
        </w:rPr>
        <w:t>EN: [ASAP] Earth as a Reactor: Carbon Mineralization Geochemistry in the Context of Emerging Subsurface Energy and Resource Technologies</w:t>
      </w:r>
    </w:p>
    <w:p>
      <w:pPr>
        <w:spacing w:before="0" w:after="120"/>
      </w:pPr>
      <w:r>
        <w:rPr>
          <w:b/>
        </w:rPr>
        <w:t xml:space="preserve">Source: </w:t>
      </w:r>
      <w:r>
        <w:t>Chemical Reviews: Latest Articles (ACS Publications)</w:t>
      </w:r>
      <w:r>
        <w:t xml:space="preserve">    </w:t>
      </w:r>
      <w:r>
        <w:rPr>
          <w:b/>
        </w:rPr>
        <w:t xml:space="preserve">Pub date: </w:t>
      </w:r>
      <w:r>
        <w:t>2026-05-06 17:52:13+00:00</w:t>
      </w:r>
      <w:r>
        <w:t xml:space="preserve">    </w:t>
      </w:r>
      <w:r>
        <w:rPr>
          <w:b/>
        </w:rPr>
        <w:t xml:space="preserve">DOI: </w:t>
      </w:r>
      <w:hyperlink r:id="rId154">
        <w:r>
          <w:rPr>
            <w:color w:val="1155CC"/>
            <w:u w:val="single"/>
          </w:rPr>
          <w:t>10.1021/acs.chemrev.5c00716</w:t>
        </w:r>
      </w:hyperlink>
    </w:p>
    <w:p>
      <w:pPr>
        <w:spacing w:before="0" w:after="120"/>
      </w:pPr>
      <w:r>
        <w:rPr>
          <w:b/>
        </w:rPr>
        <w:t xml:space="preserve">Notes: </w:t>
      </w:r>
      <w:r>
        <w:t>abstract_source=pubmed</w:t>
      </w:r>
    </w:p>
    <w:p>
      <w:pPr>
        <w:spacing w:before="0" w:after="80" w:lineRule="auto" w:line="276"/>
      </w:pPr>
      <w:r>
        <w:rPr>
          <w:b/>
        </w:rPr>
        <w:t xml:space="preserve">摘要（ZH）: </w:t>
      </w:r>
      <w:r>
        <w:t>地壳中含有可用于将大气中的CO2转化为新碳酸盐矿物的反应性火成岩储层。碳矿化技术依赖于地壳反应物（岩石、水和生物体）与注入的CO2之间的反应，以释放可参与新碳酸盐矿物沉淀的二价阳离子。世界各地在镁铁质-超镁铁质岩石中的现场CO2注入测试为地下的反应潜力打开了一扇窗。几十年的碳矿化研究所获得的知识和技术将推动在解锁地下关键矿产资源、氢气生成、地热能、水资源管理、废物储存、气体储存和碳氢化合物提取方面的创新方法。我们的综述描述了地下镁铁质-超镁铁质储层、碳矿化反应、现场测试以及将地下地球用作反应器的未来机会的整体视图。</w:t>
      </w:r>
    </w:p>
    <w:p>
      <w:pPr>
        <w:spacing w:before="0" w:after="200" w:lineRule="auto" w:line="276"/>
      </w:pPr>
      <w:r>
        <w:rPr>
          <w:b/>
        </w:rPr>
        <w:t xml:space="preserve">Abstract (EN): </w:t>
      </w:r>
      <w:r>
        <w:t>The Earth's crust contains reactive, igneous reservoirs that can be utilized to turn atmospheric CO2 into new carbonate minerals. Carbon mineralization technology relies on the reactions between crustal reactants (rock, water, and biota) and injected CO2 to release divalent cations that can participate in the precipitation of new carbonate minerals. Field CO2 injection tests in mafic-ultramafic lithologies around the world have opened a window into the reactive potential of the subsurface. Knowledge and technology gained from the decades of carbon mineralization research will push forward efforts in unlocking innovative ways to approach subsurface critical mineral resources, hydrogen generation, geothermal energy, water resource management, waste storage, gas storage, and hydrocarbon extraction. Our review describes a holistic view of subsurface mafic-ultramafic reservoirs, carbon mineralization reactions, field tests, and future opportunities for using the subsurface Earth as a Reactor.</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55">
        <w:r>
          <w:rPr>
            <w:color w:val="1155CC"/>
            <w:u w:val="single"/>
          </w:rPr>
          <w:t>使用塑料水解物作为氢供体的光催化转移加氢</w:t>
        </w:r>
      </w:hyperlink>
    </w:p>
    <w:p>
      <w:pPr>
        <w:spacing w:before="0" w:after="80"/>
      </w:pPr>
      <w:r>
        <w:rPr>
          <w:i/>
          <w:sz w:val="20"/>
        </w:rPr>
        <w:t>EN: Photocatalytic Transfer Hydrogenation Using Plastic Hydrolysates as Hydrogen Donor</w:t>
      </w:r>
    </w:p>
    <w:p>
      <w:pPr>
        <w:spacing w:before="0" w:after="120"/>
      </w:pPr>
      <w:r>
        <w:rPr>
          <w:b/>
        </w:rPr>
        <w:t xml:space="preserve">Source: </w:t>
      </w:r>
      <w:r>
        <w:t>Wiley: Angewandte Chemie International Edition: Table of Contents</w:t>
      </w:r>
      <w:r>
        <w:t xml:space="preserve">    </w:t>
      </w:r>
      <w:r>
        <w:rPr>
          <w:b/>
        </w:rPr>
        <w:t xml:space="preserve">Pub date: </w:t>
      </w:r>
      <w:r>
        <w:t>2026-05-04 11:51:53+00:00</w:t>
      </w:r>
      <w:r>
        <w:t xml:space="preserve">    </w:t>
      </w:r>
      <w:r>
        <w:rPr>
          <w:b/>
        </w:rPr>
        <w:t xml:space="preserve">DOI: </w:t>
      </w:r>
      <w:hyperlink r:id="rId156">
        <w:r>
          <w:rPr>
            <w:color w:val="1155CC"/>
            <w:u w:val="single"/>
          </w:rPr>
          <w:t>10.1002/anie.4324362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芳香胺的合成需要苛刻的条件或使用化石来源的氢（H2）。在此，我们通过展示光催化转移氢化（PTH）将硝基芳烃转化为苯胺，使用塑料水解产物作为电子和质子（氢）供体，在常温常压下解决了这一限制。PTH是通过在酸性水溶液中使用钴促进的硫化钼（CoMoS2）电催化剂与碳氮化物（CNx）半导体光催化剂集成实现的。CoMoS2在–0.7 V（相对于RHE）下将硝基芳烃还原为苯胺，法拉第效率为70%，活性优于铂。CoMoS2-CNx光催化剂在模拟太阳光（AM 1.5 G，25°C）下产生苯胺，从24种硝基芳烃中实现83%–99%的产率，使用4-甲基苯甲醇作为模型氢供体。缩合聚合物的酸水解提供了水溶液中的醇单体来源，可用作PTH的可持续氢供体，在使用AM 1.5G或LED（405 nm，33 mW cm−2）照射时实现&gt;80%的产率。技术经济分析（TEA）在试点规模生产1 t苯胺每天</w:t>
      </w:r>
    </w:p>
    <w:p>
      <w:pPr>
        <w:spacing w:before="0" w:after="200" w:lineRule="auto" w:line="276"/>
      </w:pPr>
      <w:r>
        <w:rPr>
          <w:b/>
        </w:rPr>
        <w:t xml:space="preserve">Abstract (EN): </w:t>
      </w:r>
      <w:r>
        <w:t>The synthesis of aromatic amines requires harsh conditions or the use of fossil‐derived hydrogen (H</w:t>
      </w:r>
      <w:r>
        <w:rPr>
          <w:vertAlign w:val="subscript"/>
        </w:rPr>
        <w:t>2</w:t>
      </w:r>
      <w:r>
        <w:t>). Here, we address this limitation by demonstrating photocatalytic transfer hydrogenation (PTH) of nitroarenes into anilines employing plastic hydrolysates as electron and proton (hydrogen) donors under ambient temperature and pressure. PTH is achieved using a cobalt‐promoted molybdenum sulfide (</w:t>
      </w:r>
      <w:r>
        <w:t xml:space="preserve"> </w:t>
      </w:r>
      <w:r>
        <w:t>Co</w:t>
      </w:r>
      <w:r>
        <w:t xml:space="preserve"> </w:t>
      </w:r>
      <w:r>
        <w:t>MoS</w:t>
      </w:r>
      <w:r>
        <w:rPr>
          <w:vertAlign w:val="subscript"/>
        </w:rPr>
        <w:t>2</w:t>
      </w:r>
      <w:r>
        <w:t>) electrocatalyst integrated with a carbon nitride (CN</w:t>
      </w:r>
      <w:r>
        <w:t xml:space="preserve"> </w:t>
      </w:r>
      <w:r>
        <w:t>x</w:t>
      </w:r>
      <w:r>
        <w:t xml:space="preserve"> </w:t>
      </w:r>
      <w:r>
        <w:t>) semiconductor photocatalyst in acidic aqueous solution.</w:t>
      </w:r>
      <w:r>
        <w:t xml:space="preserve"> </w:t>
      </w:r>
      <w:r>
        <w:t>Co</w:t>
      </w:r>
      <w:r>
        <w:t xml:space="preserve"> </w:t>
      </w:r>
      <w:r>
        <w:t>MoS</w:t>
      </w:r>
      <w:r>
        <w:rPr>
          <w:vertAlign w:val="subscript"/>
        </w:rPr>
        <w:t>2</w:t>
      </w:r>
      <w:r>
        <w:t>reduces nitroarenes to anilines at –0.7 V versus RHE with a Faradaic yield of 70% and superior activity to platinum. The</w:t>
      </w:r>
      <w:r>
        <w:t xml:space="preserve"> </w:t>
      </w:r>
      <w:r>
        <w:t>Co</w:t>
      </w:r>
      <w:r>
        <w:t xml:space="preserve"> </w:t>
      </w:r>
      <w:r>
        <w:t>MoS</w:t>
      </w:r>
      <w:r>
        <w:rPr>
          <w:vertAlign w:val="subscript"/>
        </w:rPr>
        <w:t>2</w:t>
      </w:r>
      <w:r>
        <w:t>‐CN</w:t>
      </w:r>
      <w:r>
        <w:t xml:space="preserve"> </w:t>
      </w:r>
      <w:r>
        <w:t>x</w:t>
      </w:r>
      <w:r>
        <w:t xml:space="preserve"> </w:t>
      </w:r>
      <w:r>
        <w:t>photocatalyst produces anilines under simulated solar light (AM 1.5 G, 25°C), achieving 83%–99% yield from 24 nitroarenes using 4‐methylbenzyl alcohol as a model hydrogen donor. Acid hydrolysis of condensation polymers provides a source of alcoholic monomers in aqueous solution that can be used as a sustainable hydrogen donor for PTH in &amp;gt;80% yield using AM 1.5G or LED (405 nm, 33 mW cm</w:t>
      </w:r>
      <w:r>
        <w:t xml:space="preserve"> </w:t>
      </w:r>
      <w:r>
        <w:t>−2</w:t>
      </w:r>
      <w:r>
        <w:t xml:space="preserve"> </w:t>
      </w:r>
      <w:r>
        <w:t>) irradiation. A technoeconomic analysis (TEA) at pilot scale producing 1 t aniline day</w:t>
      </w:r>
      <w:r>
        <w:t xml:space="preserve"> </w:t>
      </w:r>
      <w:r>
        <w:t>−</w:t>
      </w:r>
      <w:r>
        <w:rPr>
          <w:vertAlign w:val="subscript"/>
        </w:rPr>
        <w:t>1</w:t>
      </w:r>
      <w:r>
        <w:t>using polyethylene terephthalate (PET) reveals a cut in cradle‐to‐gate emissions by ∼77% using PTH with</w:t>
      </w:r>
      <w:r>
        <w:t xml:space="preserve"> </w:t>
      </w:r>
      <w:r>
        <w:t>Co</w:t>
      </w:r>
      <w:r>
        <w:t xml:space="preserve"> </w:t>
      </w:r>
      <w:r>
        <w:t>MoS</w:t>
      </w:r>
      <w:r>
        <w:rPr>
          <w:vertAlign w:val="subscript"/>
        </w:rPr>
        <w:t>2</w:t>
      </w:r>
      <w:r>
        <w:t>‐CN</w:t>
      </w:r>
      <w:r>
        <w:t xml:space="preserve"> </w:t>
      </w:r>
      <w:r>
        <w:t>x</w:t>
      </w:r>
      <w:r>
        <w:t xml:space="preserve"> </w:t>
      </w:r>
      <w:r>
        <w:t>compared to conventional Pd/C hydrogenation with H</w:t>
      </w:r>
      <w:r>
        <w:rPr>
          <w:vertAlign w:val="subscript"/>
        </w:rPr>
        <w:t>2</w:t>
      </w:r>
      <w:r>
        <w:t>from steam methane reforming (SMR‐H</w:t>
      </w:r>
      <w:r>
        <w:rPr>
          <w:vertAlign w:val="subscript"/>
        </w:rPr>
        <w:t>2</w:t>
      </w:r>
      <w:r>
        <w:t>) and a revenue‐generating levelized cost of aniline (LCOA) when co‐produced with terephthalic, acetic, and formic acids.</w:t>
      </w:r>
    </w:p>
    <w:p>
      <w:pPr>
        <w:spacing w:before="120" w:after="120"/>
      </w:pPr>
      <w:r>
        <w:rPr>
          <w:sz w:val="18"/>
        </w:rPr>
        <w:t>——————————————————————————————————————————————————————————————————————</w:t>
      </w:r>
    </w:p>
    <w:p>
      <w:pPr>
        <w:spacing w:before="160" w:after="40" w:line="240" w:lineRule="auto"/>
      </w:pPr>
      <w:r>
        <w:rPr>
          <w:b/>
        </w:rPr>
        <w:t xml:space="preserve">[2] </w:t>
      </w:r>
      <w:hyperlink r:id="rId157">
        <w:r>
          <w:rPr>
            <w:color w:val="1155CC"/>
            <w:u w:val="single"/>
          </w:rPr>
          <w:t>烯基化功能化产生高度可回收和可扩展的聚羟基烷酸酯</w:t>
        </w:r>
      </w:hyperlink>
    </w:p>
    <w:p>
      <w:pPr>
        <w:spacing w:before="0" w:after="80"/>
      </w:pPr>
      <w:r>
        <w:rPr>
          <w:i/>
          <w:sz w:val="20"/>
        </w:rPr>
        <w:t>EN: Alkylidene functionalization produces highly recyclable and scalable polyhydroxyalkanoates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58">
        <w:r>
          <w:rPr>
            <w:color w:val="1155CC"/>
            <w:u w:val="single"/>
          </w:rPr>
          <w:t>10.1126/science.aed3914</w:t>
        </w:r>
      </w:hyperlink>
    </w:p>
    <w:p>
      <w:pPr>
        <w:spacing w:before="0" w:after="120"/>
      </w:pPr>
      <w:r>
        <w:rPr>
          <w:b/>
        </w:rPr>
        <w:t xml:space="preserve">Notes: </w:t>
      </w:r>
      <w:r>
        <w:t>abstract_source=crossref</w:t>
      </w:r>
    </w:p>
    <w:p>
      <w:pPr>
        <w:spacing w:before="0" w:after="80" w:lineRule="auto" w:line="276"/>
      </w:pPr>
      <w:r>
        <w:rPr>
          <w:b/>
        </w:rPr>
        <w:t xml:space="preserve">摘要（ZH）: </w:t>
      </w:r>
      <w:r>
        <w:t>可回收聚合物可以大规模生产，并在同一聚合物框架内轻松调整以获得特定性能，这对于实现循环材料经济至关重要。为此，合成的聚(3-羟基烷酸酯)(PHA)已成为生物PHA的高性能、化学可回收变体，但其单体合成困难和次优的回收效率对大规模部署构成挑战。在这项研究中，我们研究了一种β-异丙叉PHA，i-PHA，其内酯单体可以通过现有的工业方法从生物质衍生的异丁酸合成。烯基取代基防止了PHA解聚过程中通常观察到的脱羧降解，从而实现了接近定量的化学回收至单体。对β-异丙叉侧基的控制氢化产生了具有多样性能指标的PHA，这些指标与一系列商品聚合物竞争，从强纤维到韧性热塑性塑料再到强力胶环氧树脂。</w:t>
      </w:r>
    </w:p>
    <w:p>
      <w:pPr>
        <w:spacing w:before="0" w:after="200" w:lineRule="auto" w:line="276"/>
      </w:pPr>
      <w:r>
        <w:rPr>
          <w:b/>
        </w:rPr>
        <w:t xml:space="preserve">Abstract (EN): </w:t>
      </w:r>
      <w:r>
        <w:t>Recyclable polymers that can be produced at scale and readily tuned within the same polymer framework for specific properties are critical to achieving a circular materials economy. To this end, synthetic poly(3-hydroxyalkanoate)s (PHAs) have emerged as high-performance, chemically recyclable variants of biological PHAs, but their difficult monomer syntheses and suboptimal recycling efficiencies pose challenges for large-scale deployment. In this study, we investigated a β-isopropylidene PHA,</w:t>
      </w:r>
      <w:r>
        <w:t xml:space="preserve"> </w:t>
      </w:r>
      <w:r>
        <w:t>i</w:t>
      </w:r>
      <w:r>
        <w:t xml:space="preserve"> </w:t>
      </w:r>
      <w:r>
        <w:t>-PHA, for which the lactone monomer can be synthesized by existing industrial methods from biomass-derived isobutyric acid. The alkylidene substituent prevents decarboxylative degradation typically observed during PHA depolymerization, enabling near-quantitative chemical recycling to monomer. Controlled hydrogenation of the β-isopropylidene side group produces PHAs with diverse performance metrics that are competitive with a range of commodity polymers, spanning strong fibers to ductile thermoplastics to superglue epoxy resins.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59">
        <w:r>
          <w:rPr>
            <w:color w:val="1155CC"/>
            <w:u w:val="single"/>
          </w:rPr>
          <w:t>用于合成手性邻苯二甲酸酯的膜调节化学酶动态动力学拆分</w:t>
        </w:r>
      </w:hyperlink>
    </w:p>
    <w:p>
      <w:pPr>
        <w:spacing w:before="0" w:after="80"/>
      </w:pPr>
      <w:r>
        <w:rPr>
          <w:i/>
          <w:sz w:val="20"/>
        </w:rPr>
        <w:t>EN: A membrane-modulated chemoenzymatic dynamic kinetic resolution for the synthesis of chiral phthalidyl esters</w:t>
      </w:r>
    </w:p>
    <w:p>
      <w:pPr>
        <w:spacing w:before="0" w:after="120"/>
      </w:pPr>
      <w:r>
        <w:rPr>
          <w:b/>
        </w:rPr>
        <w:t xml:space="preserve">Source: </w:t>
      </w:r>
      <w:r>
        <w:t>Nature Communications</w:t>
      </w:r>
      <w:r>
        <w:t xml:space="preserve">    </w:t>
      </w:r>
      <w:r>
        <w:rPr>
          <w:b/>
        </w:rPr>
        <w:t xml:space="preserve">Pub date: </w:t>
      </w:r>
      <w:r>
        <w:t>2026-05-02 00:00:00+00:00</w:t>
      </w:r>
      <w:r>
        <w:t xml:space="preserve">    </w:t>
      </w:r>
      <w:r>
        <w:rPr>
          <w:b/>
        </w:rPr>
        <w:t xml:space="preserve">DOI: </w:t>
      </w:r>
      <w:hyperlink r:id="rId160">
        <w:r>
          <w:rPr>
            <w:color w:val="1155CC"/>
            <w:u w:val="single"/>
          </w:rPr>
          <w:t>10.1038/s41467-026-72684-2</w:t>
        </w:r>
      </w:hyperlink>
    </w:p>
    <w:p>
      <w:pPr>
        <w:spacing w:before="0" w:after="120"/>
      </w:pPr>
      <w:r>
        <w:rPr>
          <w:b/>
        </w:rPr>
        <w:t xml:space="preserve">Notes: </w:t>
      </w:r>
      <w:r>
        <w:t>abstract_source=nature_html</w:t>
      </w:r>
    </w:p>
    <w:p>
      <w:pPr>
        <w:spacing w:before="0" w:after="80" w:lineRule="auto" w:line="276"/>
      </w:pPr>
      <w:r>
        <w:rPr>
          <w:b/>
        </w:rPr>
        <w:t xml:space="preserve">摘要（ZH）: </w:t>
      </w:r>
      <w:r>
        <w:t>化学酶促动态动力学拆分（DKR）为制备手性分子提供了化学催化与生物催化之间的强大桥梁。然而，由于消旋化和拆分催化剂之间的不兼容性，其更广泛的应用受到限制，其中相互干扰常常损害催化活性和/或对映选择性。在此，我们介绍了一种膜调节策略，绕过了严格速率匹配的强制要求，在化学酶促DKR系统的设计中提供了显著的概念进步。通过在一个两阶段、两步过程中空间分离消旋化和拆分，同时使其协同操作，这种方法显著提高了传统DKR通常较低的效率，允许高效合成传统方法难以获得的四取代3-羟基邻苯二甲酸酯，并大大扩展了手性邻苯二甲酸酯制备的范围。这种膜调节策略不仅简化了传统DKR中通常繁琐的优化过程，为开发替代化学酶促DKR方法提供了有用的平台，还具有潜在的药物合成应用。</w:t>
      </w:r>
    </w:p>
    <w:p>
      <w:pPr>
        <w:spacing w:before="0" w:after="200" w:lineRule="auto" w:line="276"/>
      </w:pPr>
      <w:r>
        <w:rPr>
          <w:b/>
        </w:rPr>
        <w:t xml:space="preserve">Abstract (EN): </w:t>
      </w:r>
      <w:r>
        <w:t>Chemoenzymatic dynamic kinetic resolution (DKR) offers a powerful bridge between chemocatalysis and biocatalysis for the preparation of chiral molecules. However, its broader application has been limited by the incompatibility between racemization and resolution catalysts, where mutual interference often compromises catalytic activity and/or enantioselectivity. Here, we introduce a membrane-modulated strategy that circumvents the mandatory requirement for strict rate matching, offering a significant conceptual advance in the design of chemoenzymatic DKR systems. By spatially separating racemization and resolution while enabling their collaborative operation within a two-stage, two-step process, this approach dramatically enhances the typically low efficiency of conventional DKR, allowing the efficient synthesis of tetra-substituted 3-hydroxyphthalide esters that are challenging to access by traditional methods, and greatly expanding the scope of chiral phthalide preparation. This membrane-modulated strategy not only streamlines the typically laborious optimization required in conventional DKR for developing an alternative chemoenzymatic DKR approach but also provides a useful platform with the potential for pharmaceutical synthesis.</w:t>
      </w:r>
    </w:p>
    <w:p>
      <w:pPr>
        <w:spacing w:before="120" w:after="120"/>
      </w:pPr>
      <w:r>
        <w:rPr>
          <w:sz w:val="18"/>
        </w:rPr>
        <w:t>——————————————————————————————————————————————————————————————————————</w:t>
      </w:r>
    </w:p>
    <w:p>
      <w:pPr>
        <w:spacing w:before="160" w:after="40" w:line="240" w:lineRule="auto"/>
      </w:pPr>
      <w:r>
        <w:rPr>
          <w:b/>
        </w:rPr>
        <w:t xml:space="preserve">[2] </w:t>
      </w:r>
      <w:hyperlink r:id="rId161">
        <w:r>
          <w:rPr>
            <w:color w:val="1155CC"/>
            <w:u w:val="single"/>
          </w:rPr>
          <w:t>横向泵浦激光驱动粒子加速器</w:t>
        </w:r>
      </w:hyperlink>
    </w:p>
    <w:p>
      <w:pPr>
        <w:spacing w:before="0" w:after="80"/>
      </w:pPr>
      <w:r>
        <w:rPr>
          <w:i/>
          <w:sz w:val="20"/>
        </w:rPr>
        <w:t>EN: Transversely pumped laser driven particle accelerator</w:t>
      </w:r>
    </w:p>
    <w:p>
      <w:pPr>
        <w:spacing w:before="0" w:after="120"/>
      </w:pPr>
      <w:r>
        <w:rPr>
          <w:b/>
        </w:rPr>
        <w:t xml:space="preserve">Source: </w:t>
      </w:r>
      <w:r>
        <w:t>Nature Communications</w:t>
      </w:r>
      <w:r>
        <w:t xml:space="preserve">    </w:t>
      </w:r>
      <w:r>
        <w:rPr>
          <w:b/>
        </w:rPr>
        <w:t xml:space="preserve">Pub date: </w:t>
      </w:r>
      <w:r>
        <w:t>2026-05-02 00:00:00+00:00</w:t>
      </w:r>
      <w:r>
        <w:t xml:space="preserve">    </w:t>
      </w:r>
      <w:r>
        <w:rPr>
          <w:b/>
        </w:rPr>
        <w:t xml:space="preserve">DOI: </w:t>
      </w:r>
      <w:hyperlink r:id="rId162">
        <w:r>
          <w:rPr>
            <w:color w:val="1155CC"/>
            <w:u w:val="single"/>
          </w:rPr>
          <w:t>10.1038/s41467-026-72697-x</w:t>
        </w:r>
      </w:hyperlink>
    </w:p>
    <w:p>
      <w:pPr>
        <w:spacing w:before="0" w:after="120"/>
      </w:pPr>
      <w:r>
        <w:rPr>
          <w:b/>
        </w:rPr>
        <w:t xml:space="preserve">Notes: </w:t>
      </w:r>
      <w:r>
        <w:t>abstract_source=nature_html</w:t>
      </w:r>
    </w:p>
    <w:p>
      <w:pPr>
        <w:spacing w:before="0" w:after="80" w:lineRule="auto" w:line="276"/>
      </w:pPr>
      <w:r>
        <w:rPr>
          <w:b/>
        </w:rPr>
        <w:t xml:space="preserve">摘要（ZH）: </w:t>
      </w:r>
      <w:r>
        <w:t>我们提出了一种新颖的加速方案，能够在低密度等离子体中加速电子和离子。横向泵浦加速（TPA）使用多个反向传播的激光束阵列聚焦到中央加速轴上。调整注入时机和相邻光束之间的间距可以精确控制反向传播光束阵列交点的位置和速度。这导致了一个加速结构，其传播方向与激光传播方向正交。我们提出了理论，设定了入射脉冲的注入时机，以可调相速度等离子体波加速电子和离子。还展示了模拟结果，显示在3.6毫米等离子体中加速的1.12 GeV质子束和在一种规避去相位方案中的1 TeV/m量级的电子加速梯度。这项工作在医疗物理和高能物理对撞机中具有作为紧凑型加速器的潜在应用。</w:t>
      </w:r>
    </w:p>
    <w:p>
      <w:pPr>
        <w:spacing w:before="0" w:after="200" w:lineRule="auto" w:line="276"/>
      </w:pPr>
      <w:r>
        <w:rPr>
          <w:b/>
        </w:rPr>
        <w:t xml:space="preserve">Abstract (EN): </w:t>
      </w:r>
      <w:r>
        <w:t>We present a novel acceleration scheme capable of accelerating electrons and ions in an underdense plasma. Transversely Pumped Acceleration (TPA) uses multiple arrays of counter-propagating laser beamlets that focus onto a central acceleration axis. Tuning the injection timing and the spacing between the adjacent beamlets allows for precise control over the position and velocity of the intersection point of the counter-propagating beam arrays. This results in an accelerating structure that propagates orthogonal to the direction of laser propagation. We present the theory that sets the injection timing of the incoming pulses to accelerate electrons and ions with a tunable phase velocity plasma wave. Simulation results are also presented which demonstrate 1.12 GeV proton beams accelerated in 3.6 mm of plasma and electron acceleration gradients on the order of 1 TeV/m in a scheme that circumvents dephasing. This work has potential applications as a compact accelerator for medical physics and high energy physics colliders.</w:t>
      </w:r>
    </w:p>
    <w:p>
      <w:pPr>
        <w:spacing w:before="120" w:after="120"/>
      </w:pPr>
      <w:r>
        <w:rPr>
          <w:sz w:val="18"/>
        </w:rPr>
        <w:t>——————————————————————————————————————————————————————————————————————</w:t>
      </w:r>
    </w:p>
    <w:p>
      <w:pPr>
        <w:spacing w:before="160" w:after="40" w:line="240" w:lineRule="auto"/>
      </w:pPr>
      <w:r>
        <w:rPr>
          <w:b/>
        </w:rPr>
        <w:t xml:space="preserve">[3] </w:t>
      </w:r>
      <w:hyperlink r:id="rId163">
        <w:r>
          <w:rPr>
            <w:color w:val="1155CC"/>
            <w:u w:val="single"/>
          </w:rPr>
          <w:t>用于可重构电池储能系统的统一和自适应实时图论优化策略</w:t>
        </w:r>
      </w:hyperlink>
    </w:p>
    <w:p>
      <w:pPr>
        <w:spacing w:before="0" w:after="80"/>
      </w:pPr>
      <w:r>
        <w:rPr>
          <w:i/>
          <w:sz w:val="20"/>
        </w:rPr>
        <w:t>EN: A unified and adaptive real-time graph-theoretic optimization strategy for reconfigurable battery storage systems</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64">
        <w:r>
          <w:rPr>
            <w:color w:val="1155CC"/>
            <w:u w:val="single"/>
          </w:rPr>
          <w:t>通过复杂晶体的三维扩散建模重建岩浆历史</w:t>
        </w:r>
      </w:hyperlink>
    </w:p>
    <w:p>
      <w:pPr>
        <w:spacing w:before="0" w:after="80"/>
      </w:pPr>
      <w:r>
        <w:rPr>
          <w:i/>
          <w:sz w:val="20"/>
        </w:rPr>
        <w:t>EN: Reconstructing magmatic histories with 3D diffusion modeling of complex crystals</w:t>
      </w:r>
    </w:p>
    <w:p>
      <w:pPr>
        <w:spacing w:before="0" w:after="120"/>
      </w:pPr>
      <w:r>
        <w:rPr>
          <w:b/>
        </w:rPr>
        <w:t xml:space="preserve">Source: </w:t>
      </w:r>
      <w:r>
        <w:t>Nature Communications</w:t>
      </w:r>
      <w:r>
        <w:t xml:space="preserve">    </w:t>
      </w:r>
      <w:r>
        <w:rPr>
          <w:b/>
        </w:rPr>
        <w:t xml:space="preserve">Pub date: </w:t>
      </w:r>
      <w:r>
        <w:t>2026-05-02 00:00:00+00:00</w:t>
      </w:r>
      <w:r>
        <w:t xml:space="preserve">    </w:t>
      </w:r>
      <w:r>
        <w:rPr>
          <w:b/>
        </w:rPr>
        <w:t xml:space="preserve">DOI: </w:t>
      </w:r>
      <w:hyperlink r:id="rId165">
        <w:r>
          <w:rPr>
            <w:color w:val="1155CC"/>
            <w:u w:val="single"/>
          </w:rPr>
          <w:t>10.1038/s41467-026-72563-w</w:t>
        </w:r>
      </w:hyperlink>
    </w:p>
    <w:p>
      <w:pPr>
        <w:spacing w:before="0" w:after="120"/>
      </w:pPr>
      <w:r>
        <w:rPr>
          <w:b/>
        </w:rPr>
        <w:t xml:space="preserve">Notes: </w:t>
      </w:r>
      <w:r>
        <w:t>abstract_source=nature_html</w:t>
      </w:r>
    </w:p>
    <w:p>
      <w:pPr>
        <w:spacing w:before="0" w:after="80" w:lineRule="auto" w:line="276"/>
      </w:pPr>
      <w:r>
        <w:rPr>
          <w:b/>
        </w:rPr>
        <w:t xml:space="preserve">摘要（ZH）: </w:t>
      </w:r>
      <w:r>
        <w:t>模拟矿物和熔体中1D扩散的岩浆计时器忽略了天然晶体中常见的复杂3D结构，导致对岩浆过程（如储存、上升和挥发物转移）的时间约束可能不准确。在此，我们结合形态多样的橄榄石晶体的X射线微断层扫描重建与3D有限元扩散模型，开发了1820年基拉韦厄（夏威夷）Keanakāko’i喷发的综合岩浆历史。橄榄石中的Fe-Mg扩散表明在喷发前混合前有数十年的储存。熔体包裹体推断出1 x 10−4到6.3 x 10−3 MPa/s的减压速率和7.5到15 ∘C/s的最大同步喷发冷却速率，分别由扩散水损失和Mg扩散确定。我们的方法提供了一个可转移的框架，以限制地球及其他地方多样构造环境中挥发物脱气和岩浆过程的时间尺度，从而增强我们对岩浆演化、喷发动力学和火山灾害的理解。</w:t>
      </w:r>
    </w:p>
    <w:p>
      <w:pPr>
        <w:spacing w:before="0" w:after="200" w:lineRule="auto" w:line="276"/>
      </w:pPr>
      <w:r>
        <w:rPr>
          <w:b/>
        </w:rPr>
        <w:t xml:space="preserve">Abstract (EN): </w:t>
      </w:r>
      <w:r>
        <w:t>Magmatic stopwatches that model 1D diffusion in minerals and melts neglect complex 3D structures common in natural crystals, leading to potentially inaccurate temporal constraints on magmatic processes such as storage, ascent, and volatile transfer. Here we combine X-ray microtomography reconstructions of morphologically diverse olivine crystals with 3D finite element diffusion models to develop an integrated magmatic history for the 1820 Keanakāko’i eruption of Kīlauea (Hawai’i). Fe-Mg diffusion in olivine indicates decadal storage before pre-eruptive mixing of days to weeks. Melt inclusions infer decompression rates of 1 x 10−4 to 6.3 x 10−3 MPa/s and maximum syn-eruptive cooling rates of 7.5 to 15 ∘C/s, as determined by diffusive water loss and Mg diffusion, respectively. Our approach offers a transferable framework to constrain the timescales of volatile degassing and magmatic processes across diverse tectonic settings on Earth and beyond, thereby enhancing our understanding of magma evolution, eruption dynamics, and volcanic hazards.</w:t>
      </w:r>
    </w:p>
    <w:p>
      <w:pPr>
        <w:spacing w:before="120" w:after="120"/>
      </w:pPr>
      <w:r>
        <w:rPr>
          <w:sz w:val="18"/>
        </w:rPr>
        <w:t>——————————————————————————————————————————————————————————————————————</w:t>
      </w:r>
    </w:p>
    <w:p>
      <w:pPr>
        <w:spacing w:before="160" w:after="40" w:line="240" w:lineRule="auto"/>
      </w:pPr>
      <w:r>
        <w:rPr>
          <w:b/>
        </w:rPr>
        <w:t xml:space="preserve">[5] </w:t>
      </w:r>
      <w:hyperlink r:id="rId166">
        <w:r>
          <w:rPr>
            <w:color w:val="1155CC"/>
            <w:u w:val="single"/>
          </w:rPr>
          <w:t>将间隔物（0D, 1D, 2D, 3D）集成到二维MXenes中以增强能量存储和转换应用</w:t>
        </w:r>
      </w:hyperlink>
    </w:p>
    <w:p>
      <w:pPr>
        <w:spacing w:before="0" w:after="80"/>
      </w:pPr>
      <w:r>
        <w:rPr>
          <w:i/>
          <w:sz w:val="20"/>
        </w:rPr>
        <w:t>EN: Integrating spacers (0D, 1D, 2D, 3D) into 2D MXenes for enhanced energy storage and conversion applications</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67">
        <w:r>
          <w:rPr>
            <w:color w:val="1155CC"/>
            <w:u w:val="single"/>
          </w:rPr>
          <w:t>提高无人机续航能力：动态滑翔轨迹与高保真动力系统能量管理的耦合优化</w:t>
        </w:r>
      </w:hyperlink>
    </w:p>
    <w:p>
      <w:pPr>
        <w:spacing w:before="0" w:after="80"/>
      </w:pPr>
      <w:r>
        <w:rPr>
          <w:i/>
          <w:sz w:val="20"/>
        </w:rPr>
        <w:t>EN: Enhancing UAV endurance: coupled optimization of dynamic soaring trajectory and high-fidelity powertrain energy management</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68">
        <w:r>
          <w:rPr>
            <w:color w:val="1155CC"/>
            <w:u w:val="single"/>
          </w:rPr>
          <w:t>热过程电气化的储能选项的统一视角</w:t>
        </w:r>
      </w:hyperlink>
    </w:p>
    <w:p>
      <w:pPr>
        <w:spacing w:before="0" w:after="80"/>
      </w:pPr>
      <w:r>
        <w:rPr>
          <w:i/>
          <w:sz w:val="20"/>
        </w:rPr>
        <w:t>EN: A unified view of energy storage options for thermal process electrification</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9">
        <w:r>
          <w:rPr>
            <w:color w:val="1155CC"/>
            <w:u w:val="single"/>
          </w:rPr>
          <w:t>基于IGDT的多能源微电网的稳健尺寸和能量管理，集成电转气和气转电系统</w:t>
        </w:r>
      </w:hyperlink>
    </w:p>
    <w:p>
      <w:pPr>
        <w:spacing w:before="0" w:after="80"/>
      </w:pPr>
      <w:r>
        <w:rPr>
          <w:i/>
          <w:sz w:val="20"/>
        </w:rPr>
        <w:t>EN: Robust sizing and IGDT-based energy management for multi-energy microgrids with integrated power-to-gas and gas-to-power systems</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0">
        <w:r>
          <w:rPr>
            <w:color w:val="1155CC"/>
            <w:u w:val="single"/>
          </w:rPr>
          <w:t>与机器人一起游泳：通过机器人游泳者研究鱼类运动、感知和群体行为</w:t>
        </w:r>
      </w:hyperlink>
    </w:p>
    <w:p>
      <w:pPr>
        <w:spacing w:before="0" w:after="80"/>
      </w:pPr>
      <w:r>
        <w:rPr>
          <w:i/>
          <w:sz w:val="20"/>
        </w:rPr>
        <w:t>EN: Swimming with robots: investigating fish locomotion, sensing, and schooling behavior with robotic swimmers</w:t>
      </w:r>
    </w:p>
    <w:p>
      <w:pPr>
        <w:spacing w:before="0" w:after="120"/>
      </w:pPr>
      <w:r>
        <w:rPr>
          <w:b/>
        </w:rPr>
        <w:t xml:space="preserve">Source: </w:t>
      </w:r>
      <w:r>
        <w:t>Nature Communications</w:t>
      </w:r>
      <w:r>
        <w:t xml:space="preserve">    </w:t>
      </w:r>
      <w:r>
        <w:rPr>
          <w:b/>
        </w:rPr>
        <w:t xml:space="preserve">Pub date: </w:t>
      </w:r>
      <w:r>
        <w:t>2026-05-02 00:00:00+00:00</w:t>
      </w:r>
      <w:r>
        <w:t xml:space="preserve">    </w:t>
      </w:r>
      <w:r>
        <w:rPr>
          <w:b/>
        </w:rPr>
        <w:t xml:space="preserve">DOI: </w:t>
      </w:r>
      <w:hyperlink r:id="rId171">
        <w:r>
          <w:rPr>
            <w:color w:val="1155CC"/>
            <w:u w:val="single"/>
          </w:rPr>
          <w:t>10.1038/s41467-026-72478-6</w:t>
        </w:r>
      </w:hyperlink>
    </w:p>
    <w:p>
      <w:pPr>
        <w:spacing w:before="0" w:after="120"/>
      </w:pPr>
      <w:r>
        <w:rPr>
          <w:b/>
        </w:rPr>
        <w:t xml:space="preserve">Notes: </w:t>
      </w:r>
      <w:r>
        <w:t>abstract_source=nature_html</w:t>
      </w:r>
    </w:p>
    <w:p>
      <w:pPr>
        <w:spacing w:before="0" w:after="80" w:lineRule="auto" w:line="276"/>
      </w:pPr>
      <w:r>
        <w:rPr>
          <w:b/>
        </w:rPr>
        <w:t xml:space="preserve">摘要（ZH）: </w:t>
      </w:r>
      <w:r>
        <w:t>鱼类表现出显著的运动和社交能力，从高效游泳到协调的群体行为，这些能力启发了各种机器鱼的设计。虽然机器人技术在很大程度上受益于生物学，但鱼形机器人越来越多地被用作科学工具来研究生物力学、感觉运动控制和集体行为中的基本问题。本文回顾了如何利用机器人模型研究游泳的神经机械基础、感觉反馈在运动中的作用以及群体中社交互动的机制。我们列出了生物学中的开放问题，并展示了机器人方法提供了解决这些问题的独特优势：它们能够进行可重复的实验、系统地改变身体和控制参数，并直接测量其他方式无法获得的量，如内部力量或能量使用。然而，文献分析显示，只有少数机器鱼研究对生物学理解有所贡献，大多数研究集中在工程设计上。在以生物学为导向的研究中，能够实时适应的闭环机器人系统仍然代表性不足，但对于探测感觉运动和社交反馈机制至关重要。我们最后概述了结合机器人技术、模拟和新兴实验技术的未来方向，以揭示塑造鱼类运动和群体行为的多尺度反馈回路。</w:t>
      </w:r>
    </w:p>
    <w:p>
      <w:pPr>
        <w:spacing w:before="0" w:after="200" w:lineRule="auto" w:line="276"/>
      </w:pPr>
      <w:r>
        <w:rPr>
          <w:b/>
        </w:rPr>
        <w:t xml:space="preserve">Abstract (EN): </w:t>
      </w:r>
      <w:r>
        <w:t>Fish display remarkable locomotor and social abilities, from efficient swimming to coordinated schooling, that have inspired the design of various robotic fish. While robotics has largely benefited from biology, fish-like robots are increasingly used as scientific tools to investigate fundamental questions in biomechanics, sensorimotor control, and collective behavior. This paper reviews how robotic models have been employed to study the neuromechanical basis of swimming, the role of sensory feedback in locomotion, and the mechanisms underlying social interactions in schools. We list open questions in biology and show that robotic approaches provide unique advantages to address them: they enable repeatable experiments, systematic variation of body and control parameters, and direct measurement of otherwise inaccessible quantities such as internal forces or energy use. A literature analysis reveals, however, that only a minority of robot-fish studies contribute to biological understanding, with most focusing on engineering design. Among biology-oriented studies, closed-loop robotic systems—capable of real-time adaptation—remain underrepresented but are essential for probing sensorimotor and social feedback mechanisms. We conclude by outlining future directions combining robotics, simulations, and emerging experimental technologies to unravel the multi-scale feedback loops that shape fish locomotion and schooling.</w:t>
      </w:r>
    </w:p>
    <w:p>
      <w:pPr>
        <w:spacing w:before="120" w:after="120"/>
      </w:pPr>
      <w:r>
        <w:rPr>
          <w:sz w:val="18"/>
        </w:rPr>
        <w:t>——————————————————————————————————————————————————————————————————————</w:t>
      </w:r>
    </w:p>
    <w:p>
      <w:pPr>
        <w:spacing w:before="160" w:after="40" w:line="240" w:lineRule="auto"/>
      </w:pPr>
      <w:r>
        <w:rPr>
          <w:b/>
        </w:rPr>
        <w:t xml:space="preserve">[10] </w:t>
      </w:r>
      <w:hyperlink r:id="rId172">
        <w:r>
          <w:rPr>
            <w:color w:val="1155CC"/>
            <w:u w:val="single"/>
          </w:rPr>
          <w:t>结合混合级联循环和AI的时间序列预测创新能量管理，用于半干旱气候下的大气水收集</w:t>
        </w:r>
      </w:hyperlink>
    </w:p>
    <w:p>
      <w:pPr>
        <w:spacing w:before="0" w:after="80"/>
      </w:pPr>
      <w:r>
        <w:rPr>
          <w:i/>
          <w:sz w:val="20"/>
        </w:rPr>
        <w:t>EN: Innovative energy management using time-series forecasting for atmospheric water harvesting in a semi-arid climate, combining a hybrid cascade cycle and AI</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73">
        <w:r>
          <w:rPr>
            <w:color w:val="1155CC"/>
            <w:u w:val="single"/>
          </w:rPr>
          <w:t>针对随机能耗下充电站选址-路径问题的Benders分解：具有空间-电力网络视角的两阶段模型</w:t>
        </w:r>
      </w:hyperlink>
    </w:p>
    <w:p>
      <w:pPr>
        <w:spacing w:before="0" w:after="80"/>
      </w:pPr>
      <w:r>
        <w:rPr>
          <w:i/>
          <w:sz w:val="20"/>
        </w:rPr>
        <w:t>EN: Benders decomposition for the charging station location-routing problem under stochastic energy consumption: a two-stage model with a space-electricity network perspective</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74">
        <w:r>
          <w:rPr>
            <w:color w:val="1155CC"/>
            <w:u w:val="single"/>
          </w:rPr>
          <w:t>电池电动拖拉机的经济可行性和农民采用情况：系统文献综述</w:t>
        </w:r>
      </w:hyperlink>
    </w:p>
    <w:p>
      <w:pPr>
        <w:spacing w:before="0" w:after="80"/>
      </w:pPr>
      <w:r>
        <w:rPr>
          <w:i/>
          <w:sz w:val="20"/>
        </w:rPr>
        <w:t>EN: The economic feasibility and farmers’ adoption of battery electric tractors: a systematic literature review</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75">
        <w:r>
          <w:rPr>
            <w:color w:val="1155CC"/>
            <w:u w:val="single"/>
          </w:rPr>
          <w:t>基于最优流量追踪的碳排放责任分配，考虑点对点能源交易</w:t>
        </w:r>
      </w:hyperlink>
    </w:p>
    <w:p>
      <w:pPr>
        <w:spacing w:before="0" w:after="80"/>
      </w:pPr>
      <w:r>
        <w:rPr>
          <w:i/>
          <w:sz w:val="20"/>
        </w:rPr>
        <w:t>EN: Carbon emission responsibility allocation based on optimal flow tracing considering peer-to-peer energy trading</w:t>
      </w:r>
    </w:p>
    <w:p>
      <w:pPr>
        <w:spacing w:before="0" w:after="120"/>
      </w:pPr>
      <w:r>
        <w:rPr>
          <w:b/>
        </w:rPr>
        <w:t xml:space="preserve">Source: </w:t>
      </w:r>
      <w:r>
        <w:t>ScienceDirect Publication: Applied Energy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76">
        <w:r>
          <w:rPr>
            <w:color w:val="1155CC"/>
            <w:u w:val="single"/>
          </w:rPr>
          <w:t>地缘政治冲突、军事能力与能源市场稳定性：来自以色列-哈马斯冲突的证据</w:t>
        </w:r>
      </w:hyperlink>
    </w:p>
    <w:p>
      <w:pPr>
        <w:spacing w:before="0" w:after="80"/>
      </w:pPr>
      <w:r>
        <w:rPr>
          <w:i/>
          <w:sz w:val="20"/>
        </w:rPr>
        <w:t>EN: Geopolitical conflict, military capability, and energy market stability: Evidence from the Israel–Hamas conflict</w:t>
      </w:r>
    </w:p>
    <w:p>
      <w:pPr>
        <w:spacing w:before="0" w:after="120"/>
      </w:pPr>
      <w:r>
        <w:rPr>
          <w:b/>
        </w:rPr>
        <w:t xml:space="preserve">Source: </w:t>
      </w:r>
      <w:r>
        <w:t>ScienceDirect Publication: Energy Policy</w:t>
      </w:r>
      <w:r>
        <w:t xml:space="preserve">    </w:t>
      </w:r>
      <w:r>
        <w:rPr>
          <w:b/>
        </w:rPr>
        <w:t xml:space="preserve">Pub date: </w:t>
      </w:r>
      <w:r>
        <w:t>2026-05-02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77">
        <w:r>
          <w:rPr>
            <w:color w:val="1155CC"/>
            <w:u w:val="single"/>
          </w:rPr>
          <w:t>用于烯烃电化学1,1-双功能化的协同Fe/Ni催化</w:t>
        </w:r>
      </w:hyperlink>
    </w:p>
    <w:p>
      <w:pPr>
        <w:spacing w:before="0" w:after="80"/>
      </w:pPr>
      <w:r>
        <w:rPr>
          <w:i/>
          <w:sz w:val="20"/>
        </w:rPr>
        <w:t>EN: Synergistic Fe/Ni catalysis for electrochemical 1,1-difunctionalization of alkenes</w:t>
      </w:r>
    </w:p>
    <w:p>
      <w:pPr>
        <w:spacing w:before="0" w:after="120"/>
      </w:pPr>
      <w:r>
        <w:rPr>
          <w:b/>
        </w:rPr>
        <w:t xml:space="preserve">Source: </w:t>
      </w:r>
      <w:r>
        <w:t>Nature Communications</w:t>
      </w:r>
      <w:r>
        <w:t xml:space="preserve">    </w:t>
      </w:r>
      <w:r>
        <w:rPr>
          <w:b/>
        </w:rPr>
        <w:t xml:space="preserve">Pub date: </w:t>
      </w:r>
      <w:r>
        <w:t>2026-05-02 00:00:00+00:00</w:t>
      </w:r>
      <w:r>
        <w:t xml:space="preserve">    </w:t>
      </w:r>
      <w:r>
        <w:rPr>
          <w:b/>
        </w:rPr>
        <w:t xml:space="preserve">DOI: </w:t>
      </w:r>
      <w:hyperlink r:id="rId178">
        <w:r>
          <w:rPr>
            <w:color w:val="1155CC"/>
            <w:u w:val="single"/>
          </w:rPr>
          <w:t>10.1038/s41467-026-72546-x</w:t>
        </w:r>
      </w:hyperlink>
    </w:p>
    <w:p>
      <w:pPr>
        <w:spacing w:before="0" w:after="120"/>
      </w:pPr>
      <w:r>
        <w:rPr>
          <w:b/>
        </w:rPr>
        <w:t xml:space="preserve">Notes: </w:t>
      </w:r>
      <w:r>
        <w:t>abstract_source=nature_html</w:t>
      </w:r>
    </w:p>
    <w:p>
      <w:pPr>
        <w:spacing w:before="0" w:after="80" w:lineRule="auto" w:line="276"/>
      </w:pPr>
      <w:r>
        <w:rPr>
          <w:b/>
        </w:rPr>
        <w:t xml:space="preserve">摘要（ZH）: </w:t>
      </w:r>
      <w:r>
        <w:t>烯烃1,1-双官能团化在有机合成中具有重要意义，因为它能够有效增强分子框架的复杂性和功能性。在此，我们报告了一种利用协同Fe/Ni催化的电化学策略，用于卤代芳烃与未活化烯烃的1,1-双官能团化。该系统结合了镍的氧化还原活性和铁的路易斯酸功能：镍催化剂控制芳基卤化物的氧化加成和烯烃迁移，而铁物种激活催化位点，稳定自由基受体，并精确调节电化学还原序列/选择性。该反应系统适用于多种底物，包括富电子和缺电子的芳基卤化物、多环化合物和生物活性天然产物（100个例子）。克级合成保持63%的产率，支持工业可行性。机制研究阐明了这种铁-镍双金属系统的独特协同作用，为设计多样的双官能团化反应提供了理论框架。</w:t>
      </w:r>
    </w:p>
    <w:p>
      <w:pPr>
        <w:spacing w:before="0" w:after="200" w:lineRule="auto" w:line="276"/>
      </w:pPr>
      <w:r>
        <w:rPr>
          <w:b/>
        </w:rPr>
        <w:t xml:space="preserve">Abstract (EN): </w:t>
      </w:r>
      <w:r>
        <w:t>Alkene 1,1-difunctionalization holds significant importance in organic synthesis due to its ability to effectively enhance the complexity and functionality of molecular frameworks. Herein, we report an electrochemical strategy for 1,1-difunctionalization of halogenated aromatics with unactivated alkenes using synergistic Fe/Ni catalysis. This system integrates redox activity of nickel with Lewis acid functionality of iron: the nickel catalyst governs aryl halide oxidative addition and alkene migration, while iron species activates catalytic sites, stabilizes radical acceptors, and precisely regulates electrochemical reduction sequences/selectivities. The reaction system is applicable to a wide range of substrates, including electron-rich and electron-deficient aryl halides, polycyclic compounds, and bioactive natural products (100 examples). Gram-scale synthesis maintains 63% yield, supporting industrial viability. Mechanistic studies elucidate the unique cooperativity of this iron-nickel bimetallic system, providing a theoretical framework for the design of diverse difunctionalization reactions.</w:t>
      </w:r>
    </w:p>
    <w:p>
      <w:pPr>
        <w:spacing w:before="120" w:after="120"/>
      </w:pPr>
      <w:r>
        <w:rPr>
          <w:sz w:val="18"/>
        </w:rPr>
        <w:t>——————————————————————————————————————————————————————————————————————</w:t>
      </w:r>
    </w:p>
    <w:p>
      <w:pPr>
        <w:spacing w:before="160" w:after="40" w:line="240" w:lineRule="auto"/>
      </w:pPr>
      <w:r>
        <w:rPr>
          <w:b/>
        </w:rPr>
        <w:t xml:space="preserve">[16] </w:t>
      </w:r>
      <w:hyperlink r:id="rId179">
        <w:r>
          <w:rPr>
            <w:color w:val="1155CC"/>
            <w:u w:val="single"/>
          </w:rPr>
          <w:t>具有多刺激响应的鲁棒形状记忆手性光子弹性体</w:t>
        </w:r>
      </w:hyperlink>
    </w:p>
    <w:p>
      <w:pPr>
        <w:spacing w:before="0" w:after="80"/>
      </w:pPr>
      <w:r>
        <w:rPr>
          <w:i/>
          <w:sz w:val="20"/>
        </w:rPr>
        <w:t>EN: Robust Shape‐Memory Chiral Photonic Elastomers With Multi‐Stimuli Responsiveness</w:t>
      </w:r>
    </w:p>
    <w:p>
      <w:pPr>
        <w:spacing w:before="0" w:after="120"/>
      </w:pPr>
      <w:r>
        <w:rPr>
          <w:b/>
        </w:rPr>
        <w:t xml:space="preserve">Source: </w:t>
      </w:r>
      <w:r>
        <w:t>Wiley: Advanced Materials: Table of Contents</w:t>
      </w:r>
      <w:r>
        <w:t xml:space="preserve">    </w:t>
      </w:r>
      <w:r>
        <w:rPr>
          <w:b/>
        </w:rPr>
        <w:t xml:space="preserve">Pub date: </w:t>
      </w:r>
      <w:r>
        <w:t>2026-05-02 08:55:13+00:00</w:t>
      </w:r>
      <w:r>
        <w:t xml:space="preserve">    </w:t>
      </w:r>
      <w:r>
        <w:rPr>
          <w:b/>
        </w:rPr>
        <w:t xml:space="preserve">DOI: </w:t>
      </w:r>
      <w:hyperlink r:id="rId180">
        <w:r>
          <w:rPr>
            <w:color w:val="1155CC"/>
            <w:u w:val="single"/>
          </w:rPr>
          <w:t>10.1002/adma.73257</w:t>
        </w:r>
      </w:hyperlink>
    </w:p>
    <w:p>
      <w:pPr>
        <w:spacing w:before="0" w:after="120"/>
      </w:pPr>
      <w:r>
        <w:rPr>
          <w:b/>
        </w:rPr>
        <w:t xml:space="preserve">Notes: </w:t>
      </w:r>
      <w:r>
        <w:t>abstract_source=openalex</w:t>
      </w:r>
    </w:p>
    <w:p>
      <w:pPr>
        <w:spacing w:before="0" w:after="80" w:lineRule="auto" w:line="276"/>
      </w:pPr>
      <w:r>
        <w:rPr>
          <w:b/>
        </w:rPr>
        <w:t xml:space="preserve">摘要（ZH）: </w:t>
      </w:r>
      <w:r>
        <w:t>刺激响应材料对于先进光子学至关重要，但实现具有多维操控和高鲁棒性的材料仍然是一个挑战。在此，我们通过精细控制三重态-三重态湮灭上转换特征胆甾醇弹性体的交联化学和密度，提出了一种具有多刺激响应的形状记忆手性光子平台。通过在低聚物降低的交联密度的弹性体中施加力，诱导了结构色的热可重置形状记忆效应，该弹性体还表现出卓越的可拉伸性和增强的光学性能，在215%应变下实现了显著的259 nm蓝移。湮灭剂的共价掺入确保了系统的均匀性和稳定性。该材料具有可编程的光学特性，包括手性、热和机械调节的结构色和光激活发光，能够实现高维信息加密，并可通过可扩展的喷涂打印实现。这项工作为尖端光学加密提供了一种多功能材料策略，并为下一代可穿戴传感器、自适应光学设备和互动伪装技术铺平了道路。</w:t>
      </w:r>
    </w:p>
    <w:p>
      <w:pPr>
        <w:spacing w:before="0" w:after="200" w:lineRule="auto" w:line="276"/>
      </w:pPr>
      <w:r>
        <w:rPr>
          <w:b/>
        </w:rPr>
        <w:t xml:space="preserve">Abstract (EN): </w:t>
      </w:r>
      <w:r>
        <w:t>Stimuli-responsive materials are pivotal for advanced photonics, yet achieving ones with multiple-dimensional manipulation and high robustness remains a challenge. Here, we present a shape-memory chiral photonic platform with multi-stimuli-responsiveness by sophisticatedly controlling the crosslinking chemistry and density of a triplet-triplet annihilation upconversion featured cholesteric elastomer. A thermally resettable shape memory effect on structural colors is induced by force in the elastomer with an oligomer-lowered crosslinking density, which also exhibits exceptional stretchability and enhanced optics, a remarkable 259 nm blueshift over 215% strain. The covalent incorporation of annihilators secures homogeneity and stability of the system. The material possesses programmable optical properties, including chirally, thermally, and mechanically regulated structural colors and photoactivated luminescence, enabling high-dimensional information encryption with accessibility to scalable spray-printing. This work provides a versatile material strategy for cutting-edge optical encryption and paves the way for next-generation wearable sensors, adaptive optical devices, and interactive camouflage technologies.</w:t>
      </w:r>
    </w:p>
    <w:p>
      <w:pPr>
        <w:spacing w:before="120" w:after="120"/>
      </w:pPr>
      <w:r>
        <w:rPr>
          <w:sz w:val="18"/>
        </w:rPr>
        <w:t>——————————————————————————————————————————————————————————————————————</w:t>
      </w:r>
    </w:p>
    <w:p>
      <w:pPr>
        <w:spacing w:before="160" w:after="40" w:line="240" w:lineRule="auto"/>
      </w:pPr>
      <w:r>
        <w:rPr>
          <w:b/>
        </w:rPr>
        <w:t xml:space="preserve">[17] </w:t>
      </w:r>
      <w:hyperlink r:id="rId181">
        <w:r>
          <w:rPr>
            <w:color w:val="1155CC"/>
            <w:u w:val="single"/>
          </w:rPr>
          <w:t>多位点离子交换在多孔碳电极中的不对称性</w:t>
        </w:r>
      </w:hyperlink>
    </w:p>
    <w:p>
      <w:pPr>
        <w:spacing w:before="0" w:after="80"/>
      </w:pPr>
      <w:r>
        <w:rPr>
          <w:i/>
          <w:sz w:val="20"/>
        </w:rPr>
        <w:t>EN: Asymmetric Multi‐Site Ion Exchange in Porous Carbon Electrodes</w:t>
      </w:r>
    </w:p>
    <w:p>
      <w:pPr>
        <w:spacing w:before="0" w:after="120"/>
      </w:pPr>
      <w:r>
        <w:rPr>
          <w:b/>
        </w:rPr>
        <w:t xml:space="preserve">Source: </w:t>
      </w:r>
      <w:r>
        <w:t>Wiley: Advanced Energy Materials: Table of Contents</w:t>
      </w:r>
      <w:r>
        <w:t xml:space="preserve">    </w:t>
      </w:r>
      <w:r>
        <w:rPr>
          <w:b/>
        </w:rPr>
        <w:t xml:space="preserve">Pub date: </w:t>
      </w:r>
      <w:r>
        <w:t>2026-05-02 08:56:21+00:00</w:t>
      </w:r>
      <w:r>
        <w:t xml:space="preserve">    </w:t>
      </w:r>
      <w:r>
        <w:rPr>
          <w:b/>
        </w:rPr>
        <w:t xml:space="preserve">DOI: </w:t>
      </w:r>
      <w:hyperlink r:id="rId182">
        <w:r>
          <w:rPr>
            <w:color w:val="1155CC"/>
            <w:u w:val="single"/>
          </w:rPr>
          <w:t>10.1002/aenm.71010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多孔碳电极中的离子传输支撑着电化学能量存储和分离技术的性能，但在异质孔网络中的交换动力学仍然难以量化。在此，我们提出了一种严格的分析框架，用于从二维交换光谱（2D EXSY）NMR中提取定量的离子交换动力学，明确考虑了不对称离子群体、弛豫效应和微观可逆性。通过使用对数正态速率分布描述交换，该框架捕捉了内在的动态异质性，并克服了传统离散位点模型的局限性。应用于限制在介孔CMK-3和分级结构ST-CMK-3碳中的水性LiTFSI电解质，该方法解析了从快速近表面交换到慢速孔内扩散的离子交换过程，涵盖了两位点和三位点系统。据我们所知，我们首次观察到多孔电极中的三位点离子交换，揭示了方向依赖的离子迁移性和在互连的微-介孔边界处增强的有效扩散。这些发现建立了孔结构与离子传输效率之间的直接定量联系。重要的是，提取的交换速率分布反映了潜在的孔网络拓扑和传输异质性，而不是离散的交换过程。该框架提供了一种通用的方法来识别速率限制路径，并指导高速超级电容器用多孔碳的设计。</w:t>
      </w:r>
    </w:p>
    <w:p>
      <w:pPr>
        <w:spacing w:before="0" w:after="200" w:lineRule="auto" w:line="276"/>
      </w:pPr>
      <w:r>
        <w:rPr>
          <w:b/>
        </w:rPr>
        <w:t xml:space="preserve">Abstract (EN): </w:t>
      </w:r>
      <w:r>
        <w:t>Ion transport in porous carbon electrodes underpins the performance of electrochemical energy storage and separation technologies, yet exchange dynamics within heterogeneous pore networks remain difficult to quantify. Here, we present a rigorous analytical framework for extracting quantitative ion‐exchange kinetics from two‐dimensional exchange spectroscopy (2D EXSY) NMR, explicitly accounting for asymmetric ion populations, relaxation effects, and microscopic reversibility. By describing exchange using a lognormal rate distribution, the framework captures intrinsic dynamic heterogeneity and overcomes limitations of conventional discrete‐site models. Applied to aqueous LiTFSI electrolytes confined in mesoporous CMK‐3 and hierarchically structured ST‐CMK‐3 carbons, the method resolves ion‐exchange processes spanning fast near‐surface exchange to slow in‐pore diffusion in two‐ and three‐site systems. We report, to the best of our knowledge, the first observation of three‐site ion exchange in porous electrodes, revealing direction‐dependent ion mobility and enhanced effective diffusion at interconnected micro–mesopore boundaries. These findings establish direct, quantitative links between pore architecture and ion‐transport efficiency. Importantly, the extracted exchange‐rate distributions reflect underlying pore network topology and transport heterogeneity rather than discrete exchange processes. This framework provides a generalizable route to identifying rate‐limiting pathways and guiding the design of porous carbons for high‐rate supercapacitors, capacitive deionization, and gas‐storage applications.</w:t>
      </w:r>
    </w:p>
    <w:p>
      <w:pPr>
        <w:spacing w:before="120" w:after="120"/>
      </w:pPr>
      <w:r>
        <w:rPr>
          <w:sz w:val="18"/>
        </w:rPr>
        <w:t>——————————————————————————————————————————————————————————————————————</w:t>
      </w:r>
    </w:p>
    <w:p>
      <w:pPr>
        <w:spacing w:before="160" w:after="40" w:line="240" w:lineRule="auto"/>
      </w:pPr>
      <w:r>
        <w:rPr>
          <w:b/>
        </w:rPr>
        <w:t xml:space="preserve">[18] </w:t>
      </w:r>
      <w:hyperlink r:id="rId183">
        <w:r>
          <w:rPr>
            <w:color w:val="1155CC"/>
            <w:u w:val="single"/>
          </w:rPr>
          <w:t>解码太赫兹驱动的铁电纳米孪生网络动态指纹</w:t>
        </w:r>
      </w:hyperlink>
    </w:p>
    <w:p>
      <w:pPr>
        <w:spacing w:before="0" w:after="80"/>
      </w:pPr>
      <w:r>
        <w:rPr>
          <w:i/>
          <w:sz w:val="20"/>
        </w:rPr>
        <w:t>EN: Decoding THz‐Driven Dynamic Fingerprints of Ferroelectric Nanotwin Networks</w:t>
      </w:r>
    </w:p>
    <w:p>
      <w:pPr>
        <w:spacing w:before="0" w:after="120"/>
      </w:pPr>
      <w:r>
        <w:rPr>
          <w:b/>
        </w:rPr>
        <w:t xml:space="preserve">Source: </w:t>
      </w:r>
      <w:r>
        <w:t>Wiley: Advanced Materials: Table of Contents</w:t>
      </w:r>
      <w:r>
        <w:t xml:space="preserve">    </w:t>
      </w:r>
      <w:r>
        <w:rPr>
          <w:b/>
        </w:rPr>
        <w:t xml:space="preserve">Pub date: </w:t>
      </w:r>
      <w:r>
        <w:t>2026-05-02 08:58:58+00:00</w:t>
      </w:r>
      <w:r>
        <w:t xml:space="preserve">    </w:t>
      </w:r>
      <w:r>
        <w:rPr>
          <w:b/>
        </w:rPr>
        <w:t xml:space="preserve">DOI: </w:t>
      </w:r>
      <w:hyperlink r:id="rId184">
        <w:r>
          <w:rPr>
            <w:color w:val="1155CC"/>
            <w:u w:val="single"/>
          </w:rPr>
          <w:t>10.1002/adma.73118</w:t>
        </w:r>
      </w:hyperlink>
    </w:p>
    <w:p>
      <w:pPr>
        <w:spacing w:before="0" w:after="120"/>
      </w:pPr>
      <w:r>
        <w:rPr>
          <w:b/>
        </w:rPr>
        <w:t xml:space="preserve">Notes: </w:t>
      </w:r>
      <w:r>
        <w:t>abstract_source=openalex</w:t>
      </w:r>
    </w:p>
    <w:p>
      <w:pPr>
        <w:spacing w:before="0" w:after="80" w:lineRule="auto" w:line="276"/>
      </w:pPr>
      <w:r>
        <w:rPr>
          <w:b/>
        </w:rPr>
        <w:t xml:space="preserve">摘要（ZH）: </w:t>
      </w:r>
      <w:r>
        <w:t>发现了一种独特的“充电”模式，可以在约4 ps的时间尺度上电荷和放电畴壁，从而动态调节壁导电性。这里展示的动态景观的综合实验和理论指纹识别使得能够对铁电材料进行超快控制，以用于高速微电子和光学应用。</w:t>
      </w:r>
    </w:p>
    <w:p>
      <w:pPr>
        <w:spacing w:before="0" w:after="200" w:lineRule="auto" w:line="276"/>
      </w:pPr>
      <w:r>
        <w:rPr>
          <w:b/>
        </w:rPr>
        <w:t xml:space="preserve">Abstract (EN): </w:t>
      </w:r>
      <w:r>
        <w:t>. A unique "charging" mode is discovered that can electrically charge and discharge domain walls on ∼4 ps time scale thus dynamically tuning wall conductivity. Integrated experimental and theoretical fingerprinting of the dynamical landscape presented here enables ultrafast control of ferroics for high-speed microelectronics and optical applications.</w:t>
      </w:r>
    </w:p>
    <w:p>
      <w:pPr>
        <w:spacing w:before="120" w:after="120"/>
      </w:pPr>
      <w:r>
        <w:rPr>
          <w:sz w:val="18"/>
        </w:rPr>
        <w:t>——————————————————————————————————————————————————————————————————————</w:t>
      </w:r>
    </w:p>
    <w:p>
      <w:pPr>
        <w:spacing w:before="160" w:after="40" w:line="240" w:lineRule="auto"/>
      </w:pPr>
      <w:r>
        <w:rPr>
          <w:b/>
        </w:rPr>
        <w:t xml:space="preserve">[19] </w:t>
      </w:r>
      <w:hyperlink r:id="rId185">
        <w:r>
          <w:rPr>
            <w:color w:val="1155CC"/>
            <w:u w:val="single"/>
          </w:rPr>
          <w:t>碳-硫基团诱导的苝二酰亚胺分子不对称性用于高效光催化水氧化</w:t>
        </w:r>
      </w:hyperlink>
    </w:p>
    <w:p>
      <w:pPr>
        <w:spacing w:before="0" w:after="80"/>
      </w:pPr>
      <w:r>
        <w:rPr>
          <w:i/>
          <w:sz w:val="20"/>
        </w:rPr>
        <w:t>EN: Carbon–Sulfur Moiety Induced Molecular Asymmetry in Perylene Diimide for Efficient Photocatalytic Water Oxidation</w:t>
      </w:r>
    </w:p>
    <w:p>
      <w:pPr>
        <w:spacing w:before="0" w:after="120"/>
      </w:pPr>
      <w:r>
        <w:rPr>
          <w:b/>
        </w:rPr>
        <w:t xml:space="preserve">Source: </w:t>
      </w:r>
      <w:r>
        <w:t>Wiley: Advanced Energy Materials: Table of Contents</w:t>
      </w:r>
      <w:r>
        <w:t xml:space="preserve">    </w:t>
      </w:r>
      <w:r>
        <w:rPr>
          <w:b/>
        </w:rPr>
        <w:t xml:space="preserve">Pub date: </w:t>
      </w:r>
      <w:r>
        <w:t>2026-05-02 09:02:17+00:00</w:t>
      </w:r>
      <w:r>
        <w:t xml:space="preserve">    </w:t>
      </w:r>
      <w:r>
        <w:rPr>
          <w:b/>
        </w:rPr>
        <w:t xml:space="preserve">DOI: </w:t>
      </w:r>
      <w:hyperlink r:id="rId186">
        <w:r>
          <w:rPr>
            <w:color w:val="1155CC"/>
            <w:u w:val="single"/>
          </w:rPr>
          <w:t>10.1002/aenm.71022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整体水分解的效率主要受限于低效的水氧化反应。虽然基于苝二酰亚胺（PDI）的光催化剂在水氧化方面显示出潜力，但其性能受到快速电荷复合和缓慢的氧气演化反应动力学的阻碍。在此，通过部分用C═S基团替代C═OC═设计了一种对称性破坏的PDI光催化剂，其表现出优越的水氧化性能，在可见光（λ ≥ 420 nm）下无需助催化剂即可达到5.74 mmol g−1 h−1的氧气演化速率。进一步加载Co(OH)2作为助催化剂，光催化氧气演化速率提高到19.19 mmol g−1 h−1，并在550 nm处伴随14.60%的表观量子产率。研究表明，引入C═S基团打破了PDI的分子对称性，通过产生强内部电场在动力学上促进电荷分离，并通过降低反应能垒在热力学上有利于水氧化，从而导致高效的光催化水氧化。本研究强调了分子对称性破坏作为设计高效超分子光催化剂用于太阳能到燃料转换的有前途的策略。</w:t>
      </w:r>
    </w:p>
    <w:p>
      <w:pPr>
        <w:spacing w:before="0" w:after="200" w:lineRule="auto" w:line="276"/>
      </w:pPr>
      <w:r>
        <w:rPr>
          <w:b/>
        </w:rPr>
        <w:t xml:space="preserve">Abstract (EN): </w:t>
      </w:r>
      <w:r>
        <w:t>The efficiency of photocatalytic overall water splitting is largely limited by the inefficient water oxidation reaction. While perylene diimide (PDI)‐based photocatalysts show promise for water oxidation, their performance is hindered by rapid charge recombination and sluggish oxygen evolution reaction kinetics. Herein, a symmetry‐broken PDI photocatalyst is designed through partially replacing C═OC═ with C═S moiety, which exhibits superior water oxidation performance, reaching an oxygen evolution rate of 5.74 mmol g</w:t>
      </w:r>
      <w:r>
        <w:t xml:space="preserve"> </w:t>
      </w:r>
      <w:r>
        <w:t>−1</w:t>
      </w:r>
      <w:r>
        <w:t xml:space="preserve"> </w:t>
      </w:r>
      <w:r>
        <w:t>h</w:t>
      </w:r>
      <w:r>
        <w:t xml:space="preserve"> </w:t>
      </w:r>
      <w:r>
        <w:t>−1</w:t>
      </w:r>
      <w:r>
        <w:t xml:space="preserve"> </w:t>
      </w:r>
      <w:r>
        <w:t>under visible light (λ ≥ 420 nm) without a cocatalyst. Further loading Co(OH)</w:t>
      </w:r>
      <w:r>
        <w:rPr>
          <w:vertAlign w:val="subscript"/>
        </w:rPr>
        <w:t>2</w:t>
      </w:r>
      <w:r>
        <w:t>as cocatalyst yields an enhanced photocatalytic oxygen evolution rate of 19.19 mmol g</w:t>
      </w:r>
      <w:r>
        <w:t xml:space="preserve"> </w:t>
      </w:r>
      <w:r>
        <w:t>−1</w:t>
      </w:r>
      <w:r>
        <w:t xml:space="preserve"> </w:t>
      </w:r>
      <w:r>
        <w:t>h</w:t>
      </w:r>
      <w:r>
        <w:t xml:space="preserve"> </w:t>
      </w:r>
      <w:r>
        <w:t>−1</w:t>
      </w:r>
      <w:r>
        <w:t xml:space="preserve"> </w:t>
      </w:r>
      <w:r>
        <w:t>, accompanied with an apparent quantum yield of 14.60% at 550 nm. It is revealed that the introduction of C═S moiety breaks the molecular symmetry of PDI, which kinetically facilitates charge separation by generating a strong internal electric field and thermodynamically favors water oxidation by lowering the reaction energy barrier, thereby leading to efficient photocatalytic water oxidation. This study highlights molecular symmetry breaking as a promising strategy for designing efficient supramolecular photocatalysts for solar‐to‐fuel conversion.</w:t>
      </w:r>
    </w:p>
    <w:p>
      <w:pPr>
        <w:spacing w:before="120" w:after="120"/>
      </w:pPr>
      <w:r>
        <w:rPr>
          <w:sz w:val="18"/>
        </w:rPr>
        <w:t>——————————————————————————————————————————————————————————————————————</w:t>
      </w:r>
    </w:p>
    <w:p>
      <w:pPr>
        <w:spacing w:before="160" w:after="40" w:line="240" w:lineRule="auto"/>
      </w:pPr>
      <w:r>
        <w:rPr>
          <w:b/>
        </w:rPr>
        <w:t xml:space="preserve">[20] </w:t>
      </w:r>
      <w:hyperlink r:id="rId187">
        <w:r>
          <w:rPr>
            <w:color w:val="1155CC"/>
            <w:u w:val="single"/>
          </w:rPr>
          <w:t>从可见光到太赫兹的超宽带SnBi2Te4光探测器</w:t>
        </w:r>
      </w:hyperlink>
    </w:p>
    <w:p>
      <w:pPr>
        <w:spacing w:before="0" w:after="80"/>
      </w:pPr>
      <w:r>
        <w:rPr>
          <w:i/>
          <w:sz w:val="20"/>
        </w:rPr>
        <w:t>EN: Ultrabroadband SnBi2Te4 Photodetectors From Visible to Terahertz</w:t>
      </w:r>
    </w:p>
    <w:p>
      <w:pPr>
        <w:spacing w:before="0" w:after="120"/>
      </w:pPr>
      <w:r>
        <w:rPr>
          <w:b/>
        </w:rPr>
        <w:t xml:space="preserve">Source: </w:t>
      </w:r>
      <w:r>
        <w:t>Wiley: Advanced Materials: Table of Contents</w:t>
      </w:r>
      <w:r>
        <w:t xml:space="preserve">    </w:t>
      </w:r>
      <w:r>
        <w:rPr>
          <w:b/>
        </w:rPr>
        <w:t xml:space="preserve">Pub date: </w:t>
      </w:r>
      <w:r>
        <w:t>2026-05-02 09:08:43+00:00</w:t>
      </w:r>
      <w:r>
        <w:t xml:space="preserve">    </w:t>
      </w:r>
      <w:r>
        <w:rPr>
          <w:b/>
        </w:rPr>
        <w:t xml:space="preserve">DOI: </w:t>
      </w:r>
      <w:hyperlink r:id="rId188">
        <w:r>
          <w:rPr>
            <w:color w:val="1155CC"/>
            <w:u w:val="single"/>
          </w:rPr>
          <w:t>10.1002/adma.202520961</w:t>
        </w:r>
      </w:hyperlink>
    </w:p>
    <w:p>
      <w:pPr>
        <w:spacing w:before="0" w:after="120"/>
      </w:pPr>
      <w:r>
        <w:rPr>
          <w:b/>
        </w:rPr>
        <w:t xml:space="preserve">Notes: </w:t>
      </w:r>
      <w:r>
        <w:t>abstract_source=openalex</w:t>
      </w:r>
    </w:p>
    <w:p>
      <w:pPr>
        <w:spacing w:before="0" w:after="80" w:lineRule="auto" w:line="276"/>
      </w:pPr>
      <w:r>
        <w:rPr>
          <w:b/>
        </w:rPr>
        <w:t xml:space="preserve">摘要（ZH）: </w:t>
      </w:r>
      <w:r>
        <w:t>用于超宽带室温光探测。</w:t>
      </w:r>
    </w:p>
    <w:p>
      <w:pPr>
        <w:spacing w:before="0" w:after="200" w:lineRule="auto" w:line="276"/>
      </w:pPr>
      <w:r>
        <w:rPr>
          <w:b/>
        </w:rPr>
        <w:t xml:space="preserve">Abstract (EN): </w:t>
      </w:r>
      <w:r>
        <w:t>for ultrabroadband room-temperature photodetection.</w:t>
      </w:r>
    </w:p>
    <w:p>
      <w:pPr>
        <w:spacing w:before="120" w:after="120"/>
      </w:pPr>
      <w:r>
        <w:rPr>
          <w:sz w:val="18"/>
        </w:rPr>
        <w:t>——————————————————————————————————————————————————————————————————————</w:t>
      </w:r>
    </w:p>
    <w:p>
      <w:pPr>
        <w:spacing w:before="160" w:after="40" w:line="240" w:lineRule="auto"/>
      </w:pPr>
      <w:r>
        <w:rPr>
          <w:b/>
        </w:rPr>
        <w:t xml:space="preserve">[21] </w:t>
      </w:r>
      <w:hyperlink r:id="rId189">
        <w:r>
          <w:rPr>
            <w:color w:val="1155CC"/>
            <w:u w:val="single"/>
          </w:rPr>
          <w:t>集成铁电晶体管的自支撑柔性涡流管</w:t>
        </w:r>
      </w:hyperlink>
    </w:p>
    <w:p>
      <w:pPr>
        <w:spacing w:before="0" w:after="80"/>
      </w:pPr>
      <w:r>
        <w:rPr>
          <w:i/>
          <w:sz w:val="20"/>
        </w:rPr>
        <w:t>EN: Freestanding Flexible Vortex Tubes Integrated With Ferroelectric Transistor</w:t>
      </w:r>
    </w:p>
    <w:p>
      <w:pPr>
        <w:spacing w:before="0" w:after="120"/>
      </w:pPr>
      <w:r>
        <w:rPr>
          <w:b/>
        </w:rPr>
        <w:t xml:space="preserve">Source: </w:t>
      </w:r>
      <w:r>
        <w:t>Wiley: Advanced Materials: Table of Contents</w:t>
      </w:r>
      <w:r>
        <w:t xml:space="preserve">    </w:t>
      </w:r>
      <w:r>
        <w:rPr>
          <w:b/>
        </w:rPr>
        <w:t xml:space="preserve">Pub date: </w:t>
      </w:r>
      <w:r>
        <w:t>2026-05-02 09:11:58+00:00</w:t>
      </w:r>
      <w:r>
        <w:t xml:space="preserve">    </w:t>
      </w:r>
      <w:r>
        <w:rPr>
          <w:b/>
        </w:rPr>
        <w:t xml:space="preserve">DOI: </w:t>
      </w:r>
      <w:hyperlink r:id="rId190">
        <w:r>
          <w:rPr>
            <w:color w:val="1155CC"/>
            <w:u w:val="single"/>
          </w:rPr>
          <w:t>10.1002/adma.202522292</w:t>
        </w:r>
      </w:hyperlink>
    </w:p>
    <w:p>
      <w:pPr>
        <w:spacing w:before="0" w:after="120"/>
      </w:pPr>
      <w:r>
        <w:rPr>
          <w:b/>
        </w:rPr>
        <w:t xml:space="preserve">Notes: </w:t>
      </w:r>
      <w:r>
        <w:t>abstract_source=openalex</w:t>
      </w:r>
    </w:p>
    <w:p>
      <w:pPr>
        <w:spacing w:before="0" w:after="80" w:lineRule="auto" w:line="276"/>
      </w:pPr>
      <w:r>
        <w:rPr>
          <w:b/>
        </w:rPr>
        <w:t xml:space="preserve">摘要（ZH）: </w:t>
      </w:r>
      <w:r>
        <w:t>循环。</w:t>
      </w:r>
    </w:p>
    <w:p>
      <w:pPr>
        <w:spacing w:before="0" w:after="200" w:lineRule="auto" w:line="276"/>
      </w:pPr>
      <w:r>
        <w:rPr>
          <w:b/>
        </w:rPr>
        <w:t xml:space="preserve">Abstract (EN): </w:t>
      </w:r>
      <w:r>
        <w:t>cycles.</w:t>
      </w:r>
    </w:p>
    <w:p>
      <w:pPr>
        <w:spacing w:before="120" w:after="120"/>
      </w:pPr>
      <w:r>
        <w:rPr>
          <w:sz w:val="18"/>
        </w:rPr>
        <w:t>——————————————————————————————————————————————————————————————————————</w:t>
      </w:r>
    </w:p>
    <w:p>
      <w:pPr>
        <w:spacing w:before="160" w:after="40" w:line="240" w:lineRule="auto"/>
      </w:pPr>
      <w:r>
        <w:rPr>
          <w:b/>
        </w:rPr>
        <w:t xml:space="preserve">[22] </w:t>
      </w:r>
      <w:hyperlink r:id="rId191">
        <w:r>
          <w:rPr>
            <w:color w:val="1155CC"/>
            <w:u w:val="single"/>
          </w:rPr>
          <w:t>多场协同调控聚酰亚胺气凝胶中填料角度的可切换电磁干扰屏蔽</w:t>
        </w:r>
      </w:hyperlink>
    </w:p>
    <w:p>
      <w:pPr>
        <w:spacing w:before="0" w:after="80"/>
      </w:pPr>
      <w:r>
        <w:rPr>
          <w:i/>
          <w:sz w:val="20"/>
        </w:rPr>
        <w:t>EN: Multi‐Field Synergy for Orchestrating Filler Angles in Polyimide Aerogels with Switchable Electromagnetic Interference Shielding</w:t>
      </w:r>
    </w:p>
    <w:p>
      <w:pPr>
        <w:spacing w:before="0" w:after="120"/>
      </w:pPr>
      <w:r>
        <w:rPr>
          <w:b/>
        </w:rPr>
        <w:t xml:space="preserve">Source: </w:t>
      </w:r>
      <w:r>
        <w:t>Wiley: Advanced Materials: Table of Contents</w:t>
      </w:r>
      <w:r>
        <w:t xml:space="preserve">    </w:t>
      </w:r>
      <w:r>
        <w:rPr>
          <w:b/>
        </w:rPr>
        <w:t xml:space="preserve">Pub date: </w:t>
      </w:r>
      <w:r>
        <w:t>2026-05-02 09:16:03+00:00</w:t>
      </w:r>
      <w:r>
        <w:t xml:space="preserve">    </w:t>
      </w:r>
      <w:r>
        <w:rPr>
          <w:b/>
        </w:rPr>
        <w:t xml:space="preserve">DOI: </w:t>
      </w:r>
      <w:hyperlink r:id="rId192">
        <w:r>
          <w:rPr>
            <w:color w:val="1155CC"/>
            <w:u w:val="single"/>
          </w:rPr>
          <w:t>10.1002/adma.73267</w:t>
        </w:r>
      </w:hyperlink>
    </w:p>
    <w:p>
      <w:pPr>
        <w:spacing w:before="0" w:after="120"/>
      </w:pPr>
      <w:r>
        <w:rPr>
          <w:b/>
        </w:rPr>
        <w:t xml:space="preserve">Notes: </w:t>
      </w:r>
      <w:r>
        <w:t>abstract_source=openalex</w:t>
      </w:r>
    </w:p>
    <w:p>
      <w:pPr>
        <w:spacing w:before="0" w:after="80" w:lineRule="auto" w:line="276"/>
      </w:pPr>
      <w:r>
        <w:rPr>
          <w:b/>
        </w:rPr>
        <w:t xml:space="preserve">摘要（ZH）: </w:t>
      </w:r>
      <w:r>
        <w:t>快速发展的IT行业需要能够实时、环境响应的智能电磁干扰（EMI）屏蔽材料。虽然基于通过机械应变重构导电网络的当前方法能够实现动态响应屏蔽，但面临调节范围窄、稳定性不足和实际限制的问题。为了解决这个问题，我们提出了一种电/磁场协同调控策略。该方法通过操控外部场方向，实现对还原氧化石墨烯（rGO）和镍纳米线（NiNWs）之间对齐角度的精确控制，制备出具有3D有序网络的rGO@NiNWs/聚酰亚胺气凝胶。利用这一设计，气凝胶通过简单的物理旋转实现EMI屏蔽性能的可逆、宽范围调节，具备可靠的“开/关”切换能力。定向结构还优化了填料的互连效率和界面极化。在rGO@NiNWs含量为80 wt.%和相间角为90°的情况下，气凝胶在千兆赫和太赫兹频段表现出优异的超宽带EMI屏蔽性能，在太赫兹频段的平均屏蔽效能为85 dB，并在极端环境中具有良好的稳定性。有限元模拟进一步揭示了rGO@NiNWs的空间配置如何控制屏蔽行为和智能响应机制。这项研究为下一代智能电磁保护材料铺平了道路，在航空航天和可穿戴应用中具有广阔的潜力。</w:t>
      </w:r>
    </w:p>
    <w:p>
      <w:pPr>
        <w:spacing w:before="0" w:after="200" w:lineRule="auto" w:line="276"/>
      </w:pPr>
      <w:r>
        <w:rPr>
          <w:b/>
        </w:rPr>
        <w:t xml:space="preserve">Abstract (EN): </w:t>
      </w:r>
      <w:r>
        <w:t>The fast-evolving IT sector necessitates intelligent electromagnetic interference (EMI) shielding materials capable of real-time, environment-responsive. While current approaches based on reconstructing conductive networks through mechanical strain enable dynamically responsive shielding, but face a narrow tuning range, inadequate stability, and practical limitations. To address this, we propose an electric/magnetic field synergistic regulation strategy. This approach enables precise control over the alignment angle between reduced graphene oxide (rGO) and nickel nanowires (NiNWs) by manipulating the external field direction, producing rGO@NiNWs/polyimide aerogels with 3D ordered networks. Leveraging this design, the aerogels achieve reversible, wide-range tuning of EMI shielding performance through simple physical rotation, enabling reliable "on/off" switching capability. The oriented structure also optimizes both filler interconnection efficiency and interfacial polarization. With an rGO@NiNWs content of 80 wt.% and an inter-phase angle of 90°, the aerogels demonstrate excellent ultra-wideband EMI shielding performance across gigahertz and terahertz bands, with an average shielding effectiveness of 85 dB in the terahertz band, alongside good stability in extreme environments. Finite element simulations further reveal how the spatial configuration of rGO@NiNWs governs the shielding behavior and intelligent response mechanism. This study paves the way for next-generation intelligent electromagnetic protection materials, with promising potential for aerospace and wearable applications.</w:t>
      </w:r>
    </w:p>
    <w:p>
      <w:pPr>
        <w:spacing w:before="120" w:after="120"/>
      </w:pPr>
      <w:r>
        <w:rPr>
          <w:sz w:val="18"/>
        </w:rPr>
        <w:t>——————————————————————————————————————————————————————————————————————</w:t>
      </w:r>
    </w:p>
    <w:p>
      <w:pPr>
        <w:spacing w:before="160" w:after="40" w:line="240" w:lineRule="auto"/>
      </w:pPr>
      <w:r>
        <w:rPr>
          <w:b/>
        </w:rPr>
        <w:t xml:space="preserve">[23] </w:t>
      </w:r>
      <w:hyperlink r:id="rId193">
        <w:r>
          <w:rPr>
            <w:color w:val="1155CC"/>
            <w:u w:val="single"/>
          </w:rPr>
          <w:t>基于逆向设计单细胞纳米印刷超表面的动态偏振依赖多色3D全息术</w:t>
        </w:r>
      </w:hyperlink>
    </w:p>
    <w:p>
      <w:pPr>
        <w:spacing w:before="0" w:after="80"/>
      </w:pPr>
      <w:r>
        <w:rPr>
          <w:i/>
          <w:sz w:val="20"/>
        </w:rPr>
        <w:t>EN: Dynamic Polarization‐Dependent Multicolor 3D Holography Based on Inverse‐Designed Single‐Cell Nanoprinting Metasurface</w:t>
      </w:r>
    </w:p>
    <w:p>
      <w:pPr>
        <w:spacing w:before="0" w:after="120"/>
      </w:pPr>
      <w:r>
        <w:rPr>
          <w:b/>
        </w:rPr>
        <w:t xml:space="preserve">Source: </w:t>
      </w:r>
      <w:r>
        <w:t>Wiley: Advanced Materials: Table of Contents</w:t>
      </w:r>
      <w:r>
        <w:t xml:space="preserve">    </w:t>
      </w:r>
      <w:r>
        <w:rPr>
          <w:b/>
        </w:rPr>
        <w:t xml:space="preserve">Pub date: </w:t>
      </w:r>
      <w:r>
        <w:t>2026-05-02 09:17:00+00:00</w:t>
      </w:r>
      <w:r>
        <w:t xml:space="preserve">    </w:t>
      </w:r>
      <w:r>
        <w:rPr>
          <w:b/>
        </w:rPr>
        <w:t xml:space="preserve">DOI: </w:t>
      </w:r>
      <w:hyperlink r:id="rId194">
        <w:r>
          <w:rPr>
            <w:color w:val="1155CC"/>
            <w:u w:val="single"/>
          </w:rPr>
          <w:t>10.1002/adma.73244</w:t>
        </w:r>
      </w:hyperlink>
    </w:p>
    <w:p>
      <w:pPr>
        <w:spacing w:before="0" w:after="120"/>
      </w:pPr>
      <w:r>
        <w:rPr>
          <w:b/>
        </w:rPr>
        <w:t xml:space="preserve">Notes: </w:t>
      </w:r>
      <w:r>
        <w:t>abstract_source=openalex</w:t>
      </w:r>
    </w:p>
    <w:p>
      <w:pPr>
        <w:spacing w:before="0" w:after="80" w:lineRule="auto" w:line="276"/>
      </w:pPr>
      <w:r>
        <w:rPr>
          <w:b/>
        </w:rPr>
        <w:t xml:space="preserve">摘要（ZH）: </w:t>
      </w:r>
      <w:r>
        <w:t>引入了粒子掺杂树脂基纳米打印超表面，使我们的设计能够大规模实践。我们的努力完美结合了现代设计方法和高通量纳米打印，为通过轻量级、高通量纳米打印超表面和液晶实现动态多路复用3D显示的大规模应用铺平了道路。</w:t>
      </w:r>
    </w:p>
    <w:p>
      <w:pPr>
        <w:spacing w:before="0" w:after="200" w:lineRule="auto" w:line="276"/>
      </w:pPr>
      <w:r>
        <w:rPr>
          <w:b/>
        </w:rPr>
        <w:t xml:space="preserve">Abstract (EN): </w:t>
      </w:r>
      <w:r>
        <w:t>particle-doped resin-based nanoprinting metasurface is introduced to make our designs come into practice on a large scale. Our efforts perfectly combine the modern design method and high-throughput nanoprinting, paving the way for large applications of dynamic multiplexed 3D display via light-weight, high-throughput nanoprinting metasurface and LCs.</w:t>
      </w:r>
    </w:p>
    <w:p>
      <w:pPr>
        <w:spacing w:before="120" w:after="120"/>
      </w:pPr>
      <w:r>
        <w:rPr>
          <w:sz w:val="18"/>
        </w:rPr>
        <w:t>——————————————————————————————————————————————————————————————————————</w:t>
      </w:r>
    </w:p>
    <w:p>
      <w:pPr>
        <w:spacing w:before="160" w:after="40" w:line="240" w:lineRule="auto"/>
      </w:pPr>
      <w:r>
        <w:rPr>
          <w:b/>
        </w:rPr>
        <w:t xml:space="preserve">[24] </w:t>
      </w:r>
      <w:hyperlink r:id="rId195">
        <w:r>
          <w:rPr>
            <w:color w:val="1155CC"/>
            <w:u w:val="single"/>
          </w:rPr>
          <w:t>主动学习识别用于Fe(III)-原卟啉催化的硫基增强剂：重现天然氧化酶特征及其超越</w:t>
        </w:r>
      </w:hyperlink>
    </w:p>
    <w:p>
      <w:pPr>
        <w:spacing w:before="0" w:after="80"/>
      </w:pPr>
      <w:r>
        <w:rPr>
          <w:i/>
          <w:sz w:val="20"/>
        </w:rPr>
        <w:t>EN: Active Learning Identifies Sulfur‐Based Enhancers for Fe(III)‐Protoporphyrin Catalysis: Recapitulating Features of Natural Oxidase and Beyond</w:t>
      </w:r>
    </w:p>
    <w:p>
      <w:pPr>
        <w:spacing w:before="0" w:after="120"/>
      </w:pPr>
      <w:r>
        <w:rPr>
          <w:b/>
        </w:rPr>
        <w:t xml:space="preserve">Source: </w:t>
      </w:r>
      <w:r>
        <w:t>Wiley: Advanced Materials: Table of Contents</w:t>
      </w:r>
      <w:r>
        <w:t xml:space="preserve">    </w:t>
      </w:r>
      <w:r>
        <w:rPr>
          <w:b/>
        </w:rPr>
        <w:t xml:space="preserve">Pub date: </w:t>
      </w:r>
      <w:r>
        <w:t>2026-05-02 09:20:12+00:00</w:t>
      </w:r>
      <w:r>
        <w:t xml:space="preserve">    </w:t>
      </w:r>
      <w:r>
        <w:rPr>
          <w:b/>
        </w:rPr>
        <w:t xml:space="preserve">DOI: </w:t>
      </w:r>
      <w:hyperlink r:id="rId196">
        <w:r>
          <w:rPr>
            <w:color w:val="1155CC"/>
            <w:u w:val="single"/>
          </w:rPr>
          <w:t>10.1002/adma.202518756</w:t>
        </w:r>
      </w:hyperlink>
    </w:p>
    <w:p>
      <w:pPr>
        <w:spacing w:before="0" w:after="120"/>
      </w:pPr>
      <w:r>
        <w:rPr>
          <w:b/>
        </w:rPr>
        <w:t xml:space="preserve">Notes: </w:t>
      </w:r>
      <w:r>
        <w:t>abstract_source=openalex</w:t>
      </w:r>
    </w:p>
    <w:p>
      <w:pPr>
        <w:spacing w:before="0" w:after="80" w:lineRule="auto" w:line="276"/>
      </w:pPr>
      <w:r>
        <w:rPr>
          <w:b/>
        </w:rPr>
        <w:t xml:space="preserve">摘要（ZH）: </w:t>
      </w:r>
      <w:r>
        <w:t>序列控制聚合物，如多肽，提供了一个多功能平台，用于调节催化中心的微环境，从酶中汲取灵感，同时实现更大的设计空间、结构灵活性、自动合成和与闭环优化的兼容性。在此，我们通过酰胺键将Fe(III)-原卟啉IX固定在合成十肽的赖氨酸残基上，设计了一种人工氧化酶系统。使用过氧化氢作为氧化剂和苯乙酮作为模型底物，我们使用主动学习引导的闭环工作流程，在20轮中优先考虑233种变体的肽序列。统计分析显示，含硫残基-半胱氨酸和蛋氨酸-在位于配位位点附近时一致增强活性。值得注意的是，尽管序列优化从随机输入开始，算法很快收敛于含半胱氨酸的基序，这与天然氧化酶中的特征一致。含硫醚的蛋氨酸也被发现促进催化，扩展了硫基配位的相关性，超越了天然存在的系统。这些发现展示了数据驱动的序列设计在开发可调节的、酶启发的催化剂中的应用，其架构简化。</w:t>
      </w:r>
    </w:p>
    <w:p>
      <w:pPr>
        <w:spacing w:before="0" w:after="200" w:lineRule="auto" w:line="276"/>
      </w:pPr>
      <w:r>
        <w:rPr>
          <w:b/>
        </w:rPr>
        <w:t xml:space="preserve">Abstract (EN): </w:t>
      </w:r>
      <w:r>
        <w:t>Sequence-controlled polymers, such as polypeptides, offer a versatile platform for tuning the microenvironment of catalytic centers, drawing inspiration from enzymes while enabling a larger design space, structural flexibility, automated synthesis, and compatibility with closed-loop optimization. Here, we designed an artificial oxidase system by immobilizing Fe(III)-protoporphyrin IX onto a lysine residue in synthetic decapeptides via amide linkage. Using hydrogen peroxide as the oxidant and acetophenone as a model substrate, we used an active-learning-guided closed-loop workflow to prioritize peptide sequences across 233 variants over 20 rounds. Statistical analysis revealed that sulfur-containing residues-cysteine and methionine-consistently enhanced activity when positioned adjacent to the coordination site. Notably, although sequence optimization began from random inputs, the algorithm quickly converged on cysteine-containing motifs, consistent with features found in natural oxidases. Thioether-containing methionine was also found to promote catalysis, extending the relevance of sulfur-based coordination beyond naturally occurring systems. These findings demonstrate the application of data-driven sequence design for developing tunable, enzyme-inspired catalysts with simplified architectures.</w:t>
      </w:r>
    </w:p>
    <w:p>
      <w:pPr>
        <w:spacing w:before="120" w:after="120"/>
      </w:pPr>
      <w:r>
        <w:rPr>
          <w:sz w:val="18"/>
        </w:rPr>
        <w:t>——————————————————————————————————————————————————————————————————————</w:t>
      </w:r>
    </w:p>
    <w:p>
      <w:pPr>
        <w:spacing w:before="160" w:after="40" w:line="240" w:lineRule="auto"/>
      </w:pPr>
      <w:r>
        <w:rPr>
          <w:b/>
        </w:rPr>
        <w:t xml:space="preserve">[25] </w:t>
      </w:r>
      <w:hyperlink r:id="rId197">
        <w:r>
          <w:rPr>
            <w:color w:val="1155CC"/>
            <w:u w:val="single"/>
          </w:rPr>
          <w:t>机械诱导的自适应自生长蛋白水凝胶</w:t>
        </w:r>
      </w:hyperlink>
    </w:p>
    <w:p>
      <w:pPr>
        <w:spacing w:before="0" w:after="80"/>
      </w:pPr>
      <w:r>
        <w:rPr>
          <w:i/>
          <w:sz w:val="20"/>
        </w:rPr>
        <w:t>EN: Mechanically Induced Adaptive Self‐Growing Protein Hydrogel</w:t>
      </w:r>
    </w:p>
    <w:p>
      <w:pPr>
        <w:spacing w:before="0" w:after="120"/>
      </w:pPr>
      <w:r>
        <w:rPr>
          <w:b/>
        </w:rPr>
        <w:t xml:space="preserve">Source: </w:t>
      </w:r>
      <w:r>
        <w:t>Wiley: Advanced Materials: Table of Contents</w:t>
      </w:r>
      <w:r>
        <w:t xml:space="preserve">    </w:t>
      </w:r>
      <w:r>
        <w:rPr>
          <w:b/>
        </w:rPr>
        <w:t xml:space="preserve">Pub date: </w:t>
      </w:r>
      <w:r>
        <w:t>2026-05-02 09:27:12+00:00</w:t>
      </w:r>
      <w:r>
        <w:t xml:space="preserve">    </w:t>
      </w:r>
      <w:r>
        <w:rPr>
          <w:b/>
        </w:rPr>
        <w:t xml:space="preserve">DOI: </w:t>
      </w:r>
      <w:hyperlink r:id="rId198">
        <w:r>
          <w:rPr>
            <w:color w:val="1155CC"/>
            <w:u w:val="single"/>
          </w:rPr>
          <w:t>10.1002/adma.202523636</w:t>
        </w:r>
      </w:hyperlink>
    </w:p>
    <w:p>
      <w:pPr>
        <w:spacing w:before="0" w:after="120"/>
      </w:pPr>
      <w:r>
        <w:rPr>
          <w:b/>
        </w:rPr>
        <w:t xml:space="preserve">Notes: </w:t>
      </w:r>
      <w:r>
        <w:t>abstract_source=openalex</w:t>
      </w:r>
    </w:p>
    <w:p>
      <w:pPr>
        <w:spacing w:before="0" w:after="80" w:lineRule="auto" w:line="276"/>
      </w:pPr>
      <w:r>
        <w:rPr>
          <w:b/>
        </w:rPr>
        <w:t xml:space="preserve">摘要（ZH）: </w:t>
      </w:r>
      <w:r>
        <w:t>活组织在反复机械加载下会增强，但在合成材料中复制这种适应性生长仍然是一个艰巨的挑战。在此，我们报告了一种蛋白质基水凝胶，它在机械化学诱导下自我生长，在施加应力下自主增强其基线机械性能。这一策略利用了铜储存蛋白Csp1，其力调节的展开释放Cu(I)，催化原位叠氮-炔环加成，在机械负载下生成次级交联。在卸载时，Csp1重新折叠并重新捕获Cu(I)，停止催化并恢复生长能力。这种机械催化反馈回路在闭合系统内实现了应力和时间依赖的自我增强，无需外部单体供应。通过利用Cu(I)稳态在循环生长-暂停-生长转换中的作用，水凝胶表现出可编程的机械记忆。通过将力依赖的蛋白质构象动态与催化活性结合，这一策略建立了一种可推广的机械化学框架，用于设计在机械刺激下结构和功能演变的自适应生物材料。</w:t>
      </w:r>
    </w:p>
    <w:p>
      <w:pPr>
        <w:spacing w:before="0" w:after="200" w:lineRule="auto" w:line="276"/>
      </w:pPr>
      <w:r>
        <w:rPr>
          <w:b/>
        </w:rPr>
        <w:t xml:space="preserve">Abstract (EN): </w:t>
      </w:r>
      <w:r>
        <w:t>Living tissues strengthen under repeated mechanical loading, yet replicating such adaptive growth in synthetic materials remains a formidable challenge. Here, we report a protein-based hydrogel that undergoes mechanochemically induced self-growth, autonomously reinforcing its baseline mechanical properties under applied stress. This strategy harnesses the copper-storage protein Csp1, whose force-regulated unfolding releases Cu(I) that catalyzes in situ azide-alkyne cycloaddition, generating secondary crosslinks under mechanical load. Upon unloading, Csp1 refolds and re-sequesters Cu(I), halting catalysis and restoring growth capacity. This mechano-catalytic feedback loop enables stress- and time-dependent self-reinforcement within a closed system, without external monomer supply. The hydrogel exhibits programmable mechanical memory via leveraging Cu(I) homeostasis in cyclic growth-pause-growth transitions. By coupling force-dependent protein conformational dynamics with catalytic activity, this strategy establishes a generalizable mechanochemical framework for designing self-adapting biomaterials whose structure and function evolve under mechanical stimulation.</w:t>
      </w:r>
    </w:p>
    <w:p>
      <w:pPr>
        <w:spacing w:before="120" w:after="120"/>
      </w:pPr>
      <w:r>
        <w:rPr>
          <w:sz w:val="18"/>
        </w:rPr>
        <w:t>——————————————————————————————————————————————————————————————————————</w:t>
      </w:r>
    </w:p>
    <w:p>
      <w:pPr>
        <w:spacing w:before="160" w:after="40" w:line="240" w:lineRule="auto"/>
      </w:pPr>
      <w:r>
        <w:rPr>
          <w:b/>
        </w:rPr>
        <w:t xml:space="preserve">[26] </w:t>
      </w:r>
      <w:hyperlink r:id="rId199">
        <w:r>
          <w:rPr>
            <w:color w:val="1155CC"/>
            <w:u w:val="single"/>
          </w:rPr>
          <w:t>[ASAP] 在氦纳米液滴中从乙炔低温自下而上形成苯阳离子</w:t>
        </w:r>
      </w:hyperlink>
    </w:p>
    <w:p>
      <w:pPr>
        <w:spacing w:before="0" w:after="80"/>
      </w:pPr>
      <w:r>
        <w:rPr>
          <w:i/>
          <w:sz w:val="20"/>
        </w:rPr>
        <w:t>EN: [ASAP] Cryogenic Bottom-up Formation of the Benzene Cation from Acetylene in Helium Nanodroplets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2026-05-02 13:29:54+00:00</w:t>
      </w:r>
      <w:r>
        <w:t xml:space="preserve">    </w:t>
      </w:r>
      <w:r>
        <w:rPr>
          <w:b/>
        </w:rPr>
        <w:t xml:space="preserve">DOI: </w:t>
      </w:r>
      <w:hyperlink r:id="rId200">
        <w:r>
          <w:rPr>
            <w:color w:val="1155CC"/>
            <w:u w:val="single"/>
          </w:rPr>
          <w:t>10.1021/jacs.6c04278</w:t>
        </w:r>
      </w:hyperlink>
    </w:p>
    <w:p>
      <w:pPr>
        <w:spacing w:before="0" w:after="120"/>
      </w:pPr>
      <w:r>
        <w:rPr>
          <w:b/>
        </w:rPr>
        <w:t xml:space="preserve">Notes: </w:t>
      </w:r>
      <w:r>
        <w:t>abstract_source=pubmed</w:t>
      </w:r>
    </w:p>
    <w:p>
      <w:pPr>
        <w:spacing w:before="0" w:after="80" w:lineRule="auto" w:line="276"/>
      </w:pPr>
      <w:r>
        <w:rPr>
          <w:b/>
        </w:rPr>
        <w:t xml:space="preserve">摘要（ZH）: </w:t>
      </w:r>
      <w:r>
        <w:t>自下而上的离子-分子反应网络被认为驱动了空间中的分子复杂性。然而，即使是第一个芳香环（苯）的形成仍然理解不充分。在这篇文章中，我们报告了通过顺序的两步反应C2H2•+ + C2H2 → C4H4•+，然后C4H4•+ + C2H2 → C6H6•+在低温氦纳米液滴中形成苯自由基阳离子。超流氦环境被用作研究化学反应性的一种模型系统，在能量有效耗散的环境中，如星际尘埃和冰，稳定反应中间体和产物，并使直接光谱研究成为可能。可见光波长范围内的氦标记光谱明确识别C6H6•+产物为苯自由基阳离子。这与量子化学计算一致，后者预测了在两个步骤中无势垒的反应路径。这些结果建立了一种在非常冷的凝聚相中形成第一个芳香环的低温途径，这可能影响我们对星际介质中多环芳烃形成的理解。</w:t>
      </w:r>
    </w:p>
    <w:p>
      <w:pPr>
        <w:spacing w:before="0" w:after="200" w:lineRule="auto" w:line="276"/>
      </w:pPr>
      <w:r>
        <w:rPr>
          <w:b/>
        </w:rPr>
        <w:t xml:space="preserve">Abstract (EN): </w:t>
      </w:r>
      <w:r>
        <w:t>Bottom-up ion-molecule reaction networks are thought to drive molecular complexity in space. Nevertheless, even the formation of the first aromatic ring (benzene) remains poorly understood. In this publication, we report the formation of the benzene radical cation from an acetylene cation and two acetylene molecules via the sequential two-step reaction C2H2•+ + C2H2 → C4H4•+ followed by C4H4•+ + C2H2 → C6H6•+ inside cryogenic helium nanodroplets. The superfluid helium-environment, used as a model system to study chemical reactivity in an environment with efficient energy dissipation such as interstellar dust and ice, stabilizes reaction intermediates and products and enables direct spectroscopic investigation. Helium-tagging spectroscopy in the visible wavelength range unambiguously identifies the C6H6•+ product as the benzene radical cation. This is consistent with quantum-chemical calculations that predict a reaction pathway that is barrierless in both steps. These results establish a low-temperature route to the formation of the first aromatic ring in very cold condensed phases, which may impact our understanding of polycyclic aromatic hydrocarbon formation in the interstellar medium.</w:t>
      </w:r>
    </w:p>
    <w:p>
      <w:pPr>
        <w:spacing w:before="120" w:after="120"/>
      </w:pPr>
      <w:r>
        <w:rPr>
          <w:sz w:val="18"/>
        </w:rPr>
        <w:t>——————————————————————————————————————————————————————————————————————</w:t>
      </w:r>
    </w:p>
    <w:p>
      <w:pPr>
        <w:spacing w:before="160" w:after="40" w:line="240" w:lineRule="auto"/>
      </w:pPr>
      <w:r>
        <w:rPr>
          <w:b/>
        </w:rPr>
        <w:t xml:space="preserve">[27] </w:t>
      </w:r>
      <w:hyperlink r:id="rId201">
        <w:r>
          <w:rPr>
            <w:color w:val="1155CC"/>
            <w:u w:val="single"/>
          </w:rPr>
          <w:t>催化不对称构建Si手性硅双环[3.3.1]壬烷，使用功能化的前手性硅环己酮</w:t>
        </w:r>
      </w:hyperlink>
    </w:p>
    <w:p>
      <w:pPr>
        <w:spacing w:before="0" w:after="80"/>
      </w:pPr>
      <w:r>
        <w:rPr>
          <w:i/>
          <w:sz w:val="20"/>
        </w:rPr>
        <w:t>EN: Catalytic Asymmetric Construction of Si‐Chiral Silabicyclo[3.3.1]Nonanes Using Functionalized Prochiral Silacyclohexanones</w:t>
      </w:r>
    </w:p>
    <w:p>
      <w:pPr>
        <w:spacing w:before="0" w:after="120"/>
      </w:pPr>
      <w:r>
        <w:rPr>
          <w:b/>
        </w:rPr>
        <w:t xml:space="preserve">Source: </w:t>
      </w:r>
      <w:r>
        <w:t>Wiley: Angewandte Chemie International Edition: Table of Contents</w:t>
      </w:r>
      <w:r>
        <w:t xml:space="preserve">    </w:t>
      </w:r>
      <w:r>
        <w:rPr>
          <w:b/>
        </w:rPr>
        <w:t xml:space="preserve">Pub date: </w:t>
      </w:r>
      <w:r>
        <w:t>2026-05-02 15:49:15+00:00</w:t>
      </w:r>
      <w:r>
        <w:t xml:space="preserve">    </w:t>
      </w:r>
      <w:r>
        <w:rPr>
          <w:b/>
        </w:rPr>
        <w:t xml:space="preserve">DOI: </w:t>
      </w:r>
      <w:hyperlink r:id="rId202">
        <w:r>
          <w:rPr>
            <w:color w:val="1155CC"/>
            <w:u w:val="single"/>
          </w:rPr>
          <w:t>10.1002/anie.7019464</w:t>
        </w:r>
      </w:hyperlink>
    </w:p>
    <w:p>
      <w:pPr>
        <w:spacing w:before="0" w:after="120"/>
      </w:pPr>
      <w:r>
        <w:rPr>
          <w:b/>
        </w:rPr>
        <w:t xml:space="preserve">Notes: </w:t>
      </w:r>
      <w:r>
        <w:t>abstract_source=pubmed</w:t>
      </w:r>
    </w:p>
    <w:p>
      <w:pPr>
        <w:spacing w:before="0" w:after="80" w:lineRule="auto" w:line="276"/>
      </w:pPr>
      <w:r>
        <w:rPr>
          <w:b/>
        </w:rPr>
        <w:t xml:space="preserve">摘要（ZH）: </w:t>
      </w:r>
      <w:r>
        <w:t>开发手性三维、富含sp3的结构以促进强效功能分子的发现是合成化学的前沿。然而，由于缺乏能够进行多样性导向不对称合成的多能Si-前手性平台，饱和和桥接的Si-手性硅环的简便合成仍然难以实现。在此，我们报告了功能化的前手性4,4-二取代硅环己酮（FPDSs）的发明，作为模块化合成多功能sp3丰富Si-手性硅-双环[3.3.1]壬烷的平台。FPDS平台通过新建立的串联SN2取代/Krapcho脱羧序列作为硅环己酮核心的关键步骤易于获得。FPDS的实用性在催化不对称合成多样的Si-手性硅-双环[3.3.1]壬烷中得到了证明，通过手性烯胺催化的去对称化分子内醛醇反应、串联亚胺形成/Mannich或Wittig/Michael序列，以及通过协同手性烯胺/钯催化的α-芳基化。值得注意的是，这代表了生产功能化sp3丰富Si-手性桥接硅环的第一个立体选择性方法，也是第一个锻造Si-手性的非对称有机/金属协同催化。</w:t>
      </w:r>
    </w:p>
    <w:p>
      <w:pPr>
        <w:spacing w:before="0" w:after="200" w:lineRule="auto" w:line="276"/>
      </w:pPr>
      <w:r>
        <w:rPr>
          <w:b/>
        </w:rPr>
        <w:t xml:space="preserve">Abstract (EN): </w:t>
      </w:r>
      <w:r>
        <w:t>The development of chiral three-dimensional, sp3-rich architectures to facilitate the discovery of potent functional molecules is at the forefront of synthetic chemistry. However, facile synthesis of saturated and bridged Si-chiral silacycles remains elusive due to a lack of pluripotent Si-prochiral platforms capable of diversity-oriented asymmetric synthesis. Herein, we report the invention of functionalized prochiral 4,4-disubstituted silacyclohexanones (FPDSs) as platforms for the modular synthesis of multifunctional sp3-rich Si-chiral sila-bicyclo[3.3.1]nonanes. The FPDS platforms are readily accessible via a newly established tandem SN2‑substitution/Krapcho‑decarboxylation sequence as a key step to silacyclohexanone core. The utility of FPDS is demonstrated in catalytic asymmetric synthesis of diverse Si-chiral sila-bicyclo[3.3.1]nonanes via desymmetric intramolecular aldol reaction, tandem imine formation/Mannich, or Wittig/Michael sequence by chiral enamine catalysis, as well as α-arylation by cooperative chiral enamine/palladium catalysis. Notably, this represents the first stereoselective method to produce functionalized sp3-rich Si-chiral bridged silacycles and the first asymmetric organo/metal cooperative catalysis for forging Si-chirality.</w:t>
      </w:r>
    </w:p>
    <w:p>
      <w:pPr>
        <w:spacing w:before="120" w:after="120"/>
      </w:pPr>
      <w:r>
        <w:rPr>
          <w:sz w:val="18"/>
        </w:rPr>
        <w:t>——————————————————————————————————————————————————————————————————————</w:t>
      </w:r>
    </w:p>
    <w:p>
      <w:pPr>
        <w:spacing w:before="160" w:after="40" w:line="240" w:lineRule="auto"/>
      </w:pPr>
      <w:r>
        <w:rPr>
          <w:b/>
        </w:rPr>
        <w:t xml:space="preserve">[28] </w:t>
      </w:r>
      <w:hyperlink r:id="rId203">
        <w:r>
          <w:rPr>
            <w:color w:val="1155CC"/>
            <w:u w:val="single"/>
          </w:rPr>
          <w:t>具有独特二维[Ge4I10]层状结构和大手性诱导非线性光学效应的手性(R/S‐MPz)Ge4I10</w:t>
        </w:r>
      </w:hyperlink>
    </w:p>
    <w:p>
      <w:pPr>
        <w:spacing w:before="0" w:after="80"/>
      </w:pPr>
      <w:r>
        <w:rPr>
          <w:i/>
          <w:sz w:val="20"/>
        </w:rPr>
        <w:t>EN: Chiral (R/S‐MPz)Ge4I10 With Unique 2D [Ge4I10] Layered Structure and Large Chirality‐Induced Nonlinear Optical Effect</w:t>
      </w:r>
    </w:p>
    <w:p>
      <w:pPr>
        <w:spacing w:before="0" w:after="120"/>
      </w:pPr>
      <w:r>
        <w:rPr>
          <w:b/>
        </w:rPr>
        <w:t xml:space="preserve">Source: </w:t>
      </w:r>
      <w:r>
        <w:t>Wiley: Angewandte Chemie International Edition: Table of Contents</w:t>
      </w:r>
      <w:r>
        <w:t xml:space="preserve">    </w:t>
      </w:r>
      <w:r>
        <w:rPr>
          <w:b/>
        </w:rPr>
        <w:t xml:space="preserve">Pub date: </w:t>
      </w:r>
      <w:r>
        <w:t>2026-05-02 15:49:42+00:00</w:t>
      </w:r>
      <w:r>
        <w:t xml:space="preserve">    </w:t>
      </w:r>
      <w:r>
        <w:rPr>
          <w:b/>
        </w:rPr>
        <w:t xml:space="preserve">DOI: </w:t>
      </w:r>
      <w:hyperlink r:id="rId204">
        <w:r>
          <w:rPr>
            <w:color w:val="1155CC"/>
            <w:u w:val="single"/>
          </w:rPr>
          <w:t>10.1002/anie.3836107</w:t>
        </w:r>
      </w:hyperlink>
    </w:p>
    <w:p>
      <w:pPr>
        <w:spacing w:before="0" w:after="120"/>
      </w:pPr>
      <w:r>
        <w:rPr>
          <w:b/>
        </w:rPr>
        <w:t xml:space="preserve">Notes: </w:t>
      </w:r>
      <w:r>
        <w:t>abstract_source=pubmed</w:t>
      </w:r>
    </w:p>
    <w:p>
      <w:pPr>
        <w:spacing w:before="0" w:after="80" w:lineRule="auto" w:line="276"/>
      </w:pPr>
      <w:r>
        <w:rPr>
          <w:b/>
        </w:rPr>
        <w:t xml:space="preserve">摘要（ZH）: </w:t>
      </w:r>
      <w:r>
        <w:t>具有内在非中心对称结构的手性有机-无机杂化金属卤化物（OIMHs）因其潜在的非线性光学（NLO）应用而受到相当关注。然而，与其非手性对应物相比，手性诱导的NLO效应机制仍不清楚。本研究首次报道了一对基于Ge的手性OIMHs（R/S-MPz）Ge4I10，具有独特的二维[Ge4I10]2-层，表现出约为基准K2HPO4（KDP）五倍的二次谐波效应。这是迄今为止报道的基于手性Ge的OIMHs中达到的最高值，远远超过在有机R/S-MPz中观察到的值。第一性原理计算揭示了由手性诱导的边共享[GeI6]4-八面体构成的独特[Ge4I10]2-层对于主导NLO效应至关重要。通过进一步增强有机组分的极性，该材料实现了约15×KDP的增益记录。我们的研究不仅扩展了手性Ge基OIMHs的家族，还阐明了手性结构与NLO性质之间的关系，为手性NLO材料提供了合理的设计策略。</w:t>
      </w:r>
    </w:p>
    <w:p>
      <w:pPr>
        <w:spacing w:before="0" w:after="200" w:lineRule="auto" w:line="276"/>
      </w:pPr>
      <w:r>
        <w:rPr>
          <w:b/>
        </w:rPr>
        <w:t xml:space="preserve">Abstract (EN): </w:t>
      </w:r>
      <w:r>
        <w:t>Chiral organic-inorganic hybrid metal halides (OIMHs) with intrinsic non-centrosymmetric structures have attracted considerable attention for their potential nonlinear optical (NLO) applications. However, compared to their achiral counterparts, the chirality-induced mechanism underlying their NLO effects remains unclear. This study reports for the first time a pair of Ge-based chiral OIMHs (R/S-MPz)Ge4I10 with a unique 2D [Ge4I10]2- layers, exhibiting a second-harmonic effect approximately five times greater than that of benchmark K2HPO4 (KDP). This represents the highest value achieved to date among reported chiral Ge-based OIMHs and far exceeds those observed in the organic R/S-MPz. First-principles calculations reveal that the unique [Ge4I10]2- layer, constructed by edge-shared [GeI6]4- octahedra induced by chirality, is crucial for the dominate NLO effect. By further enhancing the polarity of the organic component, this material achieves a gain record of ∼15×KDP. Our study not only expands the family of chiral Ge-based OIMHs but also elucidates the relationship between chiral motif and NLO property, providing a rational design strategy for chiral NLO materials.</w:t>
      </w:r>
    </w:p>
    <w:p>
      <w:pPr>
        <w:spacing w:before="120" w:after="120"/>
      </w:pPr>
      <w:r>
        <w:rPr>
          <w:sz w:val="18"/>
        </w:rPr>
        <w:t>——————————————————————————————————————————————————————————————————————</w:t>
      </w:r>
    </w:p>
    <w:p>
      <w:pPr>
        <w:spacing w:before="160" w:after="40" w:line="240" w:lineRule="auto"/>
      </w:pPr>
      <w:r>
        <w:rPr>
          <w:b/>
        </w:rPr>
        <w:t xml:space="preserve">[29] </w:t>
      </w:r>
      <w:hyperlink r:id="rId205">
        <w:r>
          <w:rPr>
            <w:color w:val="1155CC"/>
            <w:u w:val="single"/>
          </w:rPr>
          <w:t>[ASAP]氧化物光电催化剂中的极化子：控制太阳能到燃料转换的隐藏准粒子</w:t>
        </w:r>
      </w:hyperlink>
    </w:p>
    <w:p>
      <w:pPr>
        <w:spacing w:before="0" w:after="80"/>
      </w:pPr>
      <w:r>
        <w:rPr>
          <w:i/>
          <w:sz w:val="20"/>
        </w:rPr>
        <w:t>EN: [ASAP] Polarons in Oxide Photoelectrocatalysts: Hidden Quasi-Particles Governing Solar-to-Fuel Conversion</w:t>
      </w:r>
    </w:p>
    <w:p>
      <w:pPr>
        <w:spacing w:before="0" w:after="120"/>
      </w:pPr>
      <w:r>
        <w:rPr>
          <w:b/>
        </w:rPr>
        <w:t xml:space="preserve">Source: </w:t>
      </w:r>
      <w:r>
        <w:t>ACS Energy Letters: Latest Articles (ACS Publications)</w:t>
      </w:r>
      <w:r>
        <w:t xml:space="preserve">    </w:t>
      </w:r>
      <w:r>
        <w:rPr>
          <w:b/>
        </w:rPr>
        <w:t xml:space="preserve">Pub date: </w:t>
      </w:r>
      <w:r>
        <w:t>2026-05-02 17:48:16+00:00</w:t>
      </w:r>
      <w:r>
        <w:t xml:space="preserve">    </w:t>
      </w:r>
      <w:r>
        <w:rPr>
          <w:b/>
        </w:rPr>
        <w:t xml:space="preserve">DOI: </w:t>
      </w:r>
      <w:hyperlink r:id="rId206">
        <w:r>
          <w:rPr>
            <w:color w:val="1155CC"/>
            <w:u w:val="single"/>
          </w:rPr>
          <w:t>10.1021/acsenergylett.6c00836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07">
        <w:r>
          <w:rPr>
            <w:color w:val="1155CC"/>
            <w:u w:val="single"/>
          </w:rPr>
          <w:t>基于物理的等效电路建模固体扩散极化，用于锂离子电池低温荷电状态估计</w:t>
        </w:r>
      </w:hyperlink>
    </w:p>
    <w:p>
      <w:pPr>
        <w:spacing w:before="0" w:after="80"/>
      </w:pPr>
      <w:r>
        <w:rPr>
          <w:i/>
          <w:sz w:val="20"/>
        </w:rPr>
        <w:t>EN: Physics-informed equivalent circuit modeling of solid diffusion polarization for low-temperature state of charge estimation in lithium-ion batteries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08">
        <w:r>
          <w:rPr>
            <w:color w:val="1155CC"/>
            <w:u w:val="single"/>
          </w:rPr>
          <w:t>质体PHS1-DPE1复合物驱动水稻淀粉代谢中高效麦芽寡糖合成</w:t>
        </w:r>
      </w:hyperlink>
    </w:p>
    <w:p>
      <w:pPr>
        <w:spacing w:before="0" w:after="80"/>
      </w:pPr>
      <w:r>
        <w:rPr>
          <w:i/>
          <w:sz w:val="20"/>
        </w:rPr>
        <w:t>EN: The plastidial PHS1-DPE1 complex drives efficient malto-oligosaccharides synthesis in rice starch metabolism</w:t>
      </w:r>
    </w:p>
    <w:p>
      <w:pPr>
        <w:spacing w:before="0" w:after="120"/>
      </w:pPr>
      <w:r>
        <w:rPr>
          <w:b/>
        </w:rPr>
        <w:t xml:space="preserve">Source: </w:t>
      </w:r>
      <w:r>
        <w:t>Nature Communications</w:t>
      </w:r>
      <w:r>
        <w:t xml:space="preserve">    </w:t>
      </w:r>
      <w:r>
        <w:rPr>
          <w:b/>
        </w:rPr>
        <w:t xml:space="preserve">Pub date: </w:t>
      </w:r>
      <w:r>
        <w:t>2026-05-03 00:00:00+00:00</w:t>
      </w:r>
      <w:r>
        <w:t xml:space="preserve">    </w:t>
      </w:r>
      <w:r>
        <w:rPr>
          <w:b/>
        </w:rPr>
        <w:t xml:space="preserve">DOI: </w:t>
      </w:r>
      <w:hyperlink r:id="rId209">
        <w:r>
          <w:rPr>
            <w:color w:val="1155CC"/>
            <w:u w:val="single"/>
          </w:rPr>
          <w:t>10.1038/s41467-026-72738-5</w:t>
        </w:r>
      </w:hyperlink>
    </w:p>
    <w:p>
      <w:pPr>
        <w:spacing w:before="0" w:after="120"/>
      </w:pPr>
      <w:r>
        <w:rPr>
          <w:b/>
        </w:rPr>
        <w:t xml:space="preserve">Notes: </w:t>
      </w:r>
      <w:r>
        <w:t>abstract_source=nature_html</w:t>
      </w:r>
    </w:p>
    <w:p>
      <w:pPr>
        <w:spacing w:before="0" w:after="80" w:lineRule="auto" w:line="276"/>
      </w:pPr>
      <w:r>
        <w:rPr>
          <w:b/>
        </w:rPr>
        <w:t xml:space="preserve">摘要（ZH）: </w:t>
      </w:r>
      <w:r>
        <w:t>淀粉在植物中作为重要的能量储备。在其生物合成过程中，麦芽低聚糖（MOS）是必需的引物。MOS生产的关键途径之一涉及质体α-葡聚糖磷酸化酶（PHS1/Pho1）和不均化酶（DPE1）。然而，这些酶之间的功能关系尚不清楚。在此，我们证明了水稻PHS1和DPE1组装成一个多聚体复合物。PHS1-DPE1复合物的冷冻电镜结构揭示了组装机制，并提出了一个潜在的底物通道。生化测定显示，该复合物显著提高了催化效率，相较于单个酶。单分子荧光共振能量转移（smFRET）可视化构象动态，促进酶间快速底物转移。我们进一步识别出PHS1中的独特L80环作为潜在的调节因子。其删除降低了催化效率，并在底物转移过程中延长了构象状态寿命，从而减少了较长MOS的产生。我们的研究结果表明，PHS1-DPE1复合物通过有效的底物转移或扩散在两种酶之间，促进了高效的MOS引物合成，为淀粉生物合成的关键步骤提供了机制见解，并具有农业意义。</w:t>
      </w:r>
    </w:p>
    <w:p>
      <w:pPr>
        <w:spacing w:before="0" w:after="200" w:lineRule="auto" w:line="276"/>
      </w:pPr>
      <w:r>
        <w:rPr>
          <w:b/>
        </w:rPr>
        <w:t xml:space="preserve">Abstract (EN): </w:t>
      </w:r>
      <w:r>
        <w:t>Starch serves as a vital energy reserve in plants. During its biosynthesis, malto-oligosaccharides (MOS) are essential primers. One of the key pathways for MOS production involves plastidial α-glucan phosphorylase (PHS1/Pho1) and disproportionating enzyme (DPE1). However, the functional relationship between these enzymes is unclear. Here, we demonstrate that rice PHS1 and DPE1 assemble into a multimeric complex. Cryo-EM structures of the PHS1-DPE1 complex reveal an assembly mechanism and suggest a potential substrate tunnel. Biochemical assays show the complex dramatically enhances catalytic efficiency over individual enzymes. Single-molecule fluorescence resonance energy transfer (smFRET) visualizes conformational dynamics, enabling rapid substrate transfer between the enzymes. We further identify the unique L80 loop in PHS1 as a potential regulator. Its deletion reduces catalytic efficiency and prolongs conformational state lifetimes during substrate transfer, thereby reducing the production of longer MOSs. Our findings establish that the PHS1-DPE1 complex facilitates efficient MOS primer synthesis through efficient substrate transfer or diffusion between the two enzymes, providing mechanistic insight into a critical step of starch biosynthesis with agronomic implications.</w:t>
      </w:r>
    </w:p>
    <w:p>
      <w:pPr>
        <w:spacing w:before="120" w:after="120"/>
      </w:pPr>
      <w:r>
        <w:rPr>
          <w:sz w:val="18"/>
        </w:rPr>
        <w:t>——————————————————————————————————————————————————————————————————————</w:t>
      </w:r>
    </w:p>
    <w:p>
      <w:pPr>
        <w:spacing w:before="160" w:after="40" w:line="240" w:lineRule="auto"/>
      </w:pPr>
      <w:r>
        <w:rPr>
          <w:b/>
        </w:rPr>
        <w:t xml:space="preserve">[32] </w:t>
      </w:r>
      <w:hyperlink r:id="rId210">
        <w:r>
          <w:rPr>
            <w:color w:val="1155CC"/>
            <w:u w:val="single"/>
          </w:rPr>
          <w:t>寒冷气候下离网工业建筑的绿色能源框架和展望</w:t>
        </w:r>
      </w:hyperlink>
    </w:p>
    <w:p>
      <w:pPr>
        <w:spacing w:before="0" w:after="80"/>
      </w:pPr>
      <w:r>
        <w:rPr>
          <w:i/>
          <w:sz w:val="20"/>
        </w:rPr>
        <w:t>EN: A green energy framework and perspectives for off-grid industrial buildings in cold climates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11">
        <w:r>
          <w:rPr>
            <w:color w:val="1155CC"/>
            <w:u w:val="single"/>
          </w:rPr>
          <w:t>一种两阶段AI驱动的模式挖掘方法，用于高效电力系统拓扑分析</w:t>
        </w:r>
      </w:hyperlink>
    </w:p>
    <w:p>
      <w:pPr>
        <w:spacing w:before="0" w:after="80"/>
      </w:pPr>
      <w:r>
        <w:rPr>
          <w:i/>
          <w:sz w:val="20"/>
        </w:rPr>
        <w:t>EN: A two-stage AI-powered motif mining method for efficient power system topological analysis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12">
        <w:r>
          <w:rPr>
            <w:color w:val="1155CC"/>
            <w:u w:val="single"/>
          </w:rPr>
          <w:t>区域供热和制冷系统灵活性评估框架</w:t>
        </w:r>
      </w:hyperlink>
    </w:p>
    <w:p>
      <w:pPr>
        <w:spacing w:before="0" w:after="80"/>
      </w:pPr>
      <w:r>
        <w:rPr>
          <w:i/>
          <w:sz w:val="20"/>
        </w:rPr>
        <w:t>EN: A framework for flexibility assessment of district heating and cooling systems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213">
        <w:r>
          <w:rPr>
            <w:color w:val="1155CC"/>
            <w:u w:val="single"/>
          </w:rPr>
          <w:t>生活方式依赖的进化和CtrA介导的生活方式转变塑造海洋玫瑰杆菌中的噬菌体抗性</w:t>
        </w:r>
      </w:hyperlink>
    </w:p>
    <w:p>
      <w:pPr>
        <w:spacing w:before="0" w:after="80"/>
      </w:pPr>
      <w:r>
        <w:rPr>
          <w:i/>
          <w:sz w:val="20"/>
        </w:rPr>
        <w:t>EN: Lifestyle-dependent evolution and CtrA-mediated lifestyle transitions shape phage resistance in marine Roseobacter</w:t>
      </w:r>
    </w:p>
    <w:p>
      <w:pPr>
        <w:spacing w:before="0" w:after="120"/>
      </w:pPr>
      <w:r>
        <w:rPr>
          <w:b/>
        </w:rPr>
        <w:t xml:space="preserve">Source: </w:t>
      </w:r>
      <w:r>
        <w:t>Nature Communications</w:t>
      </w:r>
      <w:r>
        <w:t xml:space="preserve">    </w:t>
      </w:r>
      <w:r>
        <w:rPr>
          <w:b/>
        </w:rPr>
        <w:t xml:space="preserve">Pub date: </w:t>
      </w:r>
      <w:r>
        <w:t>2026-05-03 00:00:00+00:00</w:t>
      </w:r>
      <w:r>
        <w:t xml:space="preserve">    </w:t>
      </w:r>
      <w:r>
        <w:rPr>
          <w:b/>
        </w:rPr>
        <w:t xml:space="preserve">DOI: </w:t>
      </w:r>
      <w:hyperlink r:id="rId214">
        <w:r>
          <w:rPr>
            <w:color w:val="1155CC"/>
            <w:u w:val="single"/>
          </w:rPr>
          <w:t>10.1038/s41467-026-72596-1</w:t>
        </w:r>
      </w:hyperlink>
    </w:p>
    <w:p>
      <w:pPr>
        <w:spacing w:before="0" w:after="120"/>
      </w:pPr>
      <w:r>
        <w:rPr>
          <w:b/>
        </w:rPr>
        <w:t xml:space="preserve">Notes: </w:t>
      </w:r>
      <w:r>
        <w:t>abstract_source=nature_html</w:t>
      </w:r>
    </w:p>
    <w:p>
      <w:pPr>
        <w:spacing w:before="0" w:after="80" w:lineRule="auto" w:line="276"/>
      </w:pPr>
      <w:r>
        <w:rPr>
          <w:b/>
        </w:rPr>
        <w:t xml:space="preserve">摘要（ZH）: </w:t>
      </w:r>
      <w:r>
        <w:t>海洋细菌在浮游和附着于表面的生活方式之间交替，面临持续的噬菌体捕食。然而，这些生活方式如何塑造抗性进化仍然知之甚少。使用Roseobacter模型菌株，我们证明了附着于表面的种群在溶菌噬菌体感染期间表现出比浮游种群高26倍的生存能力。这种优势通过异质亚群的进化而出现，这些亚群表现出多样的抗性表型，而浮游种群中不存在这种模式。对139个可遗传的噬菌体抗性突变体的全基因组测序揭示了根本不同的突变模式，浮游种群主要携带串联重复突变，而附着于表面的种群则偏向非编码突变。尽管如此，两种生活方式独立地在CtrA磷酸中继系统中趋同突变，识别CtrA作为噬菌体驱动选择的一个先前未被认识的进化目标，并触发浮游到附着于表面的转换。进一步分析揭示了运动基因的系统性下调和生物膜形成的增强，机制上将噬菌体抗性与生活方式转换联系起来。识别出的CtrA突变发生在生态上重要的海洋α-变形菌（红杆菌目）中高度保守的区域，这些菌已知在浮游和附着于表面状态之间切换，表明生活方式依赖的进化轨迹可能广泛地塑造海洋生态系统中的噬菌体抗性。</w:t>
      </w:r>
    </w:p>
    <w:p>
      <w:pPr>
        <w:spacing w:before="0" w:after="200" w:lineRule="auto" w:line="276"/>
      </w:pPr>
      <w:r>
        <w:rPr>
          <w:b/>
        </w:rPr>
        <w:t xml:space="preserve">Abstract (EN): </w:t>
      </w:r>
      <w:r>
        <w:t>Marine bacteria alternate between planktonic and surface-attached lifestyles, facing continuous phage predation. However, how these lifestyles shape resistance evolution remains poorly understood. Using a Roseobacter model strain, we demonstrate that surface-attached populations exhibit 26-fold higher survivability than planktonic counterparts during lytic phage infection. This advantage emerges through the evolution of heterogeneous subpopulations exhibiting diverse resistance phenotypes, a pattern absent in planktonic populations. Whole-genome sequencing of 139 heritable phage-resistant mutants revealed fundamentally divergent mutational patterns, with planktonic populations predominantly harboring tandem repeat mutations, whereas surface-attached populations favor non-coding mutations. Despite this, both lifestyles independently converged on mutations in the CtrA phosphorelay system, identifying CtrA as a previously unrecognized evolutionary target of phage-driven selection and triggering planktonic-to-surface-attached switch. Further analyses revealed systematic downregulation of motility genes and enhancement of biofilm formation, mechanistically linking phage resistance to lifestyle transitions. The identified CtrA mutations occur in regions highly conserved across ecologically important marine Alphaproteobacteria (Rhodobacterales) that are known to switch between planktonic and surface-attached states, suggesting lifestyle-dependent evolutionary trajectories may broadly shape phage resistance in marine ecosystems.</w:t>
      </w:r>
    </w:p>
    <w:p>
      <w:pPr>
        <w:spacing w:before="120" w:after="120"/>
      </w:pPr>
      <w:r>
        <w:rPr>
          <w:sz w:val="18"/>
        </w:rPr>
        <w:t>——————————————————————————————————————————————————————————————————————</w:t>
      </w:r>
    </w:p>
    <w:p>
      <w:pPr>
        <w:spacing w:before="160" w:after="40" w:line="240" w:lineRule="auto"/>
      </w:pPr>
      <w:r>
        <w:rPr>
          <w:b/>
        </w:rPr>
        <w:t xml:space="preserve">[36] </w:t>
      </w:r>
      <w:hyperlink r:id="rId215">
        <w:r>
          <w:rPr>
            <w:color w:val="1155CC"/>
            <w:u w:val="single"/>
          </w:rPr>
          <w:t>通过细粒度电力数据和气象归一化NO2场增强近实时网格碳排放估算</w:t>
        </w:r>
      </w:hyperlink>
    </w:p>
    <w:p>
      <w:pPr>
        <w:spacing w:before="0" w:after="80"/>
      </w:pPr>
      <w:r>
        <w:rPr>
          <w:i/>
          <w:sz w:val="20"/>
        </w:rPr>
        <w:t>EN: Enhancing near-real-time gridded carbon emissions estimation with fine-granular electricity data and meteorologically normalized NO2 fields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216">
        <w:r>
          <w:rPr>
            <w:color w:val="1155CC"/>
            <w:u w:val="single"/>
          </w:rPr>
          <w:t>地缘政治风险与能源转型：欧洲的金融和区域相互依赖性</w:t>
        </w:r>
      </w:hyperlink>
    </w:p>
    <w:p>
      <w:pPr>
        <w:spacing w:before="0" w:after="80"/>
      </w:pPr>
      <w:r>
        <w:rPr>
          <w:i/>
          <w:sz w:val="20"/>
        </w:rPr>
        <w:t>EN: Geopolitical risk and energy transition: Financial and regional interdependencies in Europe</w:t>
      </w:r>
    </w:p>
    <w:p>
      <w:pPr>
        <w:spacing w:before="0" w:after="120"/>
      </w:pPr>
      <w:r>
        <w:rPr>
          <w:b/>
        </w:rPr>
        <w:t xml:space="preserve">Source: </w:t>
      </w:r>
      <w:r>
        <w:t>ScienceDirect Publication: Energy Policy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217">
        <w:r>
          <w:rPr>
            <w:color w:val="1155CC"/>
            <w:u w:val="single"/>
          </w:rPr>
          <w:t>快速且公正的太阳能转型的治理挑战</w:t>
        </w:r>
      </w:hyperlink>
    </w:p>
    <w:p>
      <w:pPr>
        <w:spacing w:before="0" w:after="80"/>
      </w:pPr>
      <w:r>
        <w:rPr>
          <w:i/>
          <w:sz w:val="20"/>
        </w:rPr>
        <w:t>EN: Governance challenges for a rapid and just solar energy transition</w:t>
      </w:r>
    </w:p>
    <w:p>
      <w:pPr>
        <w:spacing w:before="0" w:after="120"/>
      </w:pPr>
      <w:r>
        <w:rPr>
          <w:b/>
        </w:rPr>
        <w:t xml:space="preserve">Source: </w:t>
      </w:r>
      <w:r>
        <w:t>ScienceDirect Publication: Energy Policy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18">
        <w:r>
          <w:rPr>
            <w:color w:val="1155CC"/>
            <w:u w:val="single"/>
          </w:rPr>
          <w:t>用于治疗骨质疏松性骨折的镁植入物智能响应润湿性开关涂层</w:t>
        </w:r>
      </w:hyperlink>
    </w:p>
    <w:p>
      <w:pPr>
        <w:spacing w:before="0" w:after="80"/>
      </w:pPr>
      <w:r>
        <w:rPr>
          <w:i/>
          <w:sz w:val="20"/>
        </w:rPr>
        <w:t>EN: Intelligence-responsive wettability switch coating on magnesium implants for treating osteoporotic fracture</w:t>
      </w:r>
    </w:p>
    <w:p>
      <w:pPr>
        <w:spacing w:before="0" w:after="120"/>
      </w:pPr>
      <w:r>
        <w:rPr>
          <w:b/>
        </w:rPr>
        <w:t xml:space="preserve">Source: </w:t>
      </w:r>
      <w:r>
        <w:t>Nature Communications</w:t>
      </w:r>
      <w:r>
        <w:t xml:space="preserve">    </w:t>
      </w:r>
      <w:r>
        <w:rPr>
          <w:b/>
        </w:rPr>
        <w:t xml:space="preserve">Pub date: </w:t>
      </w:r>
      <w:r>
        <w:t>2026-05-03 00:00:00+00:00</w:t>
      </w:r>
      <w:r>
        <w:t xml:space="preserve">    </w:t>
      </w:r>
      <w:r>
        <w:rPr>
          <w:b/>
        </w:rPr>
        <w:t xml:space="preserve">DOI: </w:t>
      </w:r>
      <w:hyperlink r:id="rId219">
        <w:r>
          <w:rPr>
            <w:color w:val="1155CC"/>
            <w:u w:val="single"/>
          </w:rPr>
          <w:t>10.1038/s41467-026-72683-3</w:t>
        </w:r>
      </w:hyperlink>
    </w:p>
    <w:p>
      <w:pPr>
        <w:spacing w:before="0" w:after="120"/>
      </w:pPr>
      <w:r>
        <w:rPr>
          <w:b/>
        </w:rPr>
        <w:t xml:space="preserve">Notes: </w:t>
      </w:r>
      <w:r>
        <w:t>abstract_source=nature_html</w:t>
      </w:r>
    </w:p>
    <w:p>
      <w:pPr>
        <w:spacing w:before="0" w:after="80" w:lineRule="auto" w:line="276"/>
      </w:pPr>
      <w:r>
        <w:rPr>
          <w:b/>
        </w:rPr>
        <w:t xml:space="preserve">摘要（ZH）: </w:t>
      </w:r>
      <w:r>
        <w:t>骨质疏松性骨折愈合常常因活性氧水平升高和骨稳态破坏而复杂化。可生物降解的镁合金是有前景的骨科植入物，但在氧化、酸性骨质疏松微环境中的快速降解限制了其临床应用。在这项研究中，我们通过金属-酚网络开发了一种响应活性氧的鞣酸和明胶甲基丙烯酰基的水凝胶涂层在镁植入物上。我们表明，这种牢固附着的涂层显著减缓了镁的降解，同时按需清除活性氧。在骨质疏松大鼠模型中，我们证明涂层植入物有效减少氧化应激并促进骨愈合。机制上，单细胞转录组学揭示涂层激活了骨髓间充质基质细胞和骨髓来源的巨噬细胞中的核因子红细胞2相关因子2信号通路，增强成骨作用同时抑制破骨作用。因此，这种多功能涂层提供了腐蚀保护和一种针对性的治疗方法，以在氧化应激下增强骨质疏松性骨折愈合。</w:t>
      </w:r>
    </w:p>
    <w:p>
      <w:pPr>
        <w:spacing w:before="0" w:after="200" w:lineRule="auto" w:line="276"/>
      </w:pPr>
      <w:r>
        <w:rPr>
          <w:b/>
        </w:rPr>
        <w:t xml:space="preserve">Abstract (EN): </w:t>
      </w:r>
      <w:r>
        <w:t>Osteoporotic fracture healing is frequently complicated by elevated levels of reactive oxygen species and disrupted bone homeostasis. Biodegradable magnesium alloys are promising orthopedic implants, but rapid degradation in oxidative, acidic osteoporotic microenvironments limits their clinical application. In this study, we develop a reactive oxygen species-responsive hydrogel coating of tannic acid and gelatin methacryloyl on magnesium implants via a metal-phenolic network. We show that this firmly adhering coating significantly decelerates magnesium degradation while scavenging reactive oxygen species on demand. In osteoporotic rat models, we demonstrate that coated implants effectively reduce oxidative stress and facilitate bone healing. Mechanistically, single-cell transcriptomics reveals that the coating activates the nuclear factor erythroid 2-related factor 2 signaling pathway in bone marrow mesenchymal stromal cells and bone marrow-derived macrophages, enhancing osteogenesis while inhibiting osteoclastogenesis. Consequently, this multifunctional coating provides corrosion protection and a targeted therapeutic approach to enhance osteoporotic fracture healing under oxidative stress.</w:t>
      </w:r>
    </w:p>
    <w:p>
      <w:pPr>
        <w:spacing w:before="120" w:after="120"/>
      </w:pPr>
      <w:r>
        <w:rPr>
          <w:sz w:val="18"/>
        </w:rPr>
        <w:t>——————————————————————————————————————————————————————————————————————</w:t>
      </w:r>
    </w:p>
    <w:p>
      <w:pPr>
        <w:spacing w:before="160" w:after="40" w:line="240" w:lineRule="auto"/>
      </w:pPr>
      <w:r>
        <w:rPr>
          <w:b/>
        </w:rPr>
        <w:t xml:space="preserve">[40] </w:t>
      </w:r>
      <w:hyperlink r:id="rId220">
        <w:r>
          <w:rPr>
            <w:color w:val="1155CC"/>
            <w:u w:val="single"/>
          </w:rPr>
          <w:t>通过控制共同设计推进风力涡轮机：综合评述</w:t>
        </w:r>
      </w:hyperlink>
    </w:p>
    <w:p>
      <w:pPr>
        <w:spacing w:before="0" w:after="80"/>
      </w:pPr>
      <w:r>
        <w:rPr>
          <w:i/>
          <w:sz w:val="20"/>
        </w:rPr>
        <w:t>EN: Advancing wind turbines through control co-design: An integrative review</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21">
        <w:r>
          <w:rPr>
            <w:color w:val="1155CC"/>
            <w:u w:val="single"/>
          </w:rPr>
          <w:t>基于激励的自动化市场做市商批量拍卖机制，用于具有损耗分配的网络感知本地能源市场</w:t>
        </w:r>
      </w:hyperlink>
    </w:p>
    <w:p>
      <w:pPr>
        <w:spacing w:before="0" w:after="80"/>
      </w:pPr>
      <w:r>
        <w:rPr>
          <w:i/>
          <w:sz w:val="20"/>
        </w:rPr>
        <w:t>EN: An incentivized automated market maker-based batch auction mechanism for network-aware local energy markets with loss allocation</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22">
        <w:r>
          <w:rPr>
            <w:color w:val="1155CC"/>
            <w:u w:val="single"/>
          </w:rPr>
          <w:t>使用三维非等温多物理模型在不同冷启动策略下对大面积PEM燃料电池的面积效应和空间不均匀性的综合分析</w:t>
        </w:r>
      </w:hyperlink>
    </w:p>
    <w:p>
      <w:pPr>
        <w:spacing w:before="0" w:after="80"/>
      </w:pPr>
      <w:r>
        <w:rPr>
          <w:i/>
          <w:sz w:val="20"/>
        </w:rPr>
        <w:t>EN: Comprehensive analysis of area effects and spatial non uniformity in a large area PEM fuel cell under different cold start strategies using a three dimensional non isothermal multi physics model</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23">
        <w:r>
          <w:rPr>
            <w:color w:val="1155CC"/>
            <w:u w:val="single"/>
          </w:rPr>
          <w:t>双极膜电渗析器作为灵活的需求响应资源：成本节约和产品形成的协同优化</w:t>
        </w:r>
      </w:hyperlink>
    </w:p>
    <w:p>
      <w:pPr>
        <w:spacing w:before="0" w:after="80"/>
      </w:pPr>
      <w:r>
        <w:rPr>
          <w:i/>
          <w:sz w:val="20"/>
        </w:rPr>
        <w:t>EN: Bipolar membrane electrodialyzers as flexible demand response resources: Co-optimization of cost savings and product formation</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24">
        <w:r>
          <w:rPr>
            <w:color w:val="1155CC"/>
            <w:u w:val="single"/>
          </w:rPr>
          <w:t>考虑多重不确定性的加氢站动态价格决策模型研究</w:t>
        </w:r>
      </w:hyperlink>
    </w:p>
    <w:p>
      <w:pPr>
        <w:spacing w:before="0" w:after="80"/>
      </w:pPr>
      <w:r>
        <w:rPr>
          <w:i/>
          <w:sz w:val="20"/>
        </w:rPr>
        <w:t>EN: Research on the dynamic price decision model of hydrogen refueling stations considering multiple uncertainties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25">
        <w:r>
          <w:rPr>
            <w:color w:val="1155CC"/>
            <w:u w:val="single"/>
          </w:rPr>
          <w:t>迈向智能和弹性微电网：可再生能源集成的机器学习方法综述</w:t>
        </w:r>
      </w:hyperlink>
    </w:p>
    <w:p>
      <w:pPr>
        <w:spacing w:before="0" w:after="80"/>
      </w:pPr>
      <w:r>
        <w:rPr>
          <w:i/>
          <w:sz w:val="20"/>
        </w:rPr>
        <w:t>EN: Toward intelligent and resilient microgrids: A survey of machine learning approaches for renewable energy integration</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26">
        <w:r>
          <w:rPr>
            <w:color w:val="1155CC"/>
            <w:u w:val="single"/>
          </w:rPr>
          <w:t>多区域异步电网的最优备用共享的频率约束调度</w:t>
        </w:r>
      </w:hyperlink>
    </w:p>
    <w:p>
      <w:pPr>
        <w:spacing w:before="0" w:after="80"/>
      </w:pPr>
      <w:r>
        <w:rPr>
          <w:i/>
          <w:sz w:val="20"/>
        </w:rPr>
        <w:t>EN: Frequency constrained scheduling for optimal reserve sharing of multi-area asynchronous grids</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27">
        <w:r>
          <w:rPr>
            <w:color w:val="1155CC"/>
            <w:u w:val="single"/>
          </w:rPr>
          <w:t>通过选择性策略共享多智能体强化学习算法实现家庭电池储能的偏好对齐价值叠加</w:t>
        </w:r>
      </w:hyperlink>
    </w:p>
    <w:p>
      <w:pPr>
        <w:spacing w:before="0" w:after="80"/>
      </w:pPr>
      <w:r>
        <w:rPr>
          <w:i/>
          <w:sz w:val="20"/>
        </w:rPr>
        <w:t>EN: Preference-aligned value stacking for household battery storage via a selective policy sharing multi-agent reinforcement learning algorithm</w:t>
      </w:r>
    </w:p>
    <w:p>
      <w:pPr>
        <w:spacing w:before="0" w:after="120"/>
      </w:pPr>
      <w:r>
        <w:rPr>
          <w:b/>
        </w:rPr>
        <w:t xml:space="preserve">Source: </w:t>
      </w:r>
      <w:r>
        <w:t>ScienceDirect Publication: Applied Energy</w:t>
      </w:r>
      <w:r>
        <w:t xml:space="preserve">    </w:t>
      </w:r>
      <w:r>
        <w:rPr>
          <w:b/>
        </w:rPr>
        <w:t xml:space="preserve">Pub date: </w:t>
      </w:r>
      <w:r>
        <w:t>2026-05-03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28">
        <w:r>
          <w:rPr>
            <w:color w:val="1155CC"/>
            <w:u w:val="single"/>
          </w:rPr>
          <w:t>共轭炔烃的醇引导氨基化反应</w:t>
        </w:r>
      </w:hyperlink>
    </w:p>
    <w:p>
      <w:pPr>
        <w:spacing w:before="0" w:after="80"/>
      </w:pPr>
      <w:r>
        <w:rPr>
          <w:i/>
          <w:sz w:val="20"/>
        </w:rPr>
        <w:t>EN: Alcohol‐Directed Carboamination of Conjugated Enynes</w:t>
      </w:r>
    </w:p>
    <w:p>
      <w:pPr>
        <w:spacing w:before="0" w:after="120"/>
      </w:pPr>
      <w:r>
        <w:rPr>
          <w:b/>
        </w:rPr>
        <w:t xml:space="preserve">Source: </w:t>
      </w:r>
      <w:r>
        <w:t>Wiley: Angewandte Chemie International Edition: Table of Contents</w:t>
      </w:r>
      <w:r>
        <w:t xml:space="preserve">    </w:t>
      </w:r>
      <w:r>
        <w:rPr>
          <w:b/>
        </w:rPr>
        <w:t xml:space="preserve">Pub date: </w:t>
      </w:r>
      <w:r>
        <w:t>2026-05-03 04:57:05+00:00</w:t>
      </w:r>
      <w:r>
        <w:t xml:space="preserve">    </w:t>
      </w:r>
      <w:r>
        <w:rPr>
          <w:b/>
        </w:rPr>
        <w:t xml:space="preserve">DOI: </w:t>
      </w:r>
      <w:hyperlink r:id="rId229">
        <w:r>
          <w:rPr>
            <w:color w:val="1155CC"/>
            <w:u w:val="single"/>
          </w:rPr>
          <w:t>10.1002/anie.6963888</w:t>
        </w:r>
      </w:hyperlink>
    </w:p>
    <w:p>
      <w:pPr>
        <w:spacing w:before="0" w:after="120"/>
      </w:pPr>
      <w:r>
        <w:rPr>
          <w:b/>
        </w:rPr>
        <w:t xml:space="preserve">Notes: </w:t>
      </w:r>
      <w:r>
        <w:t>abstract_source=pubmed</w:t>
      </w:r>
    </w:p>
    <w:p>
      <w:pPr>
        <w:spacing w:before="0" w:after="80" w:lineRule="auto" w:line="276"/>
      </w:pPr>
      <w:r>
        <w:rPr>
          <w:b/>
        </w:rPr>
        <w:t xml:space="preserve">摘要（ZH）: </w:t>
      </w:r>
      <w:r>
        <w:t>我们报道了一种钯催化的共轭炔烃的碳胺化反应，用于直接合成功能化的烯胺。该反应通过苯胺和芳基三氟甲磺酸酯与炔烃的选择性1,4-偶联进行，利用游离醇作为天然导向基团。获得的烯烃经历多种转化，包括环化成二氢吡喃、氢胺化和串联碳胺化序列。值得注意的是，使用伯苯胺可以进行第二次碳胺化，通过与两个不同的芳基三氟甲磺酸酯形成双C-N键，生成多功能化的3-吡咯啉杂环。该转化代表了一种通过连续碳胺化事件进行烯烃合成和杂环构建的新方法。</w:t>
      </w:r>
    </w:p>
    <w:p>
      <w:pPr>
        <w:spacing w:before="0" w:after="200" w:lineRule="auto" w:line="276"/>
      </w:pPr>
      <w:r>
        <w:rPr>
          <w:b/>
        </w:rPr>
        <w:t xml:space="preserve">Abstract (EN): </w:t>
      </w:r>
      <w:r>
        <w:t>We report a Pd-catalyzed carboamination of conjugated enynes for the direct synthesis of functionalized allenic amines. The reaction proceeds through a selective 1,4-coupling of anilines and aryl triflates with enynes, utilizing a free alcohol as a native directing group. The obtained allenes undergo versatile transformations, including cyclization to dihydropyrans, hydroamination, and tandem carboamination sequences. Notably, the use of primary anilines enables a second carboamination to generate multifunctionalized 3-pyrroline heterocycles through dual C-N bond formation with two distinct aryl triflates. The transformation represents a novel approach to allene synthesis and heterocycle construction through sequential carboamination events.</w:t>
      </w:r>
    </w:p>
    <w:p>
      <w:pPr>
        <w:spacing w:before="120" w:after="120"/>
      </w:pPr>
      <w:r>
        <w:rPr>
          <w:sz w:val="18"/>
        </w:rPr>
        <w:t>——————————————————————————————————————————————————————————————————————</w:t>
      </w:r>
    </w:p>
    <w:p>
      <w:pPr>
        <w:spacing w:before="160" w:after="40" w:line="240" w:lineRule="auto"/>
      </w:pPr>
      <w:r>
        <w:rPr>
          <w:b/>
        </w:rPr>
        <w:t xml:space="preserve">[49] </w:t>
      </w:r>
      <w:hyperlink r:id="rId230">
        <w:r>
          <w:rPr>
            <w:color w:val="1155CC"/>
            <w:u w:val="single"/>
          </w:rPr>
          <w:t>具有二维孔的超稳定氢键有机框架用于快速吸附动力学和高效Xe/Kr分离</w:t>
        </w:r>
      </w:hyperlink>
    </w:p>
    <w:p>
      <w:pPr>
        <w:spacing w:before="0" w:after="80"/>
      </w:pPr>
      <w:r>
        <w:rPr>
          <w:i/>
          <w:sz w:val="20"/>
        </w:rPr>
        <w:t>EN: An Ultrastable Hydrogen‐Bonded Organic Framework With Two‐Dimensional Pores for Rapid Adsorption Kinetics and Efficient Xe/Kr Separation</w:t>
      </w:r>
    </w:p>
    <w:p>
      <w:pPr>
        <w:spacing w:before="0" w:after="120"/>
      </w:pPr>
      <w:r>
        <w:rPr>
          <w:b/>
        </w:rPr>
        <w:t xml:space="preserve">Source: </w:t>
      </w:r>
      <w:r>
        <w:t>Wiley: Angewandte Chemie International Edition: Table of Contents</w:t>
      </w:r>
      <w:r>
        <w:t xml:space="preserve">    </w:t>
      </w:r>
      <w:r>
        <w:rPr>
          <w:b/>
        </w:rPr>
        <w:t xml:space="preserve">Pub date: </w:t>
      </w:r>
      <w:r>
        <w:t>2026-05-03 04:57:18+00:00</w:t>
      </w:r>
      <w:r>
        <w:t xml:space="preserve">    </w:t>
      </w:r>
      <w:r>
        <w:rPr>
          <w:b/>
        </w:rPr>
        <w:t xml:space="preserve">DOI: </w:t>
      </w:r>
      <w:hyperlink r:id="rId231">
        <w:r>
          <w:rPr>
            <w:color w:val="1155CC"/>
            <w:u w:val="single"/>
          </w:rPr>
          <w:t>10.1002/anie.4151188</w:t>
        </w:r>
      </w:hyperlink>
    </w:p>
    <w:p>
      <w:pPr>
        <w:spacing w:before="0" w:after="120"/>
      </w:pPr>
      <w:r>
        <w:rPr>
          <w:b/>
        </w:rPr>
        <w:t xml:space="preserve">Notes: </w:t>
      </w:r>
      <w:r>
        <w:t>abstract_source=pubmed</w:t>
      </w:r>
    </w:p>
    <w:p>
      <w:pPr>
        <w:spacing w:before="0" w:after="80" w:lineRule="auto" w:line="276"/>
      </w:pPr>
      <w:r>
        <w:rPr>
          <w:b/>
        </w:rPr>
        <w:t xml:space="preserve">摘要（ZH）: </w:t>
      </w:r>
      <w:r>
        <w:t>开发用于高效Xe/Kr分离的氢键有机框架（HOFs）是生产高纯度稀有气体的有吸引力的替代方案。然而，其实际应用受到结合位点不足和固有的吸附动力学缓慢的阻碍。我们在此报告了一种微孔HOF（HOF-TBPDM），具有独特的二维（2D）和尺寸匹配的孔结构，使Xe的快速扩散和高效Xe/Kr分离成为可能。具体而言，HOF-TBPDM在298 K和1 bar下实现了高Xe吸附量和创纪录的Xe/Kr IAST选择性（26.9）。特别是，动力学吸附结果证实2D孔导致了Xe的快速扩散速率。动态突破实验表明，在一次分离操作循环后，可以直接获得4.8 mol kg-1高纯度Kr（&gt;99.99%）和1.0 mol kg-1 Xe（&gt;99.9%）。从解吸过程计算的动态选择性高达16.5，超过了所有已报道的多孔有机材料。气体负载晶体数据结合分子建模清楚地揭示了HOF-TBPDM内的尺寸匹配孔对Xe比Kr产生更强的极化效应，导致优先结合Xe分子。总体而言，这项研究展示了HOFs中2D孔在平衡热力学吸附和动力学扩散方面的有效性，为先进的Xe/Kr分离提供了一种可行的策略。</w:t>
      </w:r>
    </w:p>
    <w:p>
      <w:pPr>
        <w:spacing w:before="0" w:after="200" w:lineRule="auto" w:line="276"/>
      </w:pPr>
      <w:r>
        <w:rPr>
          <w:b/>
        </w:rPr>
        <w:t xml:space="preserve">Abstract (EN): </w:t>
      </w:r>
      <w:r>
        <w:t>Developing hydrogen-bonded organic frameworks (HOFs) for highly efficient Xe/Kr separation is an attractive alternative for producing high-purity noble gases. However, its practical application is hampered by insufficient binding sites and intrinsically slow adsorption kinetics. We herein report a microporous HOF (HOF-TBPDM) featuring the unique two-dimensional (2D) and size-matched pore architecture, which enables the rapid diffusion of Xe and high-efficiency Xe/Kr separation. Specifically, HOF-TBPDM achieves a high Xe uptake and a record Xe/Kr IAST selectivity (26.9) at 298 K and 1 bar. Especially, the kinetic adsorption results confirm the 2D pores lead to the rapid Xe diffusion rate. Dynamic breakthrough experiments indicate that after one cycle of separation operation 4.8 mol kg-1 high-purity Kr (&gt;99.99%) and 1.0 mol kg-1 Xe (&gt;99.9%) can be directly obtained. The dynamic selectivity calculated from desorption process is as high as 16.5, which exceeds all the reported porous organic materials. Gas-loaded crystal data combined with molecular modeling clearly reveal that the size-matched pores within HOF-TBPDM induce a stronger polarization effect on Xe than Kr, leading to preferential binding of Xe molecules. Overall, this study demonstrates the effectiveness of 2D pore in HOFs for balancing thermodynamic adsorption and kinetic diffusion, providing a viable strategy for advanced Xe/Kr separation.</w:t>
      </w:r>
    </w:p>
    <w:p>
      <w:pPr>
        <w:spacing w:before="120" w:after="120"/>
      </w:pPr>
      <w:r>
        <w:rPr>
          <w:sz w:val="18"/>
        </w:rPr>
        <w:t>——————————————————————————————————————————————————————————————————————</w:t>
      </w:r>
    </w:p>
    <w:p>
      <w:pPr>
        <w:spacing w:before="160" w:after="40" w:line="240" w:lineRule="auto"/>
      </w:pPr>
      <w:r>
        <w:rPr>
          <w:b/>
        </w:rPr>
        <w:t xml:space="preserve">[50] </w:t>
      </w:r>
      <w:hyperlink r:id="rId232">
        <w:r>
          <w:rPr>
            <w:color w:val="1155CC"/>
            <w:u w:val="single"/>
          </w:rPr>
          <w:t>不对称Fe–Te对通过表面结合羟基自由基途径增强过氧单硫酸盐活化</w:t>
        </w:r>
      </w:hyperlink>
    </w:p>
    <w:p>
      <w:pPr>
        <w:spacing w:before="0" w:after="80"/>
      </w:pPr>
      <w:r>
        <w:rPr>
          <w:i/>
          <w:sz w:val="20"/>
        </w:rPr>
        <w:t>EN: Asymmetric Fe–Te Pairs Enhance Peroxymonosulfate Activation via Surface‐Bound Hydroxyl Radicals Pathways</w:t>
      </w:r>
    </w:p>
    <w:p>
      <w:pPr>
        <w:spacing w:before="0" w:after="120"/>
      </w:pPr>
      <w:r>
        <w:rPr>
          <w:b/>
        </w:rPr>
        <w:t xml:space="preserve">Source: </w:t>
      </w:r>
      <w:r>
        <w:t>Wiley: Angewandte Chemie International Edition: Table of Contents</w:t>
      </w:r>
      <w:r>
        <w:t xml:space="preserve">    </w:t>
      </w:r>
      <w:r>
        <w:rPr>
          <w:b/>
        </w:rPr>
        <w:t xml:space="preserve">Pub date: </w:t>
      </w:r>
      <w:r>
        <w:t>2026-05-03 05:00:28+00:00</w:t>
      </w:r>
      <w:r>
        <w:t xml:space="preserve">    </w:t>
      </w:r>
      <w:r>
        <w:rPr>
          <w:b/>
        </w:rPr>
        <w:t xml:space="preserve">DOI: </w:t>
      </w:r>
      <w:hyperlink r:id="rId233">
        <w:r>
          <w:rPr>
            <w:color w:val="1155CC"/>
            <w:u w:val="single"/>
          </w:rPr>
          <w:t>10.1002/anie.3343591</w:t>
        </w:r>
      </w:hyperlink>
    </w:p>
    <w:p>
      <w:pPr>
        <w:spacing w:before="0" w:after="120"/>
      </w:pPr>
      <w:r>
        <w:rPr>
          <w:b/>
        </w:rPr>
        <w:t xml:space="preserve">Notes: </w:t>
      </w:r>
      <w:r>
        <w:t>abstract_source=pubmed</w:t>
      </w:r>
    </w:p>
    <w:p>
      <w:pPr>
        <w:spacing w:before="0" w:after="80" w:lineRule="auto" w:line="276"/>
      </w:pPr>
      <w:r>
        <w:rPr>
          <w:b/>
        </w:rPr>
        <w:t xml:space="preserve">摘要（ZH）: </w:t>
      </w:r>
      <w:r>
        <w:t>在原子尺度上控制过氧单硫酸盐（PMS）的活化对于引导活性氧（ROS）途径至关重要，但选择性地将PMS化学偏向界面自由基状态的设计原则仍然难以捉摸。在此，我们报告了一种不对称的Fe-Te双原子对（FeTe DAs/NC），其中p区类金属通过显著的p-d杂化电子调节Fe中心。这种原子不对称性重构了局部电子结构，加强了PMS的结合，并引导PMS活化生成和保持表面结合的羟基自由基。机制研究揭示表面结合的羟基自由基（•OH）为主要的ROS，而单线态氧（1O2）起次要作用。因此，FeTe DAs/NC在60分钟内实现了卡马西平的完全降解，显著优于Fe或Te单原子类似物，并在不同水基质和污染物系统中表现出优异的反应性和循环稳定性。这项工作确立了原子尺度的不对称性和金属-类金属p-d耦合作为引导PMS活化化学向长寿命界面自由基状态的有效策略。</w:t>
      </w:r>
    </w:p>
    <w:p>
      <w:pPr>
        <w:spacing w:before="0" w:after="200" w:lineRule="auto" w:line="276"/>
      </w:pPr>
      <w:r>
        <w:rPr>
          <w:b/>
        </w:rPr>
        <w:t xml:space="preserve">Abstract (EN): </w:t>
      </w:r>
      <w:r>
        <w:t>Controlling peroxymonosulfate (PMS) activation at the atomic scale is crucial for steering reactive oxygen species (ROS) pathways, yet design principles that selectively bias PMS chemistry toward interfacial radical states remain elusive. Herein, we report an asymmetric Fe-Te dual-atom pair (FeTe DAs/NC), in which a p-block metalloid electronically modulates an Fe center through pronounced p-d hybridization. This atomic asymmetry reconstructs the local electronic structure, strengthens PMS binding, and directs PMS activation toward the generation and retention of surface-bound hydroxyl radicals. Mechanistic studies reveal surface-bound hydroxyl radicals (•OH) as the dominant ROS, while singlet oxygen (1O2) plays a secondary role. As a result, FeTe DAs/NC achieves complete degradation of carbamazepine within 60 min, markedly outperforming Fe or Te single-atom analogs, together with excellent reactivity and cycling stability across different water matrices and pollutant systems. This work establishes atomic-scale asymmetry and metal-metalloid p-d coupling as an effective strategy for steering PMS activation chemistry toward long-lived interfacial radical states.</w:t>
      </w:r>
    </w:p>
    <w:p>
      <w:pPr>
        <w:spacing w:before="120" w:after="120"/>
      </w:pPr>
      <w:r>
        <w:rPr>
          <w:sz w:val="18"/>
        </w:rPr>
        <w:t>——————————————————————————————————————————————————————————————————————</w:t>
      </w:r>
    </w:p>
    <w:p>
      <w:pPr>
        <w:spacing w:before="160" w:after="40" w:line="240" w:lineRule="auto"/>
      </w:pPr>
      <w:r>
        <w:rPr>
          <w:b/>
        </w:rPr>
        <w:t xml:space="preserve">[51] </w:t>
      </w:r>
      <w:hyperlink r:id="rId234">
        <w:r>
          <w:rPr>
            <w:color w:val="1155CC"/>
            <w:u w:val="single"/>
          </w:rPr>
          <w:t>通过自适应N连接碳双层稳定高活性FeN5位点以实现稳定燃料电池</w:t>
        </w:r>
      </w:hyperlink>
    </w:p>
    <w:p>
      <w:pPr>
        <w:spacing w:before="0" w:after="80"/>
      </w:pPr>
      <w:r>
        <w:rPr>
          <w:i/>
          <w:sz w:val="20"/>
        </w:rPr>
        <w:t>EN: Stabilizing High‐Activity FeN5 Sites via an Adaptive N‐linked Carbon Bilayer for Stable Fuel Cells</w:t>
      </w:r>
    </w:p>
    <w:p>
      <w:pPr>
        <w:spacing w:before="0" w:after="120"/>
      </w:pPr>
      <w:r>
        <w:rPr>
          <w:b/>
        </w:rPr>
        <w:t xml:space="preserve">Source: </w:t>
      </w:r>
      <w:r>
        <w:t>Wiley: Angewandte Chemie International Edition: Table of Contents</w:t>
      </w:r>
      <w:r>
        <w:t xml:space="preserve">    </w:t>
      </w:r>
      <w:r>
        <w:rPr>
          <w:b/>
        </w:rPr>
        <w:t xml:space="preserve">Pub date: </w:t>
      </w:r>
      <w:r>
        <w:t>2026-05-03 05:01:08+00:00</w:t>
      </w:r>
      <w:r>
        <w:t xml:space="preserve">    </w:t>
      </w:r>
      <w:r>
        <w:rPr>
          <w:b/>
        </w:rPr>
        <w:t xml:space="preserve">DOI: </w:t>
      </w:r>
      <w:hyperlink r:id="rId235">
        <w:r>
          <w:rPr>
            <w:color w:val="1155CC"/>
            <w:u w:val="single"/>
          </w:rPr>
          <w:t>10.1002/anie.6494121</w:t>
        </w:r>
      </w:hyperlink>
    </w:p>
    <w:p>
      <w:pPr>
        <w:spacing w:before="0" w:after="120"/>
      </w:pPr>
      <w:r>
        <w:rPr>
          <w:b/>
        </w:rPr>
        <w:t xml:space="preserve">Notes: </w:t>
      </w:r>
      <w:r>
        <w:t>abstract_source=pubmed</w:t>
      </w:r>
    </w:p>
    <w:p>
      <w:pPr>
        <w:spacing w:before="0" w:after="80" w:lineRule="auto" w:line="276"/>
      </w:pPr>
      <w:r>
        <w:rPr>
          <w:b/>
        </w:rPr>
        <w:t xml:space="preserve">摘要（ZH）: </w:t>
      </w:r>
      <w:r>
        <w:t>Fe-N-C催化剂在质子交换膜燃料电池中的实际应用受到固有的活性-稳定性权衡的根本限制。在此，我们提出了一种“修复和升级”工程策略，不仅通过碳和氮补充修复热解引起的缺陷，还通过原位构建的碳双层将传统的FeN4基团演变为稳定的FeN5构型。轴向氮调节Fe中心的电子结构以增强催化活性，而N连接的碳双层的自适应层间距补偿催化过程中轴向Fe─N键长的波动，从而锚定Fe活性位点。当集成到膜电极组件中时，催化剂提供了1221 mW cm-2的高峰功率密度，并表现出卓越的耐久性，在H2-O2中经过10,000个循环后保持其初始功率密度的85%以上，并在H2-空气测试中在0.6 V下45小时内几乎没有衰减。这项工作提出了一种新颖的稳定单原子催化剂设计策略，重点在于创造一个自适应的局部环境，以确保卓越的电催化稳定性。</w:t>
      </w:r>
    </w:p>
    <w:p>
      <w:pPr>
        <w:spacing w:before="0" w:after="200" w:lineRule="auto" w:line="276"/>
      </w:pPr>
      <w:r>
        <w:rPr>
          <w:b/>
        </w:rPr>
        <w:t xml:space="preserve">Abstract (EN): </w:t>
      </w:r>
      <w:r>
        <w:t>The practical application of Fe-N-C catalysts in proton exchange membrane fuel cells is fundamentally constrained by the inherent activity-stability trade-off. Here, we propose a "repair-and-upgrade" engineering strategy that not only repairs pyrolysis-induced defects through carbon and nitrogen supplementation but also evolves conventional FeN4 moieties into stabilized FeN5 configurations via an in situ constructed carbon bilayer. The axial nitrogen modulates the electronic structure of Fe center to enhance catalytic activity, while the adaptive interlayer spacing of the N-linked carbon bilayer compensates for fluctuations in the axial Fe─N bond length during catalysis, therefore anchoring the Fe active sites. When integrated into membrane electrode assemblies, the catalyst delivers a high peak power density of 1221 mW cm-2 and exhibits exceptional durability, retaining over 85% of its initial power density after 10,000 cycles in H2-O2 and showing negligible decay over 45 h at 0.6 V in H2-air tests. This work presents a novel design strategy for stable single-atom catalysts, centered on creating an adaptive local environment that ensures exceptional electrocatalytic stability.</w:t>
      </w:r>
    </w:p>
    <w:p>
      <w:pPr>
        <w:spacing w:before="120" w:after="120"/>
      </w:pPr>
      <w:r>
        <w:rPr>
          <w:sz w:val="18"/>
        </w:rPr>
        <w:t>——————————————————————————————————————————————————————————————————————</w:t>
      </w:r>
    </w:p>
    <w:p>
      <w:pPr>
        <w:spacing w:before="160" w:after="40" w:line="240" w:lineRule="auto"/>
      </w:pPr>
      <w:r>
        <w:rPr>
          <w:b/>
        </w:rPr>
        <w:t xml:space="preserve">[52] </w:t>
      </w:r>
      <w:hyperlink r:id="rId236">
        <w:r>
          <w:rPr>
            <w:color w:val="1155CC"/>
            <w:u w:val="single"/>
          </w:rPr>
          <w:t>使用As,CC,As炔基钳形配体1,2-双(2-(二异丙基胂基)-4-(三氟甲基)苯基)乙炔强制C≡C三键的侧面π配位至锝</w:t>
        </w:r>
      </w:hyperlink>
    </w:p>
    <w:p>
      <w:pPr>
        <w:spacing w:before="0" w:after="80"/>
      </w:pPr>
      <w:r>
        <w:rPr>
          <w:i/>
          <w:sz w:val="20"/>
        </w:rPr>
        <w:t>EN: Forcing the Side‐on π‐Coordination of a C≡C Triple Bond to Technetium Using the As,CC,As Alkyne Pincer Ligand 1,2‐Bis(2‐(diisopropylarsaneyl)‐4‐(trifluoromethyl)phenyl)Ethyne</w:t>
      </w:r>
    </w:p>
    <w:p>
      <w:pPr>
        <w:spacing w:before="0" w:after="120"/>
      </w:pPr>
      <w:r>
        <w:rPr>
          <w:b/>
        </w:rPr>
        <w:t xml:space="preserve">Source: </w:t>
      </w:r>
      <w:r>
        <w:t>Wiley: Angewandte Chemie International Edition: Table of Contents</w:t>
      </w:r>
      <w:r>
        <w:t xml:space="preserve">    </w:t>
      </w:r>
      <w:r>
        <w:rPr>
          <w:b/>
        </w:rPr>
        <w:t xml:space="preserve">Pub date: </w:t>
      </w:r>
      <w:r>
        <w:t>2026-05-03 05:01:13+00:00</w:t>
      </w:r>
      <w:r>
        <w:t xml:space="preserve">    </w:t>
      </w:r>
      <w:r>
        <w:rPr>
          <w:b/>
        </w:rPr>
        <w:t xml:space="preserve">DOI: </w:t>
      </w:r>
      <w:hyperlink r:id="rId237">
        <w:r>
          <w:rPr>
            <w:color w:val="1155CC"/>
            <w:u w:val="single"/>
          </w:rPr>
          <w:t>10.1002/anie.6878935</w:t>
        </w:r>
      </w:hyperlink>
    </w:p>
    <w:p>
      <w:pPr>
        <w:spacing w:before="0" w:after="120"/>
      </w:pPr>
      <w:r>
        <w:rPr>
          <w:b/>
        </w:rPr>
        <w:t xml:space="preserve">Notes: </w:t>
      </w:r>
      <w:r>
        <w:t>abstract_source=pubmed</w:t>
      </w:r>
    </w:p>
    <w:p>
      <w:pPr>
        <w:spacing w:before="0" w:after="80" w:lineRule="auto" w:line="276"/>
      </w:pPr>
      <w:r>
        <w:rPr>
          <w:b/>
        </w:rPr>
        <w:t xml:space="preserve">摘要（ZH）: </w:t>
      </w:r>
      <w:r>
        <w:t>炔烃配合物在d区过渡金属中是已知的，除了放射性元素锝，尽管进行了大量的合成努力。DFT计算表明，这并不是过渡金属本身固有的，而是整体配体环境的结果。基于砷的甲苯炔配体1,2-双(2-(二异丙基砷基)-4-(三氟甲基)苯基)乙炔（Li Pr）通过配体设计强迫中心炔烃部分与金属配位。稳定的、结晶的Tc(III)和Tc(V)炔烃配合物mer-[TcIIICl3(κ4-As,CC,As-Li Pr)]、mer-[TcVNX2(κ4-As,CC,As-Li Pr)]（X = Cl, Br）和cis,trans,mer-[TcVN(CN)Cl(κ4-As, CC, As-Li Pr)]以及它们的铼同系物mer-[ReVCl3(κ4-As,CC,As-Li Pr)]和mer-[ReVNCl2(κ4-As,CC,As-Li Pr)]已被制备并完全表征。根据光谱和DFT分析，锝配合物代表了稳健的经典2e-炔烃配合物，而对于mer-[ReVCl3(κ4-As,CC,As-Li Pr)]则发现了不同的情况，具有形式上氧化的金属离子和还原的4e-供体配体。这对第7族的π配体配位以及潜在的邻近元素具有普遍意义。成功转化为医学相关的核同位素99mTc证明了炔烃供体作为稳定螯合锝的构建块在示踪剂水平上的可行性。</w:t>
      </w:r>
    </w:p>
    <w:p>
      <w:pPr>
        <w:spacing w:before="0" w:after="200" w:lineRule="auto" w:line="276"/>
      </w:pPr>
      <w:r>
        <w:rPr>
          <w:b/>
        </w:rPr>
        <w:t xml:space="preserve">Abstract (EN): </w:t>
      </w:r>
      <w:r>
        <w:t>Alkyne complexes are known for transition metals across the d-block with exception of the radioelement technetium despite considerable synthetic efforts. DFT calculations suggest that this is not inherent to the transition metal but a consequence of the overall ligand sphere. The arsenic-based tolane ligand 1,2-bis(2-(diisopropylarsaneyl)-4-(trifluoromethyl)phenyl)ethyne (Li Pr) forces a coordination of the central alkyne moiety onto the metal through ligand design. The stable, crystalline Tc(III) and Tc(V) alkyne complexes mer-[TcIIICl3(κ4-As,CC,As-Li Pr)], mer-[TcVNX2(κ4-As,CC,As-Li Pr)] (X = Cl, Br) and cis,trans,mer-[TcVN(CN)Cl(κ4-As, CC, As-Li Pr)] alongside their rhenium homologs mer-[ReVCl3(κ4-As,CC,As-Li Pr)] and mer-[ReVNCl2(κ4-As,CC,As-Li Pr)] have been prepared and fully characterized. According to spectroscopic and DFT analyses, the technetium complexes represent robust, classical 2e- alkyne complexes, while a different situation was found for mer-[ReVCl3(κ4-As,CC,As-Li Pr)] with a formally oxidized metal ion and reduced 4e- donor ligand. This has general implications for π-ligand coordination in group 7 and potentially for neighboring elements. Successful translation to the medicinally relevant nuclear isomer 99mTc proves the viability of alkyne donors as building blocks for stable chelation of technetium at the tracer level.</w:t>
      </w:r>
    </w:p>
    <w:p>
      <w:pPr>
        <w:spacing w:before="120" w:after="120"/>
      </w:pPr>
      <w:r>
        <w:rPr>
          <w:sz w:val="18"/>
        </w:rPr>
        <w:t>——————————————————————————————————————————————————————————————————————</w:t>
      </w:r>
    </w:p>
    <w:p>
      <w:pPr>
        <w:spacing w:before="160" w:after="40" w:line="240" w:lineRule="auto"/>
      </w:pPr>
      <w:r>
        <w:rPr>
          <w:b/>
        </w:rPr>
        <w:t xml:space="preserve">[53] </w:t>
      </w:r>
      <w:hyperlink r:id="rId238">
        <w:r>
          <w:rPr>
            <w:color w:val="1155CC"/>
            <w:u w:val="single"/>
          </w:rPr>
          <w:t>具有可调螺旋性和圆偏振发光的螺旋梯形瓶刷聚合物</w:t>
        </w:r>
      </w:hyperlink>
    </w:p>
    <w:p>
      <w:pPr>
        <w:spacing w:before="0" w:after="80"/>
      </w:pPr>
      <w:r>
        <w:rPr>
          <w:i/>
          <w:sz w:val="20"/>
        </w:rPr>
        <w:t>EN: Helical Ladder Bottlebrush Polymers With Tunable Helicity and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2026-05-03 05:04:55+00:00</w:t>
      </w:r>
      <w:r>
        <w:t xml:space="preserve">    </w:t>
      </w:r>
      <w:r>
        <w:rPr>
          <w:b/>
        </w:rPr>
        <w:t xml:space="preserve">DOI: </w:t>
      </w:r>
      <w:hyperlink r:id="rId239">
        <w:r>
          <w:rPr>
            <w:color w:val="1155CC"/>
            <w:u w:val="single"/>
          </w:rPr>
          <w:t>10.1002/anie.1916030</w:t>
        </w:r>
      </w:hyperlink>
    </w:p>
    <w:p>
      <w:pPr>
        <w:spacing w:before="0" w:after="120"/>
      </w:pPr>
      <w:r>
        <w:rPr>
          <w:b/>
        </w:rPr>
        <w:t xml:space="preserve">Notes: </w:t>
      </w:r>
      <w:r>
        <w:t>abstract_source=pubmed</w:t>
      </w:r>
    </w:p>
    <w:p>
      <w:pPr>
        <w:spacing w:before="0" w:after="80" w:lineRule="auto" w:line="276"/>
      </w:pPr>
      <w:r>
        <w:rPr>
          <w:b/>
        </w:rPr>
        <w:t xml:space="preserve">摘要（ZH）: </w:t>
      </w:r>
      <w:r>
        <w:t>螺旋梯形聚合物具有刚性、螺旋融合的主链，赋予其独特的手性光学性质，但将其整合到聚合物刷结构中仍然极具挑战性。在此，我们报告了首次合成具有螺旋融合梯形主链的瓶刷聚合物，通过酸催化的分子内环化反应，然后进行受控ATRP接枝聚合实现。通过将单手性梯形骨架与柔性、水溶性PNIPAM侧链结合，所得结构显著增强了螺旋梯形聚合物的可加工性和结构可调性。此外，传统的螺旋梯形结构长期以来被认为是完全刚性和静态的，但已被发现表现出动态转变特性。这一变化是由热驱动的联萘基二面角的构象触发引起的，通过热力学动力学和分子动力学模拟定量证实，展示了从轴向手性到螺旋手性的转变层次。总体而言，这项工作建立了一种有前景的合成螺旋梯形瓶刷聚合物的方法，并展示了其作为设计动态手性材料的多功能平台的潜力。</w:t>
      </w:r>
    </w:p>
    <w:p>
      <w:pPr>
        <w:spacing w:before="0" w:after="200" w:lineRule="auto" w:line="276"/>
      </w:pPr>
      <w:r>
        <w:rPr>
          <w:b/>
        </w:rPr>
        <w:t xml:space="preserve">Abstract (EN): </w:t>
      </w:r>
      <w:r>
        <w:t>Helical ladder polymers possess rigid, helically fused backbones that confer distinctive chiroptical properties, yet their integration into polymer brush architectures remains highly challenging. Here, we report the first synthesis of bottlebrush polymers with a helically fused ladder backbone, achieved through acid-catalyzed intramolecular cyclization followed by controlled ATRP grafting-from polymerization. By integrating a single-handed ladder scaffold with flexible, water-soluble PNIPAM side chains, the resulting architecture markedly enhances the processability and structural tunability of helical ladder polymers. Moreover, the traditional helical ladder, long regarded as completely rigid and static, has been found to exhibit dynamic transition properties. This change was caused by conformational triggering of the thermally driven binaphthyl dihedral angles, which was quantitatively confirmed by the thermodynamic dynamics and molecular dynamics simulations, demonstrating the hierarchy of the transition from axial chirality to helical chirality. Overall, this work establishes a promising synthetic method for helical ladder bottlebrush polymers and demonstrates their potential as versatile platforms for designing dynamic chiral materials.</w:t>
      </w:r>
    </w:p>
    <w:p>
      <w:pPr>
        <w:spacing w:before="120" w:after="120"/>
      </w:pPr>
      <w:r>
        <w:rPr>
          <w:sz w:val="18"/>
        </w:rPr>
        <w:t>——————————————————————————————————————————————————————————————————————</w:t>
      </w:r>
    </w:p>
    <w:p>
      <w:pPr>
        <w:spacing w:before="160" w:after="40" w:line="240" w:lineRule="auto"/>
      </w:pPr>
      <w:r>
        <w:rPr>
          <w:b/>
        </w:rPr>
        <w:t xml:space="preserve">[54] </w:t>
      </w:r>
      <w:hyperlink r:id="rId240">
        <w:r>
          <w:rPr>
            <w:color w:val="1155CC"/>
            <w:u w:val="single"/>
          </w:rPr>
          <w:t>模拟光捕获复合物以加速不对称脂质膜纳米反应器中的光氧化</w:t>
        </w:r>
      </w:hyperlink>
    </w:p>
    <w:p>
      <w:pPr>
        <w:spacing w:before="0" w:after="80"/>
      </w:pPr>
      <w:r>
        <w:rPr>
          <w:i/>
          <w:sz w:val="20"/>
        </w:rPr>
        <w:t>EN: Mimicking a Light‐Harvesting Complex to Accelerate Photooxidation in Asymmetric Lipid Membrane Nanoreactors</w:t>
      </w:r>
    </w:p>
    <w:p>
      <w:pPr>
        <w:spacing w:before="0" w:after="120"/>
      </w:pPr>
      <w:r>
        <w:rPr>
          <w:b/>
        </w:rPr>
        <w:t xml:space="preserve">Source: </w:t>
      </w:r>
      <w:r>
        <w:t>Wiley: Angewandte Chemie International Edition: Table of Contents</w:t>
      </w:r>
      <w:r>
        <w:t xml:space="preserve">    </w:t>
      </w:r>
      <w:r>
        <w:rPr>
          <w:b/>
        </w:rPr>
        <w:t xml:space="preserve">Pub date: </w:t>
      </w:r>
      <w:r>
        <w:t>2026-05-03 05:07:20+00:00</w:t>
      </w:r>
      <w:r>
        <w:t xml:space="preserve">    </w:t>
      </w:r>
      <w:r>
        <w:rPr>
          <w:b/>
        </w:rPr>
        <w:t xml:space="preserve">DOI: </w:t>
      </w:r>
      <w:hyperlink r:id="rId241">
        <w:r>
          <w:rPr>
            <w:color w:val="1155CC"/>
            <w:u w:val="single"/>
          </w:rPr>
          <w:t>10.1002/anie.1785862</w:t>
        </w:r>
      </w:hyperlink>
    </w:p>
    <w:p>
      <w:pPr>
        <w:spacing w:before="0" w:after="120"/>
      </w:pPr>
      <w:r>
        <w:rPr>
          <w:b/>
        </w:rPr>
        <w:t xml:space="preserve">Notes: </w:t>
      </w:r>
      <w:r>
        <w:t>abstract_source=pubmed</w:t>
      </w:r>
    </w:p>
    <w:p>
      <w:pPr>
        <w:spacing w:before="0" w:after="80" w:lineRule="auto" w:line="276"/>
      </w:pPr>
      <w:r>
        <w:rPr>
          <w:b/>
        </w:rPr>
        <w:t xml:space="preserve">摘要（ZH）: </w:t>
      </w:r>
      <w:r>
        <w:t>在自然界中，光合作用由太阳光驱动，可见光谱的大部分被光捕获复合物（LHCs）吸收，然后将能量传递到反应中心。受自然启发，我们在由DPPC（1,2-二棕榈酰-sn-甘油-3-磷酸胆碱）构建的脂质体的仿生脂质双层中实现了光捕获能量转移级联，使用膜锚定的荧光素，2-(3,6-二羟基-9H-二苯并-9-基)-5-十二酰胺苯甲酸（FlC12）作为主要吸收剂和膜锚定的曙红Y，十六烷基2-(2,4,5,7-四溴-3,6-二羟基-9H-二苯并-9-基)苯甲酸酯（EYC16）作为能量受体来敏化氧并生成活性氧物种1O2。最后，模型底物烟酰胺腺嘌呤二核苷酸（NADH）在分隔的脂质体纳米反应器中被1O2氧化。观察到我们的无金属LHC系统在纳米反应器膜对称功能化时对NADH的光氧化速率只有轻微影响。相比之下，当使用多色发光二极管（LED）或模拟太阳光时，脂质体纳米反应器膜的不对称功能化导致加速16%至27%。</w:t>
      </w:r>
    </w:p>
    <w:p>
      <w:pPr>
        <w:spacing w:before="0" w:after="200" w:lineRule="auto" w:line="276"/>
      </w:pPr>
      <w:r>
        <w:rPr>
          <w:b/>
        </w:rPr>
        <w:t xml:space="preserve">Abstract (EN): </w:t>
      </w:r>
      <w:r>
        <w:t>In nature, photosynthesis is driven by solar light and a large proportion of the visible spectrum is absorbed by the light harvesting complexes (LHCs), which then transfer the energy to the reaction center. Inspired by nature, we implemented a light harvesting energy transfer cascade within biomimetic lipid bilayers of liposomes built with DPPC (1,2-dipalmitoyl-sn-glycero-3-phosphocholine), using membrane-anchored fluorescein, 2-(3,6-dihydroxy-9H-xanthen-9-yl)-5-dodecanamidobenzoic acid (FlC12) as primary absorber and membrane anchored eosin Y, hexadecyl 2-(2,4,5,7-tetrabromo-3,6-dihydroxy-9H-xanthen-9-yl)benzoate (EYC16), as energy acceptor to sensitize oxygen and generate the reactive oxygen species 1O2. Finally, the model substrate nicotinamide adenine dinucleotide (NADH) is oxidized by 1O2 within the compartmentalizing liposome nanoreactors. It was observed that our metal-free LHC system has only a minor effect on the photooxidation rate of NADH when the nanoreactor membrane is functionalized symmetrically. By contrast, asymmetric membrane functionalization of the liposome nanoreactor membranes leads to acceleration by 16% to 27% when using multi-colored light emitting diodes (LED) or simulated solar light, respectively.</w:t>
      </w:r>
    </w:p>
    <w:p>
      <w:pPr>
        <w:spacing w:before="120" w:after="120"/>
      </w:pPr>
      <w:r>
        <w:rPr>
          <w:sz w:val="18"/>
        </w:rPr>
        <w:t>——————————————————————————————————————————————————————————————————————</w:t>
      </w:r>
    </w:p>
    <w:p>
      <w:pPr>
        <w:spacing w:before="160" w:after="40" w:line="240" w:lineRule="auto"/>
      </w:pPr>
      <w:r>
        <w:rPr>
          <w:b/>
        </w:rPr>
        <w:t xml:space="preserve">[55] </w:t>
      </w:r>
      <w:hyperlink r:id="rId242">
        <w:r>
          <w:rPr>
            <w:color w:val="1155CC"/>
            <w:u w:val="single"/>
          </w:rPr>
          <w:t>金属相关功能的蓝细菌素的实验证据</w:t>
        </w:r>
      </w:hyperlink>
    </w:p>
    <w:p>
      <w:pPr>
        <w:spacing w:before="0" w:after="80"/>
      </w:pPr>
      <w:r>
        <w:rPr>
          <w:i/>
          <w:sz w:val="20"/>
        </w:rPr>
        <w:t>EN: Experimental Evidence for a Metal‐Related Function of a Cyanobactin</w:t>
      </w:r>
    </w:p>
    <w:p>
      <w:pPr>
        <w:spacing w:before="0" w:after="120"/>
      </w:pPr>
      <w:r>
        <w:rPr>
          <w:b/>
        </w:rPr>
        <w:t xml:space="preserve">Source: </w:t>
      </w:r>
      <w:r>
        <w:t>Wiley: Angewandte Chemie International Edition: Table of Contents</w:t>
      </w:r>
      <w:r>
        <w:t xml:space="preserve">    </w:t>
      </w:r>
      <w:r>
        <w:rPr>
          <w:b/>
        </w:rPr>
        <w:t xml:space="preserve">Pub date: </w:t>
      </w:r>
      <w:r>
        <w:t>2026-05-03 05:08:32+00:00</w:t>
      </w:r>
      <w:r>
        <w:t xml:space="preserve">    </w:t>
      </w:r>
      <w:r>
        <w:rPr>
          <w:b/>
        </w:rPr>
        <w:t xml:space="preserve">DOI: </w:t>
      </w:r>
      <w:hyperlink r:id="rId243">
        <w:r>
          <w:rPr>
            <w:color w:val="1155CC"/>
            <w:u w:val="single"/>
          </w:rPr>
          <w:t>10.1002/anie.8567749</w:t>
        </w:r>
      </w:hyperlink>
    </w:p>
    <w:p>
      <w:pPr>
        <w:spacing w:before="0" w:after="120"/>
      </w:pPr>
      <w:r>
        <w:rPr>
          <w:b/>
        </w:rPr>
        <w:t xml:space="preserve">Notes: </w:t>
      </w:r>
      <w:r>
        <w:t>abstract_source=pubmed</w:t>
      </w:r>
    </w:p>
    <w:p>
      <w:pPr>
        <w:spacing w:before="0" w:after="80" w:lineRule="auto" w:line="276"/>
      </w:pPr>
      <w:r>
        <w:rPr>
          <w:b/>
        </w:rPr>
        <w:t xml:space="preserve">摘要（ZH）: </w:t>
      </w:r>
      <w:r>
        <w:t>蓝藻Prochloron didemni产生含有噻唑和噁唑啉杂环的大环八肽，称为patellamides。一个有趣的观察是Cu2+与patellamides的结合可能与其生物功能有关。首先，我们展示了向Lissoclinum patella注入Cu2+会增加海鞘中的patG基因表达和patellamide水平。其次，X射线吸收光谱显示，大堡礁标本的生物提取物在结构上与合成的碳酸盐桥联双铜(II)-patellamide复合物相匹配。第三，patellamides表现出非常高的膜渗透性（PAMPA，Caco-2）。结合细胞内pH数据、藻类中的patellamide-Cu2+生物活性以及Prochloron中许多典型CO2摄取机制的缺失，我们提出patellamides促进碳酸盐从海鞘向蓝藻的运输。这为蓝藻素金属结合与其生产和功能之间的联系提供了前所未有的证据，暗示海洋环肽可能具有新的金属相关作用。</w:t>
      </w:r>
    </w:p>
    <w:p>
      <w:pPr>
        <w:spacing w:before="0" w:after="200" w:lineRule="auto" w:line="276"/>
      </w:pPr>
      <w:r>
        <w:rPr>
          <w:b/>
        </w:rPr>
        <w:t xml:space="preserve">Abstract (EN): </w:t>
      </w:r>
      <w:r>
        <w:t>The cyanobacterium Prochloron didemni produces macrocyclic octapeptides with thiazole and oxazoline heterocycles, known as patellamides. An interesting observation is that Cu2+ binding to the patellamides is likely to be related to their biological function. First, we show that Cu2 + injection into Lissoclinum patella increases patG gene expression and patellamide levels in the ascidians. Second, x-ray absorption spectroscopy shows that biological extracts of specimen from the Great Barrier Reef match structurally synthetic carbonato-bridged dicopper(II)-patellamide complexes. Third, patellamides exhibit very high membrane permeability (PAMPA, Caco-2). Combined with intracellular pH data, patellamide-Cu2 + bioactivity in algae, and the absence of many of the typical CO2 uptake mechanisms in Prochloron, we propose that patellamides facilitate carbonate transport from the ascidians to the cyanobacteria. This provides unprecedented evidence for a link between cyanobactin metal binding and their production and function, suggesting possible novel metal-related roles for marine cyclic peptides.</w:t>
      </w:r>
    </w:p>
    <w:p>
      <w:pPr>
        <w:spacing w:before="120" w:after="120"/>
      </w:pPr>
      <w:r>
        <w:rPr>
          <w:sz w:val="18"/>
        </w:rPr>
        <w:t>——————————————————————————————————————————————————————————————————————</w:t>
      </w:r>
    </w:p>
    <w:p>
      <w:pPr>
        <w:spacing w:before="160" w:after="40" w:line="240" w:lineRule="auto"/>
      </w:pPr>
      <w:r>
        <w:rPr>
          <w:b/>
        </w:rPr>
        <w:t xml:space="preserve">[56] </w:t>
      </w:r>
      <w:hyperlink r:id="rId244">
        <w:r>
          <w:rPr>
            <w:color w:val="1155CC"/>
            <w:u w:val="single"/>
          </w:rPr>
          <w:t>通过配体氧化还原调制编程钯笼几何结构</w:t>
        </w:r>
      </w:hyperlink>
    </w:p>
    <w:p>
      <w:pPr>
        <w:spacing w:before="0" w:after="80"/>
      </w:pPr>
      <w:r>
        <w:rPr>
          <w:i/>
          <w:sz w:val="20"/>
        </w:rPr>
        <w:t>EN: Programming Palladium Cage Geometry through Ligand Redox Modulation</w:t>
      </w:r>
    </w:p>
    <w:p>
      <w:pPr>
        <w:spacing w:before="0" w:after="120"/>
      </w:pPr>
      <w:r>
        <w:rPr>
          <w:b/>
        </w:rPr>
        <w:t xml:space="preserve">Source: </w:t>
      </w:r>
      <w:r>
        <w:t>Wiley: Angewandte Chemie International Edition: Table of Contents</w:t>
      </w:r>
      <w:r>
        <w:t xml:space="preserve">    </w:t>
      </w:r>
      <w:r>
        <w:rPr>
          <w:b/>
        </w:rPr>
        <w:t xml:space="preserve">Pub date: </w:t>
      </w:r>
      <w:r>
        <w:t>2026-05-03 05:09:55+00:00</w:t>
      </w:r>
      <w:r>
        <w:t xml:space="preserve">    </w:t>
      </w:r>
      <w:r>
        <w:rPr>
          <w:b/>
        </w:rPr>
        <w:t xml:space="preserve">DOI: </w:t>
      </w:r>
      <w:hyperlink r:id="rId245">
        <w:r>
          <w:rPr>
            <w:color w:val="1155CC"/>
            <w:u w:val="single"/>
          </w:rPr>
          <w:t>10.1002/anie.5709785</w:t>
        </w:r>
      </w:hyperlink>
    </w:p>
    <w:p>
      <w:pPr>
        <w:spacing w:before="0" w:after="120"/>
      </w:pPr>
      <w:r>
        <w:rPr>
          <w:b/>
        </w:rPr>
        <w:t xml:space="preserve">Notes: </w:t>
      </w:r>
      <w:r>
        <w:t>abstract_source=pubmed</w:t>
      </w:r>
    </w:p>
    <w:p>
      <w:pPr>
        <w:spacing w:before="0" w:after="80" w:lineRule="auto" w:line="276"/>
      </w:pPr>
      <w:r>
        <w:rPr>
          <w:b/>
        </w:rPr>
        <w:t xml:space="preserve">摘要（ZH）: </w:t>
      </w:r>
      <w:r>
        <w:t>将氧化还原活性配体引入配位笼提供了一种直接的方法，可以根据氧化态的变化调节结构或组成。基于exTTF的双位点配体L在存在钯(II)盐（M）的情况下形成M2L4笼。所得的M2L4腔体对中等长度的α,ω-二腈烷烃表现出选择性结合特性。通过氧化将配体的配位几何形状修改为其Lox状态，将自组装过程重定向为M2Lox 2结构。氧化配体还可以与二苯并噻吩连接体（L'）结合，形成异配M2LoxL'2结构，其空闲配位位点能够随后二聚化为前所未有的M4L4L'4结构。关键中间体和产物通过单晶X射线衍射结构认证。值得注意的是，这些过程是可逆的。还原将M2LoxL'2组装体转回同配M2L4笼。这个序列展示了氧化态的变化如何在金属有机组装体中重塑核数和组成。</w:t>
      </w:r>
    </w:p>
    <w:p>
      <w:pPr>
        <w:spacing w:before="0" w:after="200" w:lineRule="auto" w:line="276"/>
      </w:pPr>
      <w:r>
        <w:rPr>
          <w:b/>
        </w:rPr>
        <w:t xml:space="preserve">Abstract (EN): </w:t>
      </w:r>
      <w:r>
        <w:t>Incorporating redox active ligands into coordination cages offers a direct way to reach architectures whose structure or composition can be modulated in response to changes in the oxidation state. An exTTF-based ditopic ligand L affords a M2L4 cage in presence of a palladium(II) salt (M). The resulting M2L4 cavity exhibits selective binding properties for medium length α,ω-dinitrile alkanes. Modifying the coordination geometry of the ligand by oxidation to its Lox state redirects the self-assembly process toward a M2Lox 2 structure. The oxidized ligand can also be combined with a dibenzothiophene linker (L') to afford a heteroleptic M2LoxL'2 structure whose vacant coordination sites enable subsequent dimerization into an unprecedented M4L4L'4 architecture. Key intermediates and products were structurally authenticated by single-crystal x-ray diffraction. Notably, these processes are reversible. Reduction converts the M2LoxL'2 assembly back to the homoleptic M2L4 cage. This sequence illustrates how changes of oxidation state can reshape nuclearity and composition in metal organic assemblies.</w:t>
      </w:r>
    </w:p>
    <w:p>
      <w:pPr>
        <w:spacing w:before="120" w:after="120"/>
      </w:pPr>
      <w:r>
        <w:rPr>
          <w:sz w:val="18"/>
        </w:rPr>
        <w:t>——————————————————————————————————————————————————————————————————————</w:t>
      </w:r>
    </w:p>
    <w:p>
      <w:pPr>
        <w:spacing w:before="160" w:after="40" w:line="240" w:lineRule="auto"/>
      </w:pPr>
      <w:r>
        <w:rPr>
          <w:b/>
        </w:rPr>
        <w:t xml:space="preserve">[57] </w:t>
      </w:r>
      <w:hyperlink r:id="rId246">
        <w:r>
          <w:rPr>
            <w:color w:val="1155CC"/>
            <w:u w:val="single"/>
          </w:rPr>
          <w:t>通过光生供体-供体重氮化合物的C─S键插入实现酮的双官能化</w:t>
        </w:r>
      </w:hyperlink>
    </w:p>
    <w:p>
      <w:pPr>
        <w:spacing w:before="0" w:after="80"/>
      </w:pPr>
      <w:r>
        <w:rPr>
          <w:i/>
          <w:sz w:val="20"/>
        </w:rPr>
        <w:t>EN: Geminal Difunctionalization of Ketones via C─S Bond Insertion of Photogenerated Donor–Donor Diazo Compounds</w:t>
      </w:r>
    </w:p>
    <w:p>
      <w:pPr>
        <w:spacing w:before="0" w:after="120"/>
      </w:pPr>
      <w:r>
        <w:rPr>
          <w:b/>
        </w:rPr>
        <w:t xml:space="preserve">Source: </w:t>
      </w:r>
      <w:r>
        <w:t>Wiley: Angewandte Chemie International Edition: Table of Contents</w:t>
      </w:r>
      <w:r>
        <w:t xml:space="preserve">    </w:t>
      </w:r>
      <w:r>
        <w:rPr>
          <w:b/>
        </w:rPr>
        <w:t xml:space="preserve">Pub date: </w:t>
      </w:r>
      <w:r>
        <w:t>2026-05-03 05:10:35+00:00</w:t>
      </w:r>
      <w:r>
        <w:t xml:space="preserve">    </w:t>
      </w:r>
      <w:r>
        <w:rPr>
          <w:b/>
        </w:rPr>
        <w:t xml:space="preserve">DOI: </w:t>
      </w:r>
      <w:hyperlink r:id="rId247">
        <w:r>
          <w:rPr>
            <w:color w:val="1155CC"/>
            <w:u w:val="single"/>
          </w:rPr>
          <w:t>10.1002/anie.6162809</w:t>
        </w:r>
      </w:hyperlink>
    </w:p>
    <w:p>
      <w:pPr>
        <w:spacing w:before="0" w:after="120"/>
      </w:pPr>
      <w:r>
        <w:rPr>
          <w:b/>
        </w:rPr>
        <w:t xml:space="preserve">Notes: </w:t>
      </w:r>
      <w:r>
        <w:t>abstract_source=pubmed</w:t>
      </w:r>
    </w:p>
    <w:p>
      <w:pPr>
        <w:spacing w:before="0" w:after="80" w:lineRule="auto" w:line="276"/>
      </w:pPr>
      <w:r>
        <w:rPr>
          <w:b/>
        </w:rPr>
        <w:t xml:space="preserve">摘要（ZH）: </w:t>
      </w:r>
      <w:r>
        <w:t>羰基衍生构建块的双官能化代表了一种快速生成富含sp3分子结构的多功能策略。在此背景下，重氮化合物提供了一个强大的平台，用于安装两个不同的官能团，但羰基衍生供体-供体重氮系统的反应空间仍未充分开发。在此，我们报告了一种金属自由的重氮化合物迁移插入到磺酰氰化物的C─S键中，能够在单个碳中心同时安装磺酰和腈基功能。此转化的关键是通过光化学分解从酮衍生的稳定的噁二唑啉原位生成高活性重氮中间体。这大大扩展了可访问的偶联伙伴空间，以前仅限于醛或硼酸。该反应表现出广泛的官能团、水和空气耐受性，提供高产率，并在受限环状系统中提供出色的非对映选择性。与批量和连续流处理的兼容性，以及其在现实药物化学组合库合成中的应用，突显了该方法的实用性。</w:t>
      </w:r>
    </w:p>
    <w:p>
      <w:pPr>
        <w:spacing w:before="0" w:after="200" w:lineRule="auto" w:line="276"/>
      </w:pPr>
      <w:r>
        <w:rPr>
          <w:b/>
        </w:rPr>
        <w:t xml:space="preserve">Abstract (EN): </w:t>
      </w:r>
      <w:r>
        <w:t>Geminal difunctionalization of carbonyl-derived building blocks represents a versatile strategy for the rapid generation of sp3-rich molecular architectures. In this context, diazo compounds provide a powerful platform for installing two distinct functional groups, yet the reaction space for carbonyl-derived donor-donor diazo systems remains underdeveloped. Here, we report a metal-free migratory insertion of diazo compounds into C─S bonds of sulfonyl cyanides, enabling the simultaneous installation of sulfone and nitrile functionalities at a single carbon center. Key to this transformation is the in situ generation of highly reactive diazo intermediates via photochemical decomposition of bench-stable oxadiazolines derived from ketones. This substantially expands the accessible coupling partner space, previously limited to aldehydes or boronic acids. The reaction exhibits broad functional group, water, and air tolerance, delivers high yields, and provides excellent diastereoselectivity in constrained cyclic systems. Compatibility with both batch and continuous-flow processing, as well as its application to a realistic medicinal chemistry combinatorial library synthesis, highlights the practical utility of the method.</w:t>
      </w:r>
    </w:p>
    <w:p>
      <w:pPr>
        <w:spacing w:before="120" w:after="120"/>
      </w:pPr>
      <w:r>
        <w:rPr>
          <w:sz w:val="18"/>
        </w:rPr>
        <w:t>——————————————————————————————————————————————————————————————————————</w:t>
      </w:r>
    </w:p>
    <w:p>
      <w:pPr>
        <w:spacing w:before="160" w:after="40" w:line="240" w:lineRule="auto"/>
      </w:pPr>
      <w:r>
        <w:rPr>
          <w:b/>
        </w:rPr>
        <w:t xml:space="preserve">[58] </w:t>
      </w:r>
      <w:hyperlink r:id="rId248">
        <w:r>
          <w:rPr>
            <w:color w:val="1155CC"/>
            <w:u w:val="single"/>
          </w:rPr>
          <w:t>一种圆形且无规立构的单取代尼龙-6晶体平台：对结晶性和性能的意外大位置效应</w:t>
        </w:r>
      </w:hyperlink>
    </w:p>
    <w:p>
      <w:pPr>
        <w:spacing w:before="0" w:after="80"/>
      </w:pPr>
      <w:r>
        <w:rPr>
          <w:i/>
          <w:sz w:val="20"/>
        </w:rPr>
        <w:t>EN: A Circular and Tacticity‐Independent Crystalline Mono‐Substituted Nylon‐6 Platform: Unexpected Large Positional Effects on Crystallizability and Performance</w:t>
      </w:r>
    </w:p>
    <w:p>
      <w:pPr>
        <w:spacing w:before="0" w:after="120"/>
      </w:pPr>
      <w:r>
        <w:rPr>
          <w:b/>
        </w:rPr>
        <w:t xml:space="preserve">Source: </w:t>
      </w:r>
      <w:r>
        <w:t>Wiley: Angewandte Chemie International Edition: Table of Contents</w:t>
      </w:r>
      <w:r>
        <w:t xml:space="preserve">    </w:t>
      </w:r>
      <w:r>
        <w:rPr>
          <w:b/>
        </w:rPr>
        <w:t xml:space="preserve">Pub date: </w:t>
      </w:r>
      <w:r>
        <w:t>2026-05-03 05:12:52+00:00</w:t>
      </w:r>
      <w:r>
        <w:t xml:space="preserve">    </w:t>
      </w:r>
      <w:r>
        <w:rPr>
          <w:b/>
        </w:rPr>
        <w:t xml:space="preserve">DOI: </w:t>
      </w:r>
      <w:hyperlink r:id="rId249">
        <w:r>
          <w:rPr>
            <w:color w:val="1155CC"/>
            <w:u w:val="single"/>
          </w:rPr>
          <w:t>10.1002/anie.9256032</w:t>
        </w:r>
      </w:hyperlink>
    </w:p>
    <w:p>
      <w:pPr>
        <w:spacing w:before="0" w:after="120"/>
      </w:pPr>
      <w:r>
        <w:rPr>
          <w:b/>
        </w:rPr>
        <w:t xml:space="preserve">Notes: </w:t>
      </w:r>
      <w:r>
        <w:t>abstract_source=pubmed</w:t>
      </w:r>
    </w:p>
    <w:p>
      <w:pPr>
        <w:spacing w:before="0" w:after="80" w:lineRule="auto" w:line="276"/>
      </w:pPr>
      <w:r>
        <w:rPr>
          <w:b/>
        </w:rPr>
        <w:t xml:space="preserve">摘要（ZH）: </w:t>
      </w:r>
      <w:r>
        <w:t>寻找可回收的、更可持续的尼龙6替代品引起了广泛关注，但实现其具有结晶性和增强可回收性的变体仍然是一个挑战。在此，通过利用生物可衍生的单取代消旋内酰胺单体，我们揭示了甲基取代位置对尼龙-6主链的结晶性、热机械性能和所得无规尼龙-6变体的可回收性产生的惊人影响。虽然γ-甲基取代产生无定形尼龙，但所有其他四个甲基取代位置（α、β、δ和ε）意外地提供了结晶尼龙，其熔点范围从145°C到200°C，机械性能可调，从刚性和强度（α、ε）到延展性（β、δ）。研究表明，无规尼龙的结晶性独立于立体规整性，这由具有强氢键相互作用的酰胺主链驱动，并由取代位置调节的链柔性抵消。这些尼龙可以化学回收回其母体单体，分离产率高达92%，实现了一个循环的、独立于立体规整性的结晶尼龙平台。</w:t>
      </w:r>
    </w:p>
    <w:p>
      <w:pPr>
        <w:spacing w:before="0" w:after="200" w:lineRule="auto" w:line="276"/>
      </w:pPr>
      <w:r>
        <w:rPr>
          <w:b/>
        </w:rPr>
        <w:t xml:space="preserve">Abstract (EN): </w:t>
      </w:r>
      <w:r>
        <w:t>Seeking recyclable, more sustainable alternatives to nylon 6 has drawn much attention, but achieving its variants with both crystallinity and enhanced recyclability still remains a challenge. Here, by utilizing bio-derivable mono-substituted racemic lactam monomers, we reveal surprisingly large effects of methyl substitution positions on the nylon-6 backbone on crystallizability, thermomechanical performance, and recyclability of the resulting atactic nylon-6 variants. While γ-methyl substitution gives an amorphous nylon, all other four methyl-substitution positions (α, β, δ, and ε) afford, unexpectedly, crystalline nylons with melting temperatures ranging from 145°C to 200°C and tunable mechanical performance from being stiff and strong (α, ε) to ductile (β, δ). Investigations reveal that the crystallinity of atactic nylons arises independently of stereoregularity, which is driven by the amide backbone with robust hydrogen-bonding interactions and countered by the chain flexibility regulated by the substitution position. These nylons can be chemically recycled back to their parent monomers with high isolated yields up to 92%, enabling a circular, tacticity-independent crystalline nylon platform.</w:t>
      </w:r>
    </w:p>
    <w:p>
      <w:pPr>
        <w:spacing w:before="120" w:after="120"/>
      </w:pPr>
      <w:r>
        <w:rPr>
          <w:sz w:val="18"/>
        </w:rPr>
        <w:t>——————————————————————————————————————————————————————————————————————</w:t>
      </w:r>
    </w:p>
    <w:p>
      <w:pPr>
        <w:spacing w:before="160" w:after="40" w:line="240" w:lineRule="auto"/>
      </w:pPr>
      <w:r>
        <w:rPr>
          <w:b/>
        </w:rPr>
        <w:t xml:space="preserve">[59] </w:t>
      </w:r>
      <w:hyperlink r:id="rId250">
        <w:r>
          <w:rPr>
            <w:color w:val="1155CC"/>
            <w:u w:val="single"/>
          </w:rPr>
          <w:t>水中热控手性超分子多态性</w:t>
        </w:r>
      </w:hyperlink>
    </w:p>
    <w:p>
      <w:pPr>
        <w:spacing w:before="0" w:after="80"/>
      </w:pPr>
      <w:r>
        <w:rPr>
          <w:i/>
          <w:sz w:val="20"/>
        </w:rPr>
        <w:t>EN: Thermally Controlled Chiral Supramolecular Polymorphism in Water</w:t>
      </w:r>
    </w:p>
    <w:p>
      <w:pPr>
        <w:spacing w:before="0" w:after="120"/>
      </w:pPr>
      <w:r>
        <w:rPr>
          <w:b/>
        </w:rPr>
        <w:t xml:space="preserve">Source: </w:t>
      </w:r>
      <w:r>
        <w:t>Wiley: Angewandte Chemie International Edition: Table of Contents</w:t>
      </w:r>
      <w:r>
        <w:t xml:space="preserve">    </w:t>
      </w:r>
      <w:r>
        <w:rPr>
          <w:b/>
        </w:rPr>
        <w:t xml:space="preserve">Pub date: </w:t>
      </w:r>
      <w:r>
        <w:t>2026-05-03 05:16:58+00:00</w:t>
      </w:r>
      <w:r>
        <w:t xml:space="preserve">    </w:t>
      </w:r>
      <w:r>
        <w:rPr>
          <w:b/>
        </w:rPr>
        <w:t xml:space="preserve">DOI: </w:t>
      </w:r>
      <w:hyperlink r:id="rId251">
        <w:r>
          <w:rPr>
            <w:color w:val="1155CC"/>
            <w:u w:val="single"/>
          </w:rPr>
          <w:t>10.1002/anie.1190401</w:t>
        </w:r>
      </w:hyperlink>
    </w:p>
    <w:p>
      <w:pPr>
        <w:spacing w:before="0" w:after="120"/>
      </w:pPr>
      <w:r>
        <w:rPr>
          <w:b/>
        </w:rPr>
        <w:t xml:space="preserve">Notes: </w:t>
      </w:r>
      <w:r>
        <w:t>abstract_source=pubmed</w:t>
      </w:r>
    </w:p>
    <w:p>
      <w:pPr>
        <w:spacing w:before="0" w:after="80" w:lineRule="auto" w:line="276"/>
      </w:pPr>
      <w:r>
        <w:rPr>
          <w:b/>
        </w:rPr>
        <w:t xml:space="preserve">摘要（ZH）: </w:t>
      </w:r>
      <w:r>
        <w:t>生物组装如蛋白质根据外部刺激调整其螺旋形态和功能，但在合成手性超分子类似物中实现受控多态转变仍然知之甚少。在此，我们展示了一种通过分子设计与外部刺激相结合来实现水中受控手性超分子多态性的方法。一个不对称的寡（苯乙炔）衍生物1，带有吡啶单元、氢键酰胺基团和手性亲水侧链，在水中自组装成三种不同的手性超分子多态体，在不同的温度范围内稳定。在室温（RT）下，1自组装成短圆柱体（AggI），在加热至LCST（AggII，≈325 K）时发生多态转变为瞬态双螺旋纤维，最终在LCST以上转变为不规则平面聚集体（AggIII）。值得注意的是，多态转变与温度依赖的构象和乙二醇链的脱水程度有关。虽然AggII仅在纯水中的窄温度窗口内存在，但通过化学刺激如共溶剂或金属盐调节LCST，可以在RT下稳定和分离。我们的结果确立了LCST耦合手性作为调节热响应超分子多态性的强大策略，并为自适应材料的设计提供了潜在策略。</w:t>
      </w:r>
    </w:p>
    <w:p>
      <w:pPr>
        <w:spacing w:before="0" w:after="200" w:lineRule="auto" w:line="276"/>
      </w:pPr>
      <w:r>
        <w:rPr>
          <w:b/>
        </w:rPr>
        <w:t xml:space="preserve">Abstract (EN): </w:t>
      </w:r>
      <w:r>
        <w:t>Biological assemblies such as proteins adapt their helical morphology and function in response to external stimuli, yet controlled polymorphic transitions in synthetic chiral supramolecular analogues remain poorly understood. Herein, we demonstrate a strategy to achieve controlled chiral supramolecular polymorphism in water by coupling molecular design with external stimuli. An unsymmetrical oligo(phenyleneethynylene) derivative 1 bearing a pyridine unit, a hydrogen-bonding amide group, and chiral hydrophilic side chains self-assembles into three distinct chiral supramolecular polymorphs in water that are stable at different temperature regimes. At room temperature (RT), 1 self-assembles into short cylinders (AggI), which undergo a polymorphic transition to transient double helical fibers upon heating around the LCST (AggII, ≈ 325 K) and ultimately to irregular planar aggregates (AggIII) above the LCST. Remarkably, the polymorphic transitions are linked to the temperature-dependent conformation and degree of dehydration of the glycol chains. Although AggII exists only within a narrow temperature window in pristine water, it can be stabilized and isolated at RT through chemical stimuli such as co-solvents or metal salts that modulate the LCST. Our results establish LCST-coupled chirality as a powerful strategy to regulate thermoresponsive supramolecular polymorphism and offer potential strategies for the design of adaptive materials.</w:t>
      </w:r>
    </w:p>
    <w:p>
      <w:pPr>
        <w:spacing w:before="120" w:after="120"/>
      </w:pPr>
      <w:r>
        <w:rPr>
          <w:sz w:val="18"/>
        </w:rPr>
        <w:t>——————————————————————————————————————————————————————————————————————</w:t>
      </w:r>
    </w:p>
    <w:p>
      <w:pPr>
        <w:spacing w:before="160" w:after="40" w:line="240" w:lineRule="auto"/>
      </w:pPr>
      <w:r>
        <w:rPr>
          <w:b/>
        </w:rPr>
        <w:t xml:space="preserve">[60] </w:t>
      </w:r>
      <w:hyperlink r:id="rId252">
        <w:r>
          <w:rPr>
            <w:color w:val="1155CC"/>
            <w:u w:val="single"/>
          </w:rPr>
          <w:t>[ASAP] 基于钯负载金属有机框架的保护性溢出-加氢催化剂</w:t>
        </w:r>
      </w:hyperlink>
    </w:p>
    <w:p>
      <w:pPr>
        <w:spacing w:before="0" w:after="80"/>
      </w:pPr>
      <w:r>
        <w:rPr>
          <w:i/>
          <w:sz w:val="20"/>
        </w:rPr>
        <w:t>EN: [ASAP] Protective Spillover-Hydrogenation Catalyst Based on Pd-Loaded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2026-05-03 16:33:45+00:00</w:t>
      </w:r>
      <w:r>
        <w:t xml:space="preserve">    </w:t>
      </w:r>
      <w:r>
        <w:rPr>
          <w:b/>
        </w:rPr>
        <w:t xml:space="preserve">DOI: </w:t>
      </w:r>
      <w:hyperlink r:id="rId253">
        <w:r>
          <w:rPr>
            <w:color w:val="1155CC"/>
            <w:u w:val="single"/>
          </w:rPr>
          <w:t>10.1021/jacs.6c01029</w:t>
        </w:r>
      </w:hyperlink>
    </w:p>
    <w:p>
      <w:pPr>
        <w:spacing w:before="0" w:after="120"/>
      </w:pPr>
      <w:r>
        <w:rPr>
          <w:b/>
        </w:rPr>
        <w:t xml:space="preserve">Notes: </w:t>
      </w:r>
      <w:r>
        <w:t>abstract_source=pubmed</w:t>
      </w:r>
    </w:p>
    <w:p>
      <w:pPr>
        <w:spacing w:before="0" w:after="80" w:lineRule="auto" w:line="276"/>
      </w:pPr>
      <w:r>
        <w:rPr>
          <w:b/>
        </w:rPr>
        <w:t xml:space="preserve">摘要（ZH）: </w:t>
      </w:r>
      <w:r>
        <w:t>金属催化剂对于加氢反应至关重要，但由于其强大的活化能力而遭受过度加氢的困扰。在此，开发了一种在钯负载的金属有机框架（MOFs）上的保护性溢流加氢催化剂，隔离金属以避免与底物直接接触，同时确保活性氢转移用于外球加氢。具体而言，通过在Pd/UiO-66上引入聚乙烯吡咯烷酮（PVP）诱导空间效应。PVP的烷烃链形成的屏障防止醛类与钯直接接触，同时选择性地渗透H2分子以被激活为电子和质子。在这样的过程中，质子和电子分别通过氢溢流途径暂时与O物种和Pd结合，并通过连续转移参与醛加氢。同时，PVP鞘层重新引导醇类远离金属的运动以抑制氢脱氧，从而实现芳香醛的选择性加氢。这种基于MOF的非接触加氢机制突破了传统的底物调控范式，为制造具有优越化学选择性和活性的催化剂提供了新工具。</w:t>
      </w:r>
    </w:p>
    <w:p>
      <w:pPr>
        <w:spacing w:before="0" w:after="200" w:lineRule="auto" w:line="276"/>
      </w:pPr>
      <w:r>
        <w:rPr>
          <w:b/>
        </w:rPr>
        <w:t xml:space="preserve">Abstract (EN): </w:t>
      </w:r>
      <w:r>
        <w:t>Metal catalysts are crucial for hydrogenation reactions but suffer from overhydrogenation due to their strong activation capacity. Herein, a protective spillover-hydrogenation catalyst on Pd-loaded metal-organic frameworks (MOFs) is developed, isolating the metal to avoid direct contact with the substrate while ensuring active hydrogen transfer for out-sphere hydrogenation. Specifically, the steric effect was induced by incorporating poly(vinylpyrrolidone) (PVP) on Pd/UiO-66. The barrier formed by PVP's alkane chains prevents the direct contact of aldehydes with Pd, while selectively permeating H2 molecules for being activated into electrons and protons. In such a process, proton and electron transiently bind with O species and Pd via the hydrogen spillover pathway, respectively, and participate in aldehyde hydrogenation via a consecutive transfer. Meanwhile, the PVP sheath redirects the movement of alcohols away from the metal to inhibit hydrodeoxygenation, thereby achieving the selective hydrogenation of aromatic aldehyde. This noncontact hydrogenation mechanism based on MOF breaks away from conventional substrate-modulation paradigms, providing a new tool for fabricating catalysts with superior chemoselectivity and activity.</w:t>
      </w:r>
    </w:p>
    <w:p>
      <w:pPr>
        <w:spacing w:before="120" w:after="120"/>
      </w:pPr>
      <w:r>
        <w:rPr>
          <w:sz w:val="18"/>
        </w:rPr>
        <w:t>——————————————————————————————————————————————————————————————————————</w:t>
      </w:r>
    </w:p>
    <w:p>
      <w:pPr>
        <w:spacing w:before="160" w:after="40" w:line="240" w:lineRule="auto"/>
      </w:pPr>
      <w:r>
        <w:rPr>
          <w:b/>
        </w:rPr>
        <w:t xml:space="preserve">[61] </w:t>
      </w:r>
      <w:hyperlink r:id="rId254">
        <w:r>
          <w:rPr>
            <w:color w:val="1155CC"/>
            <w:u w:val="single"/>
          </w:rPr>
          <w:t>[ASAP] 在卡那霉素的独特多脱氧二氨基糖Kasugamine生物合成中UDP-糖3-脱水酶KsgR的表征</w:t>
        </w:r>
      </w:hyperlink>
    </w:p>
    <w:p>
      <w:pPr>
        <w:spacing w:before="0" w:after="80"/>
      </w:pPr>
      <w:r>
        <w:rPr>
          <w:i/>
          <w:sz w:val="20"/>
        </w:rPr>
        <w:t>EN: [ASAP] Characterization of UDP-Sugar 3-Dehydrase KsgR in the Biosynthesis of a Distinctive Multideoxy Diamino-Sugar Kasugamine of Kasugamycin</w:t>
      </w:r>
    </w:p>
    <w:p>
      <w:pPr>
        <w:spacing w:before="0" w:after="120"/>
      </w:pPr>
      <w:r>
        <w:rPr>
          <w:b/>
        </w:rPr>
        <w:t xml:space="preserve">Source: </w:t>
      </w:r>
      <w:r>
        <w:t>Journal of the American Chemical Society: Latest Articles (ACS Publications)</w:t>
      </w:r>
      <w:r>
        <w:t xml:space="preserve">    </w:t>
      </w:r>
      <w:r>
        <w:rPr>
          <w:b/>
        </w:rPr>
        <w:t xml:space="preserve">Pub date: </w:t>
      </w:r>
      <w:r>
        <w:t>2026-05-03 18:20:57+00:00</w:t>
      </w:r>
      <w:r>
        <w:t xml:space="preserve">    </w:t>
      </w:r>
      <w:r>
        <w:rPr>
          <w:b/>
        </w:rPr>
        <w:t xml:space="preserve">DOI: </w:t>
      </w:r>
      <w:hyperlink r:id="rId255">
        <w:r>
          <w:rPr>
            <w:color w:val="1155CC"/>
            <w:u w:val="single"/>
          </w:rPr>
          <w:t>10.1021/jacs.6c03331</w:t>
        </w:r>
      </w:hyperlink>
    </w:p>
    <w:p>
      <w:pPr>
        <w:spacing w:before="0" w:after="120"/>
      </w:pPr>
      <w:r>
        <w:rPr>
          <w:b/>
        </w:rPr>
        <w:t xml:space="preserve">Notes: </w:t>
      </w:r>
      <w:r>
        <w:t>abstract_source=pubmed</w:t>
      </w:r>
    </w:p>
    <w:p>
      <w:pPr>
        <w:spacing w:before="0" w:after="80" w:lineRule="auto" w:line="276"/>
      </w:pPr>
      <w:r>
        <w:rPr>
          <w:b/>
        </w:rPr>
        <w:t xml:space="preserve">摘要（ZH）: </w:t>
      </w:r>
      <w:r>
        <w:t>Kasugamine（2,4-二氨基-2,3,4,6-四脱氧-d-甘露糖，1）是一种罕见的多脱氧二氨基糖，构成了商业氨基糖苷类抗生素Kasugamycin（KSG，2）的核心骨架，这是一种用于防治稻瘟病超过60年的农业杀菌剂。尽管已报道了2的生物合成基因簇（BGC），但导致1形成的酶促逻辑仍不清楚。在此，我们报告了1的生物合成机制。五种酶─KsgQ、KsgB、KsgD、KsgR和KsgC─可以生化地将尿苷二磷酸-N-乙酰-d-氨基葡萄糖（UDP-GlcNAc，4）转化为糖供体6，并将其掺入2中，这已通过稳定同位素标记的饲料实验得到证实。KsgB被表征为催化尿苷二磷酸-N-乙酰-d-甘露糖胺（UDP-ManNAc，5）脱乙酰化的第一种酶，而KsgR则是催化KsgD产物（8）C-3脱氧的第一种UDP-糖3-脱水酶，通过辅因子磷酸吡哆醛（PLP）和l-谷氨酸（l-Glu），并采用类似ColD的催化机制，如晶体学分析、分子对接和定点突变所示。我们的发现揭示了1的生物合成之谜，突显了自然界中生物合成二氨基糖的有趣策略，并为进一步完全揭示2的生物合成逻辑提供了一些证据。</w:t>
      </w:r>
    </w:p>
    <w:p>
      <w:pPr>
        <w:spacing w:before="0" w:after="200" w:lineRule="auto" w:line="276"/>
      </w:pPr>
      <w:r>
        <w:rPr>
          <w:b/>
        </w:rPr>
        <w:t xml:space="preserve">Abstract (EN): </w:t>
      </w:r>
      <w:r>
        <w:t>Kasugamine (2,4-diamino-2,3,4,6-tetradeoxy-d-mannose, 1) is a rare multideoxy diamino-sugar forming the core skeleton of the commercial aminoglycoside antibiotic Kasugamycin (KSG, 2), an agricultural fungicide that has been used against rice blast disease for more than 60 years. Despite the reported biosynthetic gene cluster (BGC) for 2, the enzymatic logic leading to the formation of 1 remained unclear. Here, we report the biosynthetic mechanism of 1. Five enzymes─KsgQ, KsgB, KsgD, KsgR, and KsgC─can biochemically convert uridine diphosphate-N-acetyl-d-glucosamine (UDP-GlcNAc, 4) to generate the sugar donor 6, which is incorporated into 2, as confirmed by stable isotope-labeled feeding experiments. KsgB is characterized as the first enzyme catalyzing the deacetylation of uridine diphosphate-N-acetyl-d-mannosamine (UDP-ManNAc, 5), while KsgR represents the first UDP-sugar 3-dehydrase catalyzing the C-3 deoxygenation of the KsgD product (8) via the cofactors pyridoxal-5'-phosphate (PLP) and l-glutamic acid (l-Glu), and employs a ColD-like catalytic mechanism, as shown by crystallographic analysis, molecular docking, and site-directed mutagenesis. Our findings unravel the biosynthetic mysteries of 1, highlight the intriguing strategies for biosynthesizing diamino-sugars in nature, and provide some evidence for further completely uncovering the biosynthetic logic of 2.</w:t>
      </w:r>
    </w:p>
    <w:p>
      <w:pPr>
        <w:spacing w:before="120" w:after="120"/>
      </w:pPr>
      <w:r>
        <w:rPr>
          <w:sz w:val="18"/>
        </w:rPr>
        <w:t>——————————————————————————————————————————————————————————————————————</w:t>
      </w:r>
    </w:p>
    <w:p>
      <w:pPr>
        <w:spacing w:before="160" w:after="40" w:line="240" w:lineRule="auto"/>
      </w:pPr>
      <w:r>
        <w:rPr>
          <w:b/>
        </w:rPr>
        <w:t xml:space="preserve">[62] </w:t>
      </w:r>
      <w:hyperlink r:id="rId256">
        <w:r>
          <w:rPr>
            <w:color w:val="1155CC"/>
            <w:u w:val="single"/>
          </w:rPr>
          <w:t>[ASAP] 由碳支持的金属-双(芳基二硫代烯)配合物催化的水中电催化N2O还原</w:t>
        </w:r>
      </w:hyperlink>
    </w:p>
    <w:p>
      <w:pPr>
        <w:spacing w:before="0" w:after="80"/>
      </w:pPr>
      <w:r>
        <w:rPr>
          <w:i/>
          <w:sz w:val="20"/>
        </w:rPr>
        <w:t>EN: [ASAP] Electrocatalytic N2O Reduction Catalyzed by Carbon-Supported Metal–Bis(diaryldithiolene) Complexes in Water</w:t>
      </w:r>
    </w:p>
    <w:p>
      <w:pPr>
        <w:spacing w:before="0" w:after="120"/>
      </w:pPr>
      <w:r>
        <w:rPr>
          <w:b/>
        </w:rPr>
        <w:t xml:space="preserve">Source: </w:t>
      </w:r>
      <w:r>
        <w:t>Journal of the American Chemical Society: Latest Articles (ACS Publications)</w:t>
      </w:r>
      <w:r>
        <w:t xml:space="preserve">    </w:t>
      </w:r>
      <w:r>
        <w:rPr>
          <w:b/>
        </w:rPr>
        <w:t xml:space="preserve">Pub date: </w:t>
      </w:r>
      <w:r>
        <w:t>2026-05-03 18:31:55+00:00</w:t>
      </w:r>
      <w:r>
        <w:t xml:space="preserve">    </w:t>
      </w:r>
      <w:r>
        <w:rPr>
          <w:b/>
        </w:rPr>
        <w:t xml:space="preserve">DOI: </w:t>
      </w:r>
      <w:hyperlink r:id="rId257">
        <w:r>
          <w:rPr>
            <w:color w:val="1155CC"/>
            <w:u w:val="single"/>
          </w:rPr>
          <w:t>10.1021/jacs.6c03398</w:t>
        </w:r>
      </w:hyperlink>
    </w:p>
    <w:p>
      <w:pPr>
        <w:spacing w:before="0" w:after="120"/>
      </w:pPr>
      <w:r>
        <w:rPr>
          <w:b/>
        </w:rPr>
        <w:t xml:space="preserve">Notes: </w:t>
      </w:r>
      <w:r>
        <w:t>abstract_source=pubmed</w:t>
      </w:r>
    </w:p>
    <w:p>
      <w:pPr>
        <w:spacing w:before="0" w:after="80" w:lineRule="auto" w:line="276"/>
      </w:pPr>
      <w:r>
        <w:rPr>
          <w:b/>
        </w:rPr>
        <w:t xml:space="preserve">摘要（ZH）: </w:t>
      </w:r>
      <w:r>
        <w:t>我们报告了在碱性介质中含有二芳基二硫烯非无辜配体的铁、钴和镍配合物的电催化一氧化二氮还原反应（N2ORR）活性。在-0.3 V vs RHE时，负载在Ketjenblack碳黑上的钴配合物（CoL2/KB）显示出最高的N2ORR活性，周转频率（TOF）为（3.6 ± 0.5）× 102 h-1，98%的法拉第效率转化为N2，且在24小时内几乎没有降解。在-0.6 V vs RHE时，CoL2/KB表现出（8.6 ± 1.1）× 102 h-1的TOF，超过了先前报道的基于分子的N2ORR电催化剂。X射线吸收光谱和密度泛函理论计算揭示了具有高Co-S共价性的平面四方CoI-S4配位环境作为具有高N2ORR活性的活性位点。这项工作将指导我们设计和开发具有高N2ORR活性的无贵金属电催化剂。</w:t>
      </w:r>
    </w:p>
    <w:p>
      <w:pPr>
        <w:spacing w:before="0" w:after="200" w:lineRule="auto" w:line="276"/>
      </w:pPr>
      <w:r>
        <w:rPr>
          <w:b/>
        </w:rPr>
        <w:t xml:space="preserve">Abstract (EN): </w:t>
      </w:r>
      <w:r>
        <w:t>We report the electrocatalytic nitrous oxide reduction reaction (N2ORR) activity of iron, cobalt, and nickel complexes with a noninnocent ligand of diaryldithiolene in alkaline media. At -0.3 V vs RHE, the cobalt complex on a carbon black of Ketjenblack (CoL2/KB) showed the highest N2ORR activity with a turnover frequency (TOF) of (3.6 ± 0.5) × 102 h-1, 98% Faradaic efficiency to N2 and almost no degradation over 24 h. At -0.6 V vs RHE, CoL2/KB exhibited a TOF of (8.6 ± 1.1) × 102 h-1, surpassing those of previously reported molecular-based electrocatalysts for the N2ORR. X-ray absorption spectroscopy and density functional theory calculations revealed that the square-planar CoI-S4 coordination environment with high Co-S covalency serves as the active site with high N2ORR activity. This work will guide us in designing and developing precious metal-free electrocatalysts with high N2ORR activity.</w:t>
      </w:r>
    </w:p>
    <w:p>
      <w:pPr>
        <w:spacing w:before="120" w:after="120"/>
      </w:pPr>
      <w:r>
        <w:rPr>
          <w:sz w:val="18"/>
        </w:rPr>
        <w:t>——————————————————————————————————————————————————————————————————————</w:t>
      </w:r>
    </w:p>
    <w:p>
      <w:pPr>
        <w:spacing w:before="160" w:after="40" w:line="240" w:lineRule="auto"/>
      </w:pPr>
      <w:r>
        <w:rPr>
          <w:b/>
        </w:rPr>
        <w:t xml:space="preserve">[63] </w:t>
      </w:r>
      <w:hyperlink r:id="rId258">
        <w:r>
          <w:rPr>
            <w:color w:val="1155CC"/>
            <w:u w:val="single"/>
          </w:rPr>
          <w:t>[ASAP] 预制簇策略用于氟桥联UiO-66类似物的简易合成</w:t>
        </w:r>
      </w:hyperlink>
    </w:p>
    <w:p>
      <w:pPr>
        <w:spacing w:before="0" w:after="80"/>
      </w:pPr>
      <w:r>
        <w:rPr>
          <w:i/>
          <w:sz w:val="20"/>
        </w:rPr>
        <w:t>EN: [ASAP] Prefabricated Cluster Strategy for the Facile Synthesis of Fluoro-Bridged UiO-66 Analogues</w:t>
      </w:r>
    </w:p>
    <w:p>
      <w:pPr>
        <w:spacing w:before="0" w:after="120"/>
      </w:pPr>
      <w:r>
        <w:rPr>
          <w:b/>
        </w:rPr>
        <w:t xml:space="preserve">Source: </w:t>
      </w:r>
      <w:r>
        <w:t>Journal of the American Chemical Society: Latest Articles (ACS Publications)</w:t>
      </w:r>
      <w:r>
        <w:t xml:space="preserve">    </w:t>
      </w:r>
      <w:r>
        <w:rPr>
          <w:b/>
        </w:rPr>
        <w:t xml:space="preserve">Pub date: </w:t>
      </w:r>
      <w:r>
        <w:t>2026-05-03 19:48:29+00:00</w:t>
      </w:r>
      <w:r>
        <w:t xml:space="preserve">    </w:t>
      </w:r>
      <w:r>
        <w:rPr>
          <w:b/>
        </w:rPr>
        <w:t xml:space="preserve">DOI: </w:t>
      </w:r>
      <w:hyperlink r:id="rId259">
        <w:r>
          <w:rPr>
            <w:color w:val="1155CC"/>
            <w:u w:val="single"/>
          </w:rPr>
          <w:t>10.1021/jacs.6c03146</w:t>
        </w:r>
      </w:hyperlink>
    </w:p>
    <w:p>
      <w:pPr>
        <w:spacing w:before="0" w:after="120"/>
      </w:pPr>
      <w:r>
        <w:rPr>
          <w:b/>
        </w:rPr>
        <w:t xml:space="preserve">Notes: </w:t>
      </w:r>
      <w:r>
        <w:t>abstract_source=pubmed</w:t>
      </w:r>
    </w:p>
    <w:p>
      <w:pPr>
        <w:spacing w:before="0" w:after="80" w:lineRule="auto" w:line="276"/>
      </w:pPr>
      <w:r>
        <w:rPr>
          <w:b/>
        </w:rPr>
        <w:t xml:space="preserve">摘要（ZH）: </w:t>
      </w:r>
      <w:r>
        <w:t>基于金属簇的金属有机框架（MOFs）由于其更好的配位几何方向性和选择性，提供了许多经典的MOF材料。然而，与MOFs中众多可替代的有机配体和金属离子不同，精确控制金属簇中的无机桥接物种仍然是一个重大挑战。在此，我们使用预制的氟化物桥接镧系簇作为前体，明确地将氟化物桥引入到具有fcu拓扑的著名UiO-66型MOF中。该蓝图通过不同长度和功能基团的有机配体改变，提供了八个具有桥接F-的等网状配位网络。桥接F-的含量和位置的表征证明了O桥的完全替代为F桥。更重要的是，快速和适度的反应过程允许在室温下5秒内合成十克规模。与原型UiO-66相比，代表性结构中的桥接F-可以促进C2H2吸附并进行高效的C2H2/CO2分离。</w:t>
      </w:r>
    </w:p>
    <w:p>
      <w:pPr>
        <w:spacing w:before="0" w:after="200" w:lineRule="auto" w:line="276"/>
      </w:pPr>
      <w:r>
        <w:rPr>
          <w:b/>
        </w:rPr>
        <w:t xml:space="preserve">Abstract (EN): </w:t>
      </w:r>
      <w:r>
        <w:t>Metal cluster-based metal-organic frameworks (MOFs) offer many classical MOF materials because of their better directionality and selectivity of coordination geometry. However, unlike the numerous substitutable organic ligands and metal ions in MOFs, precisely controlling the inorganic bridging species in the metal cluster remains a significant challenge. Here, we use a prefabricated fluoride-bridged lanthanide cluster as a precursor to unambiguously introduce fluoride bridges into a well-known UiO-66-type MOF with an fcu topology. This blueprint provides eight isoreticular coordination networks with bridging F- through organic ligand alterations of different lengths and functional groups. The characterization of the content and position of bridging F- proves the complete substitution of O-bridge with F-bridge. More importantly, the rapid and moderate reaction process allows for the synthesis of ten-gram scale at room temperature within 5 s. Compared with prototypical UiO-66, the bridging F- in the representative structure can promote C2H2 adsorption and conduct efficient C2H2/CO2 separation.</w:t>
      </w:r>
    </w:p>
    <w:p>
      <w:pPr>
        <w:spacing w:before="120" w:after="120"/>
      </w:pPr>
      <w:r>
        <w:rPr>
          <w:sz w:val="18"/>
        </w:rPr>
        <w:t>——————————————————————————————————————————————————————————————————————</w:t>
      </w:r>
    </w:p>
    <w:p>
      <w:pPr>
        <w:spacing w:before="160" w:after="40" w:line="240" w:lineRule="auto"/>
      </w:pPr>
      <w:r>
        <w:rPr>
          <w:b/>
        </w:rPr>
        <w:t xml:space="preserve">[64] </w:t>
      </w:r>
      <w:hyperlink r:id="rId260">
        <w:r>
          <w:rPr>
            <w:color w:val="1155CC"/>
            <w:u w:val="single"/>
          </w:rPr>
          <w:t>用于凝固的蒙特卡罗Potts模型</w:t>
        </w:r>
      </w:hyperlink>
    </w:p>
    <w:p>
      <w:pPr>
        <w:spacing w:before="0" w:after="80"/>
      </w:pPr>
      <w:r>
        <w:rPr>
          <w:i/>
          <w:sz w:val="20"/>
        </w:rPr>
        <w:t>EN: A Monte Carlo Potts model for solidification</w:t>
      </w:r>
    </w:p>
    <w:p>
      <w:pPr>
        <w:spacing w:before="0" w:after="120"/>
      </w:pPr>
      <w:r>
        <w:rPr>
          <w:b/>
        </w:rPr>
        <w:t xml:space="preserve">Source: </w:t>
      </w:r>
      <w:r>
        <w:t>Nature Communications</w:t>
      </w:r>
      <w:r>
        <w:t xml:space="preserve">    </w:t>
      </w:r>
      <w:r>
        <w:rPr>
          <w:b/>
        </w:rPr>
        <w:t xml:space="preserve">Pub date: </w:t>
      </w:r>
      <w:r>
        <w:t>2026-05-04 00:00:00+00:00</w:t>
      </w:r>
      <w:r>
        <w:t xml:space="preserve">    </w:t>
      </w:r>
      <w:r>
        <w:rPr>
          <w:b/>
        </w:rPr>
        <w:t xml:space="preserve">DOI: </w:t>
      </w:r>
      <w:hyperlink r:id="rId261">
        <w:r>
          <w:rPr>
            <w:color w:val="1155CC"/>
            <w:u w:val="single"/>
          </w:rPr>
          <w:t>10.1038/s41467-026-72512-7</w:t>
        </w:r>
      </w:hyperlink>
    </w:p>
    <w:p>
      <w:pPr>
        <w:spacing w:before="0" w:after="120"/>
      </w:pPr>
      <w:r>
        <w:rPr>
          <w:b/>
        </w:rPr>
        <w:t xml:space="preserve">Notes: </w:t>
      </w:r>
      <w:r>
        <w:t>abstract_source=nature_html</w:t>
      </w:r>
    </w:p>
    <w:p>
      <w:pPr>
        <w:spacing w:before="0" w:after="80" w:lineRule="auto" w:line="276"/>
      </w:pPr>
      <w:r>
        <w:rPr>
          <w:b/>
        </w:rPr>
        <w:t xml:space="preserve">摘要（ZH）: </w:t>
      </w:r>
      <w:r>
        <w:t>凝固行为的预测对于优化金属产品的制造工艺，从传统方法到先进技术（如增材制造）都很重要。然而，由于其巨大的计算成本，代表性的凝固计算模拟方法在实际应用中难以使用。在本研究中，基于蒙特卡罗算法开发了一种凝固模拟模型，该模型具有低计算成本，并有效捕捉凝固动力学的关键方面。该模型同时考虑了晶粒生长、成核和外延生长，再现了凝固微观结构和定量凝固动力学，与常识和实验观察一致。此外，在实际工艺中的微观结构演变在现实工艺规模上成功再现。该模型有望成为金属产品微观结构设计和工艺优化的有效工具，在材料科学领域具有广泛应用。</w:t>
      </w:r>
    </w:p>
    <w:p>
      <w:pPr>
        <w:spacing w:before="0" w:after="200" w:lineRule="auto" w:line="276"/>
      </w:pPr>
      <w:r>
        <w:rPr>
          <w:b/>
        </w:rPr>
        <w:t xml:space="preserve">Abstract (EN): </w:t>
      </w:r>
      <w:r>
        <w:t>The prediction of solidification behavior is important for optimizing manufacturing processes for metallic products, from traditional methods to advanced technologies, such as additive manufacturing. However, representative computational simulation methods for solidification are challenging to use in practical applications owing to their substantial computational costs. In the present work, a simulation model for solidification was developed based on the Monte Carlo algorithm, which features low computational cost and effectively captures the key aspects of solidification kinetics. The model simultaneously accounts for grain growth, nucleation, and epitaxial growth, reproducing solidification microstructures and quantitative solidification kinetics, consistent with common knowledge and experimental observations. Furthermore, microstructural evolution during practical processes was successfully reproduced at realistic process scales. This model is expected to serve as an effective tool for microstructure design and process optimization in metallic products with broad applications in the field of materials science.</w:t>
      </w:r>
    </w:p>
    <w:p>
      <w:pPr>
        <w:spacing w:before="120" w:after="120"/>
      </w:pPr>
      <w:r>
        <w:rPr>
          <w:sz w:val="18"/>
        </w:rPr>
        <w:t>——————————————————————————————————————————————————————————————————————</w:t>
      </w:r>
    </w:p>
    <w:p>
      <w:pPr>
        <w:spacing w:before="160" w:after="40" w:line="240" w:lineRule="auto"/>
      </w:pPr>
      <w:r>
        <w:rPr>
          <w:b/>
        </w:rPr>
        <w:t xml:space="preserve">[65] </w:t>
      </w:r>
      <w:hyperlink r:id="rId262">
        <w:r>
          <w:rPr>
            <w:color w:val="1155CC"/>
            <w:u w:val="single"/>
          </w:rPr>
          <w:t>通过递归超参数优化实现自动化深度学习</w:t>
        </w:r>
      </w:hyperlink>
    </w:p>
    <w:p>
      <w:pPr>
        <w:spacing w:before="0" w:after="80"/>
      </w:pPr>
      <w:r>
        <w:rPr>
          <w:i/>
          <w:sz w:val="20"/>
        </w:rPr>
        <w:t>EN: Automated deep learning by recurrent hyperparameter optimization</w:t>
      </w:r>
    </w:p>
    <w:p>
      <w:pPr>
        <w:spacing w:before="0" w:after="120"/>
      </w:pPr>
      <w:r>
        <w:rPr>
          <w:b/>
        </w:rPr>
        <w:t xml:space="preserve">Source: </w:t>
      </w:r>
      <w:r>
        <w:t>Nature Communications</w:t>
      </w:r>
      <w:r>
        <w:t xml:space="preserve">    </w:t>
      </w:r>
      <w:r>
        <w:rPr>
          <w:b/>
        </w:rPr>
        <w:t xml:space="preserve">Pub date: </w:t>
      </w:r>
      <w:r>
        <w:t>2026-05-04 00:00:00+00:00</w:t>
      </w:r>
      <w:r>
        <w:t xml:space="preserve">    </w:t>
      </w:r>
      <w:r>
        <w:rPr>
          <w:b/>
        </w:rPr>
        <w:t xml:space="preserve">DOI: </w:t>
      </w:r>
      <w:hyperlink r:id="rId263">
        <w:r>
          <w:rPr>
            <w:color w:val="1155CC"/>
            <w:u w:val="single"/>
          </w:rPr>
          <w:t>10.1038/s41467-026-72413-9</w:t>
        </w:r>
      </w:hyperlink>
    </w:p>
    <w:p>
      <w:pPr>
        <w:spacing w:before="0" w:after="120"/>
      </w:pPr>
      <w:r>
        <w:rPr>
          <w:b/>
        </w:rPr>
        <w:t xml:space="preserve">Notes: </w:t>
      </w:r>
      <w:r>
        <w:t>abstract_source=nature_html</w:t>
      </w:r>
    </w:p>
    <w:p>
      <w:pPr>
        <w:spacing w:before="0" w:after="80" w:lineRule="auto" w:line="276"/>
      </w:pPr>
      <w:r>
        <w:rPr>
          <w:b/>
        </w:rPr>
        <w:t xml:space="preserve">摘要（ZH）: </w:t>
      </w:r>
      <w:r>
        <w:t>优化深度学习模型的超参数以适应特定任务需要大量的领域专业知识和计算资源，在自动化深度学习中仍然具有挑战性。现有的超参数优化（HPO）方法仅限于有限的离散超参数类型，依赖于手动先验，无法扩展到大型数据集。本文提出了Rocket，一个通过自我博弈强化学习自动调整混合类型超参数的递归HPO框架，不需要先验领域知识。开发了一个策略代理，从历史经验中学习，并通过与目标模型的迭代交互逐步优化其策略。为了解决大规模数据集上的严重奖励延迟，设计了一种数据子集的奖励近似机制，将策略学习加速高达80倍。在8个深度学习任务和32个基准测试中，Rocket使目标模型从零开始实现了最先进的性能，匹配专家调优的结果。在实际工业部署中，Rocket将优化时间减少了13.4倍，成本降低了73%。</w:t>
      </w:r>
    </w:p>
    <w:p>
      <w:pPr>
        <w:spacing w:before="0" w:after="200" w:lineRule="auto" w:line="276"/>
      </w:pPr>
      <w:r>
        <w:rPr>
          <w:b/>
        </w:rPr>
        <w:t xml:space="preserve">Abstract (EN): </w:t>
      </w:r>
      <w:r>
        <w:t>Optimizing hyperparameters of deep learning models for specific tasks requires substantial domain expertise and computational resources, remaining challenging in automated deep learning. Existing hyperparameter optimization (HPO) methods are restricted to limited discrete hyperparameter types, rely on manual priors, and fail to scale to large datasets. This paper presents Rocket, a recurrent HPO framework that automates the tuning of mixed-type hyperparameters by self-play reinforcement learning, requiring no prior domain knowledge. A policy agent is developed to learn from historical experience and progressively refine its strategy through iterative interactions with the target model. To address severe reward delay on large-scale datasets, a reward approximation mechanism is designed for data subsets, accelerating policy learning by up to 80X. Across 8 deep learning tasks and 32 benchmarks, Rocket enables target models to achieve state-of-the-art performance from scratch, matching expert-tuned results. In real industrial deployment, Rocket reduces optimization time by 13.4-fold and cost by 73%.</w:t>
      </w:r>
    </w:p>
    <w:p>
      <w:pPr>
        <w:spacing w:before="120" w:after="120"/>
      </w:pPr>
      <w:r>
        <w:rPr>
          <w:sz w:val="18"/>
        </w:rPr>
        <w:t>——————————————————————————————————————————————————————————————————————</w:t>
      </w:r>
    </w:p>
    <w:p>
      <w:pPr>
        <w:spacing w:before="160" w:after="40" w:line="240" w:lineRule="auto"/>
      </w:pPr>
      <w:r>
        <w:rPr>
          <w:b/>
        </w:rPr>
        <w:t xml:space="preserve">[66] </w:t>
      </w:r>
      <w:hyperlink r:id="rId264">
        <w:r>
          <w:rPr>
            <w:color w:val="1155CC"/>
            <w:u w:val="single"/>
          </w:rPr>
          <w:t>气候驱动的美国沿海零地带人口减少和适应现实</w:t>
        </w:r>
      </w:hyperlink>
    </w:p>
    <w:p>
      <w:pPr>
        <w:spacing w:before="0" w:after="80"/>
      </w:pPr>
      <w:r>
        <w:rPr>
          <w:i/>
          <w:sz w:val="20"/>
        </w:rPr>
        <w:t>EN: Climate-driven depopulation and adaptation realities in America’s coastal ground zero</w:t>
      </w:r>
    </w:p>
    <w:p>
      <w:pPr>
        <w:spacing w:before="0" w:after="120"/>
      </w:pPr>
      <w:r>
        <w:rPr>
          <w:b/>
        </w:rPr>
        <w:t xml:space="preserve">Source: </w:t>
      </w:r>
      <w:r>
        <w:t>Nature Sustainability</w:t>
      </w:r>
      <w:r>
        <w:t xml:space="preserve">    </w:t>
      </w:r>
      <w:r>
        <w:rPr>
          <w:b/>
        </w:rPr>
        <w:t xml:space="preserve">Pub date: </w:t>
      </w:r>
      <w:r>
        <w:t>2026-05-04 00:00:00+00:00</w:t>
      </w:r>
      <w:r>
        <w:t xml:space="preserve">    </w:t>
      </w:r>
      <w:r>
        <w:rPr>
          <w:b/>
        </w:rPr>
        <w:t xml:space="preserve">DOI: </w:t>
      </w:r>
      <w:hyperlink r:id="rId265">
        <w:r>
          <w:rPr>
            <w:color w:val="1155CC"/>
            <w:u w:val="single"/>
          </w:rPr>
          <w:t>10.1038/s41893-026-01820-z</w:t>
        </w:r>
      </w:hyperlink>
    </w:p>
    <w:p>
      <w:pPr>
        <w:spacing w:before="0" w:after="120"/>
      </w:pPr>
      <w:r>
        <w:rPr>
          <w:b/>
        </w:rPr>
        <w:t xml:space="preserve">Notes: </w:t>
      </w:r>
      <w:r>
        <w:t>abstract_source=nature_html</w:t>
      </w:r>
    </w:p>
    <w:p>
      <w:pPr>
        <w:spacing w:before="0" w:after="80" w:lineRule="auto" w:line="276"/>
      </w:pPr>
      <w:r>
        <w:rPr>
          <w:b/>
        </w:rPr>
        <w:t xml:space="preserve">摘要（ZH）: </w:t>
      </w:r>
      <w:r>
        <w:t>随着全球气温有可能超过《巴黎协定》1.5°C的门槛——这一水平在上一个间冰期引发了大规模冰盖崩溃——低海拔沿海地区面临的海平面承诺远远超出了当前的规划视野。在这一地质参考框架下，我们利用史前和当代人类迁徙模式，研究海平面上升对世界上可能是最脆弱的沿海地区的影响。我们强调了该地区最近开始的迁出活动的积极方面，并认为该沿海地区内陆社区的命运将在未来几十年内决定。</w:t>
      </w:r>
    </w:p>
    <w:p>
      <w:pPr>
        <w:spacing w:before="0" w:after="200" w:lineRule="auto" w:line="276"/>
      </w:pPr>
      <w:r>
        <w:rPr>
          <w:b/>
        </w:rPr>
        <w:t xml:space="preserve">Abstract (EN): </w:t>
      </w:r>
      <w:r>
        <w:t>With global temperatures poised to exceed the 1.5 °C Paris Agreement threshold—a level that triggered substantial ice-sheet collapse during the Last Interglacial—low-elevation coastal zones face sea-level commitments far beyond current planning horizons. With this geological frame of reference, we examine the impact of sea-level rise on what may be the most physically vulnerable coastal zone in the world using prehistoric and contemporary patterns of human mobility. We highlight the positive aspects of the recently commenced out-migration in this region and argue that the fate of communities landwards of this coastal zone will be decided in the next few decades.</w:t>
      </w:r>
    </w:p>
    <w:p>
      <w:pPr>
        <w:spacing w:before="120" w:after="120"/>
      </w:pPr>
      <w:r>
        <w:rPr>
          <w:sz w:val="18"/>
        </w:rPr>
        <w:t>——————————————————————————————————————————————————————————————————————</w:t>
      </w:r>
    </w:p>
    <w:p>
      <w:pPr>
        <w:spacing w:before="160" w:after="40" w:line="240" w:lineRule="auto"/>
      </w:pPr>
      <w:r>
        <w:rPr>
          <w:b/>
        </w:rPr>
        <w:t xml:space="preserve">[67] </w:t>
      </w:r>
      <w:hyperlink r:id="rId266">
        <w:r>
          <w:rPr>
            <w:color w:val="1155CC"/>
            <w:u w:val="single"/>
          </w:rPr>
          <w:t>观察到相干铁子发射和传播</w:t>
        </w:r>
      </w:hyperlink>
    </w:p>
    <w:p>
      <w:pPr>
        <w:spacing w:before="0" w:after="80"/>
      </w:pPr>
      <w:r>
        <w:rPr>
          <w:i/>
          <w:sz w:val="20"/>
        </w:rPr>
        <w:t>EN: Observation of coherent ferron emission and propagation</w:t>
      </w:r>
    </w:p>
    <w:p>
      <w:pPr>
        <w:spacing w:before="0" w:after="120"/>
      </w:pPr>
      <w:r>
        <w:rPr>
          <w:b/>
        </w:rPr>
        <w:t xml:space="preserve">Source: </w:t>
      </w:r>
      <w:r>
        <w:t>Nature Materials</w:t>
      </w:r>
      <w:r>
        <w:t xml:space="preserve">    </w:t>
      </w:r>
      <w:r>
        <w:rPr>
          <w:b/>
        </w:rPr>
        <w:t xml:space="preserve">Pub date: </w:t>
      </w:r>
      <w:r>
        <w:t>2026-05-04 00:00:00+00:00</w:t>
      </w:r>
      <w:r>
        <w:t xml:space="preserve">    </w:t>
      </w:r>
      <w:r>
        <w:rPr>
          <w:b/>
        </w:rPr>
        <w:t xml:space="preserve">DOI: </w:t>
      </w:r>
      <w:hyperlink r:id="rId267">
        <w:r>
          <w:rPr>
            <w:color w:val="1155CC"/>
            <w:u w:val="single"/>
          </w:rPr>
          <w:t>10.1038/s41563-026-02597-4</w:t>
        </w:r>
      </w:hyperlink>
    </w:p>
    <w:p>
      <w:pPr>
        <w:spacing w:before="0" w:after="120"/>
      </w:pPr>
      <w:r>
        <w:rPr>
          <w:b/>
        </w:rPr>
        <w:t xml:space="preserve">Notes: </w:t>
      </w:r>
      <w:r>
        <w:t>abstract_source=nature_html</w:t>
      </w:r>
    </w:p>
    <w:p>
      <w:pPr>
        <w:spacing w:before="0" w:after="80" w:lineRule="auto" w:line="276"/>
      </w:pPr>
      <w:r>
        <w:rPr>
          <w:b/>
        </w:rPr>
        <w:t xml:space="preserve">摘要（ZH）: </w:t>
      </w:r>
      <w:r>
        <w:t>有序相产生集体模式和准粒子，例如从磁性有序中出现的自旋波和磁振子。将这一范式扩展到铁电体，暗示了极化波及其基本量子——铁电子的存在。一个相干铁电子，即极化波，调制电极化的幅度，因此是铁电有序的幅度（希格斯）模式。在这里，我们观察到从脉冲激光激发的范德华铁电体NbOI2和WO2Br2中出现的相干铁电子。我们展示了相干铁电子的两种互补表现形式：在铁电横向光学声子频率下的强窄带太赫兹发射，以及沿极轴作为双曲声子极化激元的单轴传播，具有异常长的相干时间。这些长寿命、单轴和携带偶极子的极化波可能在窄带太赫兹发射、铁电信息处理和相干电控中找到应用。</w:t>
      </w:r>
    </w:p>
    <w:p>
      <w:pPr>
        <w:spacing w:before="0" w:after="200" w:lineRule="auto" w:line="276"/>
      </w:pPr>
      <w:r>
        <w:rPr>
          <w:b/>
        </w:rPr>
        <w:t xml:space="preserve">Abstract (EN): </w:t>
      </w:r>
      <w:r>
        <w:t>Ordered phases give rise to collective modes and quasiparticles, such as spin waves and magnons emerging from magnetic order. Extending this paradigm to ferroelectrics suggests the existence of polarization waves and their fundamental quanta, ferrons. A coherent ferron—that is, a polarization wave—modulates the magnitude of the electric polarization and is thus an amplitude (Higgs) mode of the ferroelectric order. Here we observe coherent ferrons from the pulsed laser excitation of van der Waals ferroelectrics, NbOI2 and WO2Br2. We demonstrate two complementary manifestations of coherent ferrons: intense narrow-band terahertz emission at the ferroelectric transverse optical phonon frequency, and uniaxial propagation along the polar axis as hyperbolic phonon polaritons with exceptionally long coherence times. These long-lived, uniaxial and dipole-carrying polarization waves may find applications in narrow-band terahertz emission, ferronic information processing and coherent electric control.</w:t>
      </w:r>
    </w:p>
    <w:p>
      <w:pPr>
        <w:spacing w:before="120" w:after="120"/>
      </w:pPr>
      <w:r>
        <w:rPr>
          <w:sz w:val="18"/>
        </w:rPr>
        <w:t>——————————————————————————————————————————————————————————————————————</w:t>
      </w:r>
    </w:p>
    <w:p>
      <w:pPr>
        <w:spacing w:before="160" w:after="40" w:line="240" w:lineRule="auto"/>
      </w:pPr>
      <w:r>
        <w:rPr>
          <w:b/>
        </w:rPr>
        <w:t xml:space="preserve">[68] </w:t>
      </w:r>
      <w:hyperlink r:id="rId268">
        <w:r>
          <w:rPr>
            <w:color w:val="1155CC"/>
            <w:u w:val="single"/>
          </w:rPr>
          <w:t>从设计的广谱结合蛋白中出现特异性结合和催化</w:t>
        </w:r>
      </w:hyperlink>
    </w:p>
    <w:p>
      <w:pPr>
        <w:spacing w:before="0" w:after="80"/>
      </w:pPr>
      <w:r>
        <w:rPr>
          <w:i/>
          <w:sz w:val="20"/>
        </w:rPr>
        <w:t>EN: Emergence of specific binding and catalysis from a designed generalist binding protein</w:t>
      </w:r>
    </w:p>
    <w:p>
      <w:pPr>
        <w:spacing w:before="0" w:after="120"/>
      </w:pPr>
      <w:r>
        <w:rPr>
          <w:b/>
        </w:rPr>
        <w:t xml:space="preserve">Source: </w:t>
      </w:r>
      <w:r>
        <w:t>Nature Chemistry</w:t>
      </w:r>
      <w:r>
        <w:t xml:space="preserve">    </w:t>
      </w:r>
      <w:r>
        <w:rPr>
          <w:b/>
        </w:rPr>
        <w:t xml:space="preserve">Pub date: </w:t>
      </w:r>
      <w:r>
        <w:t>2026-05-04 00:00:00+00:00</w:t>
      </w:r>
      <w:r>
        <w:t xml:space="preserve">    </w:t>
      </w:r>
      <w:r>
        <w:rPr>
          <w:b/>
        </w:rPr>
        <w:t xml:space="preserve">DOI: </w:t>
      </w:r>
      <w:hyperlink r:id="rId269">
        <w:r>
          <w:rPr>
            <w:color w:val="1155CC"/>
            <w:u w:val="single"/>
          </w:rPr>
          <w:t>10.1038/s41557-026-02125-6</w:t>
        </w:r>
      </w:hyperlink>
    </w:p>
    <w:p>
      <w:pPr>
        <w:spacing w:before="0" w:after="120"/>
      </w:pPr>
      <w:r>
        <w:rPr>
          <w:b/>
        </w:rPr>
        <w:t xml:space="preserve">Notes: </w:t>
      </w:r>
      <w:r>
        <w:t>abstract_source=nature_html</w:t>
      </w:r>
    </w:p>
    <w:p>
      <w:pPr>
        <w:spacing w:before="0" w:after="80" w:lineRule="auto" w:line="276"/>
      </w:pPr>
      <w:r>
        <w:rPr>
          <w:b/>
        </w:rPr>
        <w:t xml:space="preserve">摘要（ZH）: </w:t>
      </w:r>
      <w:r>
        <w:t>结合和催化在生命系统中起着核心作用。虽然天然蛋白质对其主要配体具有精细调节的亲和力，但它们也会弱地和广泛地结合其他分子，这些分子作为不同特异性增量进化的起点。因此，现代蛋白质是从序列和结构空间的联合探索中出现的。天然蛋白质与小分子之间的相互作用可以通过在定义几何形状中的晶体学片段筛选系统地分析，但这种方法尚未应用于高度可设计的de novo蛋白质。在这里，我们应用这种方法来探索一种de novo小分子结合蛋白的结合特异性，即apixaban结合螺旋束。与自然界一样，我们发现它形成了弱复合物，这些复合物是设计完全不同功能的优秀起点，包括一个开启的荧光团结合物和一个催化效率为3,200,000 M−1 s−1的高效Kemp消除酶，接近扩散极限。这项工作说明了如何同时考虑序列和化学结构多样性可以指导设计蛋白质中不同功能的出现。此图像的替代文本可能是使用AI生成的。</w:t>
      </w:r>
    </w:p>
    <w:p>
      <w:pPr>
        <w:spacing w:before="0" w:after="200" w:lineRule="auto" w:line="276"/>
      </w:pPr>
      <w:r>
        <w:rPr>
          <w:b/>
        </w:rPr>
        <w:t xml:space="preserve">Abstract (EN): </w:t>
      </w:r>
      <w:r>
        <w:t>Binding and catalysis play central roles in living systems. While natural proteins have finely tuned affinities for their primary ligands, they also bind weakly and promiscuously to other molecules, which serve as starting points for the incremental evolution of different specificities. Thus, modern proteins have emerged from the joint exploration of sequence and structural space. Interactions between natural proteins and small molecules can be systematically profiled by crystallographic fragment screening in defined geometries, yet this approach has not been applied to highly designable de novo proteins. Here we apply this method to explore the binding specificity of a de novo small-molecule-binding protein, apixaban-binding helical bundle. As in nature, we found that it formed weak complexes, which were excellent starting points for the design of entirely distinct functions, including a turn-on fluorophore binder and a highly efficient Kemp eliminase with a catalytic efficiency of 3,200,000 M−1 s−1, approaching the diffusion limit. This work illustrates how simultaneous consideration of sequence and chemical structure diversity can guide the emergence of different functions in designed proteins.The alternative text for this image may have been generated using AI.</w:t>
      </w:r>
    </w:p>
    <w:p>
      <w:pPr>
        <w:spacing w:before="120" w:after="120"/>
      </w:pPr>
      <w:r>
        <w:rPr>
          <w:sz w:val="18"/>
        </w:rPr>
        <w:t>——————————————————————————————————————————————————————————————————————</w:t>
      </w:r>
    </w:p>
    <w:p>
      <w:pPr>
        <w:spacing w:before="160" w:after="40" w:line="240" w:lineRule="auto"/>
      </w:pPr>
      <w:r>
        <w:rPr>
          <w:b/>
        </w:rPr>
        <w:t xml:space="preserve">[69] </w:t>
      </w:r>
      <w:hyperlink r:id="rId270">
        <w:r>
          <w:rPr>
            <w:color w:val="1155CC"/>
            <w:u w:val="single"/>
          </w:rPr>
          <w:t>强大的工具正在揭示基因组的‘控制旋钮’</w:t>
        </w:r>
      </w:hyperlink>
    </w:p>
    <w:p>
      <w:pPr>
        <w:spacing w:before="0" w:after="80"/>
      </w:pPr>
      <w:r>
        <w:rPr>
          <w:i/>
          <w:sz w:val="20"/>
        </w:rPr>
        <w:t>EN: Powerful tools are revealing the ‘control knobs’ of the genome</w:t>
      </w:r>
    </w:p>
    <w:p>
      <w:pPr>
        <w:spacing w:before="0" w:after="120"/>
      </w:pPr>
      <w:r>
        <w:rPr>
          <w:b/>
        </w:rPr>
        <w:t xml:space="preserve">Source: </w:t>
      </w:r>
      <w:r>
        <w:t>Nature</w:t>
      </w:r>
      <w:r>
        <w:t xml:space="preserve">    </w:t>
      </w:r>
      <w:r>
        <w:rPr>
          <w:b/>
        </w:rPr>
        <w:t xml:space="preserve">Pub date: </w:t>
      </w:r>
      <w:r>
        <w:t>2026-05-04 00:00:00+00:00</w:t>
      </w:r>
      <w:r>
        <w:t xml:space="preserve">    </w:t>
      </w:r>
      <w:r>
        <w:rPr>
          <w:b/>
        </w:rPr>
        <w:t xml:space="preserve">DOI: </w:t>
      </w:r>
      <w:hyperlink r:id="rId271">
        <w:r>
          <w:rPr>
            <w:color w:val="1155CC"/>
            <w:u w:val="single"/>
          </w:rPr>
          <w:t>10.1038/d41586-026-01410-1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272">
        <w:r>
          <w:rPr>
            <w:color w:val="1155CC"/>
            <w:u w:val="single"/>
          </w:rPr>
          <w:t>‘令人心碎’：伊朗科学家失去实验室、图书馆和自由</w:t>
        </w:r>
      </w:hyperlink>
    </w:p>
    <w:p>
      <w:pPr>
        <w:spacing w:before="0" w:after="80"/>
      </w:pPr>
      <w:r>
        <w:rPr>
          <w:i/>
          <w:sz w:val="20"/>
        </w:rPr>
        <w:t>EN: 'Heartbreaking': Iranian scientists on losing labs, libraries and liberty</w:t>
      </w:r>
    </w:p>
    <w:p>
      <w:pPr>
        <w:spacing w:before="0" w:after="120"/>
      </w:pPr>
      <w:r>
        <w:rPr>
          <w:b/>
        </w:rPr>
        <w:t xml:space="preserve">Source: </w:t>
      </w:r>
      <w:r>
        <w:t>Nature</w:t>
      </w:r>
      <w:r>
        <w:t xml:space="preserve">    </w:t>
      </w:r>
      <w:r>
        <w:rPr>
          <w:b/>
        </w:rPr>
        <w:t xml:space="preserve">Pub date: </w:t>
      </w:r>
      <w:r>
        <w:t>2026-05-04 00:00:00+00:00</w:t>
      </w:r>
      <w:r>
        <w:t xml:space="preserve">    </w:t>
      </w:r>
      <w:r>
        <w:rPr>
          <w:b/>
        </w:rPr>
        <w:t xml:space="preserve">DOI: </w:t>
      </w:r>
      <w:hyperlink r:id="rId273">
        <w:r>
          <w:rPr>
            <w:color w:val="1155CC"/>
            <w:u w:val="single"/>
          </w:rPr>
          <w:t>10.1038/d41586-026-01394-y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274">
        <w:r>
          <w:rPr>
            <w:color w:val="1155CC"/>
            <w:u w:val="single"/>
          </w:rPr>
          <w:t>碱金属离子修饰的沸石咪唑酯框架玻璃</w:t>
        </w:r>
      </w:hyperlink>
    </w:p>
    <w:p>
      <w:pPr>
        <w:spacing w:before="0" w:after="80"/>
      </w:pPr>
      <w:r>
        <w:rPr>
          <w:i/>
          <w:sz w:val="20"/>
        </w:rPr>
        <w:t>EN: Alkali-ion-modified zeolitic imidazolate framework glasses</w:t>
      </w:r>
    </w:p>
    <w:p>
      <w:pPr>
        <w:spacing w:before="0" w:after="120"/>
      </w:pPr>
      <w:r>
        <w:rPr>
          <w:b/>
        </w:rPr>
        <w:t xml:space="preserve">Source: </w:t>
      </w:r>
      <w:r>
        <w:t>Nature Chemistry</w:t>
      </w:r>
      <w:r>
        <w:t xml:space="preserve">    </w:t>
      </w:r>
      <w:r>
        <w:rPr>
          <w:b/>
        </w:rPr>
        <w:t xml:space="preserve">Pub date: </w:t>
      </w:r>
      <w:r>
        <w:t>2026-05-04 00:00:00+00:00</w:t>
      </w:r>
      <w:r>
        <w:t xml:space="preserve">    </w:t>
      </w:r>
      <w:r>
        <w:rPr>
          <w:b/>
        </w:rPr>
        <w:t xml:space="preserve">DOI: </w:t>
      </w:r>
      <w:hyperlink r:id="rId275">
        <w:r>
          <w:rPr>
            <w:color w:val="1155CC"/>
            <w:u w:val="single"/>
          </w:rPr>
          <w:t>10.1038/s41557-026-02115-8</w:t>
        </w:r>
      </w:hyperlink>
    </w:p>
    <w:p>
      <w:pPr>
        <w:spacing w:before="0" w:after="120"/>
      </w:pPr>
      <w:r>
        <w:rPr>
          <w:b/>
        </w:rPr>
        <w:t xml:space="preserve">Notes: </w:t>
      </w:r>
      <w:r>
        <w:t>abstract_source=nature_html</w:t>
      </w:r>
    </w:p>
    <w:p>
      <w:pPr>
        <w:spacing w:before="0" w:after="80" w:lineRule="auto" w:line="276"/>
      </w:pPr>
      <w:r>
        <w:rPr>
          <w:b/>
        </w:rPr>
        <w:t xml:space="preserve">摘要（ZH）: </w:t>
      </w:r>
      <w:r>
        <w:t>修改玻璃成分是为包括光纤、催化剂支撑物、保护涂层和分离膜等技术创建硅酸盐基玻璃的关键。在这里，我们通过用Li(bim)和Na(bim)作为兼容玻璃改性剂（苯并咪唑酸根，bim−）修改MOF玻璃前体ZIF-62，将这一概念扩展到金属有机框架（MOF）玻璃。通过熔融淬火增加Na(bim)含量的物理混合物，得到改性的MOF玻璃，表现出玻璃转变温度（Tg）的系统性降低，同时液体脆性、Tg下的构型热容和密度增加：通过部分网络去聚合平行于硅酸盐玻璃化学。结构和光谱分析，结合密度泛函理论计算，证实Na(bim)均匀地掺入MOF玻璃框架中而不是孔隙中，并揭示了低配位钠离子环境的存在。最后，通过水处理提取改性剂增加了玻璃的孔隙率，类似于已建立的硼硅酸盐玻璃工艺。这项工作引入了一种可转移的方法来定制MOF玻璃的结构和性质。此图像的替代文本可能是使用AI生成的。</w:t>
      </w:r>
    </w:p>
    <w:p>
      <w:pPr>
        <w:spacing w:before="0" w:after="200" w:lineRule="auto" w:line="276"/>
      </w:pPr>
      <w:r>
        <w:rPr>
          <w:b/>
        </w:rPr>
        <w:t xml:space="preserve">Abstract (EN): </w:t>
      </w:r>
      <w:r>
        <w:t>Modifying glass compositions is key to creating silicate-based glasses for technologies including optical fibres, catalytic supports, protective coatings and separation membranes. Here we extend this concept to metal–organic framework (MOF) glasses by modifying the MOF glass former ZIF-62 with Li(bim) and Na(bim) as compatible glass modifiers (benzimidazolate, bim−). Melt-quenching of physical mixtures with increasing Na(bim) content yields modified MOF glasses that exhibit a systematic decrease in the glass transition temperature (Tg), accompanied by increased liquid fragility, configurational heat capacity at Tg and density: paralleling silicate glass chemistry through partial network depolymerization. Structural and spectroscopic analysis, coupled with density-functional theory calculations, confirm that Na(bim) is incorporated homogeneously into the MOF glass framework rather than the pores and reveal the presence of undercoordinated sodium ion environments. Finally, extraction of the modifier by water treatment increases glass porosity, akin to established borosilicate glass processes. This work introduces a transferable approach for tailoring the structure and properties of MOF glasses.The alternative text for this image may have been generated using AI.</w:t>
      </w:r>
    </w:p>
    <w:p>
      <w:pPr>
        <w:spacing w:before="120" w:after="120"/>
      </w:pPr>
      <w:r>
        <w:rPr>
          <w:sz w:val="18"/>
        </w:rPr>
        <w:t>——————————————————————————————————————————————————————————————————————</w:t>
      </w:r>
    </w:p>
    <w:p>
      <w:pPr>
        <w:spacing w:before="160" w:after="40" w:line="240" w:lineRule="auto"/>
      </w:pPr>
      <w:r>
        <w:rPr>
          <w:b/>
        </w:rPr>
        <w:t xml:space="preserve">[72] </w:t>
      </w:r>
      <w:hyperlink r:id="rId276">
        <w:r>
          <w:rPr>
            <w:color w:val="1155CC"/>
            <w:u w:val="single"/>
          </w:rPr>
          <w:t>CO2电还原金属催化剂的原位再生</w:t>
        </w:r>
      </w:hyperlink>
    </w:p>
    <w:p>
      <w:pPr>
        <w:spacing w:before="0" w:after="80"/>
      </w:pPr>
      <w:r>
        <w:rPr>
          <w:i/>
          <w:sz w:val="20"/>
        </w:rPr>
        <w:t>EN: In situ regeneration of CO2 electroreduction metal catalysts</w:t>
      </w:r>
    </w:p>
    <w:p>
      <w:pPr>
        <w:spacing w:before="0" w:after="120"/>
      </w:pPr>
      <w:r>
        <w:rPr>
          <w:b/>
        </w:rPr>
        <w:t xml:space="preserve">Source: </w:t>
      </w:r>
      <w:r>
        <w:t>Nature Chemical Engineering</w:t>
      </w:r>
      <w:r>
        <w:t xml:space="preserve">    </w:t>
      </w:r>
      <w:r>
        <w:rPr>
          <w:b/>
        </w:rPr>
        <w:t xml:space="preserve">Pub date: </w:t>
      </w:r>
      <w:r>
        <w:t>2026-05-04 00:00:00+00:00</w:t>
      </w:r>
      <w:r>
        <w:t xml:space="preserve">    </w:t>
      </w:r>
      <w:r>
        <w:rPr>
          <w:b/>
        </w:rPr>
        <w:t xml:space="preserve">DOI: </w:t>
      </w:r>
      <w:hyperlink r:id="rId277">
        <w:r>
          <w:rPr>
            <w:color w:val="1155CC"/>
            <w:u w:val="single"/>
          </w:rPr>
          <w:t>10.1038/s44286-026-00383-2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278">
        <w:r>
          <w:rPr>
            <w:color w:val="1155CC"/>
            <w:u w:val="single"/>
          </w:rPr>
          <w:t>基于BaCe0.7Zr0.1Y0.1Yb0.1O3−δ的复合空气电极用于可逆固体氧化物电池</w:t>
        </w:r>
      </w:hyperlink>
    </w:p>
    <w:p>
      <w:pPr>
        <w:spacing w:before="0" w:after="80"/>
      </w:pPr>
      <w:r>
        <w:rPr>
          <w:i/>
          <w:sz w:val="20"/>
        </w:rPr>
        <w:t>EN: Composite air electrodes based on BaCe0.7Zr0.1Y0.1Yb0.1O3−δ for reversible solid oxide cells</w:t>
      </w:r>
    </w:p>
    <w:p>
      <w:pPr>
        <w:spacing w:before="0" w:after="120"/>
      </w:pPr>
      <w:r>
        <w:rPr>
          <w:b/>
        </w:rPr>
        <w:t xml:space="preserve">Source: </w:t>
      </w:r>
      <w:r>
        <w:t>Nature Energy</w:t>
      </w:r>
      <w:r>
        <w:t xml:space="preserve">    </w:t>
      </w:r>
      <w:r>
        <w:rPr>
          <w:b/>
        </w:rPr>
        <w:t xml:space="preserve">Pub date: </w:t>
      </w:r>
      <w:r>
        <w:t>2026-05-04 00:00:00+00:00</w:t>
      </w:r>
      <w:r>
        <w:t xml:space="preserve">    </w:t>
      </w:r>
      <w:r>
        <w:rPr>
          <w:b/>
        </w:rPr>
        <w:t xml:space="preserve">DOI: </w:t>
      </w:r>
      <w:hyperlink r:id="rId279">
        <w:r>
          <w:rPr>
            <w:color w:val="1155CC"/>
            <w:u w:val="single"/>
          </w:rPr>
          <w:t>10.1038/s41560-026-02042-5</w:t>
        </w:r>
      </w:hyperlink>
    </w:p>
    <w:p>
      <w:pPr>
        <w:spacing w:before="0" w:after="120"/>
      </w:pPr>
      <w:r>
        <w:rPr>
          <w:b/>
        </w:rPr>
        <w:t xml:space="preserve">Notes: </w:t>
      </w:r>
      <w:r>
        <w:t>abstract_source=nature_html</w:t>
      </w:r>
    </w:p>
    <w:p>
      <w:pPr>
        <w:spacing w:before="0" w:after="80" w:lineRule="auto" w:line="276"/>
      </w:pPr>
      <w:r>
        <w:rPr>
          <w:b/>
        </w:rPr>
        <w:t xml:space="preserve">摘要（ZH）: </w:t>
      </w:r>
      <w:r>
        <w:t>可逆固体氧化物电池——将电力和化学燃料相互转换的装置——通常使用复合空气电极，将导氧离子的Gd0.1Ce0.9O2–δ (GDC)与电子导电催化剂结合，以最大化三相边界并最小化界面电阻。尽管这种结构有效，但性能提升已趋于平稳。在此，我们展示了用混合质子、氧离子和空穴导电的BaCe1−xZrxO3基材料（例如，BaCe0.7Zr0.1Y0.1Yb0.1O3−δ，BCZYYb7111）替代GDC，平衡了复合电极的电子和离子导电性，改变了反应路径至更低障碍的速率决定步骤，并将电化学活性区域扩展至整个电极表面。在一种将高活性失配层Gd0.3Ca2.7Co3.82Cu0.18O9−δ催化剂与BCZYYb7111复合的配置中，可逆固体氧化物电池在燃料电池模式下达到7.08 W cm−2，在电解模式下在1.3 V时达到–7.88 A cm−2，使用800 °C的氧化钇稳定氧化锆电解质。这种复合策略还增强了其他流行氧电催化剂的性能。</w:t>
      </w:r>
    </w:p>
    <w:p>
      <w:pPr>
        <w:spacing w:before="0" w:after="200" w:lineRule="auto" w:line="276"/>
      </w:pPr>
      <w:r>
        <w:rPr>
          <w:b/>
        </w:rPr>
        <w:t xml:space="preserve">Abstract (EN): </w:t>
      </w:r>
      <w:r>
        <w:t>Reversible solid oxide cells—devices that interconvert electricity and chemical fuels—commonly use composite air electrodes combining oxygen-ion-conducting Gd0.1Ce0.9O2–δ (GDC) with an electronically conductive catalyst to maximize the three-phase boundaries and minimize interfacial resistance. Despite the effectiveness of this architecture, performance improvements have plateaued. Here, we demonstrate that replacing GDC with mixed proton-, oxygen-ion- and hole-conducting BaCe1−xZrxO3-based materials (for example, BaCe0.7Zr0.1Y0.1Yb0.1O3−δ, BCZYYb7111) balances the electronic and ionic conductivity of the composite electrode, altering the reaction pathway to a lower-barrier rate-determining-step, and expanding the electrochemically active region to the entire electrode surface. In a configuration where the highly active misfit-layered Gd0.3Ca2.7Co3.82Cu0.18O9−δ catalyst is composited with BCZYYb7111, the reversible solid oxide cell achieves 7.08 W cm−2 in fuel-cell mode and –7.88 A cm−2 at 1.3 V in electrolysis mode using an yttria-stabilized zirconia electrolyte at 800 °C. This compositing strategy also enhances the performance of other popular oxygen electrocatalysts.</w:t>
      </w:r>
    </w:p>
    <w:p>
      <w:pPr>
        <w:spacing w:before="120" w:after="120"/>
      </w:pPr>
      <w:r>
        <w:rPr>
          <w:sz w:val="18"/>
        </w:rPr>
        <w:t>——————————————————————————————————————————————————————————————————————</w:t>
      </w:r>
    </w:p>
    <w:p>
      <w:pPr>
        <w:spacing w:before="160" w:after="40" w:line="240" w:lineRule="auto"/>
      </w:pPr>
      <w:r>
        <w:rPr>
          <w:b/>
        </w:rPr>
        <w:t xml:space="preserve">[74] </w:t>
      </w:r>
      <w:hyperlink r:id="rId280">
        <w:r>
          <w:rPr>
            <w:color w:val="1155CC"/>
            <w:u w:val="single"/>
          </w:rPr>
          <w:t>汉坦病毒在游轮上出现——科学家们正在关注什么</w:t>
        </w:r>
      </w:hyperlink>
    </w:p>
    <w:p>
      <w:pPr>
        <w:spacing w:before="0" w:after="80"/>
      </w:pPr>
      <w:r>
        <w:rPr>
          <w:i/>
          <w:sz w:val="20"/>
        </w:rPr>
        <w:t>EN: Hantavirus crops up on a cruise ship — what scientists are watching</w:t>
      </w:r>
    </w:p>
    <w:p>
      <w:pPr>
        <w:spacing w:before="0" w:after="120"/>
      </w:pPr>
      <w:r>
        <w:rPr>
          <w:b/>
        </w:rPr>
        <w:t xml:space="preserve">Source: </w:t>
      </w:r>
      <w:r>
        <w:t>Nature</w:t>
      </w:r>
      <w:r>
        <w:t xml:space="preserve">    </w:t>
      </w:r>
      <w:r>
        <w:rPr>
          <w:b/>
        </w:rPr>
        <w:t xml:space="preserve">Pub date: </w:t>
      </w:r>
      <w:r>
        <w:t>2026-05-04 00:00:00+00:00</w:t>
      </w:r>
      <w:r>
        <w:t xml:space="preserve">    </w:t>
      </w:r>
      <w:r>
        <w:rPr>
          <w:b/>
        </w:rPr>
        <w:t xml:space="preserve">DOI: </w:t>
      </w:r>
      <w:hyperlink r:id="rId281">
        <w:r>
          <w:rPr>
            <w:color w:val="1155CC"/>
            <w:u w:val="single"/>
          </w:rPr>
          <w:t>10.1038/d41586-026-01450-7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282">
        <w:r>
          <w:rPr>
            <w:color w:val="1155CC"/>
            <w:u w:val="single"/>
          </w:rPr>
          <w:t>涌动对两台串联浮动风力涡轮机尾流特性、功率性能和疲劳载荷的影响</w:t>
        </w:r>
      </w:hyperlink>
    </w:p>
    <w:p>
      <w:pPr>
        <w:spacing w:before="0" w:after="80"/>
      </w:pPr>
      <w:r>
        <w:rPr>
          <w:i/>
          <w:sz w:val="20"/>
        </w:rPr>
        <w:t>EN: Impact of surge motion on wake characteristics, power performance and fatigue loads of two tandem floating wind turbines</w:t>
      </w:r>
    </w:p>
    <w:p>
      <w:pPr>
        <w:spacing w:before="0" w:after="120"/>
      </w:pPr>
      <w:r>
        <w:rPr>
          <w:b/>
        </w:rPr>
        <w:t xml:space="preserve">Source: </w:t>
      </w:r>
      <w:r>
        <w:t>ScienceDirect Publication: Applied Energy</w:t>
      </w:r>
      <w:r>
        <w:t xml:space="preserve">    </w:t>
      </w:r>
      <w:r>
        <w:rPr>
          <w:b/>
        </w:rPr>
        <w:t xml:space="preserve">Pub date: </w:t>
      </w:r>
      <w:r>
        <w:t>2026-05-04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 </w:t>
      </w:r>
      <w:hyperlink r:id="rId283">
        <w:r>
          <w:rPr>
            <w:color w:val="1155CC"/>
            <w:u w:val="single"/>
          </w:rPr>
          <w:t>构建持久的生物电子设备</w:t>
        </w:r>
      </w:hyperlink>
    </w:p>
    <w:p>
      <w:pPr>
        <w:spacing w:before="0" w:after="80"/>
      </w:pPr>
      <w:r>
        <w:rPr>
          <w:i/>
          <w:sz w:val="20"/>
        </w:rPr>
        <w:t>EN: Building bioelectronics that stick around</w:t>
      </w:r>
    </w:p>
    <w:p>
      <w:pPr>
        <w:spacing w:before="0" w:after="120"/>
      </w:pPr>
      <w:r>
        <w:rPr>
          <w:b/>
        </w:rPr>
        <w:t xml:space="preserve">Source: </w:t>
      </w:r>
      <w:r>
        <w:t>Nature Electronics</w:t>
      </w:r>
      <w:r>
        <w:t xml:space="preserve">    </w:t>
      </w:r>
      <w:r>
        <w:rPr>
          <w:b/>
        </w:rPr>
        <w:t xml:space="preserve">Pub date: </w:t>
      </w:r>
      <w:r>
        <w:t>2026-05-04 00:00:00+00:00</w:t>
      </w:r>
      <w:r>
        <w:t xml:space="preserve">    </w:t>
      </w:r>
      <w:r>
        <w:rPr>
          <w:b/>
        </w:rPr>
        <w:t xml:space="preserve">DOI: </w:t>
      </w:r>
      <w:hyperlink r:id="rId284">
        <w:r>
          <w:rPr>
            <w:color w:val="1155CC"/>
            <w:u w:val="single"/>
          </w:rPr>
          <w:t>10.1038/s41928-026-01619-y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285">
        <w:r>
          <w:rPr>
            <w:color w:val="1155CC"/>
            <w:u w:val="single"/>
          </w:rPr>
          <w:t>基于三维拓扑结构和共价化学锚定的耐磨生物电子设备</w:t>
        </w:r>
      </w:hyperlink>
    </w:p>
    <w:p>
      <w:pPr>
        <w:spacing w:before="0" w:after="80"/>
      </w:pPr>
      <w:r>
        <w:rPr>
          <w:i/>
          <w:sz w:val="20"/>
        </w:rPr>
        <w:t>EN: Abrasion-resistant bioelectronics based on a three-dimensional topological architecture and covalent chemical anchoring</w:t>
      </w:r>
    </w:p>
    <w:p>
      <w:pPr>
        <w:spacing w:before="0" w:after="120"/>
      </w:pPr>
      <w:r>
        <w:rPr>
          <w:b/>
        </w:rPr>
        <w:t xml:space="preserve">Source: </w:t>
      </w:r>
      <w:r>
        <w:t>Nature Electronics</w:t>
      </w:r>
      <w:r>
        <w:t xml:space="preserve">    </w:t>
      </w:r>
      <w:r>
        <w:rPr>
          <w:b/>
        </w:rPr>
        <w:t xml:space="preserve">Pub date: </w:t>
      </w:r>
      <w:r>
        <w:t>2026-05-04 00:00:00+00:00</w:t>
      </w:r>
      <w:r>
        <w:t xml:space="preserve">    </w:t>
      </w:r>
      <w:r>
        <w:rPr>
          <w:b/>
        </w:rPr>
        <w:t xml:space="preserve">DOI: </w:t>
      </w:r>
      <w:hyperlink r:id="rId286">
        <w:r>
          <w:rPr>
            <w:color w:val="1155CC"/>
            <w:u w:val="single"/>
          </w:rPr>
          <w:t>10.1038/s41928-026-01625-0</w:t>
        </w:r>
      </w:hyperlink>
    </w:p>
    <w:p>
      <w:pPr>
        <w:spacing w:before="0" w:after="120"/>
      </w:pPr>
      <w:r>
        <w:rPr>
          <w:b/>
        </w:rPr>
        <w:t xml:space="preserve">Notes: </w:t>
      </w:r>
      <w:r>
        <w:t>abstract_source=nature_html</w:t>
      </w:r>
    </w:p>
    <w:p>
      <w:pPr>
        <w:spacing w:before="0" w:after="80" w:lineRule="auto" w:line="276"/>
      </w:pPr>
      <w:r>
        <w:rPr>
          <w:b/>
        </w:rPr>
        <w:t xml:space="preserve">摘要（ZH）: </w:t>
      </w:r>
      <w:r>
        <w:t>将电子设备与生物系统集成可能对人类健康监测和疾病治疗有用。然而，动态身体运动在基底与功能层之间的界面施加压力并引发微运动。这通常导致设备解体和失效，并阻碍长期使用和可靠性。在此，我们报告了一种基于三维拓扑互穿结构的耐磨生物电子设备，该结构通过共价化学锚定进行加固。我们称这种方法为TopoLock，适用于一系列生物电子材料和制造技术。在多个临床前动物模型中，我们展示了该系统可用于长期电生理记录、电刺激和在经历持续机械应力的挑战性解剖位置进行电化学传感。</w:t>
      </w:r>
    </w:p>
    <w:p>
      <w:pPr>
        <w:spacing w:before="0" w:after="200" w:lineRule="auto" w:line="276"/>
      </w:pPr>
      <w:r>
        <w:rPr>
          <w:b/>
        </w:rPr>
        <w:t xml:space="preserve">Abstract (EN): </w:t>
      </w:r>
      <w:r>
        <w:t>Integrating electronics with biological systems could be of use in the monitoring of human health and the treatment of diseases. However, dynamic body movements exert stress and induce micromotions at the interface between a substrate and functional layers. This often leads to device disintegration and failure, and hampers long-term utility and reliability. Here we report abrasion-resistant bioelectronics based on a three-dimensional topological interpenetrating architecture that is reinforced with covalent chemical anchoring. The approach, which we term TopoLock, is applicable to a range of bioelectronic materials and fabrication technologies. In multiple preclinical animal models, we show that this system can be used for long-term electrophysiological recording, electrical stimulation and electrochemical sensing at challenging anatomical locations that experience continuous mechanical stresses.</w:t>
      </w:r>
    </w:p>
    <w:p>
      <w:pPr>
        <w:spacing w:before="120" w:after="120"/>
      </w:pPr>
      <w:r>
        <w:rPr>
          <w:sz w:val="18"/>
        </w:rPr>
        <w:t>——————————————————————————————————————————————————————————————————————</w:t>
      </w:r>
    </w:p>
    <w:p>
      <w:pPr>
        <w:spacing w:before="160" w:after="40" w:line="240" w:lineRule="auto"/>
      </w:pPr>
      <w:r>
        <w:rPr>
          <w:b/>
        </w:rPr>
        <w:t xml:space="preserve">[78] </w:t>
      </w:r>
      <w:hyperlink r:id="rId287">
        <w:r>
          <w:rPr>
            <w:color w:val="1155CC"/>
            <w:u w:val="single"/>
          </w:rPr>
          <w:t>基于可编程微生物生物合成的具有优异导热性能的可持续分级生物复合材料</w:t>
        </w:r>
      </w:hyperlink>
    </w:p>
    <w:p>
      <w:pPr>
        <w:spacing w:before="0" w:after="80"/>
      </w:pPr>
      <w:r>
        <w:rPr>
          <w:i/>
          <w:sz w:val="20"/>
        </w:rPr>
        <w:t>EN: Sustainable hierarchical biocomposites with exceptional thermal conductivity based on programmable microbial biosynthesis</w:t>
      </w:r>
    </w:p>
    <w:p>
      <w:pPr>
        <w:spacing w:before="0" w:after="120"/>
      </w:pPr>
      <w:r>
        <w:rPr>
          <w:b/>
        </w:rPr>
        <w:t xml:space="preserve">Source: </w:t>
      </w:r>
      <w:r>
        <w:t>Matter</w:t>
      </w:r>
      <w:r>
        <w:t xml:space="preserve">    </w:t>
      </w:r>
      <w:r>
        <w:rPr>
          <w:b/>
        </w:rPr>
        <w:t xml:space="preserve">Pub date: </w:t>
      </w:r>
      <w:r>
        <w:t>2026-05-04 00:00:00+00:00</w:t>
      </w:r>
      <w:r>
        <w:t xml:space="preserve">    </w:t>
      </w:r>
      <w:r>
        <w:rPr>
          <w:b/>
        </w:rPr>
        <w:t xml:space="preserve">DOI: </w:t>
      </w:r>
      <w:hyperlink r:id="rId288">
        <w:r>
          <w:rPr>
            <w:color w:val="1155CC"/>
            <w:u w:val="single"/>
          </w:rPr>
          <w:t>10.1016/j.matt.2026.102806</w:t>
        </w:r>
      </w:hyperlink>
    </w:p>
    <w:p>
      <w:pPr>
        <w:spacing w:before="0" w:after="120"/>
      </w:pPr>
      <w:r>
        <w:rPr>
          <w:b/>
        </w:rPr>
        <w:t xml:space="preserve">Notes: </w:t>
      </w:r>
      <w:r>
        <w:t>abstract_source=rss_cell</w:t>
      </w:r>
    </w:p>
    <w:p>
      <w:pPr>
        <w:spacing w:before="0" w:after="80" w:lineRule="auto" w:line="276"/>
      </w:pPr>
      <w:r>
        <w:rPr>
          <w:b/>
        </w:rPr>
        <w:t xml:space="preserve">摘要（ZH）: </w:t>
      </w:r>
      <w:r>
        <w:t>开发了一种新颖且可持续的功能生物复合材料合成和生产策略。该方法利用在功能性二维（2D）材料存在下的微生物生物合成，在环境条件下实现生物复合材料的形成，其内部结构精确可控，并具有优异的热导率。</w:t>
      </w:r>
    </w:p>
    <w:p>
      <w:pPr>
        <w:spacing w:before="0" w:after="200" w:lineRule="auto" w:line="276"/>
      </w:pPr>
      <w:r>
        <w:rPr>
          <w:b/>
        </w:rPr>
        <w:t xml:space="preserve">Abstract (EN): </w:t>
      </w:r>
      <w:r>
        <w:t>A novel and sustainable strategy for the synthesis and production of functional biocomposites is developed. This approach leverages microbial biosynthesis under ambient conditions in the presence of functional two-dimensional (2D) materials, enabling the formation of biocomposites with precisely controlled internal architectures and exceptional thermal conductivity.</w:t>
      </w:r>
    </w:p>
    <w:p>
      <w:pPr>
        <w:spacing w:before="120" w:after="120"/>
      </w:pPr>
      <w:r>
        <w:rPr>
          <w:sz w:val="18"/>
        </w:rPr>
        <w:t>——————————————————————————————————————————————————————————————————————</w:t>
      </w:r>
    </w:p>
    <w:p>
      <w:pPr>
        <w:spacing w:before="160" w:after="40" w:line="240" w:lineRule="auto"/>
      </w:pPr>
      <w:r>
        <w:rPr>
          <w:b/>
        </w:rPr>
        <w:t xml:space="preserve">[79] </w:t>
      </w:r>
      <w:hyperlink r:id="rId289">
        <w:r>
          <w:rPr>
            <w:color w:val="1155CC"/>
            <w:u w:val="single"/>
          </w:rPr>
          <w:t>电子电路中的时间对称性和例外点</w:t>
        </w:r>
      </w:hyperlink>
    </w:p>
    <w:p>
      <w:pPr>
        <w:spacing w:before="0" w:after="80"/>
      </w:pPr>
      <w:r>
        <w:rPr>
          <w:i/>
          <w:sz w:val="20"/>
        </w:rPr>
        <w:t>EN: Parity–time symmetry and exceptional points in electronic circuits</w:t>
      </w:r>
    </w:p>
    <w:p>
      <w:pPr>
        <w:spacing w:before="0" w:after="120"/>
      </w:pPr>
      <w:r>
        <w:rPr>
          <w:b/>
        </w:rPr>
        <w:t xml:space="preserve">Source: </w:t>
      </w:r>
      <w:r>
        <w:t>Nature Electronics</w:t>
      </w:r>
      <w:r>
        <w:t xml:space="preserve">    </w:t>
      </w:r>
      <w:r>
        <w:rPr>
          <w:b/>
        </w:rPr>
        <w:t xml:space="preserve">Pub date: </w:t>
      </w:r>
      <w:r>
        <w:t>2026-05-04 00:00:00+00:00</w:t>
      </w:r>
      <w:r>
        <w:t xml:space="preserve">    </w:t>
      </w:r>
      <w:r>
        <w:rPr>
          <w:b/>
        </w:rPr>
        <w:t xml:space="preserve">DOI: </w:t>
      </w:r>
      <w:hyperlink r:id="rId290">
        <w:r>
          <w:rPr>
            <w:color w:val="1155CC"/>
            <w:u w:val="single"/>
          </w:rPr>
          <w:t>10.1038/s41928-026-01623-2</w:t>
        </w:r>
      </w:hyperlink>
    </w:p>
    <w:p>
      <w:pPr>
        <w:spacing w:before="0" w:after="120"/>
      </w:pPr>
      <w:r>
        <w:rPr>
          <w:b/>
        </w:rPr>
        <w:t xml:space="preserve">Notes: </w:t>
      </w:r>
      <w:r>
        <w:t>abstract_source=nature_html</w:t>
      </w:r>
    </w:p>
    <w:p>
      <w:pPr>
        <w:spacing w:before="0" w:after="80" w:lineRule="auto" w:line="276"/>
      </w:pPr>
      <w:r>
        <w:rPr>
          <w:b/>
        </w:rPr>
        <w:t xml:space="preserve">摘要（ZH）: </w:t>
      </w:r>
      <w:r>
        <w:t>具有实谱的PT对称哈密顿量最初是在量子力学和量子场论的背景下提出的，但现在已扩展到经典波系统。PT对称系统的一个定义特征，以及更广泛的非厄米系统，是出现了特殊点，在这些点上两个或多个特征值及其相关特征向量合并。近年来，这些思想已被转化为电子系统，导致了一系列可实验获得的现象和有前景的应用。在此，我们研究了电子电路中PT对称性和特殊点的发展。我们考虑了电子电路中PT对称性的基本原理和实现。我们强调了此类系统的关键应用，包括遥测、传感、硬件加密和无线电力传输，并考虑了该领域的潜在未来方向。</w:t>
      </w:r>
    </w:p>
    <w:p>
      <w:pPr>
        <w:spacing w:before="0" w:after="200" w:lineRule="auto" w:line="276"/>
      </w:pPr>
      <w:r>
        <w:rPr>
          <w:b/>
        </w:rPr>
        <w:t xml:space="preserve">Abstract (EN): </w:t>
      </w:r>
      <w:r>
        <w:t>Parity–time (PT)-symmetric Hamiltonians with real spectra were originally proposed in the context of quantum mechanics and quantum field theory but have now been extended to classical wave systems. A defining feature of PT-symmetric systems, and non-Hermitian systems more broadly, is the emergence of exceptional points, where two or more eigenvalues and their associated eigenvectors coalesce. In recent years, these ideas have been translated to electronic systems, leading to a range of experimentally accessible phenomena and promising applications. Here we examine the development of PT symmetry and exceptional points in electronic circuits. We consider the fundamental principles and implementations of PT symmetry in electronic circuits. We highlight the key applications of such systems—including telemetry, sensing, hardware encryption and wireless power transfer—and consider potential future directions for the field.</w:t>
      </w:r>
    </w:p>
    <w:p>
      <w:pPr>
        <w:spacing w:before="120" w:after="120"/>
      </w:pPr>
      <w:r>
        <w:rPr>
          <w:sz w:val="18"/>
        </w:rPr>
        <w:t>——————————————————————————————————————————————————————————————————————</w:t>
      </w:r>
    </w:p>
    <w:p>
      <w:pPr>
        <w:spacing w:before="160" w:after="40" w:line="240" w:lineRule="auto"/>
      </w:pPr>
      <w:r>
        <w:rPr>
          <w:b/>
        </w:rPr>
        <w:t xml:space="preserve">[80] </w:t>
      </w:r>
      <w:hyperlink r:id="rId291">
        <w:r>
          <w:rPr>
            <w:color w:val="1155CC"/>
            <w:u w:val="single"/>
          </w:rPr>
          <w:t>通过高保真代理辅助深度强化学习实现的CHP辅助功率消耗比的安全约束最小化</w:t>
        </w:r>
      </w:hyperlink>
    </w:p>
    <w:p>
      <w:pPr>
        <w:spacing w:before="0" w:after="80"/>
      </w:pPr>
      <w:r>
        <w:rPr>
          <w:i/>
          <w:sz w:val="20"/>
        </w:rPr>
        <w:t>EN: Safety-constrained minimization of CHP auxiliary power consumption ratio via high-fidelity surrogate-assisted deep reinforcement learning</w:t>
      </w:r>
    </w:p>
    <w:p>
      <w:pPr>
        <w:spacing w:before="0" w:after="120"/>
      </w:pPr>
      <w:r>
        <w:rPr>
          <w:b/>
        </w:rPr>
        <w:t xml:space="preserve">Source: </w:t>
      </w:r>
      <w:r>
        <w:t>ScienceDirect Publication: Applied Energy</w:t>
      </w:r>
      <w:r>
        <w:t xml:space="preserve">    </w:t>
      </w:r>
      <w:r>
        <w:rPr>
          <w:b/>
        </w:rPr>
        <w:t xml:space="preserve">Pub date: </w:t>
      </w:r>
      <w:r>
        <w:t>2026-05-04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292">
        <w:r>
          <w:rPr>
            <w:color w:val="1155CC"/>
            <w:u w:val="single"/>
          </w:rPr>
          <w:t>热浪期间面向消费者安全的轮流停电调度</w:t>
        </w:r>
      </w:hyperlink>
    </w:p>
    <w:p>
      <w:pPr>
        <w:spacing w:before="0" w:after="80"/>
      </w:pPr>
      <w:r>
        <w:rPr>
          <w:i/>
          <w:sz w:val="20"/>
        </w:rPr>
        <w:t>EN: Consumer safety-oriented scheduling of rotating power outages during heat waves</w:t>
      </w:r>
    </w:p>
    <w:p>
      <w:pPr>
        <w:spacing w:before="0" w:after="120"/>
      </w:pPr>
      <w:r>
        <w:rPr>
          <w:b/>
        </w:rPr>
        <w:t xml:space="preserve">Source: </w:t>
      </w:r>
      <w:r>
        <w:t>ScienceDirect Publication: Applied Energy</w:t>
      </w:r>
      <w:r>
        <w:t xml:space="preserve">    </w:t>
      </w:r>
      <w:r>
        <w:rPr>
          <w:b/>
        </w:rPr>
        <w:t xml:space="preserve">Pub date: </w:t>
      </w:r>
      <w:r>
        <w:t>2026-05-04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293">
        <w:r>
          <w:rPr>
            <w:color w:val="1155CC"/>
            <w:u w:val="single"/>
          </w:rPr>
          <w:t>具有分段设计和三维多物理模型的自湿润燃料电池堆</w:t>
        </w:r>
      </w:hyperlink>
    </w:p>
    <w:p>
      <w:pPr>
        <w:spacing w:before="0" w:after="80"/>
      </w:pPr>
      <w:r>
        <w:rPr>
          <w:i/>
          <w:sz w:val="20"/>
        </w:rPr>
        <w:t>EN: Self-humidifying fuel cell stack with sectional design and three-dimensional multi-physics model</w:t>
      </w:r>
    </w:p>
    <w:p>
      <w:pPr>
        <w:spacing w:before="0" w:after="120"/>
      </w:pPr>
      <w:r>
        <w:rPr>
          <w:b/>
        </w:rPr>
        <w:t xml:space="preserve">Source: </w:t>
      </w:r>
      <w:r>
        <w:t>ScienceDirect Publication: Applied Energy</w:t>
      </w:r>
      <w:r>
        <w:t xml:space="preserve">    </w:t>
      </w:r>
      <w:r>
        <w:rPr>
          <w:b/>
        </w:rPr>
        <w:t xml:space="preserve">Pub date: </w:t>
      </w:r>
      <w:r>
        <w:t>2026-05-04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 </w:t>
      </w:r>
      <w:hyperlink r:id="rId294">
        <w:r>
          <w:rPr>
            <w:color w:val="1155CC"/>
            <w:u w:val="single"/>
          </w:rPr>
          <w:t>这一切都始于氰化氢吗？</w:t>
        </w:r>
      </w:hyperlink>
    </w:p>
    <w:p>
      <w:pPr>
        <w:spacing w:before="0" w:after="80"/>
      </w:pPr>
      <w:r>
        <w:rPr>
          <w:i/>
          <w:sz w:val="20"/>
        </w:rPr>
        <w:t>EN: Did it all begin with hydrogen cyanide?</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295">
        <w:r>
          <w:rPr>
            <w:color w:val="1155CC"/>
            <w:u w:val="single"/>
          </w:rPr>
          <w:t>10.1073/pnas.2608465123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296">
        <w:r>
          <w:rPr>
            <w:color w:val="1155CC"/>
            <w:u w:val="single"/>
          </w:rPr>
          <w:t>土壤温度波动调节了新石器时代东亚小米农业的演变</w:t>
        </w:r>
      </w:hyperlink>
    </w:p>
    <w:p>
      <w:pPr>
        <w:spacing w:before="0" w:after="80"/>
      </w:pPr>
      <w:r>
        <w:rPr>
          <w:i/>
          <w:sz w:val="20"/>
        </w:rPr>
        <w:t>EN: Soil temperature fluctuations modulated millet agriculture evolution in Neolithic East Asia</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297">
        <w:r>
          <w:rPr>
            <w:color w:val="1155CC"/>
            <w:u w:val="single"/>
          </w:rPr>
          <w:t>10.1073/pnas.2529151123</w:t>
        </w:r>
      </w:hyperlink>
    </w:p>
    <w:p>
      <w:pPr>
        <w:spacing w:before="0" w:after="120"/>
      </w:pPr>
      <w:r>
        <w:rPr>
          <w:b/>
        </w:rPr>
        <w:t xml:space="preserve">Notes: </w:t>
      </w:r>
      <w:r>
        <w:t>abstract_source=crossref</w:t>
      </w:r>
    </w:p>
    <w:p>
      <w:pPr>
        <w:spacing w:before="0" w:after="80" w:lineRule="auto" w:line="276"/>
      </w:pPr>
      <w:r>
        <w:rPr>
          <w:b/>
        </w:rPr>
        <w:t xml:space="preserve">摘要（ZH）: </w:t>
      </w:r>
      <w:r>
        <w:t>粟农业是新石器时代东亚复杂社会兴起的基础，然而影响其时空发展环境机制仍未解决。在此，我们展示了来自中国中部黄土高原精确测年的黄土序列中生物标志物代理的全新世生长季土壤温度的高分辨率重建。我们的数据揭示了大约7.5到6.0千年前（kyr B.P.）之间显著的约3°C土壤降温，随后是快速变暖和持续数千年的相对稳定条件。通过将考古数据集与瞬态气候模拟相结合，我们表明这种中全新世土壤降温反映了气候强迫和植被相关地表变化的耦合，可能压缩了对霜敏感的粟的热适宜生态位，导致种植向南迁移，并推迟了大规模农业扩张，直到大约6.0 kyr B.P.之后土壤温度恢复。这些发现表明，大幅度的土壤温度波动作为气候限制因素调节了粟农业在东亚的地理分布和发展轨迹，为新石器时代的气候-社会互动提供了精细的见解。</w:t>
      </w:r>
    </w:p>
    <w:p>
      <w:pPr>
        <w:spacing w:before="0" w:after="200" w:lineRule="auto" w:line="276"/>
      </w:pPr>
      <w:r>
        <w:rPr>
          <w:b/>
        </w:rPr>
        <w:t xml:space="preserve">Abstract (EN): </w:t>
      </w:r>
      <w:r>
        <w:t>Millet agriculture was foundational to the emergence of complex societies in Neolithic East Asia, yet the environmental mechanisms shaping its spatiotemporal development remain unresolved. Here, we present a high-resolution reconstruction of Holocene growing-season soil temperature from biomarker proxies in a precisely dated loess sequence from the central Chinese Loess Plateau. Our data reveal a pronounced ~3 °C soil cooling between ~7.5 to 6.0 thousand years B.P. (kyr B.P.), followed by rapid warming and millennia-long relatively stable conditions. By integrating archaeological datasets with transient climate simulations, we show that this mid-Holocene soil cooling which reflects coupled climatic forcing and vegetation-related land surface changes likely compressed the thermally suitable niche for frost-sensitive millets, contributing to a southward displacement of cultivation and delaying large-scale agricultural expansion until the subsequent soil temperature recovery after ~6.0 kyr B.P. These findings suggest that large-amplitude soil temperature fluctuations acted as a modulating climatic constraint on the geographic distribution and development trajectory of millet agriculture in East Asia, providing refined insights into climate–society interactions during the Neolithic.</w:t>
      </w:r>
    </w:p>
    <w:p>
      <w:pPr>
        <w:spacing w:before="120" w:after="120"/>
      </w:pPr>
      <w:r>
        <w:rPr>
          <w:sz w:val="18"/>
        </w:rPr>
        <w:t>——————————————————————————————————————————————————————————————————————</w:t>
      </w:r>
    </w:p>
    <w:p>
      <w:pPr>
        <w:spacing w:before="160" w:after="40" w:line="240" w:lineRule="auto"/>
      </w:pPr>
      <w:r>
        <w:rPr>
          <w:b/>
        </w:rPr>
        <w:t xml:space="preserve">[85] </w:t>
      </w:r>
      <w:hyperlink r:id="rId298">
        <w:r>
          <w:rPr>
            <w:color w:val="1155CC"/>
            <w:u w:val="single"/>
          </w:rPr>
          <w:t>改善经济学（及其他领域……）的就业市场</w:t>
        </w:r>
      </w:hyperlink>
    </w:p>
    <w:p>
      <w:pPr>
        <w:spacing w:before="0" w:after="80"/>
      </w:pPr>
      <w:r>
        <w:rPr>
          <w:i/>
          <w:sz w:val="20"/>
        </w:rPr>
        <w:t>EN: Improving the job market in economics (and beyond…)</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299">
        <w:r>
          <w:rPr>
            <w:color w:val="1155CC"/>
            <w:u w:val="single"/>
          </w:rPr>
          <w:t>10.1073/pnas.2609971123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300">
        <w:r>
          <w:rPr>
            <w:color w:val="1155CC"/>
            <w:u w:val="single"/>
          </w:rPr>
          <w:t>通过聚焦的人源化库揭示的趋同抗体解决方案</w:t>
        </w:r>
      </w:hyperlink>
    </w:p>
    <w:p>
      <w:pPr>
        <w:spacing w:before="0" w:after="80"/>
      </w:pPr>
      <w:r>
        <w:rPr>
          <w:i/>
          <w:sz w:val="20"/>
        </w:rPr>
        <w:t>EN: Convergent antibody solutions revealed by focused humanized repertoires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01">
        <w:r>
          <w:rPr>
            <w:color w:val="1155CC"/>
            <w:u w:val="single"/>
          </w:rPr>
          <w:t>10.1073/pnas.2606253123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302">
        <w:r>
          <w:rPr>
            <w:color w:val="1155CC"/>
            <w:u w:val="single"/>
          </w:rPr>
          <w:t>选择在连接的海洋中维持多样性</w:t>
        </w:r>
      </w:hyperlink>
    </w:p>
    <w:p>
      <w:pPr>
        <w:spacing w:before="0" w:after="80"/>
      </w:pPr>
      <w:r>
        <w:rPr>
          <w:i/>
          <w:sz w:val="20"/>
        </w:rPr>
        <w:t>EN: Selection maintains diversity in a connected ocean</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03">
        <w:r>
          <w:rPr>
            <w:color w:val="1155CC"/>
            <w:u w:val="single"/>
          </w:rPr>
          <w:t>10.1073/pnas.2605416123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304">
        <w:r>
          <w:rPr>
            <w:color w:val="1155CC"/>
            <w:u w:val="single"/>
          </w:rPr>
          <w:t>皮层画布</w:t>
        </w:r>
      </w:hyperlink>
    </w:p>
    <w:p>
      <w:pPr>
        <w:spacing w:before="0" w:after="80"/>
      </w:pPr>
      <w:r>
        <w:rPr>
          <w:i/>
          <w:sz w:val="20"/>
        </w:rPr>
        <w:t>EN: The cortical canvas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05">
        <w:r>
          <w:rPr>
            <w:color w:val="1155CC"/>
            <w:u w:val="single"/>
          </w:rPr>
          <w:t>10.1073/pnas.2610120123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 </w:t>
      </w:r>
      <w:hyperlink r:id="rId306">
        <w:r>
          <w:rPr>
            <w:color w:val="1155CC"/>
            <w:u w:val="single"/>
          </w:rPr>
          <w:t>墨西哥和中美洲橡树多样性的时间和起源</w:t>
        </w:r>
      </w:hyperlink>
    </w:p>
    <w:p>
      <w:pPr>
        <w:spacing w:before="0" w:after="80"/>
      </w:pPr>
      <w:r>
        <w:rPr>
          <w:i/>
          <w:sz w:val="20"/>
        </w:rPr>
        <w:t>EN: Timing and origins of Mexican and Central American oak diversity</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07">
        <w:r>
          <w:rPr>
            <w:color w:val="1155CC"/>
            <w:u w:val="single"/>
          </w:rPr>
          <w:t>10.1073/pnas.2537040123</w:t>
        </w:r>
      </w:hyperlink>
    </w:p>
    <w:p>
      <w:pPr>
        <w:spacing w:before="0" w:after="120"/>
      </w:pPr>
      <w:r>
        <w:rPr>
          <w:b/>
        </w:rPr>
        <w:t xml:space="preserve">Notes: </w:t>
      </w:r>
      <w:r>
        <w:t>abstract_source=crossref</w:t>
      </w:r>
    </w:p>
    <w:p>
      <w:pPr>
        <w:spacing w:before="0" w:after="80" w:lineRule="auto" w:line="276"/>
      </w:pPr>
      <w:r>
        <w:rPr>
          <w:b/>
        </w:rPr>
        <w:t xml:space="preserve">摘要（ZH）: </w:t>
      </w:r>
      <w:r>
        <w:t>温带生物多样性热点的起源和组装仍然知之甚少。这一知识空白在美洲低纬度山区尤为明显，北方谱系多次入侵并多样化。在此，我们调查了美洲橡树（Quercus）的进化历史，重点研究其在墨西哥和中美洲山区森林的平行辐射。使用时间校准的系统发育树，我们显示白橡树（Q. section Quercus）和红橡树（Q. sect. Lobatae）独立入侵墨西哥约25 Mya。这与渐新世-中新世边界的多种生态系统变化相吻合，包括干旱化。多样化分析揭示山区栖息地作为橡树多样性的摇篮，与进入地形复杂、高海拔景观相关的更高物种形成率相关。尽管在墨西哥和中美洲经历了2000万年的独立进化，红橡树和白橡树在气候生态位上表现出显著的趋同进化。我们的结果强调了外在因素——迁移到新环境——与内在生态位可塑性结合如何促进快速多样化。因此，我们的研究为温带生物多样性的起源和塑造物种丰富的山区生态系统的进化过程提供了见解。</w:t>
      </w:r>
    </w:p>
    <w:p>
      <w:pPr>
        <w:spacing w:before="0" w:after="200" w:lineRule="auto" w:line="276"/>
      </w:pPr>
      <w:r>
        <w:rPr>
          <w:b/>
        </w:rPr>
        <w:t xml:space="preserve">Abstract (EN): </w:t>
      </w:r>
      <w:r>
        <w:t>The origins and assembly of temperate biodiversity hotspots remain poorly understood. This knowledge gap is particularly evident in low-latitude montane regions of the Americas, where northern lineages have repeatedly colonized and diversified. Here we investigate the evolutionary history of oaks (</w:t>
      </w:r>
      <w:r>
        <w:t xml:space="preserve"> </w:t>
      </w:r>
      <w:r>
        <w:t>Quercus</w:t>
      </w:r>
      <w:r>
        <w:t xml:space="preserve"> </w:t>
      </w:r>
      <w:r>
        <w:t>) in the Americas, with a focus on their parallel radiation into Mexican and Central American montane forests. Using a time-calibrated phylogeny, we show that white oaks (</w:t>
      </w:r>
      <w:r>
        <w:t xml:space="preserve"> </w:t>
      </w:r>
      <w:r>
        <w:t>Q.</w:t>
      </w:r>
      <w:r>
        <w:t xml:space="preserve"> </w:t>
      </w:r>
      <w:r>
        <w:t>section</w:t>
      </w:r>
      <w:r>
        <w:t xml:space="preserve"> </w:t>
      </w:r>
      <w:r>
        <w:t>Quercus</w:t>
      </w:r>
      <w:r>
        <w:t xml:space="preserve"> </w:t>
      </w:r>
      <w:r>
        <w:t>) and red oaks (</w:t>
      </w:r>
      <w:r>
        <w:t xml:space="preserve"> </w:t>
      </w:r>
      <w:r>
        <w:t>Q.</w:t>
      </w:r>
      <w:r>
        <w:t xml:space="preserve"> </w:t>
      </w:r>
      <w:r>
        <w:t>sect.</w:t>
      </w:r>
      <w:r>
        <w:t xml:space="preserve"> </w:t>
      </w:r>
      <w:r>
        <w:t>Lobatae</w:t>
      </w:r>
      <w:r>
        <w:t xml:space="preserve"> </w:t>
      </w:r>
      <w:r>
        <w:t>) independently colonized Mexico</w:t>
      </w:r>
      <w:r>
        <w:t xml:space="preserve"> </w:t>
      </w:r>
      <w:r>
        <w:t>c.</w:t>
      </w:r>
      <w:r>
        <w:t xml:space="preserve"> </w:t>
      </w:r>
      <w:r>
        <w:t>25 Mya. This coincides with a variety of ecosystem changes at the Oligocene–Miocene boundary, including aridification. Diversification analyses reveal that montane habitats acted as cradles of oak diversity, with higher speciation rates associated with movement into topographically complex, higher-elevation landscapes. Despite 20 Ma of independent evolution in Mexico and Central America, red and white oaks show remarkable convergent evolution in climate niche. Our results highlight how extrinsic factors—migration into novel environments—coupled with intrinsic niche lability can facilitate rapid diversification. Our study thus provides insights into the origins of temperate biodiversity and the evolutionary processes shaping species-rich montane ecosystems.</w:t>
      </w:r>
    </w:p>
    <w:p>
      <w:pPr>
        <w:spacing w:before="120" w:after="120"/>
      </w:pPr>
      <w:r>
        <w:rPr>
          <w:sz w:val="18"/>
        </w:rPr>
        <w:t>——————————————————————————————————————————————————————————————————————</w:t>
      </w:r>
    </w:p>
    <w:p>
      <w:pPr>
        <w:spacing w:before="160" w:after="40" w:line="240" w:lineRule="auto"/>
      </w:pPr>
      <w:r>
        <w:rPr>
          <w:b/>
        </w:rPr>
        <w:t xml:space="preserve">[90] </w:t>
      </w:r>
      <w:hyperlink r:id="rId308">
        <w:r>
          <w:rPr>
            <w:color w:val="1155CC"/>
            <w:u w:val="single"/>
          </w:rPr>
          <w:t>追踪南大西洋异常的起源和复发：来自南美洲中部的2000年绝对古强度记录</w:t>
        </w:r>
      </w:hyperlink>
    </w:p>
    <w:p>
      <w:pPr>
        <w:spacing w:before="0" w:after="80"/>
      </w:pPr>
      <w:r>
        <w:rPr>
          <w:i/>
          <w:sz w:val="20"/>
        </w:rPr>
        <w:t>EN: Tracing the origins and recurrence of the South Atlantic Anomaly: A 2000-year absolute paleointensity record from central South America</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09">
        <w:r>
          <w:rPr>
            <w:color w:val="1155CC"/>
            <w:u w:val="single"/>
          </w:rPr>
          <w:t>10.1073/pnas.2536503123</w:t>
        </w:r>
      </w:hyperlink>
    </w:p>
    <w:p>
      <w:pPr>
        <w:spacing w:before="0" w:after="120"/>
      </w:pPr>
      <w:r>
        <w:rPr>
          <w:b/>
        </w:rPr>
        <w:t xml:space="preserve">Notes: </w:t>
      </w:r>
      <w:r>
        <w:t>abstract_source=crossref</w:t>
      </w:r>
    </w:p>
    <w:p>
      <w:pPr>
        <w:spacing w:before="0" w:after="80" w:lineRule="auto" w:line="276"/>
      </w:pPr>
      <w:r>
        <w:rPr>
          <w:b/>
        </w:rPr>
        <w:t xml:space="preserve">摘要（ZH）: </w:t>
      </w:r>
      <w:r>
        <w:t>在过去的千年中，对南半球地磁场强度的稳健表征对于理解南大西洋异常（SAA）的（多）百年演变至关重要，SAA是地球表面最显著的地磁特征之一。然而，该地区稳健的绝对古强度记录仍然稀缺，这给地磁场重建带来了显著的不确定性。在此，我们展示了使用Thellier–Thellier方法从南美中部获得的41个绝对考古强度测定结果，跨度为过去两千年。结合来自同一区域的高质量记录选择，这些新数据产生的虚拟轴向偶极矩值大致与其他可用的南半球数据集一致，但通常低于来自欧洲的数据，表明地磁场强度存在持久的南北不对称性。一个结合这些新数据的全球地磁场模型表明，观察到的不对称性反映了一个持久向北偏移的偏心偶极子。此外，该模型试探性地建议在公元1至850年间，从印度洋到南美北部的非偶极低强度异常的西向迁移，路径大致类似于现代SAA的轨迹，现代SAA在公元1100年后出现在印度洋，并在到达南美之前穿过非洲。这些发现支持了一个反复出现的大规模地磁模式的假设，并强调了地幔对地磁场形态的多尺度地球动力学控制。</w:t>
      </w:r>
    </w:p>
    <w:p>
      <w:pPr>
        <w:spacing w:before="0" w:after="200" w:lineRule="auto" w:line="276"/>
      </w:pPr>
      <w:r>
        <w:rPr>
          <w:b/>
        </w:rPr>
        <w:t xml:space="preserve">Abstract (EN): </w:t>
      </w:r>
      <w:r>
        <w:t>A robust characterization of geomagnetic field strength in the Southern Hemisphere over the past millennia is critical for understanding the (multi)centennial evolution of the South Atlantic Anomaly (SAA), one of the most prominent geomagnetic features at Earth’s surface. Yet, robust absolute paleointensity records remain scarce in this region, introducing significant uncertainty into geomagnetic field reconstructions. Here, we present 41 absolute archeointensity determinations obtained using the Thellier–Thellier method from central South America spanning the last two millennia. Combined with a selection of high-quality records from the same region, these new data yield virtual axial dipole moment values broadly consistent with the other few available Southern Hemisphere datasets but generally lower than those from Europe, indicating a persistent north–south asymmetry in geomagnetic field strength. A new global geomagnetic field model incorporating these new data suggests that the observed asymmetry reflects a persistently northward-shifted eccentric dipole. In addition, the model tentatively suggests a westward migration of a nondipolar low-intensity anomaly between 1 and 850 CE, from the Indian Ocean to northern South America, following a trajectory broadly similar to that of the modern SAA, which appears in the Indian Ocean after 1100 CE and progresses across Africa before reaching South America. These findings support the hypothesis of a recurrent large-scale geomagnetic pattern and highlight multiscale geodynamic control on geomagnetic field morphology, in which mantle and core processes interact to shape secular variation patterns on centennial to millennial timescales.</w:t>
      </w:r>
    </w:p>
    <w:p>
      <w:pPr>
        <w:spacing w:before="120" w:after="120"/>
      </w:pPr>
      <w:r>
        <w:rPr>
          <w:sz w:val="18"/>
        </w:rPr>
        <w:t>——————————————————————————————————————————————————————————————————————</w:t>
      </w:r>
    </w:p>
    <w:p>
      <w:pPr>
        <w:spacing w:before="160" w:after="40" w:line="240" w:lineRule="auto"/>
      </w:pPr>
      <w:r>
        <w:rPr>
          <w:b/>
        </w:rPr>
        <w:t xml:space="preserve">[91] </w:t>
      </w:r>
      <w:hyperlink r:id="rId310">
        <w:r>
          <w:rPr>
            <w:color w:val="1155CC"/>
            <w:u w:val="single"/>
          </w:rPr>
          <w:t>大肠杆菌的代谢工程用于尼龙6和尼龙6,6单体的生物合成</w:t>
        </w:r>
      </w:hyperlink>
    </w:p>
    <w:p>
      <w:pPr>
        <w:spacing w:before="0" w:after="80"/>
      </w:pPr>
      <w:r>
        <w:rPr>
          <w:i/>
          <w:sz w:val="20"/>
        </w:rPr>
        <w:t>EN: Metabolic engineering of Escherichia coli for the biosynthesis of nylon 6 and nylon 6,6 monomers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11">
        <w:r>
          <w:rPr>
            <w:color w:val="1155CC"/>
            <w:u w:val="single"/>
          </w:rPr>
          <w:t>10.1073/pnas.2535786123</w:t>
        </w:r>
      </w:hyperlink>
    </w:p>
    <w:p>
      <w:pPr>
        <w:spacing w:before="0" w:after="120"/>
      </w:pPr>
      <w:r>
        <w:rPr>
          <w:b/>
        </w:rPr>
        <w:t xml:space="preserve">Notes: </w:t>
      </w:r>
      <w:r>
        <w:t>abstract_source=crossref</w:t>
      </w:r>
    </w:p>
    <w:p>
      <w:pPr>
        <w:spacing w:before="0" w:after="80" w:lineRule="auto" w:line="276"/>
      </w:pPr>
      <w:r>
        <w:rPr>
          <w:b/>
        </w:rPr>
        <w:t xml:space="preserve">摘要（ZH）: </w:t>
      </w:r>
      <w:r>
        <w:t>己二胺（HMD）、己二酸和ε-己内酰胺（ε-CL）是用于生产尼龙6,6和尼龙6的基本C6单体。由于路径复杂性，开发这些化合物的可持续生物基路线仍然具有挑战性。在此，我们报告了一种模块化大肠杆菌平台，用于从甘油直接新合成所有三种单体。我们将整体路径分为上游和下游模块，上游模块将甘油转化为己二酸。为了构建下游模块，工程化了两种不同的菌株，分别将己二酸转化为HMD或ε-CL。两种菌株均采用来自Mycobacteroides abscessus的羧酸还原酶Macar和来自Mycolicibacterium moriokaense的Mmocar，后者在此工作中被识别和验证。具体而言，HMD生物合成结合了来自大肠杆菌的氨基转移酶PatA、来自Streptomyces avermitilis的GabT以及引入的来自Burkholderia cenocepacia的Bcta。ε-CL生物合成利用了类似的上游路径，但关键依赖于由含有灵活连接子的HLadh–Smnox融合酶催化的内酰胺化步骤，以实现高效的NAD+再生。</w:t>
      </w:r>
    </w:p>
    <w:p>
      <w:pPr>
        <w:spacing w:before="0" w:after="200" w:lineRule="auto" w:line="276"/>
      </w:pPr>
      <w:r>
        <w:rPr>
          <w:b/>
        </w:rPr>
        <w:t xml:space="preserve">Abstract (EN): </w:t>
      </w:r>
      <w:r>
        <w:t>Hexamethylenediamine (HMD), adipic acid, and ε-caprolactam (ε-CL) are essential C6 monomers used in the production of nylon 6,6 and nylon 6. Developing sustainable, bio-based routes to these compounds remains challenging due to pathway complexity. Here, we report a modular</w:t>
      </w:r>
      <w:r>
        <w:t xml:space="preserve"> </w:t>
      </w:r>
      <w:r>
        <w:t>Escherichia coli</w:t>
      </w:r>
      <w:r>
        <w:t xml:space="preserve"> </w:t>
      </w:r>
      <w:r>
        <w:t>platform for the de novo biosynthesis of all three monomers directly from glycerol. We divided the overall pathway into upstream and downstream modules, with the upstream module converting glycerol to adipic acid. To construct downstream module, two distinct strains were engineered to individually convert adipic acid into HMD or ε-CL. Both strains employed carboxylic acid reductases Macar from</w:t>
      </w:r>
      <w:r>
        <w:t xml:space="preserve"> </w:t>
      </w:r>
      <w:r>
        <w:t>Mycobacteroides abscessus</w:t>
      </w:r>
      <w:r>
        <w:t xml:space="preserve"> </w:t>
      </w:r>
      <w:r>
        <w:t>and Mmocar from</w:t>
      </w:r>
      <w:r>
        <w:t xml:space="preserve"> </w:t>
      </w:r>
      <w:r>
        <w:t>Mycolicibacterium moriokaense</w:t>
      </w:r>
      <w:r>
        <w:t xml:space="preserve"> </w:t>
      </w:r>
      <w:r>
        <w:t>, with the latter identified and validated in this work. Specifically, HMD biosynthesis incorporated aminotransferases PatA from</w:t>
      </w:r>
      <w:r>
        <w:t xml:space="preserve"> </w:t>
      </w:r>
      <w:r>
        <w:t>E. coli</w:t>
      </w:r>
      <w:r>
        <w:t xml:space="preserve"> </w:t>
      </w:r>
      <w:r>
        <w:t>, GabT from</w:t>
      </w:r>
      <w:r>
        <w:t xml:space="preserve"> </w:t>
      </w:r>
      <w:r>
        <w:t>Streptomyces</w:t>
      </w:r>
      <w:r>
        <w:t xml:space="preserve"> </w:t>
      </w:r>
      <w:r>
        <w:t>avermitilis</w:t>
      </w:r>
      <w:r>
        <w:t xml:space="preserve"> </w:t>
      </w:r>
      <w:r>
        <w:t>, and the introduced Bcta from</w:t>
      </w:r>
      <w:r>
        <w:t xml:space="preserve"> </w:t>
      </w:r>
      <w:r>
        <w:t>Burkholderia cenocepacia</w:t>
      </w:r>
      <w:r>
        <w:t xml:space="preserve"> </w:t>
      </w:r>
      <w:r>
        <w:t>. ε-CL biosynthesis utilized a similar upstream pathway but relied critically on a lactamization step catalyzed by an HLadh–Smnox fusion enzyme containing a flexible linker for efficient NAD</w:t>
      </w:r>
      <w:r>
        <w:t xml:space="preserve"> </w:t>
      </w:r>
      <w:r>
        <w:t>+</w:t>
      </w:r>
      <w:r>
        <w:t xml:space="preserve"> </w:t>
      </w:r>
      <w:r>
        <w:t>regeneration. The common precursor, adipic acid, was produced by an upstream strain optimized through reverse β-oxidation pathway reconstruction, PaaJ engineering, and metabolic flux balancing, achieving a titer of 6.1 g/L. In fed-batch fermentation, cocultivation of the engineered strains with delayed inoculation enabled temporally coordinated conversion of glycerol to HMD (230.9 mg/L) and ε-CL (808.0 µg/L), representing low yet the highest titers reported to date. This work opens up the possibility of a unified, modular microbial platform for the sustainable production of nylon monomers from a renewable carbon source.</w:t>
      </w:r>
    </w:p>
    <w:p>
      <w:pPr>
        <w:spacing w:before="120" w:after="120"/>
      </w:pPr>
      <w:r>
        <w:rPr>
          <w:sz w:val="18"/>
        </w:rPr>
        <w:t>——————————————————————————————————————————————————————————————————————</w:t>
      </w:r>
    </w:p>
    <w:p>
      <w:pPr>
        <w:spacing w:before="160" w:after="40" w:line="240" w:lineRule="auto"/>
      </w:pPr>
      <w:r>
        <w:rPr>
          <w:b/>
        </w:rPr>
        <w:t xml:space="preserve">[92] </w:t>
      </w:r>
      <w:hyperlink r:id="rId312">
        <w:r>
          <w:rPr>
            <w:color w:val="1155CC"/>
            <w:u w:val="single"/>
          </w:rPr>
          <w:t>常春藤中的糖链依赖性双组分化学防御揭示了伞形目中底物驱动的β-葡萄糖苷酶进化</w:t>
        </w:r>
      </w:hyperlink>
    </w:p>
    <w:p>
      <w:pPr>
        <w:spacing w:before="0" w:after="80"/>
      </w:pPr>
      <w:r>
        <w:rPr>
          <w:i/>
          <w:sz w:val="20"/>
        </w:rPr>
        <w:t>EN: A sugar chain–dependent two-component chemical defense in Hedera helix reveals substrate-driven β-glucosidase evolution in Apiales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13">
        <w:r>
          <w:rPr>
            <w:color w:val="1155CC"/>
            <w:u w:val="single"/>
          </w:rPr>
          <w:t>10.1073/pnas.2533820123</w:t>
        </w:r>
      </w:hyperlink>
    </w:p>
    <w:p>
      <w:pPr>
        <w:spacing w:before="0" w:after="120"/>
      </w:pPr>
      <w:r>
        <w:rPr>
          <w:b/>
        </w:rPr>
        <w:t xml:space="preserve">Notes: </w:t>
      </w:r>
      <w:r>
        <w:t>abstract_source=crossref</w:t>
      </w:r>
    </w:p>
    <w:p>
      <w:pPr>
        <w:spacing w:before="0" w:after="80" w:lineRule="auto" w:line="276"/>
      </w:pPr>
      <w:r>
        <w:rPr>
          <w:b/>
        </w:rPr>
        <w:t xml:space="preserve">摘要（ZH）: </w:t>
      </w:r>
      <w:r>
        <w:t>植物已经进化出多样的化学策略来防御食草动物和病原体，但其起源和多样化的机制仍不清楚。在此，我们在常春藤（Hedera helix）中识别出一种糖链依赖的三萜皂苷防御系统，体现了植物化学防御中的适应性创新。三个糖基转移酶依次在α-常春藤皂苷的C-28位置组装葡萄糖-葡萄糖-鼠李糖链，形成解毒前体常春藤皂苷C。在组织破坏时，β-葡萄糖苷酶HhGH1水解整个糖链，再生出α-常春藤皂苷，这是一种强效的溶血性皂苷。在烟草（Nicotiana benthamiana）中重建该系统赋予了强大的食草动物抗性，证明了其生态功能性和可移植性。有趣的是，比较基因组学和生化分析揭示了在伞形目中，β-葡萄糖苷酶因三萜糖基化而多样化，说明了底物驱动的酶进化和代谢创新如何共同产生植物中新适应性防御策略。</w:t>
      </w:r>
    </w:p>
    <w:p>
      <w:pPr>
        <w:spacing w:before="0" w:after="200" w:lineRule="auto" w:line="276"/>
      </w:pPr>
      <w:r>
        <w:rPr>
          <w:b/>
        </w:rPr>
        <w:t xml:space="preserve">Abstract (EN): </w:t>
      </w:r>
      <w:r>
        <w:t>Plants have evolved diverse chemical strategies to defend against herbivores and pathogens, yet the mechanisms underlying their origin and diversification remain unclear. Here, we identify a sugar chain–dependent triterpenoid saponin defense system in</w:t>
      </w:r>
      <w:r>
        <w:t xml:space="preserve"> </w:t>
      </w:r>
      <w:r>
        <w:t>Hedera helix</w:t>
      </w:r>
      <w:r>
        <w:t xml:space="preserve"> </w:t>
      </w:r>
      <w:r>
        <w:t>that exemplifies adaptive innovation in plant chemical defenses. Three glycosyltransferases sequentially assemble a glucose–glucose–rhamnose chain at the C-28 position of α-hederin to form the detoxified precursor hederacoside C. Upon tissue disruption, the β-glucosidase HhGH1 hydrolyzes the entire sugar chain, regenerating α-hederin, a potent hemolytic saponin. Reconstitution of this system in</w:t>
      </w:r>
      <w:r>
        <w:t xml:space="preserve"> </w:t>
      </w:r>
      <w:r>
        <w:t>Nicotiana benthamiana</w:t>
      </w:r>
      <w:r>
        <w:t xml:space="preserve"> </w:t>
      </w:r>
      <w:r>
        <w:t>conferred strong herbivore resistance, demonstrating its ecological functionality and portability. Intriguingly, comparative genomics and biochemical analysis revealed that β-glucosidases across Apiales diversified in response to triterpenoid glycosylation, illustrating how substrate-driven enzyme evolution and metabolic innovation together generate new adaptive defense strategies in plants.</w:t>
      </w:r>
    </w:p>
    <w:p>
      <w:pPr>
        <w:spacing w:before="120" w:after="120"/>
      </w:pPr>
      <w:r>
        <w:rPr>
          <w:sz w:val="18"/>
        </w:rPr>
        <w:t>——————————————————————————————————————————————————————————————————————</w:t>
      </w:r>
    </w:p>
    <w:p>
      <w:pPr>
        <w:spacing w:before="160" w:after="40" w:line="240" w:lineRule="auto"/>
      </w:pPr>
      <w:r>
        <w:rPr>
          <w:b/>
        </w:rPr>
        <w:t xml:space="preserve">[93] </w:t>
      </w:r>
      <w:hyperlink r:id="rId314">
        <w:r>
          <w:rPr>
            <w:color w:val="1155CC"/>
            <w:u w:val="single"/>
          </w:rPr>
          <w:t>早期证据表明在智人进化中存在稳定且灵活的觅食生态位</w:t>
        </w:r>
      </w:hyperlink>
    </w:p>
    <w:p>
      <w:pPr>
        <w:spacing w:before="0" w:after="80"/>
      </w:pPr>
      <w:r>
        <w:rPr>
          <w:i/>
          <w:sz w:val="20"/>
        </w:rPr>
        <w:t>EN: Early evidence for a stable and flexible foraging niche in the evolution of Homo</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15">
        <w:r>
          <w:rPr>
            <w:color w:val="1155CC"/>
            <w:u w:val="single"/>
          </w:rPr>
          <w:t>10.1073/pnas.2537631123</w:t>
        </w:r>
      </w:hyperlink>
    </w:p>
    <w:p>
      <w:pPr>
        <w:spacing w:before="0" w:after="120"/>
      </w:pPr>
      <w:r>
        <w:rPr>
          <w:b/>
        </w:rPr>
        <w:t xml:space="preserve">Notes: </w:t>
      </w:r>
      <w:r>
        <w:t>abstract_source=crossref</w:t>
      </w:r>
    </w:p>
    <w:p>
      <w:pPr>
        <w:spacing w:before="0" w:after="80" w:lineRule="auto" w:line="276"/>
      </w:pPr>
      <w:r>
        <w:rPr>
          <w:b/>
        </w:rPr>
        <w:t xml:space="preserve">摘要（ZH）: </w:t>
      </w:r>
      <w:r>
        <w:t>人类的主要进化转变（例如，脑容量增加、复杂的社会行为）与对高质量食物的依赖有关。增加的肉类消费可能促成了这一转变，但人类是否在不同时间和环境中始终如一地实践尸体获取和加工策略仍不清楚。库比福拉地层涵盖了大部分上新世-更新世时期，是重建早期人类生态学的核心。然而，动物考古学研究几乎完全集中在Okote成员（约1.56至1.38百万年前），而KBS成员（约1.87至1.56百万年前）虽然出土了重要的人类化石，但相对较少的动物集合保存得同样良好以供类似分析。我们对来自KBS成员的FwJj 80（约1.6百万年前）集合进行了分析，该集合保存了与早期人类化石相关的屠宰动物。结果表明，在Okote成员中记录的行为，包括对尸体的早期获取、选择性运输肢体和在河岸环境中系统性提取骨髓，也在FwJj 80中得到了实践。这提供了KBS成员中此类行为的最全面和系统分析的证据，表明KBS和Okote成员之间在尸体利用模式上的连续性。与FLK Zinj（约1.84百万年前，坦桑尼亚）和Kanjera South（约2.0百万年前，肯尼亚）的比较表明，在不同环境背景下维持了一致的觅食生态位，强调了</w:t>
      </w:r>
    </w:p>
    <w:p>
      <w:pPr>
        <w:spacing w:before="0" w:after="200" w:lineRule="auto" w:line="276"/>
      </w:pPr>
      <w:r>
        <w:rPr>
          <w:b/>
        </w:rPr>
        <w:t xml:space="preserve">Abstract (EN): </w:t>
      </w:r>
      <w:r>
        <w:t>Major evolutionary transitions in</w:t>
      </w:r>
      <w:r>
        <w:t xml:space="preserve"> </w:t>
      </w:r>
      <w:r>
        <w:t>Homo</w:t>
      </w:r>
      <w:r>
        <w:t xml:space="preserve"> </w:t>
      </w:r>
      <w:r>
        <w:t>(e.g., increased brain size, complex social behavior) are linked to reliance on high-quality foods. Increased meat consumption likely contributed to this shift, but whether hominins practiced carcass acquisition and processing strategies consistently across time and environments remains unclear. The Koobi Fora Formation spans much of the Plio-Pleistocene and is central to reconstructing the ecology of early</w:t>
      </w:r>
      <w:r>
        <w:t xml:space="preserve"> </w:t>
      </w:r>
      <w:r>
        <w:t>Homo</w:t>
      </w:r>
      <w:r>
        <w:t xml:space="preserve"> </w:t>
      </w:r>
      <w:r>
        <w:t>. However, zooarchaeological research has focused almost entirely on the Okote Member (~1.56 to 1.38 Ma), while the KBS Member (~1.87 to 1.56 Ma) has yielded important hominin fossils but relatively few faunal assemblages comparably well preserved for similar analysis. We present an analysis of FwJj 80 (~1.6 Ma), an assemblage from the KBS Member that preserves butchered fauna associated with early</w:t>
      </w:r>
      <w:r>
        <w:t xml:space="preserve"> </w:t>
      </w:r>
      <w:r>
        <w:t>Homo</w:t>
      </w:r>
      <w:r>
        <w:t xml:space="preserve"> </w:t>
      </w:r>
      <w:r>
        <w:t>fossils. Results show that behaviors documented in the Okote Member, including early access to carcasses, selective transport of limbs, and systematic marrow extraction within riparian settings, were also practiced at FwJj 80. This provides the most comprehensive and systematically analyzed evidence of such behaviors within the KBS Member, demonstrating continuity in carcass-exploitation patterns between the KBS and Okote Members. Comparisons with FLK Zinj (~1.84 Ma, Tanzania) and Kanjera South (~2.0 Ma, Kenya) demonstrate a consistent foraging niche sustained across varied environmental contexts, underscoring behavioral flexibility as central to early</w:t>
      </w:r>
      <w:r>
        <w:t xml:space="preserve"> </w:t>
      </w:r>
      <w:r>
        <w:t>Homo’</w:t>
      </w:r>
      <w:r>
        <w:t xml:space="preserve"> </w:t>
      </w:r>
      <w:r>
        <w:t>s evolutionary success.</w:t>
      </w:r>
    </w:p>
    <w:p>
      <w:pPr>
        <w:spacing w:before="120" w:after="120"/>
      </w:pPr>
      <w:r>
        <w:rPr>
          <w:sz w:val="18"/>
        </w:rPr>
        <w:t>——————————————————————————————————————————————————————————————————————</w:t>
      </w:r>
    </w:p>
    <w:p>
      <w:pPr>
        <w:spacing w:before="160" w:after="40" w:line="240" w:lineRule="auto"/>
      </w:pPr>
      <w:r>
        <w:rPr>
          <w:b/>
        </w:rPr>
        <w:t xml:space="preserve">[94] </w:t>
      </w:r>
      <w:hyperlink r:id="rId316">
        <w:r>
          <w:rPr>
            <w:color w:val="1155CC"/>
            <w:u w:val="single"/>
          </w:rPr>
          <w:t>最后一次冰期开始时法国西南部尼安德特人避难所的气候机制</w:t>
        </w:r>
      </w:hyperlink>
    </w:p>
    <w:p>
      <w:pPr>
        <w:spacing w:before="0" w:after="80"/>
      </w:pPr>
      <w:r>
        <w:rPr>
          <w:i/>
          <w:sz w:val="20"/>
        </w:rPr>
        <w:t>EN: Climatic mechanisms underlying a southwestern French Neanderthal refugium at the onset of the last glaciation</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17">
        <w:r>
          <w:rPr>
            <w:color w:val="1155CC"/>
            <w:u w:val="single"/>
          </w:rPr>
          <w:t>10.1073/pnas.2610884123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 </w:t>
      </w:r>
      <w:hyperlink r:id="rId318">
        <w:r>
          <w:rPr>
            <w:color w:val="1155CC"/>
            <w:u w:val="single"/>
          </w:rPr>
          <w:t>用于细胞中激酶活性动态成像的超亮生物传感器设计</w:t>
        </w:r>
      </w:hyperlink>
    </w:p>
    <w:p>
      <w:pPr>
        <w:spacing w:before="0" w:after="80"/>
      </w:pPr>
      <w:r>
        <w:rPr>
          <w:i/>
          <w:sz w:val="20"/>
        </w:rPr>
        <w:t>EN: Design of an ultrabright biosensor for dynamic imaging of kinase activity in cells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19">
        <w:r>
          <w:rPr>
            <w:color w:val="1155CC"/>
            <w:u w:val="single"/>
          </w:rPr>
          <w:t>10.1073/pnas.2523631123</w:t>
        </w:r>
      </w:hyperlink>
    </w:p>
    <w:p>
      <w:pPr>
        <w:spacing w:before="0" w:after="120"/>
      </w:pPr>
      <w:r>
        <w:rPr>
          <w:b/>
        </w:rPr>
        <w:t xml:space="preserve">Notes: </w:t>
      </w:r>
      <w:r>
        <w:t>abstract_source=crossref</w:t>
      </w:r>
    </w:p>
    <w:p>
      <w:pPr>
        <w:spacing w:before="0" w:after="80" w:lineRule="auto" w:line="276"/>
      </w:pPr>
      <w:r>
        <w:rPr>
          <w:b/>
        </w:rPr>
        <w:t xml:space="preserve">摘要（ZH）: </w:t>
      </w:r>
      <w:r>
        <w:t>蛋白激酶调节几乎所有主要的信号通路。因此，可视化激酶活性的时空动态对于理解细胞信号传导至关重要。在此，我们报告了一种全新设计的激酶活性报告器，称为NOVARK，它包含一个单一的多肽链，具有作为特定激酶底物和报告器的多个模块化基序。NOVARK经历磷酸化诱导的高阶组装，可检测为超亮的绿色荧光蛋白（GFP）液滴，具有大的动态范围。我们设计了NOVARK的版本，可以快速且可逆地报告蛋白激酶A、C和细胞外信号调节激酶（ERK）的细胞内活性，响应于上游G蛋白偶联受体（GPCR）激动剂的刺激/抑制。我们的工作提供了一个可推广的平台，使得设计超亮生物传感器成为可能，以揭示激酶信号传导的动态结构。</w:t>
      </w:r>
    </w:p>
    <w:p>
      <w:pPr>
        <w:spacing w:before="0" w:after="200" w:lineRule="auto" w:line="276"/>
      </w:pPr>
      <w:r>
        <w:rPr>
          <w:b/>
        </w:rPr>
        <w:t xml:space="preserve">Abstract (EN): </w:t>
      </w:r>
      <w:r>
        <w:t>Protein kinases regulate almost every major signaling pathway. Visualizing spatiotemporal dynamics of kinase activity is thus essential to understand cell signaling. Here, we report a de novo–designed activity reporter of kinase, dubbed NOVARK, which contains a single polypeptide chain with multiple modular motifs that act as specific kinase substrates and reporters. NOVARK undergoes phosphorylation-induced higher-order assembly, which are detectable as ultrabright green fluorescent protein (GFP) droplets with a large dynamic range. We designed versions of NOVARK that rapidly and reversibly report intracellular activity of protein kinase A, C, and extracellular signal-regulated kinase (ERK) following stimulation/inhibition by upstream G protein-coupled receptor (GPCR) agonists. Our work provides a generalizable platform that enables the design of ultrabright biosensors for illuminating dynamic architecture of kinase signaling.</w:t>
      </w:r>
    </w:p>
    <w:p>
      <w:pPr>
        <w:spacing w:before="120" w:after="120"/>
      </w:pPr>
      <w:r>
        <w:rPr>
          <w:sz w:val="18"/>
        </w:rPr>
        <w:t>——————————————————————————————————————————————————————————————————————</w:t>
      </w:r>
    </w:p>
    <w:p>
      <w:pPr>
        <w:spacing w:before="160" w:after="40" w:line="240" w:lineRule="auto"/>
      </w:pPr>
      <w:r>
        <w:rPr>
          <w:b/>
        </w:rPr>
        <w:t xml:space="preserve">[96] </w:t>
      </w:r>
      <w:hyperlink r:id="rId320">
        <w:r>
          <w:rPr>
            <w:color w:val="1155CC"/>
            <w:u w:val="single"/>
          </w:rPr>
          <w:t>Esposito 等人的更正，使用基于实验室的 X 射线显微镜对未染色软组织进行亚细胞分辨率的三维高含量成像</w:t>
        </w:r>
      </w:hyperlink>
    </w:p>
    <w:p>
      <w:pPr>
        <w:spacing w:before="0" w:after="80"/>
      </w:pPr>
      <w:r>
        <w:rPr>
          <w:i/>
          <w:sz w:val="20"/>
        </w:rPr>
        <w:t>EN: Correction for Esposito et al., Three-dimensional high-content imaging of unstained soft tissue with subcellular resolution using a laboratory-based X-ray microscope</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21">
        <w:r>
          <w:rPr>
            <w:color w:val="1155CC"/>
            <w:u w:val="single"/>
          </w:rPr>
          <w:t>10.1073/pnas.2612811123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322">
        <w:r>
          <w:rPr>
            <w:color w:val="1155CC"/>
            <w:u w:val="single"/>
          </w:rPr>
          <w:t>人参皂苷代谢物及其衍生物靶向 PRELID3B 对抗肺癌细胞</w:t>
        </w:r>
      </w:hyperlink>
    </w:p>
    <w:p>
      <w:pPr>
        <w:spacing w:before="0" w:after="80"/>
      </w:pPr>
      <w:r>
        <w:rPr>
          <w:i/>
          <w:sz w:val="20"/>
        </w:rPr>
        <w:t>EN: A ginsenoside metabolite and its derivative target PRELID3B against lung cancer cells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23">
        <w:r>
          <w:rPr>
            <w:color w:val="1155CC"/>
            <w:u w:val="single"/>
          </w:rPr>
          <w:t>10.1073/pnas.2533505123</w:t>
        </w:r>
      </w:hyperlink>
    </w:p>
    <w:p>
      <w:pPr>
        <w:spacing w:before="0" w:after="120"/>
      </w:pPr>
      <w:r>
        <w:rPr>
          <w:b/>
        </w:rPr>
        <w:t xml:space="preserve">Notes: </w:t>
      </w:r>
      <w:r>
        <w:t>abstract_source=crossref</w:t>
      </w:r>
    </w:p>
    <w:p>
      <w:pPr>
        <w:spacing w:before="0" w:after="80" w:lineRule="auto" w:line="276"/>
      </w:pPr>
      <w:r>
        <w:rPr>
          <w:b/>
        </w:rPr>
        <w:t xml:space="preserve">摘要（ZH）: </w:t>
      </w:r>
      <w:r>
        <w:t>人参因其对癌症患者的益处而广受赞誉，这通常归因于其代谢物化合物K（CK）。在此，我们合成了一种衍生物（CKD-4），与CK相比，表现出增强的细胞摄取、三倍的细胞毒性和改善的药代动力学。CKD-4对肺癌患者来源的类器官和细胞系来源的异种移植瘤表现出显著的生长抑制，并且系统毒性最小。CKD-4还在免疫健全的小鼠中抑制了原位肺肿瘤的生长，并增强了抗肿瘤免疫浸润。使用蛋白质组整体溶解度改变和ProTargetMiner分析，线粒体磷脂转移蛋白PRELID3B被无偏地识别为CK和CKD-4的共同抗癌靶点。PRELID3B是一个潜在的泛癌治疗靶点和预后生物标志物，得到癌症遗传学和转录组学证据的支持。CK和CKD-4在细胞热转移实验中稳定PRELID3B，并通过生物层干涉测量法与PRELID3B结合，Kd分别为23 µM和5 µM。多组学分析揭示了CK和CKD-4共享</w:t>
      </w:r>
    </w:p>
    <w:p>
      <w:pPr>
        <w:spacing w:before="0" w:after="200" w:lineRule="auto" w:line="276"/>
      </w:pPr>
      <w:r>
        <w:rPr>
          <w:b/>
        </w:rPr>
        <w:t xml:space="preserve">Abstract (EN): </w:t>
      </w:r>
      <w:r>
        <w:t>Ginseng is widely praised for its benefits on cancer patients, often attributed to its metabolite compound K (</w:t>
      </w:r>
      <w:r>
        <w:t xml:space="preserve"> </w:t>
      </w:r>
      <w:r>
        <w:t>CK</w:t>
      </w:r>
      <w:r>
        <w:t xml:space="preserve"> </w:t>
      </w:r>
      <w:r>
        <w:t>). Here, we synthesized a derivative (</w:t>
      </w:r>
      <w:r>
        <w:t xml:space="preserve"> </w:t>
      </w:r>
      <w:r>
        <w:t>CKD-4</w:t>
      </w:r>
      <w:r>
        <w:t xml:space="preserve"> </w:t>
      </w:r>
      <w:r>
        <w:t>) that, compared with</w:t>
      </w:r>
      <w:r>
        <w:t xml:space="preserve"> </w:t>
      </w:r>
      <w:r>
        <w:t>CK</w:t>
      </w:r>
      <w:r>
        <w:t xml:space="preserve"> </w:t>
      </w:r>
      <w:r>
        <w:t>, exhibited enhanced cellular uptake, threefold greater cytotoxicity, and improved pharmacokinetics.</w:t>
      </w:r>
      <w:r>
        <w:t xml:space="preserve"> </w:t>
      </w:r>
      <w:r>
        <w:t>CKD-4</w:t>
      </w:r>
      <w:r>
        <w:t xml:space="preserve"> </w:t>
      </w:r>
      <w:r>
        <w:t>induced significant growth inhibition on lung cancer patient-derived organoids, and on cell line-derived xenografts with minimal systemic toxicity.</w:t>
      </w:r>
      <w:r>
        <w:t xml:space="preserve"> </w:t>
      </w:r>
      <w:r>
        <w:t>CKD-4</w:t>
      </w:r>
      <w:r>
        <w:t xml:space="preserve"> </w:t>
      </w:r>
      <w:r>
        <w:t>also suppressed orthotopic lung tumor growth in immunocompetent mice with enhanced antitumor immune infiltration. Using proteome integral solubility alteration and ProTargetMiner analyses, the mitochondrial phospholipid transfer protein PRELID3B was unbiasedly identified as a shared anticancer target of</w:t>
      </w:r>
      <w:r>
        <w:t xml:space="preserve"> </w:t>
      </w:r>
      <w:r>
        <w:t>CK</w:t>
      </w:r>
      <w:r>
        <w:t xml:space="preserve"> </w:t>
      </w:r>
      <w:r>
        <w:t>and</w:t>
      </w:r>
      <w:r>
        <w:t xml:space="preserve"> </w:t>
      </w:r>
      <w:r>
        <w:t>CKD-4</w:t>
      </w:r>
      <w:r>
        <w:t xml:space="preserve"> </w:t>
      </w:r>
      <w:r>
        <w:t>. PRELID3B is a potential pancancer therapeutic target and prognostic biomarker supported by cancer genetics and transcriptomics evidence. Both</w:t>
      </w:r>
      <w:r>
        <w:t xml:space="preserve"> </w:t>
      </w:r>
      <w:r>
        <w:t>CK</w:t>
      </w:r>
      <w:r>
        <w:t xml:space="preserve"> </w:t>
      </w:r>
      <w:r>
        <w:t>and</w:t>
      </w:r>
      <w:r>
        <w:t xml:space="preserve"> </w:t>
      </w:r>
      <w:r>
        <w:t>CKD-4</w:t>
      </w:r>
      <w:r>
        <w:t xml:space="preserve"> </w:t>
      </w:r>
      <w:r>
        <w:t>stabilize PRELID3B in cellular thermal shift assay and bind PRELID3B with K</w:t>
      </w:r>
      <w:r>
        <w:t xml:space="preserve"> </w:t>
      </w:r>
      <w:r>
        <w:t>d</w:t>
      </w:r>
      <w:r>
        <w:t xml:space="preserve"> </w:t>
      </w:r>
      <w:r>
        <w:t>of 23 µM and 5 µM, respectively, measured by biolayer interferometry. Multiomics analyses revealed that</w:t>
      </w:r>
      <w:r>
        <w:t xml:space="preserve"> </w:t>
      </w:r>
      <w:r>
        <w:t>CK</w:t>
      </w:r>
      <w:r>
        <w:t xml:space="preserve"> </w:t>
      </w:r>
      <w:r>
        <w:t>and</w:t>
      </w:r>
      <w:r>
        <w:t xml:space="preserve"> </w:t>
      </w:r>
      <w:r>
        <w:t>CKD-4</w:t>
      </w:r>
      <w:r>
        <w:t xml:space="preserve"> </w:t>
      </w:r>
      <w:r>
        <w:t>share similar anticancer mechanisms, involving mitochondrial phospholipid depletion, integrated stress response activation, and immunomodulatory pathways induction associated with PRELID3B inhibition. This study provides the basis for the immunomodulatory and anticancer effects of ginseng metabolites through targeting PRELID3B, and illustrates the application of orthogonal proteomics in target identification of natural compounds.</w:t>
      </w:r>
    </w:p>
    <w:p>
      <w:pPr>
        <w:spacing w:before="120" w:after="120"/>
      </w:pPr>
      <w:r>
        <w:rPr>
          <w:sz w:val="18"/>
        </w:rPr>
        <w:t>——————————————————————————————————————————————————————————————————————</w:t>
      </w:r>
    </w:p>
    <w:p>
      <w:pPr>
        <w:spacing w:before="160" w:after="40" w:line="240" w:lineRule="auto"/>
      </w:pPr>
      <w:r>
        <w:rPr>
          <w:b/>
        </w:rPr>
        <w:t xml:space="preserve">[98] </w:t>
      </w:r>
      <w:hyperlink r:id="rId324">
        <w:r>
          <w:rPr>
            <w:color w:val="1155CC"/>
            <w:u w:val="single"/>
          </w:rPr>
          <w:t>社交媒体推广改善了就业市场结果</w:t>
        </w:r>
      </w:hyperlink>
    </w:p>
    <w:p>
      <w:pPr>
        <w:spacing w:before="0" w:after="80"/>
      </w:pPr>
      <w:r>
        <w:rPr>
          <w:i/>
          <w:sz w:val="20"/>
        </w:rPr>
        <w:t>EN: Social media promotion improves job market outcomes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25">
        <w:r>
          <w:rPr>
            <w:color w:val="1155CC"/>
            <w:u w:val="single"/>
          </w:rPr>
          <w:t>10.1073/pnas.2528289123</w:t>
        </w:r>
      </w:hyperlink>
    </w:p>
    <w:p>
      <w:pPr>
        <w:spacing w:before="0" w:after="120"/>
      </w:pPr>
      <w:r>
        <w:rPr>
          <w:b/>
        </w:rPr>
        <w:t xml:space="preserve">Notes: </w:t>
      </w:r>
      <w:r>
        <w:t>abstract_source=crossref</w:t>
      </w:r>
    </w:p>
    <w:p>
      <w:pPr>
        <w:spacing w:before="0" w:after="80" w:lineRule="auto" w:line="276"/>
      </w:pPr>
      <w:r>
        <w:rPr>
          <w:b/>
        </w:rPr>
        <w:t xml:space="preserve">摘要（ZH）: </w:t>
      </w:r>
      <w:r>
        <w:t>社交媒体已经改变了学者传播研究的方式，但其对学术工作结果的影响仍不明确。先前的研究显示社交媒体曝光与引用次数等指标之间存在相关性，但这些关系可能受到未观察到的因素（如研究者质量或专业网络的访问）影响。我们通过在Twitter（现为X）上的实地实验，研究社交媒体推广是否对经济学的就业市场结果产生因果影响。我们首先收集了519名候选人的求职市场论文推文，并从一个专用账户发布。然后，我们随机选择一半的帖子由候选人领域内的知名经济学家引用推文，并测量其对在线可见性和招聘结果的影响。我们发现，处理组的帖子比对照组的帖子多获得441%的浏览量和303%的点赞数。被分配引用推文的候选人比对照组平均5.4次的飞行邀请多收到一次飞行邀请。此外，处理组的女性比对照组的女性多收到0.9个工作邀请，后者平均收到3个邀请。探索机制时，我们发现学术声誉推动了这些结果，引用推文来自高被引学者和顶尖机构候选人的效果更强。我们的研究结果表明，社交媒体推广因果性地增加了研究的可见性并改善了学术就业市场结果。</w:t>
      </w:r>
    </w:p>
    <w:p>
      <w:pPr>
        <w:spacing w:before="0" w:after="200" w:lineRule="auto" w:line="276"/>
      </w:pPr>
      <w:r>
        <w:rPr>
          <w:b/>
        </w:rPr>
        <w:t xml:space="preserve">Abstract (EN): </w:t>
      </w:r>
      <w:r>
        <w:t>Social media has transformed how academics disseminate research, but its effect on academic job outcomes remains unclear. Previous research has shown correlations between social media exposure and metrics like citation counts, but these relationships may be confounded by unobserved factors such as researcher quality or access to professional networks. We examine whether social media promotion causally affects job market outcomes in economics through a field experiment on Twitter (now X). We first collect tweets about job market papers from 519 candidates and post them from a dedicated account. We then randomize half of the posts to be quote-tweeted by established economists in the candidates’ fields, and measure the effects on both online visibility and hiring outcomes. We find that posts in the treatment group receive 441% more views and 303% more likes than those in the control group. Candidates whose posts were assigned to be quote-tweeted receive one additional flyout invitation compared to the control group average of 5.4 flyouts. Furthermore, women in the treatment group receive 0.9 more job offers than women in the control group, who receive 3 offers on average. Exploring mechanisms, we find that academic reputation drives these results, with stronger effects for quote-tweets from highly cited scholars and for candidates from top institutions. Our findings suggest social media promotion causally increases research visibility and improves academic job market outcomes.</w:t>
      </w:r>
    </w:p>
    <w:p>
      <w:pPr>
        <w:spacing w:before="120" w:after="120"/>
      </w:pPr>
      <w:r>
        <w:rPr>
          <w:sz w:val="18"/>
        </w:rPr>
        <w:t>——————————————————————————————————————————————————————————————————————</w:t>
      </w:r>
    </w:p>
    <w:p>
      <w:pPr>
        <w:spacing w:before="160" w:after="40" w:line="240" w:lineRule="auto"/>
      </w:pPr>
      <w:r>
        <w:rPr>
          <w:b/>
        </w:rPr>
        <w:t xml:space="preserve">[99] </w:t>
      </w:r>
      <w:hyperlink r:id="rId326">
        <w:r>
          <w:rPr>
            <w:color w:val="1155CC"/>
            <w:u w:val="single"/>
          </w:rPr>
          <w:t>BRCA1 假基因在人类癌症中对抗病毒和抗肿瘤免疫的调节</w:t>
        </w:r>
      </w:hyperlink>
    </w:p>
    <w:p>
      <w:pPr>
        <w:spacing w:before="0" w:after="80"/>
      </w:pPr>
      <w:r>
        <w:rPr>
          <w:i/>
          <w:sz w:val="20"/>
        </w:rPr>
        <w:t>EN: Regulation of antiviral and antitumor immunity by the BRCA1 pseudogene in human cancers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27">
        <w:r>
          <w:rPr>
            <w:color w:val="1155CC"/>
            <w:u w:val="single"/>
          </w:rPr>
          <w:t>10.1073/pnas.2528911123</w:t>
        </w:r>
      </w:hyperlink>
    </w:p>
    <w:p>
      <w:pPr>
        <w:spacing w:before="0" w:after="120"/>
      </w:pPr>
      <w:r>
        <w:rPr>
          <w:b/>
        </w:rPr>
        <w:t xml:space="preserve">Notes: </w:t>
      </w:r>
      <w:r>
        <w:t>abstract_source=crossref</w:t>
      </w:r>
    </w:p>
    <w:p>
      <w:pPr>
        <w:spacing w:before="0" w:after="80" w:lineRule="auto" w:line="276"/>
      </w:pPr>
      <w:r>
        <w:rPr>
          <w:b/>
        </w:rPr>
        <w:t xml:space="preserve">摘要（ZH）: </w:t>
      </w:r>
      <w:r>
        <w:t>假基因一直被认为是进化过程的无功能副产品。然而，新兴证据表明，假基因在人类生理和病理中发挥多种生物学作用。我们鉴定了BRCA1假基因（BRCA1P1），这是由BRCA1肿瘤抑制基因和RPLP1核糖体蛋白基因衍生的融合假基因，作为乳腺癌中的免疫调节RNA。在这项研究中，我们显示BRCA1P1的表达在多种癌细胞类型中有所不同，与乳腺和卵巢肿瘤中的BRCA1或BRCA2体细胞突变无显著关联。有趣的是，抑制BRCA1P1在多种癌细胞类型和临床前肿瘤模型中通过抗病毒防御机制引发抗肿瘤效应。BRCA1P1的缺失诱导抗病毒基因表达，促进凋亡，并增加各种癌细胞对化疗的敏感性，而不会在非恶性细胞中诱导凋亡。这种抗病毒反应还增强了巨噬细胞介导的对BRCA1P1缺陷癌细胞的吞噬作用。在机制上，大多数BRCA1P1转录本是环状RNA，并调节NF-κB驱动的抗病毒基因表达。</w:t>
      </w:r>
    </w:p>
    <w:p>
      <w:pPr>
        <w:spacing w:before="0" w:after="200" w:lineRule="auto" w:line="276"/>
      </w:pPr>
      <w:r>
        <w:rPr>
          <w:b/>
        </w:rPr>
        <w:t xml:space="preserve">Abstract (EN): </w:t>
      </w:r>
      <w:r>
        <w:t>Pseudogenes have been regarded as nonfunctional byproducts of evolutionary processes. However, emerging evidence indicates that pseudogenes perform diverse biological roles in human physiology and pathology. We identified the</w:t>
      </w:r>
      <w:r>
        <w:t xml:space="preserve"> </w:t>
      </w:r>
      <w:r>
        <w:t>BRCA1</w:t>
      </w:r>
      <w:r>
        <w:t xml:space="preserve"> </w:t>
      </w:r>
      <w:r>
        <w:t>pseudogene (</w:t>
      </w:r>
      <w:r>
        <w:t xml:space="preserve"> </w:t>
      </w:r>
      <w:r>
        <w:t>BRCA1P1</w:t>
      </w:r>
      <w:r>
        <w:t xml:space="preserve"> </w:t>
      </w:r>
      <w:r>
        <w:t>), a fusion pseudogene derived from the</w:t>
      </w:r>
      <w:r>
        <w:t xml:space="preserve"> </w:t>
      </w:r>
      <w:r>
        <w:t>BRCA1</w:t>
      </w:r>
      <w:r>
        <w:t xml:space="preserve"> </w:t>
      </w:r>
      <w:r>
        <w:t>tumor suppressor and</w:t>
      </w:r>
      <w:r>
        <w:t xml:space="preserve"> </w:t>
      </w:r>
      <w:r>
        <w:t>RPLP1</w:t>
      </w:r>
      <w:r>
        <w:t xml:space="preserve"> </w:t>
      </w:r>
      <w:r>
        <w:t>ribosomal protein genes, as an immunoregulatory RNA in breast cancer. In this study, we show that</w:t>
      </w:r>
      <w:r>
        <w:t xml:space="preserve"> </w:t>
      </w:r>
      <w:r>
        <w:t>BRCA1P1</w:t>
      </w:r>
      <w:r>
        <w:t xml:space="preserve"> </w:t>
      </w:r>
      <w:r>
        <w:t>expression varies across multiple cancer cell types, with no significant association with</w:t>
      </w:r>
      <w:r>
        <w:t xml:space="preserve"> </w:t>
      </w:r>
      <w:r>
        <w:t>BRCA1</w:t>
      </w:r>
      <w:r>
        <w:t xml:space="preserve"> </w:t>
      </w:r>
      <w:r>
        <w:t>or</w:t>
      </w:r>
      <w:r>
        <w:t xml:space="preserve"> </w:t>
      </w:r>
      <w:r>
        <w:t>BRCA2</w:t>
      </w:r>
      <w:r>
        <w:t xml:space="preserve"> </w:t>
      </w:r>
      <w:r>
        <w:t>somatic mutations in breast and ovarian tumors. Interestingly,</w:t>
      </w:r>
      <w:r>
        <w:t xml:space="preserve"> </w:t>
      </w:r>
      <w:r>
        <w:t>BRCA1P1</w:t>
      </w:r>
      <w:r>
        <w:t xml:space="preserve"> </w:t>
      </w:r>
      <w:r>
        <w:t>inhibition elicits antitumor effects in multiple cancer cell types and preclinical tumor models through an antiviral defense mechanism. Loss of</w:t>
      </w:r>
      <w:r>
        <w:t xml:space="preserve"> </w:t>
      </w:r>
      <w:r>
        <w:t>BRCA1P1</w:t>
      </w:r>
      <w:r>
        <w:t xml:space="preserve"> </w:t>
      </w:r>
      <w:r>
        <w:t>induces antiviral gene expression, promotes apoptosis, and increases sensitivity to chemotherapy in various cancer cells, without inducing apoptosis in nonmalignant cells. This antiviral response also enhances macrophage-mediated phagocytosis of</w:t>
      </w:r>
      <w:r>
        <w:t xml:space="preserve"> </w:t>
      </w:r>
      <w:r>
        <w:t>BRCA1P1</w:t>
      </w:r>
      <w:r>
        <w:t xml:space="preserve"> </w:t>
      </w:r>
      <w:r>
        <w:t>-deficient cancer cells. Mechanistically, the majority of</w:t>
      </w:r>
      <w:r>
        <w:t xml:space="preserve"> </w:t>
      </w:r>
      <w:r>
        <w:t>BRCA1P1</w:t>
      </w:r>
      <w:r>
        <w:t xml:space="preserve"> </w:t>
      </w:r>
      <w:r>
        <w:t>transcripts are circular RNAs and regulate NF-κB-driven antiviral gene expression. Furthermore, intratumoral expression of</w:t>
      </w:r>
      <w:r>
        <w:t xml:space="preserve"> </w:t>
      </w:r>
      <w:r>
        <w:t>BRCA1P1</w:t>
      </w:r>
      <w:r>
        <w:t xml:space="preserve"> </w:t>
      </w:r>
      <w:r>
        <w:t>is elevated in tumor cells, compared to normal breast tissue, and its depletion significantly inhibits the growth of both primary and metastatic breast tumor organoids. Finally, in a humanized mouse model of breast cancer,</w:t>
      </w:r>
      <w:r>
        <w:t xml:space="preserve"> </w:t>
      </w:r>
      <w:r>
        <w:t>BRCA1P1</w:t>
      </w:r>
      <w:r>
        <w:t xml:space="preserve"> </w:t>
      </w:r>
      <w:r>
        <w:t>loss stimulates antiviral gene expression and increases T cell infiltration into tumors. These findings support a critical role for</w:t>
      </w:r>
      <w:r>
        <w:t xml:space="preserve"> </w:t>
      </w:r>
      <w:r>
        <w:t>BRCA1P1</w:t>
      </w:r>
      <w:r>
        <w:t xml:space="preserve"> </w:t>
      </w:r>
      <w:r>
        <w:t>in regulating innate immune defense and antitumor responses across cancer types, suggesting that targeting pseudogene-derived RNAs may offer innovative therapeutic strategies to enhance antitumor immunity in breast and other cancers.</w:t>
      </w:r>
    </w:p>
    <w:p>
      <w:pPr>
        <w:spacing w:before="120" w:after="120"/>
      </w:pPr>
      <w:r>
        <w:rPr>
          <w:sz w:val="18"/>
        </w:rPr>
        <w:t>——————————————————————————————————————————————————————————————————————</w:t>
      </w:r>
    </w:p>
    <w:p>
      <w:pPr>
        <w:spacing w:before="160" w:after="40" w:line="240" w:lineRule="auto"/>
      </w:pPr>
      <w:r>
        <w:rPr>
          <w:b/>
        </w:rPr>
        <w:t xml:space="preserve">[100] </w:t>
      </w:r>
      <w:hyperlink r:id="rId328">
        <w:r>
          <w:rPr>
            <w:color w:val="1155CC"/>
            <w:u w:val="single"/>
          </w:rPr>
          <w:t>跨膜 ROOM 蛋白通过维持细胞间桥确保生殖细胞的空间</w:t>
        </w:r>
      </w:hyperlink>
    </w:p>
    <w:p>
      <w:pPr>
        <w:spacing w:before="0" w:after="80"/>
      </w:pPr>
      <w:r>
        <w:rPr>
          <w:i/>
          <w:sz w:val="20"/>
        </w:rPr>
        <w:t>EN: Transmembrane ROOM proteins ensure rooms for germ cells by maintaining intercellular bridges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29">
        <w:r>
          <w:rPr>
            <w:color w:val="1155CC"/>
            <w:u w:val="single"/>
          </w:rPr>
          <w:t>10.1073/pnas.2522264123</w:t>
        </w:r>
      </w:hyperlink>
    </w:p>
    <w:p>
      <w:pPr>
        <w:spacing w:before="0" w:after="120"/>
      </w:pPr>
      <w:r>
        <w:rPr>
          <w:b/>
        </w:rPr>
        <w:t xml:space="preserve">Notes: </w:t>
      </w:r>
      <w:r>
        <w:t>abstract_source=crossref</w:t>
      </w:r>
    </w:p>
    <w:p>
      <w:pPr>
        <w:spacing w:before="0" w:after="80" w:lineRule="auto" w:line="276"/>
      </w:pPr>
      <w:r>
        <w:rPr>
          <w:b/>
        </w:rPr>
        <w:t xml:space="preserve">摘要（ZH）: </w:t>
      </w:r>
      <w:r>
        <w:t>不同物种的生殖细胞形成合胞体，这是一种多核细胞复合体，并通过细胞间桥共享细胞质成分。在此，我们证明了通过母体膜蛋白的蛋白质组分析鉴定的旁系跨膜蛋白ROOM-1和ROOM-2对于维持秀丽隐杆线虫（Caenorhabditis elegans）生殖腺的生殖细胞隔室至关重要。尽管缺乏每种蛋白的动物是可育的，但两种蛋白的缺失导致个体生殖细胞在晚期幼虫和成年生殖腺中的隔室化失败，进而导致完全不育。此外，ROOM蛋白与F-肌动蛋白和ANI-2（组织生殖细胞间桥的蛋白）特异性共定位于细胞间桥。ANI-2和ROOM-1/2在轴突桥上的定位是相互依赖的。因此，跨膜ROOM蛋白通过维持细胞间桥冗余地发挥功能，以确保生殖细胞的“房间”。</w:t>
      </w:r>
    </w:p>
    <w:p>
      <w:pPr>
        <w:spacing w:before="0" w:after="200" w:lineRule="auto" w:line="276"/>
      </w:pPr>
      <w:r>
        <w:rPr>
          <w:b/>
        </w:rPr>
        <w:t xml:space="preserve">Abstract (EN): </w:t>
      </w:r>
      <w:r>
        <w:t>Germ cells of diverse species form a syncytium, which is a multinucleated cell complex, and share cytoplasmic components via intercellular bridges. Here, we demonstrate that the paralogous transmembrane proteins ROOM-1 and ROOM-2, identified through the proteomic analysis of maternal membrane proteins, are essential for the maintenance of germ cell compartments from the rachis of</w:t>
      </w:r>
      <w:r>
        <w:t xml:space="preserve"> </w:t>
      </w:r>
      <w:r>
        <w:t>Caenorhabditis elegans</w:t>
      </w:r>
      <w:r>
        <w:t xml:space="preserve"> </w:t>
      </w:r>
      <w:r>
        <w:t>gonads. Although animals lacking each protein are fertile, the loss of both proteins resulted in complete sterility due to compartmentalization failure of individual germ cells in the late larval and adult gonads. Additionally, the ROOM proteins colocalize specifically to the intercellular bridge with F-actin and ANI-2, a protein organizing the intercellular bridge of germ cells. The localizations of ANI-2 and ROOM-1/2 on the rachis bridge were interdependent. Thus, the transmembrane ROOM proteins redundantly function to ensure “rooms” for germ cells by maintaining the intercellular bridges.</w:t>
      </w:r>
    </w:p>
    <w:p>
      <w:pPr>
        <w:spacing w:before="120" w:after="120"/>
      </w:pPr>
      <w:r>
        <w:rPr>
          <w:sz w:val="18"/>
        </w:rPr>
        <w:t>——————————————————————————————————————————————————————————————————————</w:t>
      </w:r>
    </w:p>
    <w:p>
      <w:pPr>
        <w:spacing w:before="160" w:after="40" w:line="240" w:lineRule="auto"/>
      </w:pPr>
      <w:r>
        <w:rPr>
          <w:b/>
        </w:rPr>
        <w:t xml:space="preserve">[101] </w:t>
      </w:r>
      <w:hyperlink r:id="rId330">
        <w:r>
          <w:rPr>
            <w:color w:val="1155CC"/>
            <w:u w:val="single"/>
          </w:rPr>
          <w:t>Osvatic 等人的更正，化能合成共生体的全球生物地理学揭示了局部和全球分布的共生体群体</w:t>
        </w:r>
      </w:hyperlink>
    </w:p>
    <w:p>
      <w:pPr>
        <w:spacing w:before="0" w:after="80"/>
      </w:pPr>
      <w:r>
        <w:rPr>
          <w:i/>
          <w:sz w:val="20"/>
        </w:rPr>
        <w:t>EN: Correction for Osvatic et al., Global biogeography of chemosynthetic symbionts reveals both localized and globally distributed symbiont groups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31">
        <w:r>
          <w:rPr>
            <w:color w:val="1155CC"/>
            <w:u w:val="single"/>
          </w:rPr>
          <w:t>10.1073/pnas.2611059123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332">
        <w:r>
          <w:rPr>
            <w:color w:val="1155CC"/>
            <w:u w:val="single"/>
          </w:rPr>
          <w:t>偏见和不注意的反应导致心理健康中明显的元认知偏差</w:t>
        </w:r>
      </w:hyperlink>
    </w:p>
    <w:p>
      <w:pPr>
        <w:spacing w:before="0" w:after="80"/>
      </w:pPr>
      <w:r>
        <w:rPr>
          <w:i/>
          <w:sz w:val="20"/>
        </w:rPr>
        <w:t>EN: Biased and inattentive responding contribute to apparent metacognitive biases in mental health</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33">
        <w:r>
          <w:rPr>
            <w:color w:val="1155CC"/>
            <w:u w:val="single"/>
          </w:rPr>
          <w:t>10.1073/pnas.2520832123</w:t>
        </w:r>
      </w:hyperlink>
    </w:p>
    <w:p>
      <w:pPr>
        <w:spacing w:before="0" w:after="120"/>
      </w:pPr>
      <w:r>
        <w:rPr>
          <w:b/>
        </w:rPr>
        <w:t xml:space="preserve">Notes: </w:t>
      </w:r>
      <w:r>
        <w:t>abstract_source=crossref</w:t>
      </w:r>
    </w:p>
    <w:p>
      <w:pPr>
        <w:spacing w:before="0" w:after="80" w:lineRule="auto" w:line="276"/>
      </w:pPr>
      <w:r>
        <w:rPr>
          <w:b/>
        </w:rPr>
        <w:t xml:space="preserve">摘要（ZH）: </w:t>
      </w:r>
      <w:r>
        <w:t>大规模在线研究健康成年人已记录下跨诊断精神特质与元认知偏见之间的一致关联。在此，对现有和新的大规模数据集的分析表明，这种相关性可能主要是由于问卷填写行为的表面层次维度：系统性评分偏见和不专心的回答。具体而言，在自我报告量表中报告正面或负面值的偏见可能会推广到信心评分，从而在两者之间产生虚假的相关性。此外，不专心的回答者中系统性的过度自信会在信心与罕见症状的认可之间产生虚假的正相关性。我们展示了先前识别出的“焦虑-抑郁”和“强迫性和侵入性思维”的跨诊断维度，这两者都显示与决策信心相关，恰好映射到这些问卷填写行为的两个偏见。在一个预注册的实验中，我们进一步展示了决策信心和自我报告的强迫倾向与不专心和偏见回答的独立测量相关。综上所述，我们发现不专心和偏见回答对自我报告的精神病学测量和信心评分都有显著影响。如果不加以考虑，这些因素可能会在心理健康中产生表面上的元认知改变的幻象。我们讨论了需要采取的具体预防措施以控制这些偏见。</w:t>
      </w:r>
    </w:p>
    <w:p>
      <w:pPr>
        <w:spacing w:before="0" w:after="200" w:lineRule="auto" w:line="276"/>
      </w:pPr>
      <w:r>
        <w:rPr>
          <w:b/>
        </w:rPr>
        <w:t xml:space="preserve">Abstract (EN): </w:t>
      </w:r>
      <w:r>
        <w:t>Large-scale online studies with healthy adults have documented consistent associations between transdiagnostic psychiatric traits and metacognitive biases. Here, analysis of existing and new large-scale datasets reveals that such correlations may be largely due to surface-level dimensions of questionnaire-filling behavior: systematic rating biases and inattentive responding. Specifically, a bias to report positive or negative values in self-report scales may generalize to confidence ratings, producing spurious correlations between the two. Additionally, systematic overconfidence among inattentive responders produces spurious positive correlations between confidence and the endorsement of rare symptoms. We show that previously identified transdiagnostic dimensions of “anxiety-depression” and “compulsivity and intrusive thought,” both shown to correlate with decision confidence, map neatly onto these two biases of questionnaire-filling behavior. In a preregistered experiment, we further show that decision confidence and self-reported obsessive-compulsive tendencies are correlated with independent measures of inattentive and biased responding. Taken together, we find substantial influence of inattentive and biased responding over both self-report psychiatric measures and confidence ratings. When not accounted for, these factors can produce a mirage of apparent metacognitive alterations in mental health. We discuss concrete precautionary measures that are needed to control for these biases.</w:t>
      </w:r>
    </w:p>
    <w:p>
      <w:pPr>
        <w:spacing w:before="120" w:after="120"/>
      </w:pPr>
      <w:r>
        <w:rPr>
          <w:sz w:val="18"/>
        </w:rPr>
        <w:t>——————————————————————————————————————————————————————————————————————</w:t>
      </w:r>
    </w:p>
    <w:p>
      <w:pPr>
        <w:spacing w:before="160" w:after="40" w:line="240" w:lineRule="auto"/>
      </w:pPr>
      <w:r>
        <w:rPr>
          <w:b/>
        </w:rPr>
        <w:t xml:space="preserve">[103] </w:t>
      </w:r>
      <w:hyperlink r:id="rId334">
        <w:r>
          <w:rPr>
            <w:color w:val="1155CC"/>
            <w:u w:val="single"/>
          </w:rPr>
          <w:t>Walls 等人的更正，激进的 SAM 酶 EpeE 在 RiPP 天然产物 epipeptide 的生物合成过程中表现出独特的位点反应性</w:t>
        </w:r>
      </w:hyperlink>
    </w:p>
    <w:p>
      <w:pPr>
        <w:spacing w:before="0" w:after="80"/>
      </w:pPr>
      <w:r>
        <w:rPr>
          <w:i/>
          <w:sz w:val="20"/>
        </w:rPr>
        <w:t>EN: Correction for Walls et al., The radical SAM enzyme EpeE exhibits distinct site reactivity during the biosynthesis of the RiPP natural product epipeptide</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35">
        <w:r>
          <w:rPr>
            <w:color w:val="1155CC"/>
            <w:u w:val="single"/>
          </w:rPr>
          <w:t>10.1073/pnas.2611961123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36">
        <w:r>
          <w:rPr>
            <w:color w:val="1155CC"/>
            <w:u w:val="single"/>
          </w:rPr>
          <w:t>Matsumura 等人的更正，压力诱导的有机体死亡由 mTOR–Zeste–Phae1 轴基因调控</w:t>
        </w:r>
      </w:hyperlink>
    </w:p>
    <w:p>
      <w:pPr>
        <w:spacing w:before="0" w:after="80"/>
      </w:pPr>
      <w:r>
        <w:rPr>
          <w:i/>
          <w:sz w:val="20"/>
        </w:rPr>
        <w:t>EN: Correction for Matsumura et al., Stress-induced organismal death is genetically regulated by the mTOR–Zeste–Phae1 axis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37">
        <w:r>
          <w:rPr>
            <w:color w:val="1155CC"/>
            <w:u w:val="single"/>
          </w:rPr>
          <w:t>10.1073/pnas.2613748123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338">
        <w:r>
          <w:rPr>
            <w:color w:val="1155CC"/>
            <w:u w:val="single"/>
          </w:rPr>
          <w:t>嗜酸性粒细胞衍生的 COX-2 通过 PGE2–IL-22 轴保护实验性结肠炎</w:t>
        </w:r>
      </w:hyperlink>
    </w:p>
    <w:p>
      <w:pPr>
        <w:spacing w:before="0" w:after="80"/>
      </w:pPr>
      <w:r>
        <w:rPr>
          <w:i/>
          <w:sz w:val="20"/>
        </w:rPr>
        <w:t>EN: Eosinophil-derived COX-2 protects against experimental colitis through the PGE2–IL-22 axis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39">
        <w:r>
          <w:rPr>
            <w:color w:val="1155CC"/>
            <w:u w:val="single"/>
          </w:rPr>
          <w:t>10.1073/pnas.2525334123</w:t>
        </w:r>
      </w:hyperlink>
    </w:p>
    <w:p>
      <w:pPr>
        <w:spacing w:before="0" w:after="120"/>
      </w:pPr>
      <w:r>
        <w:rPr>
          <w:b/>
        </w:rPr>
        <w:t xml:space="preserve">Notes: </w:t>
      </w:r>
      <w:r>
        <w:t>abstract_source=crossref</w:t>
      </w:r>
    </w:p>
    <w:p>
      <w:pPr>
        <w:spacing w:before="0" w:after="80" w:lineRule="auto" w:line="276"/>
      </w:pPr>
      <w:r>
        <w:rPr>
          <w:b/>
        </w:rPr>
        <w:t xml:space="preserve">摘要（ZH）: </w:t>
      </w:r>
      <w:r>
        <w:t>炎症性肠病（IBD）是由免疫调节和上皮屏障功能的破坏驱动的，但嗜酸性粒细胞对此过程的贡献仍未明确且存在争议。虽然嗜酸性粒细胞在发作和缓解期间浸润肠粘膜，但其在塑造疾病结果中的作用尚不清楚。我们对从葡聚糖硫酸钠（DSS）处理的小鼠中分离的结肠嗜酸性粒细胞进行的RNA-seq分析显示，环氧合酶（COX）-2（基因名，Ptgs2）显著上调。嗜酸性粒细胞特异性删除COX-2（Ptgs2 fl/fl eoCre +/−）减少了IL-22的产生，并加剧了DSS和三硝基苯磺酸（TNBS）诱导的结肠炎，其特征是体重减轻更大，疾病活动性更高，结肠缩短和上皮损伤。重组IL-22的给药逆转了这些表型。从机制上讲，嗜酸性粒细胞衍生的COX-2通过前列腺素E2（PGE2）信号增强了3型先天淋巴细胞（ILC3s）的IL-22产生。一致地，Ptgs2 fl/fl eoCre +/−小鼠表现出结肠PGE2水平降低，而PGE2类似物治疗恢复了IL-22的产生和粘膜保护。我们的研究发现识别了嗜酸性粒细胞衍生的COX-2和PGE2作为一个c</w:t>
      </w:r>
    </w:p>
    <w:p>
      <w:pPr>
        <w:spacing w:before="0" w:after="200" w:lineRule="auto" w:line="276"/>
      </w:pPr>
      <w:r>
        <w:rPr>
          <w:b/>
        </w:rPr>
        <w:t xml:space="preserve">Abstract (EN): </w:t>
      </w:r>
      <w:r>
        <w:t>Inflammatory bowel disease (IBD) is driven by a breakdown in immune regulation and epithelial barrier function, yet the contribution of eosinophils to this process has remained poorly defined and controversial. While eosinophils infiltrate the intestinal mucosa during both flares and remission, their role in shaping disease outcomes is unclear. Our RNA-seq analyses of colonic eosinophils isolated from dextran sulfate sodium (DSS)-treated mice revealed a significant upregulation of cyclooxygenase (COX)-2 (gene name,</w:t>
      </w:r>
      <w:r>
        <w:t xml:space="preserve"> </w:t>
      </w:r>
      <w:r>
        <w:t>Ptgs2</w:t>
      </w:r>
      <w:r>
        <w:t xml:space="preserve"> </w:t>
      </w:r>
      <w:r>
        <w:t>). Eosinophil-specific deletion of COX-2 (Ptgs2</w:t>
      </w:r>
      <w:r>
        <w:t xml:space="preserve"> </w:t>
      </w:r>
      <w:r>
        <w:t>fl/fl</w:t>
      </w:r>
      <w:r>
        <w:t xml:space="preserve"> </w:t>
      </w:r>
      <w:r>
        <w:t>eoCre</w:t>
      </w:r>
      <w:r>
        <w:t xml:space="preserve"> </w:t>
      </w:r>
      <w:r>
        <w:t>+/−</w:t>
      </w:r>
      <w:r>
        <w:t>) reduced IL-22 production and exacerbated DSS- and trinitrobenzene sulfonic acid (TNBS)-induced colitis, characterized by greater weight loss, higher disease activity, colon shortening, and epithelial injury. Administration of recombinant IL-22 reversed these phenotypes. Mechanistically, eosinophil-derived COX-2 enhanced IL-22 production by type 3 Innate lymphoid cells (ILC3s) through prostaglandin E2 (PGE</w:t>
      </w:r>
      <w:r>
        <w:rPr>
          <w:vertAlign w:val="subscript"/>
        </w:rPr>
        <w:t>2</w:t>
      </w:r>
      <w:r>
        <w:t>) signaling. Consistently, Ptgs2</w:t>
      </w:r>
      <w:r>
        <w:t xml:space="preserve"> </w:t>
      </w:r>
      <w:r>
        <w:t>fl/fl</w:t>
      </w:r>
      <w:r>
        <w:t xml:space="preserve"> </w:t>
      </w:r>
      <w:r>
        <w:t>eoCre</w:t>
      </w:r>
      <w:r>
        <w:t xml:space="preserve"> </w:t>
      </w:r>
      <w:r>
        <w:t>+/−</w:t>
      </w:r>
      <w:r>
        <w:t>mice exhibited reduced colonic PGE</w:t>
      </w:r>
      <w:r>
        <w:rPr>
          <w:vertAlign w:val="subscript"/>
        </w:rPr>
        <w:t>2</w:t>
      </w:r>
      <w:r>
        <w:t>levels, while PGE</w:t>
      </w:r>
      <w:r>
        <w:rPr>
          <w:vertAlign w:val="subscript"/>
        </w:rPr>
        <w:t>2</w:t>
      </w:r>
      <w:r>
        <w:t>analog treatment restored IL-22 production and mucosal protection. Our findings identify eosinophil-derived COX-2 and PGE</w:t>
      </w:r>
      <w:r>
        <w:rPr>
          <w:vertAlign w:val="subscript"/>
        </w:rPr>
        <w:t>2</w:t>
      </w:r>
      <w:r>
        <w:t>as a critical regulator of IL-22 production during colitis, uncovering a eosinophil–ILC3 cross talk that safeguards the intestinal barrier and represents a promising therapeutic target in IBD.</w:t>
      </w:r>
    </w:p>
    <w:p>
      <w:pPr>
        <w:spacing w:before="120" w:after="120"/>
      </w:pPr>
      <w:r>
        <w:rPr>
          <w:sz w:val="18"/>
        </w:rPr>
        <w:t>——————————————————————————————————————————————————————————————————————</w:t>
      </w:r>
    </w:p>
    <w:p>
      <w:pPr>
        <w:spacing w:before="160" w:after="40" w:line="240" w:lineRule="auto"/>
      </w:pPr>
      <w:r>
        <w:rPr>
          <w:b/>
        </w:rPr>
        <w:t xml:space="preserve">[106] </w:t>
      </w:r>
      <w:hyperlink r:id="rId340">
        <w:r>
          <w:rPr>
            <w:color w:val="1155CC"/>
            <w:u w:val="single"/>
          </w:rPr>
          <w:t>注意力控制能力与额顶控制网络的相互作用有关</w:t>
        </w:r>
      </w:hyperlink>
    </w:p>
    <w:p>
      <w:pPr>
        <w:spacing w:before="0" w:after="80"/>
      </w:pPr>
      <w:r>
        <w:rPr>
          <w:i/>
          <w:sz w:val="20"/>
        </w:rPr>
        <w:t>EN: Attention control ability is associated with frontoparietal control network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2026-05-04 07:00:00+00:00</w:t>
      </w:r>
      <w:r>
        <w:t xml:space="preserve">    </w:t>
      </w:r>
      <w:r>
        <w:rPr>
          <w:b/>
        </w:rPr>
        <w:t xml:space="preserve">DOI: </w:t>
      </w:r>
      <w:hyperlink r:id="rId341">
        <w:r>
          <w:rPr>
            <w:color w:val="1155CC"/>
            <w:u w:val="single"/>
          </w:rPr>
          <w:t>10.1073/pnas.2526828123</w:t>
        </w:r>
      </w:hyperlink>
    </w:p>
    <w:p>
      <w:pPr>
        <w:spacing w:before="0" w:after="120"/>
      </w:pPr>
      <w:r>
        <w:rPr>
          <w:b/>
        </w:rPr>
        <w:t xml:space="preserve">Notes: </w:t>
      </w:r>
      <w:r>
        <w:t>abstract_source=crossref</w:t>
      </w:r>
    </w:p>
    <w:p>
      <w:pPr>
        <w:spacing w:before="0" w:after="80" w:lineRule="auto" w:line="276"/>
      </w:pPr>
      <w:r>
        <w:rPr>
          <w:b/>
        </w:rPr>
        <w:t xml:space="preserve">摘要（ZH）: </w:t>
      </w:r>
      <w:r>
        <w:t>注意力控制预测学业成就、职业成功和健康结果。然而，稳定的个体差异在注意力控制中的神经基础仍不清楚。先前的研究强调了注意力参与的瞬时波动，往往忽视了持久的个体差异。在此，我们应用了大样本（N = 196）的慢功能磁共振成像（fMRI）动态的准周期模式分析，以测试特质注意力控制是否反映在网络级别的大脑活动以及蓝斑（LC）中。使用注意力控制、工作记忆容量和流体智力的潜变量测量，我们隔离了注意力控制在静息、1-back和3-back条件下的独特贡献。随着认知需求的增加，注意力控制较高的个体表现出前顶控制网络（FPCN）的更协调活动：他们显示出与背侧注意网络（DAN）的增强耦合，与LC的更大参与以及与默认模式网络（DMN）的更强解耦。即使在静息时，高注意力个体也表现出更强的FPCN-DAN耦合以及FPCN-DMN之间几乎没有相关性，表明注意力容量反映在任务引发的重构和基线网络架构中。这些发现揭示了注意力控制作为一种能力如何在大脑的动态架构中实现。</w:t>
      </w:r>
    </w:p>
    <w:p>
      <w:pPr>
        <w:spacing w:before="0" w:after="200" w:lineRule="auto" w:line="276"/>
      </w:pPr>
      <w:r>
        <w:rPr>
          <w:b/>
        </w:rPr>
        <w:t xml:space="preserve">Abstract (EN): </w:t>
      </w:r>
      <w:r>
        <w:t>Attention control predicts academic achievement, professional success, and health outcomes. However, the neural basis of stable, individual differences in attention control remains unclear. Prior research has emphasized momentary fluctuations in attentional engagement, often overlooking enduring individual differences. Here, we applied the quasi-periodic pattern analysis of infraslow functional magnetic resonance imaging (fMRI) dynamics in a large sample (</w:t>
      </w:r>
      <w:r>
        <w:t xml:space="preserve"> </w:t>
      </w:r>
      <w:r>
        <w:t>N</w:t>
      </w:r>
      <w:r>
        <w:t xml:space="preserve"> </w:t>
      </w:r>
      <w:r>
        <w:t>= 196) to test whether trait attention control is reflected in network-level brain activity as well as the locus coeruleus (LC). Using latent-variable measures of attention control, working memory capacity, and fluid intelligence, we isolated the unique contribution of attention control across rest, 1-back, and 3-back conditions. As cognitive demand increased, individuals with higher attention control exhibited more coordinated activity of the frontoparietal control network (FPCN): they showed enhanced coupling with the dorsal attention network (DAN), and greater engagement with the LC and stronger decoupling from the default mode network (DMN). Even at rest, high attention individuals demonstrated stronger FPCN–DAN coupling and little to no correlation between FPCN–DMN, indicating that attentional capacity is reflected in both task-evoked reconfiguration and baseline network architecture. These findings reveal how attention control, as an ability, is instantiated in the brain’s dynamic architecture.</w:t>
      </w:r>
    </w:p>
    <w:p>
      <w:pPr>
        <w:spacing w:before="120" w:after="120"/>
      </w:pPr>
      <w:r>
        <w:rPr>
          <w:sz w:val="18"/>
        </w:rPr>
        <w:t>——————————————————————————————————————————————————————————————————————</w:t>
      </w:r>
    </w:p>
    <w:p>
      <w:pPr>
        <w:spacing w:before="160" w:after="40" w:line="240" w:lineRule="auto"/>
      </w:pPr>
      <w:r>
        <w:rPr>
          <w:b/>
        </w:rPr>
        <w:t xml:space="preserve">[107] </w:t>
      </w:r>
      <w:hyperlink r:id="rId342">
        <w:r>
          <w:rPr>
            <w:color w:val="1155CC"/>
            <w:u w:val="single"/>
          </w:rPr>
          <w:t>勘误：通过分子轨道形成在Kagome金属中的连续正交畸变</w:t>
        </w:r>
      </w:hyperlink>
    </w:p>
    <w:p>
      <w:pPr>
        <w:spacing w:before="0" w:after="80"/>
      </w:pPr>
      <w:r>
        <w:rPr>
          <w:i/>
          <w:sz w:val="20"/>
        </w:rPr>
        <w:t>EN: Erratum: Successive Orthorhombic Distortions in Kagome Metals by Molecular Orbital Formation</w:t>
      </w:r>
    </w:p>
    <w:p>
      <w:pPr>
        <w:spacing w:before="0" w:after="120"/>
      </w:pPr>
      <w:r>
        <w:rPr>
          <w:b/>
        </w:rPr>
        <w:t xml:space="preserve">Source: </w:t>
      </w:r>
      <w:r>
        <w:t>Wiley: Advanced Materials: Table of Contents</w:t>
      </w:r>
      <w:r>
        <w:t xml:space="preserve">    </w:t>
      </w:r>
      <w:r>
        <w:rPr>
          <w:b/>
        </w:rPr>
        <w:t xml:space="preserve">Pub date: </w:t>
      </w:r>
      <w:r>
        <w:t>2026-05-04 10:36:53+00:00</w:t>
      </w:r>
      <w:r>
        <w:t xml:space="preserve">    </w:t>
      </w:r>
      <w:r>
        <w:rPr>
          <w:b/>
        </w:rPr>
        <w:t xml:space="preserve">DOI: </w:t>
      </w:r>
      <w:hyperlink r:id="rId343">
        <w:r>
          <w:rPr>
            <w:color w:val="1155CC"/>
            <w:u w:val="single"/>
          </w:rPr>
          <w:t>10.1002/adma.73192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344">
        <w:r>
          <w:rPr>
            <w:color w:val="1155CC"/>
            <w:u w:val="single"/>
          </w:rPr>
          <w:t>在同构氢键有机框架纳米通道中编程迁移能量景观以实现动力学Cs+/Sr2+分离</w:t>
        </w:r>
      </w:hyperlink>
    </w:p>
    <w:p>
      <w:pPr>
        <w:spacing w:before="0" w:after="80"/>
      </w:pPr>
      <w:r>
        <w:rPr>
          <w:i/>
          <w:sz w:val="20"/>
        </w:rPr>
        <w:t>EN: Programming Migration Energy Landscapes in Isoreticular Hydrogen‐Bonded Organic Framework Nanochannels for Kinetic Cs+/Sr2+ Separation</w:t>
      </w:r>
    </w:p>
    <w:p>
      <w:pPr>
        <w:spacing w:before="0" w:after="120"/>
      </w:pPr>
      <w:r>
        <w:rPr>
          <w:b/>
        </w:rPr>
        <w:t xml:space="preserve">Source: </w:t>
      </w:r>
      <w:r>
        <w:t>Wiley: Advanced Materials: Table of Contents</w:t>
      </w:r>
      <w:r>
        <w:t xml:space="preserve">    </w:t>
      </w:r>
      <w:r>
        <w:rPr>
          <w:b/>
        </w:rPr>
        <w:t xml:space="preserve">Pub date: </w:t>
      </w:r>
      <w:r>
        <w:t>2026-05-04 10:39:54+00:00</w:t>
      </w:r>
      <w:r>
        <w:t xml:space="preserve">    </w:t>
      </w:r>
      <w:r>
        <w:rPr>
          <w:b/>
        </w:rPr>
        <w:t xml:space="preserve">DOI: </w:t>
      </w:r>
      <w:hyperlink r:id="rId345">
        <w:r>
          <w:rPr>
            <w:color w:val="1155CC"/>
            <w:u w:val="single"/>
          </w:rPr>
          <w:t>10.1002/adma.73278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在核废料修复中，精确分离 Cs+ 和 Sr2+ 仍然是一个关键挑战，其中亚纳米级限制下迁移能量学的微小变化限制了分离的准确性。在此，我们展示了在一系列等网格氢键有机框架 (HOF) 纳米通道中实现迁移能量景观编程，以实现动力学 Cs+/Sr2+ 分离。为了克服氢键组装的固有可加工性限制，我们开发了一种界面化学反应介导的受限组装策略，该策略抑制了随机成核并产生连续的、缺陷最小化的晶体 HOF 膜。这个等网格平台在保持相同通道几何形状的同时，能够系统地调节孔壁氮密度作为独立的化学变量，有效地将结构限制与化学调节分离开来。多尺度模拟和温度依赖的传输测量表明，氮富集选择性地放大了 Sr2+ 的转移能量障碍，同时保持了 Cs+ 的低障碍跃迁路径。由此产生的迁移障碍不对称性将结构上等效的纳米通道转变为精确的动力学鉴别器。在竞争性和电辅助条件下，o</w:t>
      </w:r>
    </w:p>
    <w:p>
      <w:pPr>
        <w:spacing w:before="0" w:after="200" w:lineRule="auto" w:line="276"/>
      </w:pPr>
      <w:r>
        <w:rPr>
          <w:b/>
        </w:rPr>
        <w:t xml:space="preserve">Abstract (EN): </w:t>
      </w:r>
      <w:r>
        <w:t>Precise separation of Cs</w:t>
      </w:r>
      <w:r>
        <w:t xml:space="preserve"> </w:t>
      </w:r>
      <w:r>
        <w:t>+</w:t>
      </w:r>
      <w:r>
        <w:t xml:space="preserve"> </w:t>
      </w:r>
      <w:r>
        <w:t>and Sr</w:t>
      </w:r>
      <w:r>
        <w:t xml:space="preserve"> </w:t>
      </w:r>
      <w:r>
        <w:t>2+</w:t>
      </w:r>
      <w:r>
        <w:t xml:space="preserve"> </w:t>
      </w:r>
      <w:r>
        <w:t>remains a critical challenge in nuclear waste remediation, where subtle variations in migration energetics under sub‐nanometer confinement limit separation fidelity. Here, we demonstrate migration energy‐landscape programming in an isoreticular series of hydrogen‐bonded organic framework (HOF) nanochannels to achieve kinetic Cs</w:t>
      </w:r>
      <w:r>
        <w:t xml:space="preserve"> </w:t>
      </w:r>
      <w:r>
        <w:t>+</w:t>
      </w:r>
      <w:r>
        <w:t xml:space="preserve"> </w:t>
      </w:r>
      <w:r>
        <w:t>/Sr</w:t>
      </w:r>
      <w:r>
        <w:t xml:space="preserve"> </w:t>
      </w:r>
      <w:r>
        <w:t>2+</w:t>
      </w:r>
      <w:r>
        <w:t xml:space="preserve"> </w:t>
      </w:r>
      <w:r>
        <w:t>separation. To overcome the intrinsic processability limitations of hydrogen‐bonded assemblies, we develop an interfacial chemical reaction‐mediated confined assembly strategy that suppresses stochastic nucleation and yields continuous, defect‐minimized crystalline HOF membranes. This isoreticular platform preserves identical channel geometry while enabling systematic modulation of pore‐wall nitrogen density as an independent chemical variable, effectively decoupling structural confinement from chemical regulation. Multiscale simulations and temperature‐dependent transport measurements reveal that nitrogen enrichment selectively amplifies the translocation energy barrier for Sr</w:t>
      </w:r>
      <w:r>
        <w:t xml:space="preserve"> </w:t>
      </w:r>
      <w:r>
        <w:t>2+</w:t>
      </w:r>
      <w:r>
        <w:t xml:space="preserve"> </w:t>
      </w:r>
      <w:r>
        <w:t>while maintaining low‐barrier hopping pathways for Cs</w:t>
      </w:r>
      <w:r>
        <w:t xml:space="preserve"> </w:t>
      </w:r>
      <w:r>
        <w:t>+</w:t>
      </w:r>
      <w:r>
        <w:t xml:space="preserve"> </w:t>
      </w:r>
      <w:r>
        <w:t>. The resulting migration‐barrier asymmetry transforms structurally equivalent nanochannels into precise kinetic discriminators. Under competitive and electrically assisted conditions, the optimized membrane achieves a record‐high Cs</w:t>
      </w:r>
      <w:r>
        <w:t xml:space="preserve"> </w:t>
      </w:r>
      <w:r>
        <w:t>+</w:t>
      </w:r>
      <w:r>
        <w:t xml:space="preserve"> </w:t>
      </w:r>
      <w:r>
        <w:t>/Sr</w:t>
      </w:r>
      <w:r>
        <w:t xml:space="preserve"> </w:t>
      </w:r>
      <w:r>
        <w:t>2+</w:t>
      </w:r>
      <w:r>
        <w:t xml:space="preserve"> </w:t>
      </w:r>
      <w:r>
        <w:t>selectivity of 155.5. This work establishes programmable migration energy landscapes in crystalline nanochannels as a general strategy for engineering kinetic ion separations beyond conventional size‐ or valence‐governed limits.</w:t>
      </w:r>
    </w:p>
    <w:p>
      <w:pPr>
        <w:spacing w:before="120" w:after="120"/>
      </w:pPr>
      <w:r>
        <w:rPr>
          <w:sz w:val="18"/>
        </w:rPr>
        <w:t>——————————————————————————————————————————————————————————————————————</w:t>
      </w:r>
    </w:p>
    <w:p>
      <w:pPr>
        <w:spacing w:before="160" w:after="40" w:line="240" w:lineRule="auto"/>
      </w:pPr>
      <w:r>
        <w:rPr>
          <w:b/>
        </w:rPr>
        <w:t xml:space="preserve">[109] </w:t>
      </w:r>
      <w:hyperlink r:id="rId346">
        <w:r>
          <w:rPr>
            <w:color w:val="1155CC"/>
            <w:u w:val="single"/>
          </w:rPr>
          <w:t>盐湖中基于插层的电化学锂提取的全景回顾：机制、挑战和优化策略</w:t>
        </w:r>
      </w:hyperlink>
    </w:p>
    <w:p>
      <w:pPr>
        <w:spacing w:before="0" w:after="80"/>
      </w:pPr>
      <w:r>
        <w:rPr>
          <w:i/>
          <w:sz w:val="20"/>
        </w:rPr>
        <w:t>EN: A Panoramic Review on Intercalation‐Based Electrochemical Lithium Extraction From Salt Lakes: Mechanisms, Challenges, and Optimization Strategies</w:t>
      </w:r>
    </w:p>
    <w:p>
      <w:pPr>
        <w:spacing w:before="0" w:after="120"/>
      </w:pPr>
      <w:r>
        <w:rPr>
          <w:b/>
        </w:rPr>
        <w:t xml:space="preserve">Source: </w:t>
      </w:r>
      <w:r>
        <w:t>Wiley: Advanced Materials: Table of Contents</w:t>
      </w:r>
      <w:r>
        <w:t xml:space="preserve">    </w:t>
      </w:r>
      <w:r>
        <w:rPr>
          <w:b/>
        </w:rPr>
        <w:t xml:space="preserve">Pub date: </w:t>
      </w:r>
      <w:r>
        <w:t>2026-05-04 10:48:01+00:00</w:t>
      </w:r>
      <w:r>
        <w:t xml:space="preserve">    </w:t>
      </w:r>
      <w:r>
        <w:rPr>
          <w:b/>
        </w:rPr>
        <w:t xml:space="preserve">DOI: </w:t>
      </w:r>
      <w:hyperlink r:id="rId347">
        <w:r>
          <w:rPr>
            <w:color w:val="1155CC"/>
            <w:u w:val="single"/>
          </w:rPr>
          <w:t>10.1002/adma.73237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盐湖卤水中电化学提取锂结合了电化学和湿法冶金，通过利用锂离子电池电极材料的选择性嵌入机制，提供了一种变革性的复杂卤水资源锂回收方法。它为实现高效、低能耗和可持续锂回收提供了独特的范式。因此，系统地审查了该领域的发展——从早期的离子泵概念到连续摇椅配置——同时建立了将材料结构、界面动力学和电化学路径联系起来的理论框架。此外，分析了实验室指标与工业适用性之间的矛盾，重点关注三个核心挑战：从高杂质含量和低锂浓度的盐湖中选择性提取锂、长期循环稳定性和工业可行的电流密度。为弥合这一差距，本综述总结了从电极改性（如电极体相和界面改性）到系统级工程（如电位、温度控制和厚电极设计）的新兴优化策略。最终，这项工作旨在提供一个前瞻性的路线图，以加速电化学锂提取从实验室研究到工业规模应用的过渡，从而重塑可持续锂供应的未来格局。</w:t>
      </w:r>
    </w:p>
    <w:p>
      <w:pPr>
        <w:spacing w:before="0" w:after="200" w:lineRule="auto" w:line="276"/>
      </w:pPr>
      <w:r>
        <w:rPr>
          <w:b/>
        </w:rPr>
        <w:t xml:space="preserve">Abstract (EN): </w:t>
      </w:r>
      <w:r>
        <w:t>Electrochemical lithium extraction from salt‐lake brines integrates electrochemistry and hydrometallurgy by leveraging the selective intercalation mechanisms of lithium‐ion battery electrode materials, offering a transformative approach to lithium recovery from complex brine resources. It provides a unique paradigm for achieving high efficiency, low energy consumption, and sustainable lithium recovery. Accordingly, the evolution of the field has been systematically examined—from early ion‐pump concepts to continuous rocking‐chair configurations—while establishing a theoretical framework that links material structure, interfacial dynamics, and electrochemical pathways. In addition, the contradiction between laboratory metrics and industrial applicability has been analyzed, with emphasis on three core challenges: selective extraction of lithium from salt lakes with high‐impurity content and low lithium concentration, long‐term cycling stability, and industrially feasible current density. To bridge this gap, this review summarizes emerging optimization strategies spanning from electrode modification (e.g., electrode bulk‐phase and interface modification) to system‐level engineering (e.g., potential, temperature control, and thick electrode design). Ultimately, this work aims to provide a forward‐looking roadmap to accelerate the transition of electrochemical lithium extraction from laboratory research to industrial‐scale application, thereby reshaping the future landscape of sustainable lithium supply.</w:t>
      </w:r>
    </w:p>
    <w:p>
      <w:pPr>
        <w:spacing w:before="120" w:after="120"/>
      </w:pPr>
      <w:r>
        <w:rPr>
          <w:sz w:val="18"/>
        </w:rPr>
        <w:t>——————————————————————————————————————————————————————————————————————</w:t>
      </w:r>
    </w:p>
    <w:p>
      <w:pPr>
        <w:spacing w:before="160" w:after="40" w:line="240" w:lineRule="auto"/>
      </w:pPr>
      <w:r>
        <w:rPr>
          <w:b/>
        </w:rPr>
        <w:t xml:space="preserve">[110] </w:t>
      </w:r>
      <w:hyperlink r:id="rId348">
        <w:r>
          <w:rPr>
            <w:color w:val="1155CC"/>
            <w:u w:val="single"/>
          </w:rPr>
          <w:t>胶体量子点热敏电阻和辐射热计</w:t>
        </w:r>
      </w:hyperlink>
    </w:p>
    <w:p>
      <w:pPr>
        <w:spacing w:before="0" w:after="80"/>
      </w:pPr>
      <w:r>
        <w:rPr>
          <w:i/>
          <w:sz w:val="20"/>
        </w:rPr>
        <w:t>EN: A Colloidal Quantum Dot Thermistor and Bolometer</w:t>
      </w:r>
    </w:p>
    <w:p>
      <w:pPr>
        <w:spacing w:before="0" w:after="120"/>
      </w:pPr>
      <w:r>
        <w:rPr>
          <w:b/>
        </w:rPr>
        <w:t xml:space="preserve">Source: </w:t>
      </w:r>
      <w:r>
        <w:t>Wiley: Advanced Materials: Table of Contents</w:t>
      </w:r>
      <w:r>
        <w:t xml:space="preserve">    </w:t>
      </w:r>
      <w:r>
        <w:rPr>
          <w:b/>
        </w:rPr>
        <w:t xml:space="preserve">Pub date: </w:t>
      </w:r>
      <w:r>
        <w:t>2026-05-04 10:51:00+00:00</w:t>
      </w:r>
      <w:r>
        <w:t xml:space="preserve">    </w:t>
      </w:r>
      <w:r>
        <w:rPr>
          <w:b/>
        </w:rPr>
        <w:t xml:space="preserve">DOI: </w:t>
      </w:r>
      <w:hyperlink r:id="rId349">
        <w:r>
          <w:rPr>
            <w:color w:val="1155CC"/>
            <w:u w:val="single"/>
          </w:rPr>
          <w:t>10.1002/adma.202519385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辐射检测通过测量热敏电阻元件在与吸收体热耦合时的温度引起的导电性变化，提供了一种在室温下进行中波和长波红外（MWIR/LWIR）光探测的引人注目的途径。然而，传统的热敏电阻材料如氧化钒（VOx）和非晶硅（a-Si）表现出中等的电阻温度系数（TCR）值（−2至−3%/K）。使用SiGe/Si量子阱实现了更高的TCR（约−5%/K），但这些需要昂贵的外延生长，并且进一步的改进受到晶格失配引起的缺陷的限制。在此，我们报告了一种基于胶体量子点（CQDs）的新型热敏电阻平台，通过利用其无晶格失配的特性来规避这些限制。通过调节硫化铅CQDs的尺寸和表面化学，我们设计了能量势景以调节热激活能，达到高达−9%/K的TCR值。我们进一步将这种CQD热敏电阻与等离子体超材料吸收体（PMA）集成，实现了跨中波到长波红外（MWIR/LWIR）光谱的室温波长选择性光探测。热辐射探测器在9 µm处表现出接近10^6 Jones的室温探测率，响应时间常数约为8 ms，而无需使用微机电系统（MEMS）技术。</w:t>
      </w:r>
    </w:p>
    <w:p>
      <w:pPr>
        <w:spacing w:before="0" w:after="200" w:lineRule="auto" w:line="276"/>
      </w:pPr>
      <w:r>
        <w:rPr>
          <w:b/>
        </w:rPr>
        <w:t xml:space="preserve">Abstract (EN): </w:t>
      </w:r>
      <w:r>
        <w:t>Bolometric detection offers a compelling route to room‐temperature mid‐ and long‐wave infrared (MWIR/LWIR) photodetection by measuring temperature‐induced conductivity changes in a thermistor element thermally coupled to an absorber. However, conventional thermistor materials such as vanadium oxide (VO</w:t>
      </w:r>
      <w:r>
        <w:t xml:space="preserve"> </w:t>
      </w:r>
      <w:r>
        <w:t>x</w:t>
      </w:r>
      <w:r>
        <w:t xml:space="preserve"> </w:t>
      </w:r>
      <w:r>
        <w:t>) and amorphous silicon (a‐Si) exhibit moderate temperature coefficient of resistance (TCR) values (−2 to −3%/K). Higher TCRs have been achieved using SiGe/Si quantum wells (∼−5%/K), yet these require costly epitaxial growth and further improvements are hindered by lattice mismatch‐induced defects. Here, we report a novel thermistor platform based on colloidal quantum dots (CQDs) that circumvents these limitations by exploiting their lattice‐mismatch‐free nature. By tuning the size and surface chemistry of lead chalcogenide CQDs, we engineer the energetic potential landscape to modulate thermal activation energy, achieving TCR values of up to −9%/K. We further integrate this CQD thermistor with a plasmonic metamaterial absorber (PMA), enabling room‐temperature wavelength‐selective photodetection across the mid‐ to long‐wave infrared (MWIR/LWIR) spectrum. The bolometer detectors exhibited LWIR response with a time constant of ∼8 ms and room‐temperature detectivity approaching 10</w:t>
      </w:r>
      <w:r>
        <w:rPr>
          <w:vertAlign w:val="subscript"/>
        </w:rPr>
        <w:t>6</w:t>
      </w:r>
      <w:r>
        <w:t>Jones at 9 µm, without using microelectromechanical systems (MEMS) technology.</w:t>
      </w:r>
    </w:p>
    <w:p>
      <w:pPr>
        <w:spacing w:before="120" w:after="120"/>
      </w:pPr>
      <w:r>
        <w:rPr>
          <w:sz w:val="18"/>
        </w:rPr>
        <w:t>——————————————————————————————————————————————————————————————————————</w:t>
      </w:r>
    </w:p>
    <w:p>
      <w:pPr>
        <w:spacing w:before="160" w:after="40" w:line="240" w:lineRule="auto"/>
      </w:pPr>
      <w:r>
        <w:rPr>
          <w:b/>
        </w:rPr>
        <w:t xml:space="preserve">[111] </w:t>
      </w:r>
      <w:hyperlink r:id="rId350">
        <w:r>
          <w:rPr>
            <w:color w:val="1155CC"/>
            <w:u w:val="single"/>
          </w:rPr>
          <w:t>[ASAP] 金属–酰胺化学实现胶体III–V纳米晶合成的重pnictogen受控还原</w:t>
        </w:r>
      </w:hyperlink>
    </w:p>
    <w:p>
      <w:pPr>
        <w:spacing w:before="0" w:after="80"/>
      </w:pPr>
      <w:r>
        <w:rPr>
          <w:i/>
          <w:sz w:val="20"/>
        </w:rPr>
        <w:t>EN: [ASAP] Metal–Amide Chemistry Enables Controlled Heavy-Pnictogen Reduction for Colloidal III–V Nanocrystal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2026-05-04 11:00:25+00:00</w:t>
      </w:r>
      <w:r>
        <w:t xml:space="preserve">    </w:t>
      </w:r>
      <w:r>
        <w:rPr>
          <w:b/>
        </w:rPr>
        <w:t xml:space="preserve">DOI: </w:t>
      </w:r>
      <w:hyperlink r:id="rId351">
        <w:r>
          <w:rPr>
            <w:color w:val="1155CC"/>
            <w:u w:val="single"/>
          </w:rPr>
          <w:t>10.1021/jacs.6c02928</w:t>
        </w:r>
      </w:hyperlink>
    </w:p>
    <w:p>
      <w:pPr>
        <w:spacing w:before="0" w:after="120"/>
      </w:pPr>
      <w:r>
        <w:rPr>
          <w:b/>
        </w:rPr>
        <w:t xml:space="preserve">Notes: </w:t>
      </w:r>
      <w:r>
        <w:t>abstract_source=pubmed</w:t>
      </w:r>
    </w:p>
    <w:p>
      <w:pPr>
        <w:spacing w:before="0" w:after="80" w:lineRule="auto" w:line="276"/>
      </w:pPr>
      <w:r>
        <w:rPr>
          <w:b/>
        </w:rPr>
        <w:t xml:space="preserve">摘要（ZH）: </w:t>
      </w:r>
      <w:r>
        <w:t>控制重元素（As, Sb）氧化还原化学仍然是符合RoHS标准的III-V胶体纳米晶体合成中的一个核心挑战。在典型的胶体合成条件下，形成氮族元素纳米晶体时，氮族元素必须达到其最低氧化态，这对于较重的氮族元素来说是显著受阻的。因此，通常采用外部电子源，但这种经验性的一锅激活在分子水平上提供的见解有限，对基本步骤的控制也有限。在此，我们将氮族元素的还原与纳米晶体合成分离，并使用离位XANES和多核NMR光谱跟踪还原过程。有别于传统的氢化物化学，在油胺存在下，金属烷基试剂主要作为碱而非直接还原剂，生成金属酰胺络合物，通过酰胺到亚胺的氧化介导热调节的氮族元素还原。金属阳离子通过竞争性接受氢化物当量进一步调节还原深度。所得的部分还原的氮族元素络合物作为实际前体，与各种合成格式中的纳米晶体合成兼容，消除了在纳米晶体生长过程中需要额外还原剂的需求。这种金属酰胺介导的预还原为重氮族元素建立了一个氧化还原设计原则，使氮族半导体纳米晶体的合成更安全且可调。</w:t>
      </w:r>
    </w:p>
    <w:p>
      <w:pPr>
        <w:spacing w:before="0" w:after="200" w:lineRule="auto" w:line="276"/>
      </w:pPr>
      <w:r>
        <w:rPr>
          <w:b/>
        </w:rPr>
        <w:t xml:space="preserve">Abstract (EN): </w:t>
      </w:r>
      <w:r>
        <w:t>Controlling heavy-pnictogen (As, Sb) redox chemistry remains a central challenge in RoHS-compliant III-V colloidal nanocrystal synthesis. The formation of pnictide nanocrystals, where pnictogen must reach its lowest oxidation state, is significantly impeded for heavier pnictogens under typical colloidal synthesis conditions. Consequently, external electron sources are commonly employed, but such empirical one-pot activation offers limited molecular-level insight and control over elementary steps. Here, we decouple pnictogen reduction from nanocrystal synthesis and track the reduction process using ex situ XANES and multinuclear NMR spectroscopy. Distinct from conventional hydride chemistry, in the presence of oleylamine, metal-alkyl reagents act primarily as bases rather than direct reductants, generating metal-amide complexes that mediate thermally regulated pnictogen reduction through amide-to-imine oxidation. Metal cations further tune the reduction depth by competitively accepting hydride equivalents. The resulting partially reduced pnictogen complexes function as practical precursors compatible with nanocrystal syntheses in various synthetic formats, eliminating the need for additional reducing agents during nanocrystal growth. This metal-amide-mediated prereduction establishes a redox design principle for heavy pnictogens, enabling safer and tunable synthesis of pnictide semiconductor nanocrystals.</w:t>
      </w:r>
    </w:p>
    <w:p>
      <w:pPr>
        <w:spacing w:before="120" w:after="120"/>
      </w:pPr>
      <w:r>
        <w:rPr>
          <w:sz w:val="18"/>
        </w:rPr>
        <w:t>——————————————————————————————————————————————————————————————————————</w:t>
      </w:r>
    </w:p>
    <w:p>
      <w:pPr>
        <w:spacing w:before="160" w:after="40" w:line="240" w:lineRule="auto"/>
      </w:pPr>
      <w:r>
        <w:rPr>
          <w:b/>
        </w:rPr>
        <w:t xml:space="preserve">[112] </w:t>
      </w:r>
      <w:hyperlink r:id="rId352">
        <w:r>
          <w:rPr>
            <w:color w:val="1155CC"/>
            <w:u w:val="single"/>
          </w:rPr>
          <w:t>[ASAP] 通过路易斯酸激活发光锇(VI)二氧二氰络合物的基态和激发态</w:t>
        </w:r>
      </w:hyperlink>
    </w:p>
    <w:p>
      <w:pPr>
        <w:spacing w:before="0" w:after="80"/>
      </w:pPr>
      <w:r>
        <w:rPr>
          <w:i/>
          <w:sz w:val="20"/>
        </w:rPr>
        <w:t>EN: [ASAP] Activation of the Ground and Excited State of a Luminescent Osmium(VI) Dioxo Dicyano Complex with Lewis Acids</w:t>
      </w:r>
    </w:p>
    <w:p>
      <w:pPr>
        <w:spacing w:before="0" w:after="120"/>
      </w:pPr>
      <w:r>
        <w:rPr>
          <w:b/>
        </w:rPr>
        <w:t xml:space="preserve">Source: </w:t>
      </w:r>
      <w:r>
        <w:t>Journal of the American Chemical Society: Latest Articles (ACS Publications)</w:t>
      </w:r>
      <w:r>
        <w:t xml:space="preserve">    </w:t>
      </w:r>
      <w:r>
        <w:rPr>
          <w:b/>
        </w:rPr>
        <w:t xml:space="preserve">Pub date: </w:t>
      </w:r>
      <w:r>
        <w:t>2026-05-04 11:00:57+00:00</w:t>
      </w:r>
      <w:r>
        <w:t xml:space="preserve">    </w:t>
      </w:r>
      <w:r>
        <w:rPr>
          <w:b/>
        </w:rPr>
        <w:t xml:space="preserve">DOI: </w:t>
      </w:r>
      <w:hyperlink r:id="rId353">
        <w:r>
          <w:rPr>
            <w:color w:val="1155CC"/>
            <w:u w:val="single"/>
          </w:rPr>
          <w:t>10.1021/jacs.6c04322</w:t>
        </w:r>
      </w:hyperlink>
    </w:p>
    <w:p>
      <w:pPr>
        <w:spacing w:before="0" w:after="120"/>
      </w:pPr>
      <w:r>
        <w:rPr>
          <w:b/>
        </w:rPr>
        <w:t xml:space="preserve">Notes: </w:t>
      </w:r>
      <w:r>
        <w:t>abstract_source=pubmed</w:t>
      </w:r>
    </w:p>
    <w:p>
      <w:pPr>
        <w:spacing w:before="0" w:after="80" w:lineRule="auto" w:line="276"/>
      </w:pPr>
      <w:r>
        <w:rPr>
          <w:b/>
        </w:rPr>
        <w:t xml:space="preserve">摘要（ZH）: </w:t>
      </w:r>
      <w:r>
        <w:t>路易斯酸（LAs）激活和可见光激发是生成高氧化性金属氧物种用于催化氧化反应的两种吸引人的策略。在此，我们报告了对发光锇(VI)二氧二氰络合物（OsO2）基态和激发态激活的首次系统研究。通过与各种LAs结合到氰基配体上发现了OsO2的强相互作用：LA-NC-Os-CN-LA，这使得首次分离和结构确定M=O/LA加合物成为可能。OsO2/2LA相互作用还导致加合物在基态和激发态下的还原电位/氧化能力大幅增加。值得注意的是，OsO2的还原电位（Epc）从-0.04 V（相对于NHE）在Sc(OTf)3存在下移至1.21 V，使其能够氧化各种有机底物。更显著的是，OsO2激发态（OsO2*）的Epc在与Sc(OTf)3结合后从2.21 V移至3.50 V，据我们所知，这是溶液中生成的最强金属氧化剂。OsO2*/2Sc(OTf)3在常温下通过H2O2催化苯及其衍生物的氧化，TON高达8660，并实现苯酚的克级生产。</w:t>
      </w:r>
    </w:p>
    <w:p>
      <w:pPr>
        <w:spacing w:before="0" w:after="200" w:lineRule="auto" w:line="276"/>
      </w:pPr>
      <w:r>
        <w:rPr>
          <w:b/>
        </w:rPr>
        <w:t xml:space="preserve">Abstract (EN): </w:t>
      </w:r>
      <w:r>
        <w:t>The activation by Lewis acids (LAs) and visible-light excitation are two appealing strategies for generating highly oxidizing metal oxo species for catalytic oxidation reactions. Herein, we report the first systematic study on the activation of both the ground and excited states of a luminescent osmium(VI) dioxo dicyano complex (OsO2). Strong interactions of OsO2 with a variety of LAs were found via binding to the cyano ligands: LA-NC-Os-CN-LA, which allow the isolation and structural determination of the first examples of M=O/LA adducts. OsO2/2LA interactions also cause a large increase in the reduction potentials/oxidizing power of the adducts in both ground and excited states. Notably, the reduction potential (Epc) of OsO2 is shifted from -0.04 V (vs. NHE) to 1.21 V in the presence of Sc(OTf)3, which enables it to oxidize a variety of organic substrates. More significantly, the Epc for the excited state of OsO2 (OsO2*) is shifted from 2.21 to 3.50 V upon binding to Sc(OTf)3, which to our knowledge is the strongest metal oxo oxidant ever generated in solution. OsO2*/2Sc(OTf)3 readily catalyzes the oxidation of benzene and its derivatives by H2O2 at ambient conditions, with a TON up to 8660 and gram-scale production of phenol from benzene.</w:t>
      </w:r>
    </w:p>
    <w:p>
      <w:pPr>
        <w:spacing w:before="120" w:after="120"/>
      </w:pPr>
      <w:r>
        <w:rPr>
          <w:sz w:val="18"/>
        </w:rPr>
        <w:t>——————————————————————————————————————————————————————————————————————</w:t>
      </w:r>
    </w:p>
    <w:p>
      <w:pPr>
        <w:spacing w:before="160" w:after="40" w:line="240" w:lineRule="auto"/>
      </w:pPr>
      <w:r>
        <w:rPr>
          <w:b/>
        </w:rPr>
        <w:t xml:space="preserve">[113] </w:t>
      </w:r>
      <w:hyperlink r:id="rId354">
        <w:r>
          <w:rPr>
            <w:color w:val="1155CC"/>
            <w:u w:val="single"/>
          </w:rPr>
          <w:t>用于高能量密度和重型振动缓解的超螺旋超弹性金属超材料（Adv. Mater. 25/2026）</w:t>
        </w:r>
      </w:hyperlink>
    </w:p>
    <w:p>
      <w:pPr>
        <w:spacing w:before="0" w:after="80"/>
      </w:pPr>
      <w:r>
        <w:rPr>
          <w:i/>
          <w:sz w:val="20"/>
        </w:rPr>
        <w:t>EN: Supercoiled Superelastic Metallic Metamaterials for High Energy Density and Heavy‐Duty Vibration Mitigation (Adv. Mater. 25/2026)</w:t>
      </w:r>
    </w:p>
    <w:p>
      <w:pPr>
        <w:spacing w:before="0" w:after="120"/>
      </w:pPr>
      <w:r>
        <w:rPr>
          <w:b/>
        </w:rPr>
        <w:t xml:space="preserve">Source: </w:t>
      </w:r>
      <w:r>
        <w:t>Wiley: Advanced Materials: Table of Contents</w:t>
      </w:r>
      <w:r>
        <w:t xml:space="preserve">    </w:t>
      </w:r>
      <w:r>
        <w:rPr>
          <w:b/>
        </w:rPr>
        <w:t xml:space="preserve">Pub date: </w:t>
      </w:r>
      <w:r>
        <w:t>2026-05-04 11:08:44+00:00</w:t>
      </w:r>
      <w:r>
        <w:t xml:space="preserve">    </w:t>
      </w:r>
      <w:r>
        <w:rPr>
          <w:b/>
        </w:rPr>
        <w:t xml:space="preserve">DOI: </w:t>
      </w:r>
      <w:hyperlink r:id="rId355">
        <w:r>
          <w:rPr>
            <w:color w:val="1155CC"/>
            <w:u w:val="single"/>
          </w:rPr>
          <w:t>10.1002/adma.73154</w:t>
        </w:r>
      </w:hyperlink>
    </w:p>
    <w:p>
      <w:pPr>
        <w:spacing w:before="0" w:after="120"/>
      </w:pPr>
      <w:r>
        <w:rPr>
          <w:b/>
        </w:rPr>
        <w:t xml:space="preserve">Notes: </w:t>
      </w:r>
      <w:r>
        <w:t>abstract_source=openalex</w:t>
      </w:r>
    </w:p>
    <w:p>
      <w:pPr>
        <w:spacing w:before="0" w:after="80" w:lineRule="auto" w:line="276"/>
      </w:pPr>
      <w:r>
        <w:rPr>
          <w:b/>
        </w:rPr>
        <w:t xml:space="preserve">摘要（ZH）: </w:t>
      </w:r>
      <w:r>
        <w:t>超螺旋超弹性金属超材料 全金属超螺旋超材料实现了超过50%的可恢复应变、三倍的屈曲强度和四倍的能量密度，相较于棱柱格子。这些材料能够实现先进的能量吸收、保护结构和振动缓解。手性准零刚度隔离器在支持比现有方案高100–1000倍的负载的同时，维持超低的共振频率（≤2 Hz），也超越了传统弹簧的理论极限。更多细节请参见Xin Fang, Weiqiu Chen, Huajian Gao及其合作者的研究文章（DOI: 10.1002/adma.202517334）。</w:t>
      </w:r>
    </w:p>
    <w:p>
      <w:pPr>
        <w:spacing w:before="0" w:after="200" w:lineRule="auto" w:line="276"/>
      </w:pPr>
      <w:r>
        <w:rPr>
          <w:b/>
        </w:rPr>
        <w:t xml:space="preserve">Abstract (EN): </w:t>
      </w:r>
      <w:r>
        <w:t>Supercoiled Superelastic Metallic Metamaterials All-metallic supercoiled metamaterials achieve over 50% recoverable strain, triple buckling strength, and quadruple energy density over prismatic lattices. They enable advanced energy absorption, protective structures and vibration mitigation. The chiral quasi-zero-stiffness isolator sustains ultralow resonant frequencies (≤2 Hz) while supporting 100–1000× higher loads than existing schemes, also surpasses traditional springs' theoretical limits. More details can be found in the Research Article by Xin Fang, Weiqiu Chen, Huajian Gao, and co-workers (DOI: 10.1002/adma.202517334).</w:t>
      </w:r>
    </w:p>
    <w:p>
      <w:pPr>
        <w:spacing w:before="120" w:after="120"/>
      </w:pPr>
      <w:r>
        <w:rPr>
          <w:sz w:val="18"/>
        </w:rPr>
        <w:t>——————————————————————————————————————————————————————————————————————</w:t>
      </w:r>
    </w:p>
    <w:p>
      <w:pPr>
        <w:spacing w:before="160" w:after="40" w:line="240" w:lineRule="auto"/>
      </w:pPr>
      <w:r>
        <w:rPr>
          <w:b/>
        </w:rPr>
        <w:t xml:space="preserve">[114] </w:t>
      </w:r>
      <w:hyperlink r:id="rId356">
        <w:r>
          <w:rPr>
            <w:color w:val="1155CC"/>
            <w:u w:val="single"/>
          </w:rPr>
          <w:t>稳健生成微波斯格明子的自由形式柔性超表面（Adv. Mater. 25/2026）</w:t>
        </w:r>
      </w:hyperlink>
    </w:p>
    <w:p>
      <w:pPr>
        <w:spacing w:before="0" w:after="80"/>
      </w:pPr>
      <w:r>
        <w:rPr>
          <w:i/>
          <w:sz w:val="20"/>
        </w:rPr>
        <w:t>EN: Free‐Form Flexible Metasurfaces Robustly Generating Microwave Skyrmions (Adv. Mater. 25/2026)</w:t>
      </w:r>
    </w:p>
    <w:p>
      <w:pPr>
        <w:spacing w:before="0" w:after="120"/>
      </w:pPr>
      <w:r>
        <w:rPr>
          <w:b/>
        </w:rPr>
        <w:t xml:space="preserve">Source: </w:t>
      </w:r>
      <w:r>
        <w:t>Wiley: Advanced Materials: Table of Contents</w:t>
      </w:r>
      <w:r>
        <w:t xml:space="preserve">    </w:t>
      </w:r>
      <w:r>
        <w:rPr>
          <w:b/>
        </w:rPr>
        <w:t xml:space="preserve">Pub date: </w:t>
      </w:r>
      <w:r>
        <w:t>2026-05-04 11:08:44+00:00</w:t>
      </w:r>
      <w:r>
        <w:t xml:space="preserve">    </w:t>
      </w:r>
      <w:r>
        <w:rPr>
          <w:b/>
        </w:rPr>
        <w:t xml:space="preserve">DOI: </w:t>
      </w:r>
      <w:hyperlink r:id="rId357">
        <w:r>
          <w:rPr>
            <w:color w:val="1155CC"/>
            <w:u w:val="single"/>
          </w:rPr>
          <w:t>10.1002/adma.73159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358">
        <w:r>
          <w:rPr>
            <w:color w:val="1155CC"/>
            <w:u w:val="single"/>
          </w:rPr>
          <w:t>BaTiO3中铁电相变的不对称性（Adv. Mater. 25/2026）</w:t>
        </w:r>
      </w:hyperlink>
    </w:p>
    <w:p>
      <w:pPr>
        <w:spacing w:before="0" w:after="80"/>
      </w:pPr>
      <w:r>
        <w:rPr>
          <w:i/>
          <w:sz w:val="20"/>
        </w:rPr>
        <w:t>EN: Asymmetry of the Ferroelectric Phase Transition in BaTiO3 (Adv. Mater. 25/2026)</w:t>
      </w:r>
    </w:p>
    <w:p>
      <w:pPr>
        <w:spacing w:before="0" w:after="120"/>
      </w:pPr>
      <w:r>
        <w:rPr>
          <w:b/>
        </w:rPr>
        <w:t xml:space="preserve">Source: </w:t>
      </w:r>
      <w:r>
        <w:t>Wiley: Advanced Materials: Table of Contents</w:t>
      </w:r>
      <w:r>
        <w:t xml:space="preserve">    </w:t>
      </w:r>
      <w:r>
        <w:rPr>
          <w:b/>
        </w:rPr>
        <w:t xml:space="preserve">Pub date: </w:t>
      </w:r>
      <w:r>
        <w:t>2026-05-04 11:08:44+00:00</w:t>
      </w:r>
      <w:r>
        <w:t xml:space="preserve">    </w:t>
      </w:r>
      <w:r>
        <w:rPr>
          <w:b/>
        </w:rPr>
        <w:t xml:space="preserve">DOI: </w:t>
      </w:r>
      <w:hyperlink r:id="rId359">
        <w:r>
          <w:rPr>
            <w:color w:val="1155CC"/>
            <w:u w:val="single"/>
          </w:rPr>
          <w:t>10.1002/adma.73158</w:t>
        </w:r>
      </w:hyperlink>
    </w:p>
    <w:p>
      <w:pPr>
        <w:spacing w:before="0" w:after="120"/>
      </w:pPr>
      <w:r>
        <w:rPr>
          <w:b/>
        </w:rPr>
        <w:t xml:space="preserve">Notes: </w:t>
      </w:r>
      <w:r>
        <w:t>abstract_source=openalex</w:t>
      </w:r>
    </w:p>
    <w:p>
      <w:pPr>
        <w:spacing w:before="0" w:after="80" w:lineRule="auto" w:line="276"/>
      </w:pPr>
      <w:r>
        <w:rPr>
          <w:b/>
        </w:rPr>
        <w:t xml:space="preserve">摘要（ZH）: </w:t>
      </w:r>
      <w:r>
        <w:t>BaTiO3中的铁电相变 相变通常被认为在正向和反向中表现相同。这项工作表明，在铁电材料钛酸钡中情况并非如此：加热会导致一个突然而一级的跳跃，而冷却则表现为平滑的连续变化。这种令人惊讶的不对称性挑战了相变的标准分类，并为设计新型能量存储设备开辟了新策略。更多细节请参见Yachin Ivry及其合作者的研究文章（DOI: 10.1002/adma.202516507）。</w:t>
      </w:r>
    </w:p>
    <w:p>
      <w:pPr>
        <w:spacing w:before="0" w:after="200" w:lineRule="auto" w:line="276"/>
      </w:pPr>
      <w:r>
        <w:rPr>
          <w:b/>
        </w:rPr>
        <w:t xml:space="preserve">Abstract (EN): </w:t>
      </w:r>
      <w:r>
        <w:t>Ferroelectric Phase Transition in BaTiO3 Phase transitions are typically assumed to behave identically in forward and reverse. This work shows that in the ferroelectric material barium titanate this is not true: heating drives an abrupt, first-order jump, while cooling gives a smooth, continuous change. This surprising asymmetry challenges standard classifications of phase transitions and opens new strategies to design novel energy-storage devices. More details can be found in the Research Article by Yachin Ivry and co-workers (DOI: 10.1002/adma.202516507).</w:t>
      </w:r>
    </w:p>
    <w:p>
      <w:pPr>
        <w:spacing w:before="120" w:after="120"/>
      </w:pPr>
      <w:r>
        <w:rPr>
          <w:sz w:val="18"/>
        </w:rPr>
        <w:t>——————————————————————————————————————————————————————————————————————</w:t>
      </w:r>
    </w:p>
    <w:p>
      <w:pPr>
        <w:spacing w:before="160" w:after="40" w:line="240" w:lineRule="auto"/>
      </w:pPr>
      <w:r>
        <w:rPr>
          <w:b/>
        </w:rPr>
        <w:t xml:space="preserve">[116] </w:t>
      </w:r>
      <w:hyperlink r:id="rId360">
        <w:r>
          <w:rPr>
            <w:color w:val="1155CC"/>
            <w:u w:val="single"/>
          </w:rPr>
          <w:t>混合液态金属阴极实现高性能本质可拉伸OLED（Adv. Mater. 25/2026）</w:t>
        </w:r>
      </w:hyperlink>
    </w:p>
    <w:p>
      <w:pPr>
        <w:spacing w:before="0" w:after="80"/>
      </w:pPr>
      <w:r>
        <w:rPr>
          <w:i/>
          <w:sz w:val="20"/>
        </w:rPr>
        <w:t>EN: Hybrid Liquid Metal Cathode Enables High‐Performance Intrinsically Stretchable OLEDs (Adv. Mater. 25/2026)</w:t>
      </w:r>
    </w:p>
    <w:p>
      <w:pPr>
        <w:spacing w:before="0" w:after="120"/>
      </w:pPr>
      <w:r>
        <w:rPr>
          <w:b/>
        </w:rPr>
        <w:t xml:space="preserve">Source: </w:t>
      </w:r>
      <w:r>
        <w:t>Wiley: Advanced Materials: Table of Contents</w:t>
      </w:r>
      <w:r>
        <w:t xml:space="preserve">    </w:t>
      </w:r>
      <w:r>
        <w:rPr>
          <w:b/>
        </w:rPr>
        <w:t xml:space="preserve">Pub date: </w:t>
      </w:r>
      <w:r>
        <w:t>2026-05-04 11:08:44+00:00</w:t>
      </w:r>
      <w:r>
        <w:t xml:space="preserve">    </w:t>
      </w:r>
      <w:r>
        <w:rPr>
          <w:b/>
        </w:rPr>
        <w:t xml:space="preserve">DOI: </w:t>
      </w:r>
      <w:hyperlink r:id="rId361">
        <w:r>
          <w:rPr>
            <w:color w:val="1155CC"/>
            <w:u w:val="single"/>
          </w:rPr>
          <w:t>10.1002/adma.73157</w:t>
        </w:r>
      </w:hyperlink>
    </w:p>
    <w:p>
      <w:pPr>
        <w:spacing w:before="0" w:after="120"/>
      </w:pPr>
      <w:r>
        <w:rPr>
          <w:b/>
        </w:rPr>
        <w:t xml:space="preserve">Notes: </w:t>
      </w:r>
      <w:r>
        <w:t>abstract_source=openalex</w:t>
      </w:r>
    </w:p>
    <w:p>
      <w:pPr>
        <w:spacing w:before="0" w:after="80" w:lineRule="auto" w:line="276"/>
      </w:pPr>
      <w:r>
        <w:rPr>
          <w:b/>
        </w:rPr>
        <w:t xml:space="preserve">摘要（ZH）: </w:t>
      </w:r>
      <w:r>
        <w:t>可拉伸有机发光二极管 封面展示了具有混合液态金属阴极的本质可拉伸发光二极管。在他们的研究文章（DOI: 10.1002/adma.202518254）中，Wei Liu, Sihong Wang, Himchan Cho及其合作者提出了一种混合液态金属阴极，结合了块状液态金属和液态金属颗粒在双层结构中的优势。这种混合阴极促进了高效的电子注入，实现了高亮度和设备效率以及低驱动电压。</w:t>
      </w:r>
    </w:p>
    <w:p>
      <w:pPr>
        <w:spacing w:before="0" w:after="200" w:lineRule="auto" w:line="276"/>
      </w:pPr>
      <w:r>
        <w:rPr>
          <w:b/>
        </w:rPr>
        <w:t xml:space="preserve">Abstract (EN): </w:t>
      </w:r>
      <w:r>
        <w:t>Stretchable Organic Light-Emitting Diodes The cover depicts intrinsically stretchable light-emitting diodes with hybrid liquid metal cathodes. In their Research Article (DOI: 10.1002/adma.202518254), Wei Liu, Sihong Wang, Himchan Cho, and co-workers present a hybrid liquid metal cathode that combines the advantages of bulk liquid metal and liquid metal particles in a bilayer architecture. This hybrid cathode facilitates efficient electron injection, enabling high luminance and device efficiency along with low driving voltages.</w:t>
      </w:r>
    </w:p>
    <w:p>
      <w:pPr>
        <w:spacing w:before="120" w:after="120"/>
      </w:pPr>
      <w:r>
        <w:rPr>
          <w:sz w:val="18"/>
        </w:rPr>
        <w:t>——————————————————————————————————————————————————————————————————————</w:t>
      </w:r>
    </w:p>
    <w:p>
      <w:pPr>
        <w:spacing w:before="160" w:after="40" w:line="240" w:lineRule="auto"/>
      </w:pPr>
      <w:r>
        <w:rPr>
          <w:b/>
        </w:rPr>
        <w:t xml:space="preserve">[117] </w:t>
      </w:r>
      <w:hyperlink r:id="rId362">
        <w:r>
          <w:rPr>
            <w:color w:val="1155CC"/>
            <w:u w:val="single"/>
          </w:rPr>
          <w:t>活细胞内功能性微结构的双光子3D打印（Adv. Mater. 25/2026）</w:t>
        </w:r>
      </w:hyperlink>
    </w:p>
    <w:p>
      <w:pPr>
        <w:spacing w:before="0" w:after="80"/>
      </w:pPr>
      <w:r>
        <w:rPr>
          <w:i/>
          <w:sz w:val="20"/>
        </w:rPr>
        <w:t>EN: Two‐Photon 3D Printing of Functional Microstructures Inside Living Cells (Adv. Mater. 25/2026)</w:t>
      </w:r>
    </w:p>
    <w:p>
      <w:pPr>
        <w:spacing w:before="0" w:after="120"/>
      </w:pPr>
      <w:r>
        <w:rPr>
          <w:b/>
        </w:rPr>
        <w:t xml:space="preserve">Source: </w:t>
      </w:r>
      <w:r>
        <w:t>Wiley: Advanced Materials: Table of Contents</w:t>
      </w:r>
      <w:r>
        <w:t xml:space="preserve">    </w:t>
      </w:r>
      <w:r>
        <w:rPr>
          <w:b/>
        </w:rPr>
        <w:t xml:space="preserve">Pub date: </w:t>
      </w:r>
      <w:r>
        <w:t>2026-05-04 11:08:44+00:00</w:t>
      </w:r>
      <w:r>
        <w:t xml:space="preserve">    </w:t>
      </w:r>
      <w:r>
        <w:rPr>
          <w:b/>
        </w:rPr>
        <w:t xml:space="preserve">DOI: </w:t>
      </w:r>
      <w:hyperlink r:id="rId363">
        <w:r>
          <w:rPr>
            <w:color w:val="1155CC"/>
            <w:u w:val="single"/>
          </w:rPr>
          <w:t>10.1002/adma.73156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364">
        <w:r>
          <w:rPr>
            <w:color w:val="1155CC"/>
            <w:u w:val="single"/>
          </w:rPr>
          <w:t>[ASAP] 在多孔氢键有机框架中形成的反芳香性Ni(II) Norcorroles的无限堆叠</w:t>
        </w:r>
      </w:hyperlink>
    </w:p>
    <w:p>
      <w:pPr>
        <w:spacing w:before="0" w:after="80"/>
      </w:pPr>
      <w:r>
        <w:rPr>
          <w:i/>
          <w:sz w:val="20"/>
        </w:rPr>
        <w:t>EN: [ASAP] Infinite Stacking of Antiaromatic Ni(II) Norcorroles Formed in a Porous Hydrogen-Bonded 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2026-05-04 11:11:08+00:00</w:t>
      </w:r>
      <w:r>
        <w:t xml:space="preserve">    </w:t>
      </w:r>
      <w:r>
        <w:rPr>
          <w:b/>
        </w:rPr>
        <w:t xml:space="preserve">DOI: </w:t>
      </w:r>
      <w:hyperlink r:id="rId365">
        <w:r>
          <w:rPr>
            <w:color w:val="1155CC"/>
            <w:u w:val="single"/>
          </w:rPr>
          <w:t>10.1021/jacs.5c19604</w:t>
        </w:r>
      </w:hyperlink>
    </w:p>
    <w:p>
      <w:pPr>
        <w:spacing w:before="0" w:after="120"/>
      </w:pPr>
      <w:r>
        <w:rPr>
          <w:b/>
        </w:rPr>
        <w:t xml:space="preserve">Notes: </w:t>
      </w:r>
      <w:r>
        <w:t>abstract_source=pubmed</w:t>
      </w:r>
    </w:p>
    <w:p>
      <w:pPr>
        <w:spacing w:before="0" w:after="80" w:lineRule="auto" w:line="276"/>
      </w:pPr>
      <w:r>
        <w:rPr>
          <w:b/>
        </w:rPr>
        <w:t xml:space="preserve">摘要（ZH）: </w:t>
      </w:r>
      <w:r>
        <w:t>反芳香分子因其独特的电子结构而具有引人入胜的物理性质和高反应性。虽然单个反芳香分子的性质已被广泛研究，但其组装结构的研究仍处于早期阶段。在这项工作中，我们合成了一种氢键有机框架，命名为Nor-HOF，使用稳定的反芳香分子Ni(II) norcorrole作为构建单元。单晶X射线结构分析显示，Nor-HOF具有一维柱状结构，由无限堆叠的Ni(II) norcorroles组成，具有永久孔隙率。理论计算表明，Nor-HOF中的norcorroles通过其分子轨道相互作用，同时保持其反芳香性。此外，我们证明通过将I2吸附到孔中氧化norcorrole柱可以将Nor-HOF的电导率提高约1000倍。这项工作为利用反芳香分子的周期性结构开发先进功能材料开辟了新视角。</w:t>
      </w:r>
    </w:p>
    <w:p>
      <w:pPr>
        <w:spacing w:before="0" w:after="200" w:lineRule="auto" w:line="276"/>
      </w:pPr>
      <w:r>
        <w:rPr>
          <w:b/>
        </w:rPr>
        <w:t xml:space="preserve">Abstract (EN): </w:t>
      </w:r>
      <w:r>
        <w:t>Antiaromatic molecules are known for their intriguing physical properties and high reactivity, which arise from their unique electronic structures. While the properties of individual antiaromatic molecules have been extensively studied, research on their assembled structures is still in the early stages. In this work, we synthesized a hydrogen-bonded organic framework, named Nor-HOF, using a stable antiaromatic molecule, Ni(II) norcorrole, as a building block. Single-crystal X-ray structure analysis revealed that Nor-HOF possesses a one-dimensional columnar structure of infinitely stacked Ni(II) norcorroles with permanent porosity. Theoretical calculations indicated that the norcorroles in Nor-HOF interact through their molecular orbitals while retaining their antiaromaticity. Furthermore, we demonstrated that the oxidation of the norcorrole columns by adsorption of I2 into the pores enhances the electrical conductivity of Nor-HOF by approximately 1000-fold. This work opens a new perspective on exploiting the periodic structure of antiaromatic molecules for the development of advanced functional materials.</w:t>
      </w:r>
    </w:p>
    <w:p>
      <w:pPr>
        <w:spacing w:before="120" w:after="120"/>
      </w:pPr>
      <w:r>
        <w:rPr>
          <w:sz w:val="18"/>
        </w:rPr>
        <w:t>——————————————————————————————————————————————————————————————————————</w:t>
      </w:r>
    </w:p>
    <w:p>
      <w:pPr>
        <w:spacing w:before="160" w:after="40" w:line="240" w:lineRule="auto"/>
      </w:pPr>
      <w:r>
        <w:rPr>
          <w:b/>
        </w:rPr>
        <w:t xml:space="preserve">[119] </w:t>
      </w:r>
      <w:hyperlink r:id="rId366">
        <w:r>
          <w:rPr>
            <w:color w:val="1155CC"/>
            <w:u w:val="single"/>
          </w:rPr>
          <w:t>[ASAP] 通过透射电子显微镜观察可逆加成-断裂链转移水乳液聚合</w:t>
        </w:r>
      </w:hyperlink>
    </w:p>
    <w:p>
      <w:pPr>
        <w:spacing w:before="0" w:after="80"/>
      </w:pPr>
      <w:r>
        <w:rPr>
          <w:i/>
          <w:sz w:val="20"/>
        </w:rPr>
        <w:t>EN: [ASAP] Reversible Addition–Fragmentation Chain-Transfer Aqueous Emulsion Polymerization Observed by Transmission Electron Microscopy</w:t>
      </w:r>
    </w:p>
    <w:p>
      <w:pPr>
        <w:spacing w:before="0" w:after="120"/>
      </w:pPr>
      <w:r>
        <w:rPr>
          <w:b/>
        </w:rPr>
        <w:t xml:space="preserve">Source: </w:t>
      </w:r>
      <w:r>
        <w:t>Journal of the American Chemical Society: Latest Articles (ACS Publications)</w:t>
      </w:r>
      <w:r>
        <w:t xml:space="preserve">    </w:t>
      </w:r>
      <w:r>
        <w:rPr>
          <w:b/>
        </w:rPr>
        <w:t xml:space="preserve">Pub date: </w:t>
      </w:r>
      <w:r>
        <w:t>2026-05-04 11:12:06+00:00</w:t>
      </w:r>
      <w:r>
        <w:t xml:space="preserve">    </w:t>
      </w:r>
      <w:r>
        <w:rPr>
          <w:b/>
        </w:rPr>
        <w:t xml:space="preserve">DOI: </w:t>
      </w:r>
      <w:hyperlink r:id="rId367">
        <w:r>
          <w:rPr>
            <w:color w:val="1155CC"/>
            <w:u w:val="single"/>
          </w:rPr>
          <w:t>10.1021/jacs.6c00626</w:t>
        </w:r>
      </w:hyperlink>
    </w:p>
    <w:p>
      <w:pPr>
        <w:spacing w:before="0" w:after="120"/>
      </w:pPr>
      <w:r>
        <w:rPr>
          <w:b/>
        </w:rPr>
        <w:t xml:space="preserve">Notes: </w:t>
      </w:r>
      <w:r>
        <w:t>abstract_source=pubmed</w:t>
      </w:r>
    </w:p>
    <w:p>
      <w:pPr>
        <w:spacing w:before="0" w:after="80" w:lineRule="auto" w:line="276"/>
      </w:pPr>
      <w:r>
        <w:rPr>
          <w:b/>
        </w:rPr>
        <w:t xml:space="preserve">摘要（ZH）: </w:t>
      </w:r>
      <w:r>
        <w:t>非均相聚合占全球聚合物生产的很大一部分，并支持用于涂料、粘合剂和先进材料的乳胶合成。然而，尽管广泛使用，由于缺乏与液相环境兼容的直接观察工具，乳液聚合的机制仍未得到充分探索。在这项研究中，我们结合液相透射电子显微镜（LPTEM）和干态透射电子显微镜（TEM）与动态光散射，观察了丁基丙烯酸酯可逆加成-断裂链转移（RAFT）水乳液聚合过程中单体液滴和颗粒的纳米级演变。使用基于聚乙二醇的宏链转移剂稳定生长的乳胶，我们捕捉到乳液机制的进展，包括胶束成核、颗粒生长以及后期阶段相对罕见的高阶形态和形态转变。这种可视化为乳液系统中的动力学模型和颗粒形成动力学之间提供了机制桥梁。通过解决关键的观察障碍，这项工作为在溶液相聚合系统中机制指导的先进胶体材料设计建立了新平台。</w:t>
      </w:r>
    </w:p>
    <w:p>
      <w:pPr>
        <w:spacing w:before="0" w:after="200" w:lineRule="auto" w:line="276"/>
      </w:pPr>
      <w:r>
        <w:rPr>
          <w:b/>
        </w:rPr>
        <w:t xml:space="preserve">Abstract (EN): </w:t>
      </w:r>
      <w:r>
        <w:t>Heterogeneous polymerizations account for a significant fraction of global polymer production and underpin the synthesis of latexes used in coatings, adhesives, and advanced materials. Yet, despite their widespread use, emulsion polymerizations remain mechanistically underexplored due to the lack of direct observational tools compatible with liquid-phase environments. In this study, we leverage the combination of liquid-phase transmission electron microscopy (LPTEM) and dry-state transmission electron microscopy (TEM) with dynamic light scattering to visualize the nanoscale evolution of monomer droplets and particles during reversible addition-fragmentation chain-transfer (RAFT) aqueous emulsion polymerization of butyl acrylate. Using a poly(ethylene glycol)-based macro-chain transfer agent to stabilize the growing latex, we capture the progression of the emulsion mechanism, including micellar nucleation, particle growth, and relatively rare higher-order morphologies and morphological transitions in later stages. This visualization provides a mechanistic bridge between kinetic models and particle formation dynamics in emulsion systems. By addressing a key observational barrier, this work establishes a new platform for mechanistically guided design of advanced colloidal materials in solution-phase polymerization systems.</w:t>
      </w:r>
    </w:p>
    <w:p>
      <w:pPr>
        <w:spacing w:before="120" w:after="120"/>
      </w:pPr>
      <w:r>
        <w:rPr>
          <w:sz w:val="18"/>
        </w:rPr>
        <w:t>——————————————————————————————————————————————————————————————————————</w:t>
      </w:r>
    </w:p>
    <w:p>
      <w:pPr>
        <w:spacing w:before="160" w:after="40" w:line="240" w:lineRule="auto"/>
      </w:pPr>
      <w:r>
        <w:rPr>
          <w:b/>
        </w:rPr>
        <w:t xml:space="preserve">[120] </w:t>
      </w:r>
      <w:hyperlink r:id="rId368">
        <w:r>
          <w:rPr>
            <w:color w:val="1155CC"/>
            <w:u w:val="single"/>
          </w:rPr>
          <w:t>[ASAP] 适用于基于液滴筛选的活性N-聚糖水解酶探针的开发和部署</w:t>
        </w:r>
      </w:hyperlink>
    </w:p>
    <w:p>
      <w:pPr>
        <w:spacing w:before="0" w:after="80"/>
      </w:pPr>
      <w:r>
        <w:rPr>
          <w:i/>
          <w:sz w:val="20"/>
        </w:rPr>
        <w:t>EN: [ASAP] Development and Deployment of an Activity-Based N-Glycan Hydrolase Probe Suitable for Droplet-Based Screening</w:t>
      </w:r>
    </w:p>
    <w:p>
      <w:pPr>
        <w:spacing w:before="0" w:after="120"/>
      </w:pPr>
      <w:r>
        <w:rPr>
          <w:b/>
        </w:rPr>
        <w:t xml:space="preserve">Source: </w:t>
      </w:r>
      <w:r>
        <w:t>Journal of the American Chemical Society: Latest Articles (ACS Publications)</w:t>
      </w:r>
      <w:r>
        <w:t xml:space="preserve">    </w:t>
      </w:r>
      <w:r>
        <w:rPr>
          <w:b/>
        </w:rPr>
        <w:t xml:space="preserve">Pub date: </w:t>
      </w:r>
      <w:r>
        <w:t>2026-05-04 11:18:59+00:00</w:t>
      </w:r>
      <w:r>
        <w:t xml:space="preserve">    </w:t>
      </w:r>
      <w:r>
        <w:rPr>
          <w:b/>
        </w:rPr>
        <w:t xml:space="preserve">DOI: </w:t>
      </w:r>
      <w:hyperlink r:id="rId369">
        <w:r>
          <w:rPr>
            <w:color w:val="1155CC"/>
            <w:u w:val="single"/>
          </w:rPr>
          <w:t>10.1021/jacs.6c02480</w:t>
        </w:r>
      </w:hyperlink>
    </w:p>
    <w:p>
      <w:pPr>
        <w:spacing w:before="0" w:after="120"/>
      </w:pPr>
      <w:r>
        <w:rPr>
          <w:b/>
        </w:rPr>
        <w:t xml:space="preserve">Notes: </w:t>
      </w:r>
      <w:r>
        <w:t>abstract_source=pubmed</w:t>
      </w:r>
    </w:p>
    <w:p>
      <w:pPr>
        <w:spacing w:before="0" w:after="80" w:lineRule="auto" w:line="276"/>
      </w:pPr>
      <w:r>
        <w:rPr>
          <w:b/>
        </w:rPr>
        <w:t xml:space="preserve">摘要（ZH）: </w:t>
      </w:r>
      <w:r>
        <w:t>N-聚糖在多种生物过程中发挥重要作用，能够精确修饰它们的酶提供了调节其功能以用于治疗应用的强大手段。然而，这类酶的发现受到敏感、完全代表性底物有限可用性的阻碍，这些底物能够准确模拟天然N-聚糖结构。在此，我们报告了一种荧光淬灭（FQ）N-聚糖探针，通过从蛋来源的唾液糖肽（SGP）化学酶合成，解决了这一限制。该探针在完整的复杂型N-聚糖底物中连接键被酶切割之前保持非荧光（“OFF”），随后触发荧光信号（“ON”）。将FQ N-聚糖探针与一组报告针对复杂型N-聚糖中特定连接键的糖苷水解酶（GHs）孵育，导致荧光增加，可以轻松监测。此外，我们展示了该探针与单乳液液滴筛选兼容，并通过试验筛选确认其效用，可以使用荧光激活单液滴分配（FASD）从混合微生物群中回收N-聚糖降解克隆。虽然在蛋来源的SGP中进行了演示，但这种化学酶策略可以扩展到多种聚糖和糖肽底物，提供了一种策略来生成完全代表性的聚糖探针，用于超高通量筛选，以推进糖工程和基础糖组学研究。</w:t>
      </w:r>
    </w:p>
    <w:p>
      <w:pPr>
        <w:spacing w:before="0" w:after="200" w:lineRule="auto" w:line="276"/>
      </w:pPr>
      <w:r>
        <w:rPr>
          <w:b/>
        </w:rPr>
        <w:t xml:space="preserve">Abstract (EN): </w:t>
      </w:r>
      <w:r>
        <w:t>N-Glycans play essential roles in diverse biological processes, and enzymes capable of precisely modifying them offer powerful means to modulate their function for therapeutic applications. However, the discovery of such enzymes is hindered by the limited availability of sensitive, fully representative substrates that accurately mimic native N-glycan structures. Here, we report a fluorescence-quenched (FQ) N-glycan probe, chemoenzymatically synthesized from egg-derived sialoglycopeptide (SGP), that addresses this limitation. The probe remains nonfluorescent ("OFF") until enzymatic cleavage of a linkage within the intact complex type N-glycan substrate, which in turn triggers a fluorescent signal ('ON'). Incubation of the FQ N-glycan probe with a panel of glycoside hydrolases (GHs) reported to target specific linkages within complex type N-glycans, results in an increase in fluorescence, which can be readily monitored. Furthermore, we show that this probe is compatible with single-emulsion droplet-based screening and confirm its utility through a trial screen that can recover N-glycan degrading clones from mixed microbial populations using fluorescence activated single-droplet dispensing (FASD). While demonstrated for egg-derived SGP, this chemoenzymatic strategy may be extended to diverse glycans and glycopeptide substrates, providing a strategy to generate fully representative glycan probes for ultrahigh-throughput screening to advance both glycoengineering and fundamental glycomics research.</w:t>
      </w:r>
    </w:p>
    <w:p>
      <w:pPr>
        <w:spacing w:before="120" w:after="120"/>
      </w:pPr>
      <w:r>
        <w:rPr>
          <w:sz w:val="18"/>
        </w:rPr>
        <w:t>——————————————————————————————————————————————————————————————————————</w:t>
      </w:r>
    </w:p>
    <w:p>
      <w:pPr>
        <w:spacing w:before="160" w:after="40" w:line="240" w:lineRule="auto"/>
      </w:pPr>
      <w:r>
        <w:rPr>
          <w:b/>
        </w:rPr>
        <w:t xml:space="preserve">[121] </w:t>
      </w:r>
      <w:hyperlink r:id="rId370">
        <w:r>
          <w:rPr>
            <w:color w:val="1155CC"/>
            <w:u w:val="single"/>
          </w:rPr>
          <w:t>通过碱金属离子介导的超分子控制规避5-羟甲基糠醛电催化加氢中的浓度限制</w:t>
        </w:r>
      </w:hyperlink>
    </w:p>
    <w:p>
      <w:pPr>
        <w:spacing w:before="0" w:after="80"/>
      </w:pPr>
      <w:r>
        <w:rPr>
          <w:i/>
          <w:sz w:val="20"/>
        </w:rPr>
        <w:t>EN: Circumventing Concentration Limitations in Electrocatalytic Hydrogenation of 5‐Hydroxymethylfurfural through Alkali Metal Ion Mediated Supramolecular Control</w:t>
      </w:r>
    </w:p>
    <w:p>
      <w:pPr>
        <w:spacing w:before="0" w:after="120"/>
      </w:pPr>
      <w:r>
        <w:rPr>
          <w:b/>
        </w:rPr>
        <w:t xml:space="preserve">Source: </w:t>
      </w:r>
      <w:r>
        <w:t>Wiley: Angewandte Chemie International Edition: Table of Contents</w:t>
      </w:r>
      <w:r>
        <w:t xml:space="preserve">    </w:t>
      </w:r>
      <w:r>
        <w:rPr>
          <w:b/>
        </w:rPr>
        <w:t xml:space="preserve">Pub date: </w:t>
      </w:r>
      <w:r>
        <w:t>2026-05-04 11:34:56+00:00</w:t>
      </w:r>
      <w:r>
        <w:t xml:space="preserve">    </w:t>
      </w:r>
      <w:r>
        <w:rPr>
          <w:b/>
        </w:rPr>
        <w:t xml:space="preserve">DOI: </w:t>
      </w:r>
      <w:hyperlink r:id="rId371">
        <w:r>
          <w:rPr>
            <w:color w:val="1155CC"/>
            <w:u w:val="single"/>
          </w:rPr>
          <w:t>10.1002/anie.3764137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浓缩生物质平台分子的电催化加氢（ECH）中，性能下降仍然是实际应用的主要障碍，这主要是由于对浓度依赖机制的理解不完整。使用5-羟甲基糠醛还原反应（HMFRR）作为模型系统，我们揭示了在高反应物浓度下分子间氢键的意外作用，这通过恒电位DFT计算和AIMD模拟得以揭示。在这种机制洞察的指导下，我们开发了一种阳离子调制策略，并通过（i）Li</w:t>
      </w:r>
      <w:r>
        <w:t xml:space="preserve"> </w:t>
      </w:r>
      <w:r>
        <w:t>+</w:t>
      </w:r>
      <w:r>
        <w:t xml:space="preserve"> </w:t>
      </w:r>
      <w:r>
        <w:t>离子的小离子半径、深入渗透到内亥姆霍兹平面和低配位结构破坏HMF二聚体中的分子间氢键，（ii）由于其强电子吸引特性而增强的*H转移，以及（iii）在中等Li</w:t>
      </w:r>
      <w:r>
        <w:t xml:space="preserve"> </w:t>
      </w:r>
      <w:r>
        <w:t>+</w:t>
      </w:r>
      <w:r>
        <w:t xml:space="preserve"> </w:t>
      </w:r>
      <w:r>
        <w:t>浓度下保持高HMFRR选择性，识别出Li</w:t>
      </w:r>
      <w:r>
        <w:t xml:space="preserve"> </w:t>
      </w:r>
      <w:r>
        <w:t>+</w:t>
      </w:r>
      <w:r>
        <w:t xml:space="preserve"> </w:t>
      </w:r>
      <w:r>
        <w:t>离子是HMFRR最有效的促进剂。实验电化学测量和</w:t>
      </w:r>
      <w:r>
        <w:rPr>
          <w:vertAlign w:val="subscript"/>
        </w:rPr>
        <w:t>1</w:t>
      </w:r>
      <w:r>
        <w:t>H核磁共振（</w:t>
      </w:r>
      <w:r>
        <w:rPr>
          <w:vertAlign w:val="subscript"/>
        </w:rPr>
        <w:t>1</w:t>
      </w:r>
      <w:r>
        <w:t>H NMR）光谱验证了这些预测。这项工作解决了高浓度ECH中的长期挑战，并建立了一种通过合理的相互作用升级浓缩生物质衍生平台分子的可推广范式。</w:t>
      </w:r>
    </w:p>
    <w:p>
      <w:pPr>
        <w:spacing w:before="0" w:after="200" w:lineRule="auto" w:line="276"/>
      </w:pPr>
      <w:r>
        <w:rPr>
          <w:b/>
        </w:rPr>
        <w:t xml:space="preserve">Abstract (EN): </w:t>
      </w:r>
      <w:r>
        <w:t>Performance deterioration in the electrocatalytic hydrogenation (ECH) of concentrated biomass platform molecules remains a major obstacle for practical implementation, largely due to an incomplete understanding of concentration‐dependent mechanisms. Using the 5‐hydroxymethylfurfural reduction reaction (HMFRR) as a model system, we uncover an unanticipated role of intermolecular hydrogen bonding under high reactant concentrations as revealed by constant‐potential DFT calculations and AIMD simulations. Guided by this mechanistic insight, we develop a cation‐modulation strategy and identify Li</w:t>
      </w:r>
      <w:r>
        <w:t xml:space="preserve"> </w:t>
      </w:r>
      <w:r>
        <w:t>+</w:t>
      </w:r>
      <w:r>
        <w:t xml:space="preserve"> </w:t>
      </w:r>
      <w:r>
        <w:t>ion as the most effective promoter of HMFRR, via a synergistic combination of (i) disruption of intermolecular hydrogen bonds in HMF dimers enabled by the small ionic radius, deep penetration into the inner Helmholtz plane and low coordinated structure of Li</w:t>
      </w:r>
      <w:r>
        <w:t xml:space="preserve"> </w:t>
      </w:r>
      <w:r>
        <w:t>+</w:t>
      </w:r>
      <w:r>
        <w:t xml:space="preserve"> </w:t>
      </w:r>
      <w:r>
        <w:t>, (ii) enhanced *H transfer arising from its strong electron‐withdrawing character, and (iii) preservation of high HMFRR selectivity at moderate Li</w:t>
      </w:r>
      <w:r>
        <w:t xml:space="preserve"> </w:t>
      </w:r>
      <w:r>
        <w:t>+</w:t>
      </w:r>
      <w:r>
        <w:t xml:space="preserve"> </w:t>
      </w:r>
      <w:r>
        <w:t>concentrations. Experimental electrochemical measurements and</w:t>
      </w:r>
      <w:r>
        <w:rPr>
          <w:vertAlign w:val="subscript"/>
        </w:rPr>
        <w:t>1</w:t>
      </w:r>
      <w:r>
        <w:t>H nuclear magnetic resonance (</w:t>
      </w:r>
      <w:r>
        <w:rPr>
          <w:vertAlign w:val="subscript"/>
        </w:rPr>
        <w:t>1</w:t>
      </w:r>
      <w:r>
        <w:t>H NMR) spectroscopy validate these predictions. This work resolves a long‐standing challenge in high‐concentration ECH and establishes a generalizable paradigm for upgrading concentrated biomass‐derived platform molecules through rational interfacial engineering.</w:t>
      </w:r>
    </w:p>
    <w:p>
      <w:pPr>
        <w:spacing w:before="120" w:after="120"/>
      </w:pPr>
      <w:r>
        <w:rPr>
          <w:sz w:val="18"/>
        </w:rPr>
        <w:t>——————————————————————————————————————————————————————————————————————</w:t>
      </w:r>
    </w:p>
    <w:p>
      <w:pPr>
        <w:spacing w:before="160" w:after="40" w:line="240" w:lineRule="auto"/>
      </w:pPr>
      <w:r>
        <w:rPr>
          <w:b/>
        </w:rPr>
        <w:t xml:space="preserve">[122] </w:t>
      </w:r>
      <w:hyperlink r:id="rId372">
        <w:r>
          <w:rPr>
            <w:color w:val="1155CC"/>
            <w:u w:val="single"/>
          </w:rPr>
          <w:t>[ASAP] 能源研究不断发展的十年（第一部分）：能源转换与设备</w:t>
        </w:r>
      </w:hyperlink>
    </w:p>
    <w:p>
      <w:pPr>
        <w:spacing w:before="0" w:after="80"/>
      </w:pPr>
      <w:r>
        <w:rPr>
          <w:i/>
          <w:sz w:val="20"/>
        </w:rPr>
        <w:t>EN: [ASAP] A Decade in the Evolving Landscape of Energy Research (Part I): Energy Conversion and Devices</w:t>
      </w:r>
    </w:p>
    <w:p>
      <w:pPr>
        <w:spacing w:before="0" w:after="120"/>
      </w:pPr>
      <w:r>
        <w:rPr>
          <w:b/>
        </w:rPr>
        <w:t xml:space="preserve">Source: </w:t>
      </w:r>
      <w:r>
        <w:t>ACS Energy Letters: Latest Articles (ACS Publications)</w:t>
      </w:r>
      <w:r>
        <w:t xml:space="preserve">    </w:t>
      </w:r>
      <w:r>
        <w:rPr>
          <w:b/>
        </w:rPr>
        <w:t xml:space="preserve">Pub date: </w:t>
      </w:r>
      <w:r>
        <w:t>2026-05-04 11:35:31+00:00</w:t>
      </w:r>
      <w:r>
        <w:t xml:space="preserve">    </w:t>
      </w:r>
      <w:r>
        <w:rPr>
          <w:b/>
        </w:rPr>
        <w:t xml:space="preserve">DOI: </w:t>
      </w:r>
      <w:hyperlink r:id="rId373">
        <w:r>
          <w:rPr>
            <w:color w:val="1155CC"/>
            <w:u w:val="single"/>
          </w:rPr>
          <w:t>10.1021/acsenergylett.6c01223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374">
        <w:r>
          <w:rPr>
            <w:color w:val="1155CC"/>
            <w:u w:val="single"/>
          </w:rPr>
          <w:t>[ASAP] 通过形式羰基插入对吡啶鎓盐进行分歧骨架编辑生成氮杂庚酮和吡咯烷酮</w:t>
        </w:r>
      </w:hyperlink>
    </w:p>
    <w:p>
      <w:pPr>
        <w:spacing w:before="0" w:after="80"/>
      </w:pPr>
      <w:r>
        <w:rPr>
          <w:i/>
          <w:sz w:val="20"/>
        </w:rPr>
        <w:t>EN: [ASAP] Divergent Skeletal Editing of Pyridinium Salts to Azepinones and Pyrrolidinones via Formal Carbonyl Insertion</w:t>
      </w:r>
    </w:p>
    <w:p>
      <w:pPr>
        <w:spacing w:before="0" w:after="120"/>
      </w:pPr>
      <w:r>
        <w:rPr>
          <w:b/>
        </w:rPr>
        <w:t xml:space="preserve">Source: </w:t>
      </w:r>
      <w:r>
        <w:t>Journal of the American Chemical Society: Latest Articles (ACS Publications)</w:t>
      </w:r>
      <w:r>
        <w:t xml:space="preserve">    </w:t>
      </w:r>
      <w:r>
        <w:rPr>
          <w:b/>
        </w:rPr>
        <w:t xml:space="preserve">Pub date: </w:t>
      </w:r>
      <w:r>
        <w:t>2026-05-04 11:36:17+00:00</w:t>
      </w:r>
      <w:r>
        <w:t xml:space="preserve">    </w:t>
      </w:r>
      <w:r>
        <w:rPr>
          <w:b/>
        </w:rPr>
        <w:t xml:space="preserve">DOI: </w:t>
      </w:r>
      <w:hyperlink r:id="rId375">
        <w:r>
          <w:rPr>
            <w:color w:val="1155CC"/>
            <w:u w:val="single"/>
          </w:rPr>
          <w:t>10.1021/jacs.6c03052</w:t>
        </w:r>
      </w:hyperlink>
    </w:p>
    <w:p>
      <w:pPr>
        <w:spacing w:before="0" w:after="120"/>
      </w:pPr>
      <w:r>
        <w:rPr>
          <w:b/>
        </w:rPr>
        <w:t xml:space="preserve">Notes: </w:t>
      </w:r>
      <w:r>
        <w:t>abstract_source=pubmed</w:t>
      </w:r>
    </w:p>
    <w:p>
      <w:pPr>
        <w:spacing w:before="0" w:after="80" w:lineRule="auto" w:line="276"/>
      </w:pPr>
      <w:r>
        <w:rPr>
          <w:b/>
        </w:rPr>
        <w:t xml:space="preserve">摘要（ZH）: </w:t>
      </w:r>
      <w:r>
        <w:t>骨架编辑提供了一种强大的策略，可以在不需要从头合成的情况下快速多样化分子框架，但大多数现有方法仅能从给定底物进行单一、单向的骨架转化。在此，我们报告了一种用于吡啶盐的分歧骨架编辑平台，该平台能够从共同的杂芳香前体进行顺序的环扩展和收缩。羰基形式插入吡啶在对位或邻位以良好的效率进行，以温和条件下提供氮杂环庚酮。随后的光化学[2 + 2]环加成触发两碳外环转位，提供了通过直接吡啶编辑不易获得的吡咯烷酮骨架。该序列构成了从单一核心结构进行双向环尺寸编辑（6 → 7 → 5）的罕见例子。该方法表现出广泛的底物范围，优异的官能团耐受性，并与药物分子的后期修饰兼容。这项工作确立了吡啶作为分歧骨架编辑的多功能底物，并为药物化学中的骨架跳跃提供了实用框架。</w:t>
      </w:r>
    </w:p>
    <w:p>
      <w:pPr>
        <w:spacing w:before="0" w:after="200" w:lineRule="auto" w:line="276"/>
      </w:pPr>
      <w:r>
        <w:rPr>
          <w:b/>
        </w:rPr>
        <w:t xml:space="preserve">Abstract (EN): </w:t>
      </w:r>
      <w:r>
        <w:t>Skeletal editing offers a powerful strategy for rapid diversification of molecular frameworks without requiring de novo synthesis, yet most existing methods enable only a single, unidirectional scaffold transformation from a given substrate. Here, we report a divergent skeletal editing platform for pyridinium salts that enables sequential ring expansion and contraction from a common heteroaromatic precursor. Formal carbonyl insertion into pyridines proceeds with good efficiency at either the para or ortho position to afford azepinones under mild conditions. Subsequent photochemical [2 + 2] cycloaddition triggers two-carbon exocyclic transposition, delivering pyrrolidinone scaffolds not readily accessible through direct pyridine editing. This sequence constitutes a rare example of bidirectional ring-size editing (6 → 7 → 5) from a single core structure. The method exhibits a broad substrate scope, excellent functional group tolerance, and compatibility with late-stage modifications of drug molecules. This work establishes pyridines as versatile substrates for divergent skeletal editing and provides a practical framework for scaffold hopping in medicinal chemistry.</w:t>
      </w:r>
    </w:p>
    <w:p>
      <w:pPr>
        <w:spacing w:before="120" w:after="120"/>
      </w:pPr>
      <w:r>
        <w:rPr>
          <w:sz w:val="18"/>
        </w:rPr>
        <w:t>——————————————————————————————————————————————————————————————————————</w:t>
      </w:r>
    </w:p>
    <w:p>
      <w:pPr>
        <w:spacing w:before="160" w:after="40" w:line="240" w:lineRule="auto"/>
      </w:pPr>
      <w:r>
        <w:rPr>
          <w:b/>
        </w:rPr>
        <w:t xml:space="preserve">[124] </w:t>
      </w:r>
      <w:hyperlink r:id="rId376">
        <w:r>
          <w:rPr>
            <w:color w:val="1155CC"/>
            <w:u w:val="single"/>
          </w:rPr>
          <w:t>二氮磷基自由基催化的卤素原子转移：逆转氯化物活化的反应性趋势</w:t>
        </w:r>
      </w:hyperlink>
    </w:p>
    <w:p>
      <w:pPr>
        <w:spacing w:before="0" w:after="80"/>
      </w:pPr>
      <w:r>
        <w:rPr>
          <w:i/>
          <w:sz w:val="20"/>
        </w:rPr>
        <w:t>EN: Diazaphosphinyl‐Radical‐Catalyzed Halogen Atom Transfer: Inverting Reactivity Trends for Chloride Activation</w:t>
      </w:r>
    </w:p>
    <w:p>
      <w:pPr>
        <w:spacing w:before="0" w:after="120"/>
      </w:pPr>
      <w:r>
        <w:rPr>
          <w:b/>
        </w:rPr>
        <w:t xml:space="preserve">Source: </w:t>
      </w:r>
      <w:r>
        <w:t>Wiley: Angewandte Chemie International Edition: Table of Contents</w:t>
      </w:r>
      <w:r>
        <w:t xml:space="preserve">    </w:t>
      </w:r>
      <w:r>
        <w:rPr>
          <w:b/>
        </w:rPr>
        <w:t xml:space="preserve">Pub date: </w:t>
      </w:r>
      <w:r>
        <w:t>2026-05-04 11:38:44+00:00</w:t>
      </w:r>
      <w:r>
        <w:t xml:space="preserve">    </w:t>
      </w:r>
      <w:r>
        <w:rPr>
          <w:b/>
        </w:rPr>
        <w:t xml:space="preserve">DOI: </w:t>
      </w:r>
      <w:hyperlink r:id="rId377">
        <w:r>
          <w:rPr>
            <w:color w:val="1155CC"/>
            <w:u w:val="single"/>
          </w:rPr>
          <w:t>10.1002/anie.2642371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催化自由基卤素原子转移（XAT）通常遵循键解离自由能（BDFE）依赖的反应顺序R–I &amp;gt; R–Br &amp;gt; R–Cl，使得丰富的烷基氯化物大多未被充分利用。我们报告了从</w:t>
      </w:r>
      <w:r>
        <w:t xml:space="preserve"> </w:t>
      </w:r>
      <w:r>
        <w:t>N</w:t>
      </w:r>
      <w:r>
        <w:t xml:space="preserve"> </w:t>
      </w:r>
      <w:r>
        <w:t>‐杂环膦衍生的二氮膦基自由基（NHP</w:t>
      </w:r>
      <w:r>
        <w:t xml:space="preserve"> </w:t>
      </w:r>
      <w:r>
        <w:t>•</w:t>
      </w:r>
      <w:r>
        <w:t xml:space="preserve"> </w:t>
      </w:r>
      <w:r>
        <w:t>）作为高效有机自由基催化剂，逆转了这一趋势，使得烷基氯化物的催化氢脱卤化优于溴化物和碘化物。全面的热力学、动力学和机制研究揭示了NHP衍生物的双重角色：XAT抽取剂和氢供体。整体催化效率不是由自由基XAT步骤决定，而是由极性键-置换过程决定，该过程再生活性P-H还原剂（NHP-H）。由于形成了强的Si–Cl键，这一步对于氯化物热力学上更有利，从而建立了一个对R–Cl底物独特有效的闭合催化循环。该催化剂表现出良好的官能团耐受性，并能够高选择性地单脱氯化二氯化物，以及活化烯烃的氢烷基化。这项工作强调了极性步骤在自由基催化中可以决定底物选择性的重要作用，并提供了一种可持续的、无金属的策略来增值烷基氯化物。</w:t>
      </w:r>
    </w:p>
    <w:p>
      <w:pPr>
        <w:spacing w:before="0" w:after="200" w:lineRule="auto" w:line="276"/>
      </w:pPr>
      <w:r>
        <w:rPr>
          <w:b/>
        </w:rPr>
        <w:t xml:space="preserve">Abstract (EN): </w:t>
      </w:r>
      <w:r>
        <w:t>Catalytic radical halogen atom transfer (XAT) typically follows the bond dissociation free energy (BDFE)‐dependent reactivity order R–I &amp;gt; R–Br &amp;gt; R–Cl, leaving abundant alkyl chlorides largely underutilized. We report diazaphosphinyl radicals (NHP</w:t>
      </w:r>
      <w:r>
        <w:t xml:space="preserve"> </w:t>
      </w:r>
      <w:r>
        <w:t>•</w:t>
      </w:r>
      <w:r>
        <w:t xml:space="preserve"> </w:t>
      </w:r>
      <w:r>
        <w:t>) derived from</w:t>
      </w:r>
      <w:r>
        <w:t xml:space="preserve"> </w:t>
      </w:r>
      <w:r>
        <w:t>N</w:t>
      </w:r>
      <w:r>
        <w:t xml:space="preserve"> </w:t>
      </w:r>
      <w:r>
        <w:t>‐heterocyclic phosphines as efficient organic radical catalysts that invert this trend, enabling catalytic hydrodehalogenation of alkyl chlorides over bromides and iodides. Comprehensive thermodynamic, kinetic, and mechanistic studies reveal dual roles of NHP derivatives: XAT abstractors and hydrogen donors. The overall catalytic efficiency is governed not by the radical XAT step, but by a polar bond‐metathesis process that regenerates the active P‐H reductant (NHP‐H). This step is thermodynamically much favorable for chlorides, due to the strong Si–Cl bond formed, thereby establishing a closed catalytic cycle uniquely effective for R–Cl substrates. The catalyst exhibits good functional‐group tolerance and enables mono‐dechlorination of dichlorides with high selectivity, as well as hydroalkylation of activated olefins. This work highlights the important roles of polar steps in radical catalysis that can dictate substrate selectivity, and provides a sustainable, metal‐free strategy for valorizing alkyl chlorides.</w:t>
      </w:r>
    </w:p>
    <w:p>
      <w:pPr>
        <w:spacing w:before="120" w:after="120"/>
      </w:pPr>
      <w:r>
        <w:rPr>
          <w:sz w:val="18"/>
        </w:rPr>
        <w:t>——————————————————————————————————————————————————————————————————————</w:t>
      </w:r>
    </w:p>
    <w:p>
      <w:pPr>
        <w:spacing w:before="160" w:after="40" w:line="240" w:lineRule="auto"/>
      </w:pPr>
      <w:r>
        <w:rPr>
          <w:b/>
        </w:rPr>
        <w:t xml:space="preserve">[125] </w:t>
      </w:r>
      <w:hyperlink r:id="rId378">
        <w:r>
          <w:rPr>
            <w:color w:val="1155CC"/>
            <w:u w:val="single"/>
          </w:rPr>
          <w:t>手性诱导的自旋优化在无铅金属卤化物杂化物中用于高性能柔性X射线探测器</w:t>
        </w:r>
      </w:hyperlink>
    </w:p>
    <w:p>
      <w:pPr>
        <w:spacing w:before="0" w:after="80"/>
      </w:pPr>
      <w:r>
        <w:rPr>
          <w:i/>
          <w:sz w:val="20"/>
        </w:rPr>
        <w:t>EN: Chirality‐Induced Spin Optimization in Lead‐Free Metal‐Halide Hybrids for High‐Performance Flexible X‐Ray Detectors</w:t>
      </w:r>
    </w:p>
    <w:p>
      <w:pPr>
        <w:spacing w:before="0" w:after="120"/>
      </w:pPr>
      <w:r>
        <w:rPr>
          <w:b/>
        </w:rPr>
        <w:t xml:space="preserve">Source: </w:t>
      </w:r>
      <w:r>
        <w:t>Wiley: Angewandte Chemie International Edition: Table of Contents</w:t>
      </w:r>
      <w:r>
        <w:t xml:space="preserve">    </w:t>
      </w:r>
      <w:r>
        <w:rPr>
          <w:b/>
        </w:rPr>
        <w:t xml:space="preserve">Pub date: </w:t>
      </w:r>
      <w:r>
        <w:t>2026-05-04 11:39:56+00:00</w:t>
      </w:r>
      <w:r>
        <w:t xml:space="preserve">    </w:t>
      </w:r>
      <w:r>
        <w:rPr>
          <w:b/>
        </w:rPr>
        <w:t xml:space="preserve">DOI: </w:t>
      </w:r>
      <w:hyperlink r:id="rId379">
        <w:r>
          <w:rPr>
            <w:color w:val="1155CC"/>
            <w:u w:val="single"/>
          </w:rPr>
          <w:t>10.1002/anie.4040066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铅金属卤化物混合X射线探测器由于强烈的激子局域化和低效的载流子传输而受到根本限制，阻碍了其在高灵敏度柔性成像系统中的应用。在此，我们建立了一种手性调制的自旋工程策略，通过在手性Bi/Sb金属卤化物混合系列（(S1−rRr‐CHEA)4(Bi0.5Sb0.5)2I10，CHEA = 1‐环己基乙胺）中定量关联分子手性、Rashba自旋分裂、载流子传输和探测器性能，从而本质上克服了这些限制，其中对映体比率作为连续的结构控制参数。均手性组装最大化了反演对称性破坏，产生了高达0.41 eV Å−1的巨大Rashba系数，并实现了长寿命（&gt; 1 ns）的自旋极化，抑制了激子局域化。结果，激子结合能降低了42%，而载流子迁移率-寿命乘积（μτ）增加了四倍，在无铅金属卤化物中建立了一种本质的自旋调制传输机制。由优化的均手性成分制成的柔性探测器表现出变形</w:t>
      </w:r>
    </w:p>
    <w:p>
      <w:pPr>
        <w:spacing w:before="0" w:after="200" w:lineRule="auto" w:line="276"/>
      </w:pPr>
      <w:r>
        <w:rPr>
          <w:b/>
        </w:rPr>
        <w:t xml:space="preserve">Abstract (EN): </w:t>
      </w:r>
      <w:r>
        <w:t>Lead‐free metal‐halide hybrid x‐ray detectors are fundamentally limited by strong exciton localization and inefficient carrier transport, preventing their deployment in high‐sensitivity flexible imaging systems. Here we establish a chirality‐modulated spin‐engineering strategy that intrinsically overcomes these limitations by quantitatively linking molecular chirality, Rashba spin splitting, carrier transport, and detector performance in a chiral Bi/Sb metal‐halide hybrid series, (</w:t>
      </w:r>
      <w:r>
        <w:t xml:space="preserve"> </w:t>
      </w:r>
      <w:r>
        <w:t>S</w:t>
      </w:r>
      <w:r>
        <w:t xml:space="preserve"> </w:t>
      </w:r>
      <w:r>
        <w:t>1−r</w:t>
      </w:r>
      <w:r>
        <w:t xml:space="preserve"> </w:t>
      </w:r>
      <w:r>
        <w:t>R</w:t>
      </w:r>
      <w:r>
        <w:t xml:space="preserve"> </w:t>
      </w:r>
      <w:r>
        <w:t>r</w:t>
      </w:r>
      <w:r>
        <w:t xml:space="preserve"> </w:t>
      </w:r>
      <w:r>
        <w:t>‐CHEA)</w:t>
      </w:r>
      <w:r>
        <w:rPr>
          <w:vertAlign w:val="subscript"/>
        </w:rPr>
        <w:t>4</w:t>
      </w:r>
      <w:r>
        <w:t>(Bi</w:t>
      </w:r>
      <w:r>
        <w:t xml:space="preserve"> </w:t>
      </w:r>
      <w:r>
        <w:t>0.5</w:t>
      </w:r>
      <w:r>
        <w:t xml:space="preserve"> </w:t>
      </w:r>
      <w:r>
        <w:t>Sb</w:t>
      </w:r>
      <w:r>
        <w:t xml:space="preserve"> </w:t>
      </w:r>
      <w:r>
        <w:t>0.5</w:t>
      </w:r>
      <w:r>
        <w:t xml:space="preserve"> </w:t>
      </w:r>
      <w:r>
        <w:t>)</w:t>
      </w:r>
      <w:r>
        <w:rPr>
          <w:vertAlign w:val="subscript"/>
        </w:rPr>
        <w:t>2</w:t>
      </w:r>
      <w:r>
        <w:t>I</w:t>
      </w:r>
      <w:r>
        <w:rPr>
          <w:vertAlign w:val="subscript"/>
        </w:rPr>
        <w:t>10</w:t>
      </w:r>
      <w:r>
        <w:t>(CHEA = 1‐cyclohexylethylamine), where the enantiomeric ratio functions as a continuous structural control parameter. Homochiral assemblies maximize inversion‐symmetry breaking, producing a giant Rashba coefficient up to 0.41 eV Å</w:t>
      </w:r>
      <w:r>
        <w:t xml:space="preserve"> </w:t>
      </w:r>
      <w:r>
        <w:t>−1</w:t>
      </w:r>
      <w:r>
        <w:t xml:space="preserve"> </w:t>
      </w:r>
      <w:r>
        <w:t>and enabling long‐lived (&amp;gt; 1 ns) spin polarization that suppresses excitonic localization. As a result, the exciton binding energy decreases by 42% while the carrier mobility–lifetime product (</w:t>
      </w:r>
      <w:r>
        <w:t xml:space="preserve"> </w:t>
      </w:r>
      <w:r>
        <w:t>μτ</w:t>
      </w:r>
      <w:r>
        <w:t xml:space="preserve"> </w:t>
      </w:r>
      <w:r>
        <w:t>) increases fourfold, establishing an intrinsic spin‐modulated transport mechanism in lead‐free metal‐halide hybrids. Flexible detectors fabricated from the optimized homochiral composition exhibit deformation‐invariant x‐ray imaging with a record sensitivity of 8002 µC Gy</w:t>
      </w:r>
      <w:r>
        <w:t xml:space="preserve"> </w:t>
      </w:r>
      <w:r>
        <w:t>−1</w:t>
      </w:r>
      <w:r>
        <w:t xml:space="preserve"> </w:t>
      </w:r>
      <w:r>
        <w:t>cm</w:t>
      </w:r>
      <w:r>
        <w:t xml:space="preserve"> </w:t>
      </w:r>
      <w:r>
        <w:t>−2</w:t>
      </w:r>
      <w:r>
        <w:t xml:space="preserve"> </w:t>
      </w:r>
      <w:r>
        <w:t>, an ultralow detection limit of 75 nGy s</w:t>
      </w:r>
      <w:r>
        <w:t xml:space="preserve"> </w:t>
      </w:r>
      <w:r>
        <w:t>−1</w:t>
      </w:r>
      <w:r>
        <w:t xml:space="preserve"> </w:t>
      </w:r>
      <w:r>
        <w:t>, and exceptional robust endurance under couples of stresses including thermal, humidity, mechanical, and irradiation. This work identifies molecular chirality as a programmable handle to control spin–orbit interactions and carrier dynamics, providing a general materials‐level strategy for high‐performance, environmentally benign radiation detectors and spin‐enabled optoelectronics.</w:t>
      </w:r>
    </w:p>
    <w:p>
      <w:pPr>
        <w:spacing w:before="120" w:after="120"/>
      </w:pPr>
      <w:r>
        <w:rPr>
          <w:sz w:val="18"/>
        </w:rPr>
        <w:t>——————————————————————————————————————————————————————————————————————</w:t>
      </w:r>
    </w:p>
    <w:p>
      <w:pPr>
        <w:spacing w:before="160" w:after="40" w:line="240" w:lineRule="auto"/>
      </w:pPr>
      <w:r>
        <w:rPr>
          <w:b/>
        </w:rPr>
        <w:t xml:space="preserve">[126] </w:t>
      </w:r>
      <w:hyperlink r:id="rId380">
        <w:r>
          <w:rPr>
            <w:color w:val="1155CC"/>
            <w:u w:val="single"/>
          </w:rPr>
          <w:t>工程香豆素基余辉发光探针用于体内活化成像过氧亚硝酸盐</w:t>
        </w:r>
      </w:hyperlink>
    </w:p>
    <w:p>
      <w:pPr>
        <w:spacing w:before="0" w:after="80"/>
      </w:pPr>
      <w:r>
        <w:rPr>
          <w:i/>
          <w:sz w:val="20"/>
        </w:rPr>
        <w:t>EN: Engineering Coumarin‐Based Afterglow Luminescence Probes for Activatable Imaging Peroxynitrite In Vivo</w:t>
      </w:r>
    </w:p>
    <w:p>
      <w:pPr>
        <w:spacing w:before="0" w:after="120"/>
      </w:pPr>
      <w:r>
        <w:rPr>
          <w:b/>
        </w:rPr>
        <w:t xml:space="preserve">Source: </w:t>
      </w:r>
      <w:r>
        <w:t>Wiley: Angewandte Chemie International Edition: Table of Contents</w:t>
      </w:r>
      <w:r>
        <w:t xml:space="preserve">    </w:t>
      </w:r>
      <w:r>
        <w:rPr>
          <w:b/>
        </w:rPr>
        <w:t xml:space="preserve">Pub date: </w:t>
      </w:r>
      <w:r>
        <w:t>2026-05-04 11:39:59+00:00</w:t>
      </w:r>
      <w:r>
        <w:t xml:space="preserve">    </w:t>
      </w:r>
      <w:r>
        <w:rPr>
          <w:b/>
        </w:rPr>
        <w:t xml:space="preserve">DOI: </w:t>
      </w:r>
      <w:hyperlink r:id="rId381">
        <w:r>
          <w:rPr>
            <w:color w:val="1155CC"/>
            <w:u w:val="single"/>
          </w:rPr>
          <w:t>10.1002/anie.3724922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余辉发光成像材料已经从无机系统发展到有机系统，并进一步从大分子聚合物发展到小分子，突显了开发安全高效的有机余辉分子用于生物成像的必要性。然而，具有良好结构-发光强度关系的高对比度可激活成像的柔性有机余辉分子仍然稀缺。在此，我们首次报告香豆素衍生物表现出明亮的余辉发光，并揭示刚性化的香豆素结构比其柔性和骨架类似物显示出更强的发射。此外，我们设计了含有硼酸酯和亚甲基环丁烷基团的MP分子，并将其与香豆素结合构建了可激活的余辉探针C545–MP NPs。ONOO−氧化硼酸酯启动探针，而随后的照射诱导香豆素介导的单线态氧生成，与亚甲基环丁烷单元反应以启动余辉发射。由于消除了自发荧光和高激活对比度，C545–MP NPs能够精确评估溃疡性结肠炎和帕金森病的治疗效果。</w:t>
      </w:r>
    </w:p>
    <w:p>
      <w:pPr>
        <w:spacing w:before="0" w:after="200" w:lineRule="auto" w:line="276"/>
      </w:pPr>
      <w:r>
        <w:rPr>
          <w:b/>
        </w:rPr>
        <w:t xml:space="preserve">Abstract (EN): </w:t>
      </w:r>
      <w:r>
        <w:t>Afterglow luminescence imaging materials have evolved from inorganic to organic systems, and further from macromolecular polymers to small molecules, highlighting the imperative of developing safe and efficient organic afterglow molecules for bioimaging. However, flexible organic afterglow molecules with well‐characterized structure–luminescence intensity relationships for high‐contrast activatable imaging remain scarce. Here, we report for the first time that coumarin derivatives exhibit bright afterglow luminescence and reveal that rigidified coumarin structures display stronger emission than their flexible and backbone analogues. Further, we designed MP molecules bearing boronic ester and methylenecyclobutane moieties and integrated them with coumarin to construct the activatable afterglow probe C545–MP NPs. Oxidation of the boronic ester by ONOO</w:t>
      </w:r>
      <w:r>
        <w:t xml:space="preserve"> </w:t>
      </w:r>
      <w:r>
        <w:t>−</w:t>
      </w:r>
      <w:r>
        <w:t>primes the probe, whereas subsequent irradiation induces coumarin‐mediated singlet oxygen generation that reacts with the methylenecyclobutane unit to initiate afterglow emission. By virtue of the elimination of autofluorescence and high activation contrast, C545–MP NPs enable precise assessing therapeutic efficacy of ulcerative colitis and Parkinson′s disease.</w:t>
      </w:r>
    </w:p>
    <w:p>
      <w:pPr>
        <w:spacing w:before="120" w:after="120"/>
      </w:pPr>
      <w:r>
        <w:rPr>
          <w:sz w:val="18"/>
        </w:rPr>
        <w:t>——————————————————————————————————————————————————————————————————————</w:t>
      </w:r>
    </w:p>
    <w:p>
      <w:pPr>
        <w:spacing w:before="160" w:after="40" w:line="240" w:lineRule="auto"/>
      </w:pPr>
      <w:r>
        <w:rPr>
          <w:b/>
        </w:rPr>
        <w:t xml:space="preserve">[127] </w:t>
      </w:r>
      <w:hyperlink r:id="rId382">
        <w:r>
          <w:rPr>
            <w:color w:val="1155CC"/>
            <w:u w:val="single"/>
          </w:rPr>
          <w:t>通过TADF敏化实现的多组分和近红外有机闪烁体的创纪录高分辨率X射线成像</w:t>
        </w:r>
      </w:hyperlink>
    </w:p>
    <w:p>
      <w:pPr>
        <w:spacing w:before="0" w:after="80"/>
      </w:pPr>
      <w:r>
        <w:rPr>
          <w:i/>
          <w:sz w:val="20"/>
        </w:rPr>
        <w:t>EN: Record‐High Resolution X‐Ray Imaging With Multi‐Component and Near‐Infrared Organic Scintillators Enabled by TADF Sensitization</w:t>
      </w:r>
    </w:p>
    <w:p>
      <w:pPr>
        <w:spacing w:before="0" w:after="120"/>
      </w:pPr>
      <w:r>
        <w:rPr>
          <w:b/>
        </w:rPr>
        <w:t xml:space="preserve">Source: </w:t>
      </w:r>
      <w:r>
        <w:t>Wiley: Angewandte Chemie International Edition: Table of Contents</w:t>
      </w:r>
      <w:r>
        <w:t xml:space="preserve">    </w:t>
      </w:r>
      <w:r>
        <w:rPr>
          <w:b/>
        </w:rPr>
        <w:t xml:space="preserve">Pub date: </w:t>
      </w:r>
      <w:r>
        <w:t>2026-05-04 11:42:38+00:00</w:t>
      </w:r>
      <w:r>
        <w:t xml:space="preserve">    </w:t>
      </w:r>
      <w:r>
        <w:rPr>
          <w:b/>
        </w:rPr>
        <w:t xml:space="preserve">DOI: </w:t>
      </w:r>
      <w:hyperlink r:id="rId383">
        <w:r>
          <w:rPr>
            <w:color w:val="1155CC"/>
            <w:u w:val="single"/>
          </w:rPr>
          <w:t>10.1002/anie.6695144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X射线闪烁体在实现高分辨率成像方面面临重大挑战，主要是由于难以协同高X射线衰减能力、高效激子利用和低自吸收。在此，我们报告了一系列有机闪烁体，为分子敏化有机闪烁体设定了新的分辨率记录。通过将高效热激活延迟荧光（TADF）敏化剂与三种不同类型的发射体[TADF，三重态-三重态湮灭（TTA）和荧光]配对，我们展示了对闪烁体性能的出色控制。结果系统表现出卓越的性能，其中基于TTA的系统实现了35.9 lp/mm的空间分辨率，这是迄今为止多组分有机闪烁体的最高报道。值得注意的是，荧光系统在近红外（NIR）区域达到21.6 lp/mm，比之前的最先进水平提高了41%。这项工作为创建新一代高分辨率有机闪烁体提供了一种有效且系统的设计策略，展示了适用于先进成像应用的创纪录的系统级性能。</w:t>
      </w:r>
    </w:p>
    <w:p>
      <w:pPr>
        <w:spacing w:before="0" w:after="200" w:lineRule="auto" w:line="276"/>
      </w:pPr>
      <w:r>
        <w:rPr>
          <w:b/>
        </w:rPr>
        <w:t xml:space="preserve">Abstract (EN): </w:t>
      </w:r>
      <w:r>
        <w:t>Organic X‐ray scintillators face significant challenges in achieving high‐resolution imaging, primarily due to the inherent difficulty in synergizing high X‐ray attenuation ability, efficient exciton utilization, and low self‐absorption. Herein, we report a series of organic scintillators, which set new resolution records for molecular‐sensitized organic scintillators. By pairing a high‐efficiency thermally activated delayed fluorescence (TADF) sensitizer with three different types of emitters [TADF, triplet‐triplet annihilation (TTA), and fluorescent], we demonstrate excellent control over scintillator properties. The resulting systems show outstanding performance, with the TTA‐based system achieving a spatial resolution of 35.9 lp/mm, the highest reported to date for multi‐component organic scintillators. Notably, the fluorescent system reaches 21.6 lp/mm in the near‐infrared (NIR) region, representing a 41% improvement over the previous state‐of‐the‐art. This work provides an effective and systematic design strategy for creating the next generation of high‐resolution organic scintillators, demonstrating record‐high system‐level performance suitable for advanced imaging applications.</w:t>
      </w:r>
    </w:p>
    <w:p>
      <w:pPr>
        <w:spacing w:before="120" w:after="120"/>
      </w:pPr>
      <w:r>
        <w:rPr>
          <w:sz w:val="18"/>
        </w:rPr>
        <w:t>——————————————————————————————————————————————————————————————————————</w:t>
      </w:r>
    </w:p>
    <w:p>
      <w:pPr>
        <w:spacing w:before="160" w:after="40" w:line="240" w:lineRule="auto"/>
      </w:pPr>
      <w:r>
        <w:rPr>
          <w:b/>
        </w:rPr>
        <w:t xml:space="preserve">[128] </w:t>
      </w:r>
      <w:hyperlink r:id="rId384">
        <w:r>
          <w:rPr>
            <w:color w:val="1155CC"/>
            <w:u w:val="single"/>
          </w:rPr>
          <w:t>钼蓝簇的空缺演化用于高效和可持续的光催化化学多样性C─C偶联反应</w:t>
        </w:r>
      </w:hyperlink>
    </w:p>
    <w:p>
      <w:pPr>
        <w:spacing w:before="0" w:after="80"/>
      </w:pPr>
      <w:r>
        <w:rPr>
          <w:i/>
          <w:sz w:val="20"/>
        </w:rPr>
        <w:t>EN: Lacunary Evolution of Molybdenum Blue Clusters for Efficient and Sustainable Photocatalytic Chemodivergent C─C Coupling Reactions</w:t>
      </w:r>
    </w:p>
    <w:p>
      <w:pPr>
        <w:spacing w:before="0" w:after="120"/>
      </w:pPr>
      <w:r>
        <w:rPr>
          <w:b/>
        </w:rPr>
        <w:t xml:space="preserve">Source: </w:t>
      </w:r>
      <w:r>
        <w:t>Wiley: Angewandte Chemie International Edition: Table of Contents</w:t>
      </w:r>
      <w:r>
        <w:t xml:space="preserve">    </w:t>
      </w:r>
      <w:r>
        <w:rPr>
          <w:b/>
        </w:rPr>
        <w:t xml:space="preserve">Pub date: </w:t>
      </w:r>
      <w:r>
        <w:t>2026-05-04 11:49:59+00:00</w:t>
      </w:r>
      <w:r>
        <w:t xml:space="preserve">    </w:t>
      </w:r>
      <w:r>
        <w:rPr>
          <w:b/>
        </w:rPr>
        <w:t xml:space="preserve">DOI: </w:t>
      </w:r>
      <w:hyperlink r:id="rId385">
        <w:r>
          <w:rPr>
            <w:color w:val="1155CC"/>
            <w:u w:val="single"/>
          </w:rPr>
          <w:t>10.1002/anie.1160992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核度钼蓝（MB）簇具有规则的缺位变化，对于多金属氧酸盐结构演变和光催化应用研究具有重要意义，但其合成仍然是一个巨大的挑战。在此，我们成功合成了一系列高核度MB簇，S2Mo62、SMo53W7、Mo50W8和Mo44W8，它们表现出规则的缺位变化。更重要的是，这种结构变化赋予这些MB簇独特的路易斯酸性和氧化还原性质。因此，当用作1,3-二酮和烯烃之间化学多样性C─C偶联反应的异相光催化剂时，六缺位的Mo50W8和Mo44W8</w:t>
      </w:r>
    </w:p>
    <w:p>
      <w:pPr>
        <w:spacing w:before="0" w:after="200" w:lineRule="auto" w:line="276"/>
      </w:pPr>
      <w:r>
        <w:rPr>
          <w:b/>
        </w:rPr>
        <w:t xml:space="preserve">Abstract (EN): </w:t>
      </w:r>
      <w:r>
        <w:t>High‐nuclearity molybdenum blue (MB) clusters with regular lacunary variation are of great importance for polyoxometalate structure evolution and photocatalytic application study, but their synthesis still remains a huge challenge. Herein, we successfully synthesized a series of high‐nuclearity MB clusters,</w:t>
      </w:r>
      <w:r>
        <w:t xml:space="preserve"> </w:t>
      </w:r>
      <w:r>
        <w:t>S</w:t>
      </w:r>
      <w:r>
        <w:rPr>
          <w:vertAlign w:val="subscript"/>
        </w:rPr>
        <w:t>2</w:t>
      </w:r>
      <w:r>
        <w:t>Mo</w:t>
      </w:r>
      <w:r>
        <w:rPr>
          <w:vertAlign w:val="subscript"/>
        </w:rPr>
        <w:t>62</w:t>
      </w:r>
      <w:r>
        <w:t xml:space="preserve"> </w:t>
      </w:r>
      <w:r>
        <w:t>,</w:t>
      </w:r>
      <w:r>
        <w:t xml:space="preserve"> </w:t>
      </w:r>
      <w:r>
        <w:t>SMo</w:t>
      </w:r>
      <w:r>
        <w:rPr>
          <w:vertAlign w:val="subscript"/>
        </w:rPr>
        <w:t>53</w:t>
      </w:r>
      <w:r>
        <w:t>W</w:t>
      </w:r>
      <w:r>
        <w:rPr>
          <w:vertAlign w:val="subscript"/>
        </w:rPr>
        <w:t>7</w:t>
      </w:r>
      <w:r>
        <w:t xml:space="preserve"> </w:t>
      </w:r>
      <w:r>
        <w:t>,</w:t>
      </w:r>
      <w:r>
        <w:t xml:space="preserve"> </w:t>
      </w:r>
      <w:r>
        <w:t>Mo</w:t>
      </w:r>
      <w:r>
        <w:rPr>
          <w:vertAlign w:val="subscript"/>
        </w:rPr>
        <w:t>50</w:t>
      </w:r>
      <w:r>
        <w:t>W</w:t>
      </w:r>
      <w:r>
        <w:rPr>
          <w:vertAlign w:val="subscript"/>
        </w:rPr>
        <w:t>8</w:t>
      </w:r>
      <w:r>
        <w:t xml:space="preserve"> </w:t>
      </w:r>
      <w:r>
        <w:t>, and</w:t>
      </w:r>
      <w:r>
        <w:t xml:space="preserve"> </w:t>
      </w:r>
      <w:r>
        <w:t>Mo</w:t>
      </w:r>
      <w:r>
        <w:rPr>
          <w:vertAlign w:val="subscript"/>
        </w:rPr>
        <w:t>44</w:t>
      </w:r>
      <w:r>
        <w:t>W</w:t>
      </w:r>
      <w:r>
        <w:rPr>
          <w:vertAlign w:val="subscript"/>
        </w:rPr>
        <w:t>8</w:t>
      </w:r>
      <w:r>
        <w:t xml:space="preserve"> </w:t>
      </w:r>
      <w:r>
        <w:t>, which exhibit regular lacunary variation. More importantly, such structural variation endows these MB clusters with distinct Lewis acidity and redox properties. Consequently, when employed as heterogeneous photocatalysts for the chemodivergent C─C coupling reactions between 1,3‐diketones and alkenes, the hexa‐lacunary</w:t>
      </w:r>
      <w:r>
        <w:t xml:space="preserve"> </w:t>
      </w:r>
      <w:r>
        <w:t>Mo</w:t>
      </w:r>
      <w:r>
        <w:rPr>
          <w:vertAlign w:val="subscript"/>
        </w:rPr>
        <w:t>50</w:t>
      </w:r>
      <w:r>
        <w:t>W</w:t>
      </w:r>
      <w:r>
        <w:rPr>
          <w:vertAlign w:val="subscript"/>
        </w:rPr>
        <w:t>8</w:t>
      </w:r>
      <w:r>
        <w:t xml:space="preserve"> </w:t>
      </w:r>
      <w:r>
        <w:t>and</w:t>
      </w:r>
      <w:r>
        <w:t xml:space="preserve"> </w:t>
      </w:r>
      <w:r>
        <w:t>Mo</w:t>
      </w:r>
      <w:r>
        <w:rPr>
          <w:vertAlign w:val="subscript"/>
        </w:rPr>
        <w:t>44</w:t>
      </w:r>
      <w:r>
        <w:t>W</w:t>
      </w:r>
      <w:r>
        <w:rPr>
          <w:vertAlign w:val="subscript"/>
        </w:rPr>
        <w:t>8</w:t>
      </w:r>
      <w:r>
        <w:t xml:space="preserve"> </w:t>
      </w:r>
      <w:r>
        <w:t>with more Lewis acid sites can achieve a 93% 1,5‐diketone yield within 12 h, while parent</w:t>
      </w:r>
      <w:r>
        <w:t xml:space="preserve"> </w:t>
      </w:r>
      <w:r>
        <w:t>S</w:t>
      </w:r>
      <w:r>
        <w:rPr>
          <w:vertAlign w:val="subscript"/>
        </w:rPr>
        <w:t>2</w:t>
      </w:r>
      <w:r>
        <w:t>Mo</w:t>
      </w:r>
      <w:r>
        <w:rPr>
          <w:vertAlign w:val="subscript"/>
        </w:rPr>
        <w:t>62</w:t>
      </w:r>
      <w:r>
        <w:t xml:space="preserve"> </w:t>
      </w:r>
      <w:r>
        <w:t>with superior oxygen activation can achieve a 99% 1,4‐diketone yield within 3 h. Furthermore,</w:t>
      </w:r>
      <w:r>
        <w:t xml:space="preserve"> </w:t>
      </w:r>
      <w:r>
        <w:t>Mo</w:t>
      </w:r>
      <w:r>
        <w:rPr>
          <w:vertAlign w:val="subscript"/>
        </w:rPr>
        <w:t>50</w:t>
      </w:r>
      <w:r>
        <w:t>W</w:t>
      </w:r>
      <w:r>
        <w:rPr>
          <w:vertAlign w:val="subscript"/>
        </w:rPr>
        <w:t>8</w:t>
      </w:r>
      <w:r>
        <w:t xml:space="preserve"> </w:t>
      </w:r>
      <w:r>
        <w:t>enables gram‐scale and sunlight driven synthesis of diverse 1,5‐diketone, and maintains long‐term cycling stability over 370 h (16 cycles). This work represents the first report of high‐nuclearity MB clusters with regular lacunary variation, and extends their application to sunlight driven photocatalytic C─C coupling reaction, highlighting the innovative research of MB clusters.</w:t>
      </w:r>
    </w:p>
    <w:p>
      <w:pPr>
        <w:spacing w:before="120" w:after="120"/>
      </w:pPr>
      <w:r>
        <w:rPr>
          <w:sz w:val="18"/>
        </w:rPr>
        <w:t>——————————————————————————————————————————————————————————————————————</w:t>
      </w:r>
    </w:p>
    <w:p>
      <w:pPr>
        <w:spacing w:before="160" w:after="40" w:line="240" w:lineRule="auto"/>
      </w:pPr>
      <w:r>
        <w:rPr>
          <w:b/>
        </w:rPr>
        <w:t xml:space="preserve">[129] </w:t>
      </w:r>
      <w:hyperlink r:id="rId386">
        <w:r>
          <w:rPr>
            <w:color w:val="1155CC"/>
            <w:u w:val="single"/>
          </w:rPr>
          <w:t>工程纳米乳液以最大化NIR‐II荧光并保持新型硼二氟化物甲氨酸染料的光热性能</w:t>
        </w:r>
      </w:hyperlink>
    </w:p>
    <w:p>
      <w:pPr>
        <w:spacing w:before="0" w:after="80"/>
      </w:pPr>
      <w:r>
        <w:rPr>
          <w:i/>
          <w:sz w:val="20"/>
        </w:rPr>
        <w:t>EN: Engineering Nanoemulsions to Maximize NIR‐II Fluorescence and Preserve Photothermal Performance of a Novel Boron Difluoride Formazanate Dye</w:t>
      </w:r>
    </w:p>
    <w:p>
      <w:pPr>
        <w:spacing w:before="0" w:after="120"/>
      </w:pPr>
      <w:r>
        <w:rPr>
          <w:b/>
        </w:rPr>
        <w:t xml:space="preserve">Source: </w:t>
      </w:r>
      <w:r>
        <w:t>Wiley: Angewandte Chemie International Edition: Table of Contents</w:t>
      </w:r>
      <w:r>
        <w:t xml:space="preserve">    </w:t>
      </w:r>
      <w:r>
        <w:rPr>
          <w:b/>
        </w:rPr>
        <w:t xml:space="preserve">Pub date: </w:t>
      </w:r>
      <w:r>
        <w:t>2026-05-04 11:51:57+00:00</w:t>
      </w:r>
      <w:r>
        <w:t xml:space="preserve">    </w:t>
      </w:r>
      <w:r>
        <w:rPr>
          <w:b/>
        </w:rPr>
        <w:t xml:space="preserve">DOI: </w:t>
      </w:r>
      <w:hyperlink r:id="rId387">
        <w:r>
          <w:rPr>
            <w:color w:val="1155CC"/>
            <w:u w:val="single"/>
          </w:rPr>
          <w:t>10.1002/anie.4378015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硼二氟化物甲氨酸（BDF）染料具有内在的NIR-I吸收和NIR-II光致发光。然而，其疏水性常导致在极性水环境中荧光猝灭，限制了其在生物应用中的性能。在此，我们报告了一种新合成的BDF染料（3），其被配制为油包水纳米乳（BDF-NE），通过提供一个非极性油核微环境来克服这一挑战，该环境与保持3的明亮发射所需的有利条件紧密匹配。3在甘油三辛酸酯核内的分子溶解，由磷脂/PEG-脂质壳稳定，保持强NIR吸收和高摩尔消光系数，同时最大化NIR-II发射强度。BDF-NE实现了66.8%的光热转换效率，在780 nm产生强烈的光声（PA）对比，并表现出超过1250 nm的明亮NIR-II荧光，绝对量子产率为2.9%，使高分辨率血管成像和体内肿瘤积累的实时跟踪成为可能。在皮下肿瘤小鼠中，双模态NIR-II/PA成像引导的光热疗法在部分小鼠中实现了肿瘤的完全消融，并显著延长了无复发生存期而无可检测的系统毒性。这种纳米</w:t>
      </w:r>
    </w:p>
    <w:p>
      <w:pPr>
        <w:spacing w:before="0" w:after="200" w:lineRule="auto" w:line="276"/>
      </w:pPr>
      <w:r>
        <w:rPr>
          <w:b/>
        </w:rPr>
        <w:t xml:space="preserve">Abstract (EN): </w:t>
      </w:r>
      <w:r>
        <w:t>Boron difluoride formazanate (BDF) dyes possess intrinsic NIR‐I absorption and NIR‐II photoluminescence. However, their hydrophobic nature often leads to fluorescence quenching in polar aqueous environment, limiting their performance in biological applications. Here, we report a newly synthesized BDF dye (</w:t>
      </w:r>
      <w:r>
        <w:rPr>
          <w:vertAlign w:val="subscript"/>
        </w:rPr>
        <w:t>3</w:t>
      </w:r>
      <w:r>
        <w:t>) formulated as an oil‐in‐water nanoemulsion (</w:t>
      </w:r>
      <w:r>
        <w:t xml:space="preserve"> </w:t>
      </w:r>
      <w:r>
        <w:t>BDF‐NE</w:t>
      </w:r>
      <w:r>
        <w:t xml:space="preserve"> </w:t>
      </w:r>
      <w:r>
        <w:t>) that overcomes this challenge by providing a nonpolar oil core microenvironment that closely matches the favorable conditions required to preserve the bright emission of</w:t>
      </w:r>
      <w:r>
        <w:rPr>
          <w:vertAlign w:val="subscript"/>
        </w:rPr>
        <w:t>3</w:t>
      </w:r>
      <w:r>
        <w:t>. Molecular solubilization of</w:t>
      </w:r>
      <w:r>
        <w:rPr>
          <w:vertAlign w:val="subscript"/>
        </w:rPr>
        <w:t>3</w:t>
      </w:r>
      <w:r>
        <w:t>within a glyceryl trioctanoate core, stabilized by a phospholipid/PEG‐lipid shell, maintains strong NIR absorption and a high molar extinction coefficient while simultaneously maximizing NIR‐II emission intensity.</w:t>
      </w:r>
      <w:r>
        <w:t xml:space="preserve"> </w:t>
      </w:r>
      <w:r>
        <w:t>BDF‐NE</w:t>
      </w:r>
      <w:r>
        <w:t xml:space="preserve"> </w:t>
      </w:r>
      <w:r>
        <w:t>achieves a photothermal conversion efficiency of 66.8%, generates strong photoacoustic (PA) contrast at 780 nm, and exhibits bright NIR‐II fluorescence extending beyond 1250 nm with an absolute quantum yield of 2.9%, enabling high‐resolution vascular imaging and real‐time tracking of tumor accumulation in vivo. In subcutaneous tumor‐bearing mice, dual‐modal NIR‐II/PA imaging‐guided photothermal therapy achieves complete ablation of tumors in a subset of mice and significantly prolongs recurrence‐free survival without detectable systemic toxicity. This nanoemulsion‐based strategy unlocks the full dual‐modal theranostic potential inherent to BDF dyes and offers a generalizable strategy for translating hydrophobic NIR fluorophores into high‐performance theranostic agents.</w:t>
      </w:r>
    </w:p>
    <w:p>
      <w:pPr>
        <w:spacing w:before="120" w:after="120"/>
      </w:pPr>
      <w:r>
        <w:rPr>
          <w:sz w:val="18"/>
        </w:rPr>
        <w:t>——————————————————————————————————————————————————————————————————————</w:t>
      </w:r>
    </w:p>
    <w:p>
      <w:pPr>
        <w:spacing w:before="160" w:after="40" w:line="240" w:lineRule="auto"/>
      </w:pPr>
      <w:r>
        <w:rPr>
          <w:b/>
        </w:rPr>
        <w:t xml:space="preserve">[130] </w:t>
      </w:r>
      <w:hyperlink r:id="rId388">
        <w:r>
          <w:rPr>
            <w:color w:val="1155CC"/>
            <w:u w:val="single"/>
          </w:rPr>
          <w:t>具有Schlenk‐Chichibabin杂化共轭的稳定开壳多环烃</w:t>
        </w:r>
      </w:hyperlink>
    </w:p>
    <w:p>
      <w:pPr>
        <w:spacing w:before="0" w:after="80"/>
      </w:pPr>
      <w:r>
        <w:rPr>
          <w:i/>
          <w:sz w:val="20"/>
        </w:rPr>
        <w:t>EN: A Stable Open‐Shell Polycyclic Hydrocarbon With Schlenk‐Chichibabin Hybrid Conjugation</w:t>
      </w:r>
    </w:p>
    <w:p>
      <w:pPr>
        <w:spacing w:before="0" w:after="120"/>
      </w:pPr>
      <w:r>
        <w:rPr>
          <w:b/>
        </w:rPr>
        <w:t xml:space="preserve">Source: </w:t>
      </w:r>
      <w:r>
        <w:t>Wiley: Angewandte Chemie International Edition: Table of Contents</w:t>
      </w:r>
      <w:r>
        <w:t xml:space="preserve">    </w:t>
      </w:r>
      <w:r>
        <w:rPr>
          <w:b/>
        </w:rPr>
        <w:t xml:space="preserve">Pub date: </w:t>
      </w:r>
      <w:r>
        <w:t>2026-05-04 11:55:29+00:00</w:t>
      </w:r>
      <w:r>
        <w:t xml:space="preserve">    </w:t>
      </w:r>
      <w:r>
        <w:rPr>
          <w:b/>
        </w:rPr>
        <w:t xml:space="preserve">DOI: </w:t>
      </w:r>
      <w:hyperlink r:id="rId389">
        <w:r>
          <w:rPr>
            <w:color w:val="1155CC"/>
            <w:u w:val="single"/>
          </w:rPr>
          <w:t>10.1002/anie.9934941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壳层多环烃（PHs）因其独特的电子结构和性质，在有机电子学和自旋电子学中成为一种有前途的分子材料。然而，设计和合成具有复杂内部自旋相互作用的开壳层π系统仍然是合成化学中的一个重大挑战。在此，我们报告了通过将Schlenk和Chichibabin烃衍生的两种不同共轭结构整合到线性PH框架中，开发出一种新型四自由基系统1的努力。其模型化合物2（Schlenk型）和3（Chichibabin型）也已制备并进行了比较。综合实验和理论分析表明，1表现出开壳层单重态基态，具有中等四自由基特征，有效地桥接了2和3的电子特性。所有三个系统都显示出明显的开壳层双自由基特征，特点是小的单重态-三重态能隙、窄的能隙和两性氧化还原行为。值得注意的是，1的二阳离子和二阴离子显示出显著的开壳层双自由基特征，而其四阳离子则采用闭壳层构型。此外，2和3的二阴离子</w:t>
      </w:r>
    </w:p>
    <w:p>
      <w:pPr>
        <w:spacing w:before="0" w:after="200" w:lineRule="auto" w:line="276"/>
      </w:pPr>
      <w:r>
        <w:rPr>
          <w:b/>
        </w:rPr>
        <w:t xml:space="preserve">Abstract (EN): </w:t>
      </w:r>
      <w:r>
        <w:t>Open‐shell polycyclic hydrocarbons (PHs) have emerged as a promising class of molecular materials for organic electronics and spintronics due to their unique electronic structures and properties. However, the design and synthesis of open‐shell π‐systems with intricate internal spin interactions remain a significant challenge in synthetic chemistry. Herein, we report our efforts toward a novel tetraradicaloid system</w:t>
      </w:r>
      <w:r>
        <w:rPr>
          <w:vertAlign w:val="subscript"/>
        </w:rPr>
        <w:t>1</w:t>
      </w:r>
      <w:r>
        <w:t>by integrating two distinct conjugation motifs derived from Schlenk and Chichibabin hydrocarbons into a linear PH framework. Its model compounds</w:t>
      </w:r>
      <w:r>
        <w:rPr>
          <w:vertAlign w:val="subscript"/>
        </w:rPr>
        <w:t>2</w:t>
      </w:r>
      <w:r>
        <w:t>(Schlenk‐type) and</w:t>
      </w:r>
      <w:r>
        <w:rPr>
          <w:vertAlign w:val="subscript"/>
        </w:rPr>
        <w:t>3</w:t>
      </w:r>
      <w:r>
        <w:t>(Chichibabin‐type) were also prepared and compared. Comprehensive experimental and theoretical analyses reveal that</w:t>
      </w:r>
      <w:r>
        <w:rPr>
          <w:vertAlign w:val="subscript"/>
        </w:rPr>
        <w:t>1</w:t>
      </w:r>
      <w:r>
        <w:t>exhibits an open‐shell singlet ground state with moderate tetraradical character, effectively bridging the electronic properties of</w:t>
      </w:r>
      <w:r>
        <w:rPr>
          <w:vertAlign w:val="subscript"/>
        </w:rPr>
        <w:t>2</w:t>
      </w:r>
      <w:r>
        <w:t>and</w:t>
      </w:r>
      <w:r>
        <w:rPr>
          <w:vertAlign w:val="subscript"/>
        </w:rPr>
        <w:t>3</w:t>
      </w:r>
      <w:r>
        <w:t>. All three systems display pronounced open‐shell diradical character, characterized by small singlet‐triplet energy gaps, narrow energy gaps, and amphoteric redox behavior. Notably, the dication and dianion of</w:t>
      </w:r>
      <w:r>
        <w:rPr>
          <w:vertAlign w:val="subscript"/>
        </w:rPr>
        <w:t>1</w:t>
      </w:r>
      <w:r>
        <w:t>show significant open‐shell diradical character while its tetracation adopts a closed‐shell configuration. Furthermore, the dianions of</w:t>
      </w:r>
      <w:r>
        <w:rPr>
          <w:vertAlign w:val="subscript"/>
        </w:rPr>
        <w:t>2</w:t>
      </w:r>
      <w:r>
        <w:t>and</w:t>
      </w:r>
      <w:r>
        <w:rPr>
          <w:vertAlign w:val="subscript"/>
        </w:rPr>
        <w:t>3</w:t>
      </w:r>
      <w:r>
        <w:t>exhibit electronic structures analogous to their respective isoelectronic counterparts, pentacene, and heptaphane. This work will shed new light on the design and synthesis of novel open‐shell PHs with complex internal structural features and adjustable electronic properties.</w:t>
      </w:r>
    </w:p>
    <w:p>
      <w:pPr>
        <w:spacing w:before="120" w:after="120"/>
      </w:pPr>
      <w:r>
        <w:rPr>
          <w:sz w:val="18"/>
        </w:rPr>
        <w:t>——————————————————————————————————————————————————————————————————————</w:t>
      </w:r>
    </w:p>
    <w:p>
      <w:pPr>
        <w:spacing w:before="160" w:after="40" w:line="240" w:lineRule="auto"/>
      </w:pPr>
      <w:r>
        <w:rPr>
          <w:b/>
        </w:rPr>
        <w:t xml:space="preserve">[131] </w:t>
      </w:r>
      <w:hyperlink r:id="rId390">
        <w:r>
          <w:rPr>
            <w:color w:val="1155CC"/>
            <w:u w:val="single"/>
          </w:rPr>
          <w:t>含光敏剂的蛋白脂质体的超分子组装调节能量合成</w:t>
        </w:r>
      </w:hyperlink>
    </w:p>
    <w:p>
      <w:pPr>
        <w:spacing w:before="0" w:after="80"/>
      </w:pPr>
      <w:r>
        <w:rPr>
          <w:i/>
          <w:sz w:val="20"/>
        </w:rPr>
        <w:t>EN: Supramolecular Assembly of Proteoliposomes Containing Photosensitizers Regulating Energy Synthesis</w:t>
      </w:r>
    </w:p>
    <w:p>
      <w:pPr>
        <w:spacing w:before="0" w:after="120"/>
      </w:pPr>
      <w:r>
        <w:rPr>
          <w:b/>
        </w:rPr>
        <w:t xml:space="preserve">Source: </w:t>
      </w:r>
      <w:r>
        <w:t>Wiley: Angewandte Chemie International Edition: Table of Contents</w:t>
      </w:r>
      <w:r>
        <w:t xml:space="preserve">    </w:t>
      </w:r>
      <w:r>
        <w:rPr>
          <w:b/>
        </w:rPr>
        <w:t xml:space="preserve">Pub date: </w:t>
      </w:r>
      <w:r>
        <w:t>2026-05-04 11:58:14+00:00</w:t>
      </w:r>
      <w:r>
        <w:t xml:space="preserve">    </w:t>
      </w:r>
      <w:r>
        <w:rPr>
          <w:b/>
        </w:rPr>
        <w:t xml:space="preserve">DOI: </w:t>
      </w:r>
      <w:hyperlink r:id="rId391">
        <w:r>
          <w:rPr>
            <w:color w:val="1155CC"/>
            <w:u w:val="single"/>
          </w:rPr>
          <w:t>10.1002/anie.6631426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仿生能量代谢系统的构建方法，通过将腺苷三磷酸（ATP）合酶和光敏剂氯化e6（Ce6）整合到蛋白脂质体的脂双层疏水区域中，通过可控的超分子组装实现。研究发现，在光照下，Ce6的存在明显抑制了ATP的合成。生化和光谱分析揭示，光激发的Ce6产生的热量和机械扰动可能破坏磷脂双层膜，导致质子梯度的崩溃。这些效应共同破坏了系统的稳定性并抑制了ATP的产生。额外的细胞实验提供了Ce6对细胞中ATP量干预的证据。这一发现表明，光敏剂可以通过破坏质子梯度来干扰系统的能量合成，从而减少ATP合酶的旋转。这样的设计和机制研究可能提供一种可能的前瞻，即光敏剂不仅用于光动力治疗系统，还可以考虑用于调节与能量代谢相关的疾病。</w:t>
      </w:r>
    </w:p>
    <w:p>
      <w:pPr>
        <w:spacing w:before="0" w:after="200" w:lineRule="auto" w:line="276"/>
      </w:pPr>
      <w:r>
        <w:rPr>
          <w:b/>
        </w:rPr>
        <w:t xml:space="preserve">Abstract (EN): </w:t>
      </w:r>
      <w:r>
        <w:t>We report that a biomimetic energy metabolism system can be constructed by integrating adenosine triphosphate (ATP) synthase and photosensitizer, and chlorin e6 (Ce6), into the hydrophobic region of the lipid bilayer in proteoliposomes through controllable supramolecular assembly. It is found that under light illumination, the existence of Ce6 obviously inhibits the ATP synthesis. The biochemical and spectroscopic analyses reveal that the generated heat and mechanical perturbation originated from photoexcited Ce6 may disrupt the phospholipid bilayer membrane, leading to the collapse of the proton gradient. These effects collectively destabilize the system and suppress ATP production. Additional cellular experiments provided evidence for the intervention of Ce6 on the amount of ATP in cells. This finding suggests that a photosensitizer can interfere with the energy synthesis of the system by disrupting the proton gradient to reduce the rotation of ATP synthase. Such a design and the mechanistic investigation may provide a possible foresight that photosensitizers are not only used in a photodynamic therapy system, but can also be considered for regulating diseases related to energy metabolism.</w:t>
      </w:r>
    </w:p>
    <w:p>
      <w:pPr>
        <w:spacing w:before="120" w:after="120"/>
      </w:pPr>
      <w:r>
        <w:rPr>
          <w:sz w:val="18"/>
        </w:rPr>
        <w:t>——————————————————————————————————————————————————————————————————————</w:t>
      </w:r>
    </w:p>
    <w:p>
      <w:pPr>
        <w:spacing w:before="160" w:after="40" w:line="240" w:lineRule="auto"/>
      </w:pPr>
      <w:r>
        <w:rPr>
          <w:b/>
        </w:rPr>
        <w:t xml:space="preserve">[132] </w:t>
      </w:r>
      <w:hyperlink r:id="rId392">
        <w:r>
          <w:rPr>
            <w:color w:val="1155CC"/>
            <w:u w:val="single"/>
          </w:rPr>
          <w:t>在等结构超薄MOLs上局部活性铁位点的对称性破坏用于可切换的CO2光还原</w:t>
        </w:r>
      </w:hyperlink>
    </w:p>
    <w:p>
      <w:pPr>
        <w:spacing w:before="0" w:after="80"/>
      </w:pPr>
      <w:r>
        <w:rPr>
          <w:i/>
          <w:sz w:val="20"/>
        </w:rPr>
        <w:t>EN: Symmetry Breaking at Locally Active Fe Site for Switchable CO2 Photoreduction Over Isostructural Ultrathin MOLs</w:t>
      </w:r>
    </w:p>
    <w:p>
      <w:pPr>
        <w:spacing w:before="0" w:after="120"/>
      </w:pPr>
      <w:r>
        <w:rPr>
          <w:b/>
        </w:rPr>
        <w:t xml:space="preserve">Source: </w:t>
      </w:r>
      <w:r>
        <w:t>Wiley: Angewandte Chemie International Edition: Table of Contents</w:t>
      </w:r>
      <w:r>
        <w:t xml:space="preserve">    </w:t>
      </w:r>
      <w:r>
        <w:rPr>
          <w:b/>
        </w:rPr>
        <w:t xml:space="preserve">Pub date: </w:t>
      </w:r>
      <w:r>
        <w:t>2026-05-04 11:58:26+00:00</w:t>
      </w:r>
      <w:r>
        <w:t xml:space="preserve">    </w:t>
      </w:r>
      <w:r>
        <w:rPr>
          <w:b/>
        </w:rPr>
        <w:t xml:space="preserve">DOI: </w:t>
      </w:r>
      <w:hyperlink r:id="rId393">
        <w:r>
          <w:rPr>
            <w:color w:val="1155CC"/>
            <w:u w:val="single"/>
          </w:rPr>
          <w:t>10.1002/anie.4975799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金属有机层（MOLs）作为一种有前景的二维（2D）人工光合作用平台已经出现，但其活性常常受到光生载流子在结构对称性存在下快速复合的限制。因此，通过打破几何对称性来创造不对称活性位点以开启反应性仍然是一个重大挑战。在此，我们展示了一种通过单原子替代构建两种具有不同配位对称性的铁活性位点的同构超薄MOLs的切换策略。单晶X射线衍射和光谱分析表明，MOL中铁位点的对称性破坏有效增强了CO</w:t>
      </w:r>
      <w:r>
        <w:rPr>
          <w:vertAlign w:val="subscript"/>
        </w:rPr>
        <w:t>2</w:t>
      </w:r>
      <w:r>
        <w:t>吸附并促进了光生载流子的分离。在可见光照射下，具有不对称位点的MOL实现了异常高的CO产量（约21.20 mmol·g</w:t>
      </w:r>
      <w:r>
        <w:t xml:space="preserve"> </w:t>
      </w:r>
      <w:r>
        <w:t>−1</w:t>
      </w:r>
      <w:r>
        <w:t xml:space="preserve"> </w:t>
      </w:r>
      <w:r>
        <w:t>），是其对称对应物的15.8倍。时间分辨瞬态吸收光谱结合DFT计算表明，对称性破坏不仅加速了光生电荷载流子的分离和传输，还降低了CO</w:t>
      </w:r>
      <w:r>
        <w:rPr>
          <w:vertAlign w:val="subscript"/>
        </w:rPr>
        <w:t>2</w:t>
      </w:r>
      <w:r>
        <w:t>吸附的吉布斯自由能。这项工作阐明了局部配位对称性的原子精确修改如何以“关/开”方式切换光催化性能，并提供了一种可行的d</w:t>
      </w:r>
    </w:p>
    <w:p>
      <w:pPr>
        <w:spacing w:before="0" w:after="200" w:lineRule="auto" w:line="276"/>
      </w:pPr>
      <w:r>
        <w:rPr>
          <w:b/>
        </w:rPr>
        <w:t xml:space="preserve">Abstract (EN): </w:t>
      </w:r>
      <w:r>
        <w:t>Ultrathin metal–organic layers (MOLs) have emerged as a type of promising two‐dimensional (2D) platforms for artificial photosynthesis, yet their activity is frequently limited by rapid recombination of photogenerated carriers in presence of structural symmetry. Hence, switching on the reactivity through breaking geometric symmetry to create unsymmetric active sites remains a significant challenge. Herein, we demonstrate a switching strategy via one‐atom substitution to construct two isostructural ultrathin MOLs with distinct coordination symmetry at the iron active site. Single‐crystal x‐ray diffraction and spectroscopic analyses reveal that symmetry breaking at the iron site in the MOL effectively enhances CO</w:t>
      </w:r>
      <w:r>
        <w:rPr>
          <w:vertAlign w:val="subscript"/>
        </w:rPr>
        <w:t>2</w:t>
      </w:r>
      <w:r>
        <w:t>adsorption and facilitates photogenerated carrier separation. Under visible‐light irradiation, the MOL with unsymmetrical sites achieves an exceptional CO production amount (ca. 21.20 mmol·g</w:t>
      </w:r>
      <w:r>
        <w:t xml:space="preserve"> </w:t>
      </w:r>
      <w:r>
        <w:t>−1</w:t>
      </w:r>
      <w:r>
        <w:t xml:space="preserve"> </w:t>
      </w:r>
      <w:r>
        <w:t>), which is as high as 15.8 times more than that of its symmetrical counterpart. Time‐resolved transient absorption spectroscopy corroborated by DFT calculations indicates that symmetry breaking not only accelerates the separation and transport of photogenerated charge carriers, but also lowers the Gibbs free energy of CO</w:t>
      </w:r>
      <w:r>
        <w:rPr>
          <w:vertAlign w:val="subscript"/>
        </w:rPr>
        <w:t>2</w:t>
      </w:r>
      <w:r>
        <w:t>adsorption. This work elucidates how the atomically precise modification of local coordination symmetry switches the photocatalytic performance in an ‘off/on’ manner and provides a viable design strategy toward emerging 2D materials for artificial photosynthesis.</w:t>
      </w:r>
    </w:p>
    <w:p>
      <w:pPr>
        <w:spacing w:before="120" w:after="120"/>
      </w:pPr>
      <w:r>
        <w:rPr>
          <w:sz w:val="18"/>
        </w:rPr>
        <w:t>——————————————————————————————————————————————————————————————————————</w:t>
      </w:r>
    </w:p>
    <w:p>
      <w:pPr>
        <w:spacing w:before="160" w:after="40" w:line="240" w:lineRule="auto"/>
      </w:pPr>
      <w:r>
        <w:rPr>
          <w:b/>
        </w:rPr>
        <w:t xml:space="preserve">[133] </w:t>
      </w:r>
      <w:hyperlink r:id="rId394">
        <w:r>
          <w:rPr>
            <w:color w:val="1155CC"/>
            <w:u w:val="single"/>
          </w:rPr>
          <w:t>用于高产量合成具有定制纳米孔的单层MXene的一步自由基强化选择性蚀刻（RISE）策略</w:t>
        </w:r>
      </w:hyperlink>
    </w:p>
    <w:p>
      <w:pPr>
        <w:spacing w:before="0" w:after="80"/>
      </w:pPr>
      <w:r>
        <w:rPr>
          <w:i/>
          <w:sz w:val="20"/>
        </w:rPr>
        <w:t>EN: One‐Step Radical‐Intensified Selective Etching (RISE) Strategy for High‐Yield Synthesis of Monolayer MXene with Tailored Nanoholes</w:t>
      </w:r>
    </w:p>
    <w:p>
      <w:pPr>
        <w:spacing w:before="0" w:after="120"/>
      </w:pPr>
      <w:r>
        <w:rPr>
          <w:b/>
        </w:rPr>
        <w:t xml:space="preserve">Source: </w:t>
      </w:r>
      <w:r>
        <w:t>Wiley: Angewandte Chemie International Edition: Table of Contents</w:t>
      </w:r>
      <w:r>
        <w:t xml:space="preserve">    </w:t>
      </w:r>
      <w:r>
        <w:rPr>
          <w:b/>
        </w:rPr>
        <w:t xml:space="preserve">Pub date: </w:t>
      </w:r>
      <w:r>
        <w:t>2026-05-04 12:02:06+00:00</w:t>
      </w:r>
      <w:r>
        <w:t xml:space="preserve">    </w:t>
      </w:r>
      <w:r>
        <w:rPr>
          <w:b/>
        </w:rPr>
        <w:t xml:space="preserve">DOI: </w:t>
      </w:r>
      <w:hyperlink r:id="rId395">
        <w:r>
          <w:rPr>
            <w:color w:val="1155CC"/>
            <w:u w:val="single"/>
          </w:rPr>
          <w:t>10.1002/anie.9523099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MXenes独特的高电子导电性、亲水性和降低的维度，已引起了极大的科学关注。尽管合成方法取得了相当大的进展，实现可控平面结构的可分散单层MXenes的快速、高产生产仍然是一个艰巨的挑战。在此，我们报告了一种超快速的自由基强化选择性蚀刻（RISE）策略，该策略能够在仅3小时内实现单层Ti</w:t>
      </w:r>
      <w:r>
        <w:rPr>
          <w:vertAlign w:val="subscript"/>
        </w:rPr>
        <w:t>3</w:t>
      </w:r>
      <w:r>
        <w:t>C</w:t>
      </w:r>
      <w:r>
        <w:rPr>
          <w:vertAlign w:val="subscript"/>
        </w:rPr>
        <w:t>2</w:t>
      </w:r>
      <w:r>
        <w:t>T</w:t>
      </w:r>
      <w:r>
        <w:t xml:space="preserve"> </w:t>
      </w:r>
      <w:r>
        <w:t>x</w:t>
      </w:r>
      <w:r>
        <w:t xml:space="preserve"> </w:t>
      </w:r>
      <w:r>
        <w:t>MXene的定制平面纳米孔的单步温和合成，蚀刻效率接近定量（约99.9%）。通过精细调整H</w:t>
      </w:r>
      <w:r>
        <w:rPr>
          <w:vertAlign w:val="subscript"/>
        </w:rPr>
        <w:t>2</w:t>
      </w:r>
      <w:r>
        <w:t>O</w:t>
      </w:r>
      <w:r>
        <w:rPr>
          <w:vertAlign w:val="subscript"/>
        </w:rPr>
        <w:t>2</w:t>
      </w:r>
      <w:r>
        <w:t>的剂量，生成原位羟基自由基（</w:t>
      </w:r>
      <w:r>
        <w:t xml:space="preserve"> </w:t>
      </w:r>
      <w:r>
        <w:t>·</w:t>
      </w:r>
      <w:r>
        <w:t xml:space="preserve"> </w:t>
      </w:r>
      <w:r>
        <w:t>OH），制备了缺陷少的单层MXene，产率高达81.6%。在数小时内获得了升数级的单层MXene胶体分散液，可以轻松加工成具有改进抗氧化性的导电薄膜。机制研究表明，RISE协议遵循一种根本上不同于传统质子介导蚀刻路线的自由基驱动的氧化还原途径。作为概念验证，孔状MXene衍生的导电薄膜表现出32.71 mg g</w:t>
      </w:r>
      <w:r>
        <w:t xml:space="preserve"> </w:t>
      </w:r>
      <w:r>
        <w:t>−1</w:t>
      </w:r>
      <w:r>
        <w:t xml:space="preserve"> </w:t>
      </w:r>
      <w:r>
        <w:t>的卓越脱盐能力</w:t>
      </w:r>
    </w:p>
    <w:p>
      <w:pPr>
        <w:spacing w:before="0" w:after="200" w:lineRule="auto" w:line="276"/>
      </w:pPr>
      <w:r>
        <w:rPr>
          <w:b/>
        </w:rPr>
        <w:t xml:space="preserve">Abstract (EN): </w:t>
      </w:r>
      <w:r>
        <w:t>MXenes have gathered immense scientific attention due to their unique combination of high electronic conductivity, hydrophilicity, and reduced dimensionality. While considerable advances in synthetic methodologies, achieving rapid, high‐yield production of dispersible monolayer MXenes with controllable in‐plane structure remains a daunting challenge. Herein, we report an ultrafast radical‐intensified selective etching (RISE) tactic that enables one‐step mild synthesis of monolayer Ti</w:t>
      </w:r>
      <w:r>
        <w:rPr>
          <w:vertAlign w:val="subscript"/>
        </w:rPr>
        <w:t>3</w:t>
      </w:r>
      <w:r>
        <w:t>C</w:t>
      </w:r>
      <w:r>
        <w:rPr>
          <w:vertAlign w:val="subscript"/>
        </w:rPr>
        <w:t>2</w:t>
      </w:r>
      <w:r>
        <w:t>T</w:t>
      </w:r>
      <w:r>
        <w:t xml:space="preserve"> </w:t>
      </w:r>
      <w:r>
        <w:t>x</w:t>
      </w:r>
      <w:r>
        <w:t xml:space="preserve"> </w:t>
      </w:r>
      <w:r>
        <w:t>MXene bearing customized in‐plane nanoholes with near‐quantitative etching efficiency (∼99.9%) within merely 3 h. By fine‐tuning the dosage of H</w:t>
      </w:r>
      <w:r>
        <w:rPr>
          <w:vertAlign w:val="subscript"/>
        </w:rPr>
        <w:t>2</w:t>
      </w:r>
      <w:r>
        <w:t>O</w:t>
      </w:r>
      <w:r>
        <w:rPr>
          <w:vertAlign w:val="subscript"/>
        </w:rPr>
        <w:t>2</w:t>
      </w:r>
      <w:r>
        <w:t>, which generates hydroxyl radicals (</w:t>
      </w:r>
      <w:r>
        <w:t xml:space="preserve"> </w:t>
      </w:r>
      <w:r>
        <w:t>·</w:t>
      </w:r>
      <w:r>
        <w:t xml:space="preserve"> </w:t>
      </w:r>
      <w:r>
        <w:t>OH) in situ, defect‐lean monolayer MXene was made in a high yield of 81.6%. Liters of such colloidal dispersion of monolayer MXene were obtained within hours, which could be readily processed into conductive films with improved oxidation resistance. Mechanistic studies reveal that the RISE protocol follows a radical‐driven redox pathway fundamentally distinct from traditional proton‐mediated etching routes. As a proof of concept, holey MXene‐derived conductive films demonstrated an exceptional desalination capacity of 32.71 mg g</w:t>
      </w:r>
      <w:r>
        <w:t xml:space="preserve"> </w:t>
      </w:r>
      <w:r>
        <w:t>−1</w:t>
      </w:r>
      <w:r>
        <w:t xml:space="preserve"> </w:t>
      </w:r>
      <w:r>
        <w:t>in capacitive deionization, outperforming most pure MXene‐based electrode materials. Our method can potentially revolutionize the prevailing wet chemical etching protocol used for a decade for yielding monolayer MXene and establishes a swift pathway toward customizable MXene architectures for energy and environmental applications.</w:t>
      </w:r>
    </w:p>
    <w:p>
      <w:pPr>
        <w:spacing w:before="120" w:after="120"/>
      </w:pPr>
      <w:r>
        <w:rPr>
          <w:sz w:val="18"/>
        </w:rPr>
        <w:t>——————————————————————————————————————————————————————————————————————</w:t>
      </w:r>
    </w:p>
    <w:p>
      <w:pPr>
        <w:spacing w:before="160" w:after="40" w:line="240" w:lineRule="auto"/>
      </w:pPr>
      <w:r>
        <w:rPr>
          <w:b/>
        </w:rPr>
        <w:t xml:space="preserve">[134] </w:t>
      </w:r>
      <w:hyperlink r:id="rId396">
        <w:r>
          <w:rPr>
            <w:color w:val="1155CC"/>
            <w:u w:val="single"/>
          </w:rPr>
          <w:t>序列编码的挫折引导简化G四联体结构的形成</w:t>
        </w:r>
      </w:hyperlink>
    </w:p>
    <w:p>
      <w:pPr>
        <w:spacing w:before="0" w:after="80"/>
      </w:pPr>
      <w:r>
        <w:rPr>
          <w:i/>
          <w:sz w:val="20"/>
        </w:rPr>
        <w:t>EN: Sequence‐Encoded Frustration Directs the Formation of Abridged G‐Quadruplex Architectures</w:t>
      </w:r>
    </w:p>
    <w:p>
      <w:pPr>
        <w:spacing w:before="0" w:after="120"/>
      </w:pPr>
      <w:r>
        <w:rPr>
          <w:b/>
        </w:rPr>
        <w:t xml:space="preserve">Source: </w:t>
      </w:r>
      <w:r>
        <w:t>Wiley: Angewandte Chemie International Edition: Table of Contents</w:t>
      </w:r>
      <w:r>
        <w:t xml:space="preserve">    </w:t>
      </w:r>
      <w:r>
        <w:rPr>
          <w:b/>
        </w:rPr>
        <w:t xml:space="preserve">Pub date: </w:t>
      </w:r>
      <w:r>
        <w:t>2026-05-04 12:04:55+00:00</w:t>
      </w:r>
      <w:r>
        <w:t xml:space="preserve">    </w:t>
      </w:r>
      <w:r>
        <w:rPr>
          <w:b/>
        </w:rPr>
        <w:t xml:space="preserve">DOI: </w:t>
      </w:r>
      <w:hyperlink r:id="rId397">
        <w:r>
          <w:rPr>
            <w:color w:val="1155CC"/>
            <w:u w:val="single"/>
          </w:rPr>
          <w:t>10.1002/anie.8309343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挫折——无法同时优化的竞争相互作用——在蛋白质和软物质的能量景观中起作用，但在核酸中很少被利用为可编程设计原则。在此，我们展示了序列编码的挫折如何编程DNA G-四链体折叠，产生比序列名义上允许的更少鸟嘌呤四联体的稳定“缩短”结构。通过综合结构、光谱、热力学和计算方法，我们绘制了一个挫折偏向的折叠景观，其中包含一个热力学稳定的G-三联体中间体，其身份通过TD-DFT计算的电子圆二色光谱分配，并在原子分辨率下解析主要的解折路径。这些结果展示了可编程挫折作为控制核酸拓扑和动力学的预测设计原则，提供了工程功能性DNA系统的新策略，并为解释基因组G-四链体的可塑性提供了新方法。</w:t>
      </w:r>
    </w:p>
    <w:p>
      <w:pPr>
        <w:spacing w:before="0" w:after="200" w:lineRule="auto" w:line="276"/>
      </w:pPr>
      <w:r>
        <w:rPr>
          <w:b/>
        </w:rPr>
        <w:t xml:space="preserve">Abstract (EN): </w:t>
      </w:r>
      <w:r>
        <w:t>Frustration—competing interactions that cannot be simultaneously optimized—shapes energy landscapes in proteins and soft matter, but has rarely been exploited as a programmable design principle in nucleic acids. Here we demonstrate that sequence‐encoded frustration programmes DNA G‐quadruplex folding, yielding stable “abridged” architectures with fewer guanine tetrads than the sequence would nominally permit. Using an integrated structural, spectroscopic, thermodynamic, and computational approach, we map a frustration‐biased folding landscape featuring a thermodynamically stabilized G‐triplex intermediate, whose identity we assign via TD‐DFT computed electronic circular dichroism spectra, and resolve the dominant unfolding pathway at atomic resolution. These results demonstrate programmable frustration as a predictive design principle for controlling nucleic acid topology and dynamics, offering new strategies for engineering functional DNA‐based systems and for interpreting genomic G‐quadruplex plasticity.</w:t>
      </w:r>
    </w:p>
    <w:p>
      <w:pPr>
        <w:spacing w:before="120" w:after="120"/>
      </w:pPr>
      <w:r>
        <w:rPr>
          <w:sz w:val="18"/>
        </w:rPr>
        <w:t>——————————————————————————————————————————————————————————————————————</w:t>
      </w:r>
    </w:p>
    <w:p>
      <w:pPr>
        <w:spacing w:before="160" w:after="40" w:line="240" w:lineRule="auto"/>
      </w:pPr>
      <w:r>
        <w:rPr>
          <w:b/>
        </w:rPr>
        <w:t xml:space="preserve">[135] </w:t>
      </w:r>
      <w:hyperlink r:id="rId398">
        <w:r>
          <w:rPr>
            <w:color w:val="1155CC"/>
            <w:u w:val="single"/>
          </w:rPr>
          <w:t>在MoS2中通过单个Te原子的双位点替代提升氢析出</w:t>
        </w:r>
      </w:hyperlink>
    </w:p>
    <w:p>
      <w:pPr>
        <w:spacing w:before="0" w:after="80"/>
      </w:pPr>
      <w:r>
        <w:rPr>
          <w:i/>
          <w:sz w:val="20"/>
        </w:rPr>
        <w:t>EN: Dual‐Site Substitution With Single Te Atoms in MoS2 Boosting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2026-05-04 12:06:00+00:00</w:t>
      </w:r>
      <w:r>
        <w:t xml:space="preserve">    </w:t>
      </w:r>
      <w:r>
        <w:rPr>
          <w:b/>
        </w:rPr>
        <w:t xml:space="preserve">DOI: </w:t>
      </w:r>
      <w:hyperlink r:id="rId399">
        <w:r>
          <w:rPr>
            <w:color w:val="1155CC"/>
            <w:u w:val="single"/>
          </w:rPr>
          <w:t>10.1002/anie.4057686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杂原子取代是一种有前途的策略，可以增强MoS2的氢析出反应（HER）活性，但协同激活其基面和边缘位点仍然具有挑战性。在此，我们报告了一种在MoS2晶格中用碲同时取代Mo和S的双位点取代（Te-MoS2），在酸性电解质中实现了优越的大电流密度HER性能，超过了所有先前报道的单元素掺杂的MoS2（非金属或非贵金属）。Te-MoS2催化剂仅需364 mV的过电位即可实现1000 mA·cm−2的工业级电流密度，显著低于商业20 wt% Pt/C所需的506 mV，并在200小时内稳定保持这种性能而无衰减。综合分析表明，Mo和S同时被Te原子取代激活了邻近的S原子，并促进了较小、富边缘的MoS2纳米片的形成，从而生成了丰富的基面和边缘S活性位点，具有优化的氢吸附能。</w:t>
      </w:r>
    </w:p>
    <w:p>
      <w:pPr>
        <w:spacing w:before="0" w:after="200" w:lineRule="auto" w:line="276"/>
      </w:pPr>
      <w:r>
        <w:rPr>
          <w:b/>
        </w:rPr>
        <w:t xml:space="preserve">Abstract (EN): </w:t>
      </w:r>
      <w:r>
        <w:t>Heteroatom substitution is a promising strategy to enhance hydrogen evolution reaction (HER) activity of MoS</w:t>
      </w:r>
      <w:r>
        <w:rPr>
          <w:vertAlign w:val="subscript"/>
        </w:rPr>
        <w:t>2</w:t>
      </w:r>
      <w:r>
        <w:t>, yet synergistically activating both its basal plane and edge sites remains challenging. Herein, we report a dual‐site substitution of both Mo and S with tellurium in the MoS</w:t>
      </w:r>
      <w:r>
        <w:rPr>
          <w:vertAlign w:val="subscript"/>
        </w:rPr>
        <w:t>2</w:t>
      </w:r>
      <w:r>
        <w:t>lattice (Te‐MoS</w:t>
      </w:r>
      <w:r>
        <w:rPr>
          <w:vertAlign w:val="subscript"/>
        </w:rPr>
        <w:t>2</w:t>
      </w:r>
      <w:r>
        <w:t>), which achieves a superior large‐current‐density HER performance in acidic electrolyte, surpassing all previously reported single‐element‐doped MoS</w:t>
      </w:r>
      <w:r>
        <w:rPr>
          <w:vertAlign w:val="subscript"/>
        </w:rPr>
        <w:t>2</w:t>
      </w:r>
      <w:r>
        <w:t>with nonmetal or non‐precious metal. The Te‐MoS</w:t>
      </w:r>
      <w:r>
        <w:rPr>
          <w:vertAlign w:val="subscript"/>
        </w:rPr>
        <w:t>2</w:t>
      </w:r>
      <w:r>
        <w:t>catalyst requires an overpotential of only 364 mV to achieve an industrial‐level current density of 1000 mA·cm</w:t>
      </w:r>
      <w:r>
        <w:t xml:space="preserve"> </w:t>
      </w:r>
      <w:r>
        <w:t>−2</w:t>
      </w:r>
      <w:r>
        <w:t xml:space="preserve"> </w:t>
      </w:r>
      <w:r>
        <w:t>, significantly lower than 506 mV required by commercial 20 wt% Pt/C, and maintains this performance stably for 200 h without decay. Comprehensive analyses reveal that the simultaneous substitution of Mo and S with Te atoms activates neighboring S atoms and also promotes the formation of smaller, edge‐rich MoS</w:t>
      </w:r>
      <w:r>
        <w:rPr>
          <w:vertAlign w:val="subscript"/>
        </w:rPr>
        <w:t>2</w:t>
      </w:r>
      <w:r>
        <w:t>nanosheets, thereby generating abundant basal plane and edge S active sites with optimized hydrogen adsorption energy.</w:t>
      </w:r>
    </w:p>
    <w:p>
      <w:pPr>
        <w:spacing w:before="120" w:after="120"/>
      </w:pPr>
      <w:r>
        <w:rPr>
          <w:sz w:val="18"/>
        </w:rPr>
        <w:t>——————————————————————————————————————————————————————————————————————</w:t>
      </w:r>
    </w:p>
    <w:p>
      <w:pPr>
        <w:spacing w:before="160" w:after="40" w:line="240" w:lineRule="auto"/>
      </w:pPr>
      <w:r>
        <w:rPr>
          <w:b/>
        </w:rPr>
        <w:t xml:space="preserve">[136] </w:t>
      </w:r>
      <w:hyperlink r:id="rId400">
        <w:r>
          <w:rPr>
            <w:color w:val="1155CC"/>
            <w:u w:val="single"/>
          </w:rPr>
          <w:t>统一的标度关系和多重反应机制用于筛选过渡金属掺杂的Co3O4用于氧析出反应</w:t>
        </w:r>
      </w:hyperlink>
    </w:p>
    <w:p>
      <w:pPr>
        <w:spacing w:before="0" w:after="80"/>
      </w:pPr>
      <w:r>
        <w:rPr>
          <w:i/>
          <w:sz w:val="20"/>
        </w:rPr>
        <w:t>EN: Unifying Scaling Relations and Multiple Reaction Mechanisms for Screening Transition Metal‐Doped Co3O4 for Oxygen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2026-05-04 12:07:48+00:00</w:t>
      </w:r>
      <w:r>
        <w:t xml:space="preserve">    </w:t>
      </w:r>
      <w:r>
        <w:rPr>
          <w:b/>
        </w:rPr>
        <w:t xml:space="preserve">DOI: </w:t>
      </w:r>
      <w:hyperlink r:id="rId401">
        <w:r>
          <w:rPr>
            <w:color w:val="1155CC"/>
            <w:u w:val="single"/>
          </w:rPr>
          <w:t>10.1002/anie.202524523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加速氧析出反应（OER）催化剂的发现需要结合基于描述符的框架和专门的机制分析的高通量筛选策略。在本研究中，我们通过开发一种机制解析的、与电位相关的火山方法，展示了一种统一的方法，该方法在分析活性趋势时考虑了吸附自由能的不确定性，以掺杂的Co3O4为例进行OER。我们通过选择性地用密度泛函理论计算（DFT）在Co3O4的（001）面上取代八面体Co位点，评估不同掺杂剂（Cr、Mn、Fe、Ni、Cu和V）对OER活性的影响。我们确定Cr、Fe、Ni和V是有前途的掺杂剂，因为它们表现出比未掺杂的Co3O4更高的OER活性，而Cr在本研究中所有考虑的掺杂剂中表现出最强的促进作用。我们将我们的理论预测与两种不同系列的合成Co3O4纳米颗粒催化剂进行比较，发现OER活性的定性趋势具有良好的一致性。为了验证Cr的强促进作用，我们合成了表面富集的Cr掺杂Co3O4</w:t>
      </w:r>
    </w:p>
    <w:p>
      <w:pPr>
        <w:spacing w:before="0" w:after="200" w:lineRule="auto" w:line="276"/>
      </w:pPr>
      <w:r>
        <w:rPr>
          <w:b/>
        </w:rPr>
        <w:t xml:space="preserve">Abstract (EN): </w:t>
      </w:r>
      <w:r>
        <w:t>Accelerating the discovery of oxygen‐evolution reaction (OER) catalysts requires high‐throughput screening strategies combining descriptor‐based frameworks with dedicated mechanistic analyses. In this study, we present a unified methodology using the example of doped Co</w:t>
      </w:r>
      <w:r>
        <w:rPr>
          <w:vertAlign w:val="subscript"/>
        </w:rPr>
        <w:t>3</w:t>
      </w:r>
      <w:r>
        <w:t>O</w:t>
      </w:r>
      <w:r>
        <w:rPr>
          <w:vertAlign w:val="subscript"/>
        </w:rPr>
        <w:t>4</w:t>
      </w:r>
      <w:r>
        <w:t>in the OER by developing a mechanistically resolved, potential‐dependent volcano approach that accounts for the uncertainty of adsorption free energies when analyzing activity trends. We evaluate the influence of different dopants (Cr, Mn, Fe, Ni, Cu, and V) on the OER activity by selectively substituting octahedral Co sites on the (001) facet of Co</w:t>
      </w:r>
      <w:r>
        <w:rPr>
          <w:vertAlign w:val="subscript"/>
        </w:rPr>
        <w:t>3</w:t>
      </w:r>
      <w:r>
        <w:t>O</w:t>
      </w:r>
      <w:r>
        <w:rPr>
          <w:vertAlign w:val="subscript"/>
        </w:rPr>
        <w:t>4</w:t>
      </w:r>
      <w:r>
        <w:t>using density functional theory calculations (DFT). We identify Cr, Fe, Ni, and V as promising dopants as they exhibit increased OER activity compared to undoped Co</w:t>
      </w:r>
      <w:r>
        <w:rPr>
          <w:vertAlign w:val="subscript"/>
        </w:rPr>
        <w:t>3</w:t>
      </w:r>
      <w:r>
        <w:t>O</w:t>
      </w:r>
      <w:r>
        <w:rPr>
          <w:vertAlign w:val="subscript"/>
        </w:rPr>
        <w:t>4</w:t>
      </w:r>
      <w:r>
        <w:t>, while Cr shows the strongest promoting effect among all dopants considered in this study. We compare our theoretical predictions with two different series of synthesized Co</w:t>
      </w:r>
      <w:r>
        <w:rPr>
          <w:vertAlign w:val="subscript"/>
        </w:rPr>
        <w:t>3</w:t>
      </w:r>
      <w:r>
        <w:t>O</w:t>
      </w:r>
      <w:r>
        <w:rPr>
          <w:vertAlign w:val="subscript"/>
        </w:rPr>
        <w:t>4</w:t>
      </w:r>
      <w:r>
        <w:t>nanoparticle catalysts and find good agreement regarding the qualitative trends of OER activity. To validate the strong promoting effect of Cr, we synthesize surface‐enriched, Cr‐doped Co</w:t>
      </w:r>
      <w:r>
        <w:rPr>
          <w:vertAlign w:val="subscript"/>
        </w:rPr>
        <w:t>3</w:t>
      </w:r>
      <w:r>
        <w:t>O</w:t>
      </w:r>
      <w:r>
        <w:rPr>
          <w:vertAlign w:val="subscript"/>
        </w:rPr>
        <w:t>4</w:t>
      </w:r>
      <w:r>
        <w:t>nanoparticles, which confirms the theoretical prediction of increased OER activity. The theoretical model developed in this work is a transferable framework that can be equally applied to other materials and electrocatalytic processes for quantifying dopant effects by considering uncertainty and promoting effects when analyzing activity trends.</w:t>
      </w:r>
    </w:p>
    <w:p>
      <w:pPr>
        <w:spacing w:before="120" w:after="120"/>
      </w:pPr>
      <w:r>
        <w:rPr>
          <w:sz w:val="18"/>
        </w:rPr>
        <w:t>——————————————————————————————————————————————————————————————————————</w:t>
      </w:r>
    </w:p>
    <w:p>
      <w:pPr>
        <w:spacing w:before="160" w:after="40" w:line="240" w:lineRule="auto"/>
      </w:pPr>
      <w:r>
        <w:rPr>
          <w:b/>
        </w:rPr>
        <w:t xml:space="preserve">[137] </w:t>
      </w:r>
      <w:hyperlink r:id="rId402">
        <w:r>
          <w:rPr>
            <w:color w:val="1155CC"/>
            <w:u w:val="single"/>
          </w:rPr>
          <w:t>受阻的Brønsted对：HZSM-5沸石中一种高度活跃但被忽视的位点</w:t>
        </w:r>
      </w:hyperlink>
    </w:p>
    <w:p>
      <w:pPr>
        <w:spacing w:before="0" w:after="80"/>
      </w:pPr>
      <w:r>
        <w:rPr>
          <w:i/>
          <w:sz w:val="20"/>
        </w:rPr>
        <w:t>EN: Frustrated Brønsted Pairs: A Kind of Highly Active but Neglected Site in HZSM‐5 Zeolite</w:t>
      </w:r>
    </w:p>
    <w:p>
      <w:pPr>
        <w:spacing w:before="0" w:after="120"/>
      </w:pPr>
      <w:r>
        <w:rPr>
          <w:b/>
        </w:rPr>
        <w:t xml:space="preserve">Source: </w:t>
      </w:r>
      <w:r>
        <w:t>Wiley: Angewandte Chemie International Edition: Table of Contents</w:t>
      </w:r>
      <w:r>
        <w:t xml:space="preserve">    </w:t>
      </w:r>
      <w:r>
        <w:rPr>
          <w:b/>
        </w:rPr>
        <w:t xml:space="preserve">Pub date: </w:t>
      </w:r>
      <w:r>
        <w:t>2026-05-04 12:08:40+00:00</w:t>
      </w:r>
      <w:r>
        <w:t xml:space="preserve">    </w:t>
      </w:r>
      <w:r>
        <w:rPr>
          <w:b/>
        </w:rPr>
        <w:t xml:space="preserve">DOI: </w:t>
      </w:r>
      <w:hyperlink r:id="rId403">
        <w:r>
          <w:rPr>
            <w:color w:val="1155CC"/>
            <w:u w:val="single"/>
          </w:rPr>
          <w:t>10.1002/anie.5832908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阻路易斯对（FLPs）已被确立为通过路易斯碱向路易斯酸的电子转移以及底物活化而起作用的高效催化位点。受FLPs催化机制的启发，我们在HZSM-5沸石中识别出一种先前被忽视的受阻布朗斯特对（FBPs）模式，其通过协同质子转移范式起作用。该FBP活性位点由两个共轭结构组成，其互变驱动底物中的快速氢转移，从而实现多种涉及氢的反应的高效催化，并表现出独特的动态行为。甲醇转化为烃的过程模拟，包括异构化、加成、分解和取代反应，揭示了FBPs可以显著平滑自由能曲线并将能量跨度减少近1.00 eV。这项工作确立了FBPs的新型催化模式，并揭示了其在沸石催化中的关键作用。</w:t>
      </w:r>
    </w:p>
    <w:p>
      <w:pPr>
        <w:spacing w:before="0" w:after="200" w:lineRule="auto" w:line="276"/>
      </w:pPr>
      <w:r>
        <w:rPr>
          <w:b/>
        </w:rPr>
        <w:t xml:space="preserve">Abstract (EN): </w:t>
      </w:r>
      <w:r>
        <w:t>Frustrated Lewis Pairs (FLPs) have been well‐established as highly efficient catalytic sites that function through electron transfer from Lewis base to Lewis acid coupled with substrate activation. Inspired by the catalytic mechanism of FLPs, we identify a previously overlooked pattern of frustrated brønsted pairs (FBPs) in HZSM‐5 zeolite, which function via a concerted proton transfer paradigm. This FBP active site comprises two conjugate structures whose interconversion drives swift hydrogen transfer in substrates, thereby enabling the highly efficient catalysis of a variety of hydrogen‐involved reactions and exhibiting unique dynamic behavior. Simulations of the methanol‐to‐hydrocarbons process, including isomerization, addition, decomposition, and substitution reactions, reveal that FBPs can dramatically smooth the free‐energy profile and reduce the energy span by nearly 1.00 eV. This work establishes the novel catalytic pattern of FBPs and uncovers its pivotal role in zeolite catalysis.</w:t>
      </w:r>
    </w:p>
    <w:p>
      <w:pPr>
        <w:spacing w:before="120" w:after="120"/>
      </w:pPr>
      <w:r>
        <w:rPr>
          <w:sz w:val="18"/>
        </w:rPr>
        <w:t>——————————————————————————————————————————————————————————————————————</w:t>
      </w:r>
    </w:p>
    <w:p>
      <w:pPr>
        <w:spacing w:before="160" w:after="40" w:line="240" w:lineRule="auto"/>
      </w:pPr>
      <w:r>
        <w:rPr>
          <w:b/>
        </w:rPr>
        <w:t xml:space="preserve">[138] </w:t>
      </w:r>
      <w:hyperlink r:id="rId404">
        <w:r>
          <w:rPr>
            <w:color w:val="1155CC"/>
            <w:u w:val="single"/>
          </w:rPr>
          <w:t>原位成像揭示MoS2电催化剂中氢析出的活性皱纹区域</w:t>
        </w:r>
      </w:hyperlink>
    </w:p>
    <w:p>
      <w:pPr>
        <w:spacing w:before="0" w:after="80"/>
      </w:pPr>
      <w:r>
        <w:rPr>
          <w:i/>
          <w:sz w:val="20"/>
        </w:rPr>
        <w:t>EN: Operando Imaging Reveals Active Wrinkled Regions for Hydrogen Evolution in MoS2 Electrocatalysts</w:t>
      </w:r>
    </w:p>
    <w:p>
      <w:pPr>
        <w:spacing w:before="0" w:after="120"/>
      </w:pPr>
      <w:r>
        <w:rPr>
          <w:b/>
        </w:rPr>
        <w:t xml:space="preserve">Source: </w:t>
      </w:r>
      <w:r>
        <w:t>Wiley: Angewandte Chemie International Edition: Table of Contents</w:t>
      </w:r>
      <w:r>
        <w:t xml:space="preserve">    </w:t>
      </w:r>
      <w:r>
        <w:rPr>
          <w:b/>
        </w:rPr>
        <w:t xml:space="preserve">Pub date: </w:t>
      </w:r>
      <w:r>
        <w:t>2026-05-04 12:11:51+00:00</w:t>
      </w:r>
      <w:r>
        <w:t xml:space="preserve">    </w:t>
      </w:r>
      <w:r>
        <w:rPr>
          <w:b/>
        </w:rPr>
        <w:t xml:space="preserve">DOI: </w:t>
      </w:r>
      <w:hyperlink r:id="rId405">
        <w:r>
          <w:rPr>
            <w:color w:val="1155CC"/>
            <w:u w:val="single"/>
          </w:rPr>
          <w:t>10.1002/anie.202509871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操作条件下，局部结构畸变如何影响非金属材料中的电催化作用仍然知之甚少，主要是因为电荷转移过程和随后的化学步骤紧密耦合，实验上难以解开。在这里，通过使用操作原子力显微镜-扫描电化学显微镜（AFM-SECM），我们直接识别出单层二硫化钼（MoS</w:t>
      </w:r>
      <w:r>
        <w:rPr>
          <w:vertAlign w:val="subscript"/>
        </w:rPr>
        <w:t>2</w:t>
      </w:r>
      <w:r>
        <w:t>）中的皱褶区域是氢析出反应（HER）的高活性区域。结合局部AFM-SECM和扫描透射电子显微镜（STEM）成像进一步揭示，增强的活性主要局限于形成折叠边缘结构的皱褶边缘，提供了局部结构-活性关系的空间分辨证据。有趣的是，操作电子转移（ET）成像显示这些区域的电荷转移动力学仅有有限的增强，表明增加的HER活性更可能源于促进随后的化学步骤，而不是改善的电子转移。这些发现提供了关于非金属电催化中皱褶区域内折叠边缘结构作用的机制见解，并为高性能电催化材料的合理设计提供了指导。</w:t>
      </w:r>
    </w:p>
    <w:p>
      <w:pPr>
        <w:spacing w:before="0" w:after="200" w:lineRule="auto" w:line="276"/>
      </w:pPr>
      <w:r>
        <w:rPr>
          <w:b/>
        </w:rPr>
        <w:t xml:space="preserve">Abstract (EN): </w:t>
      </w:r>
      <w:r>
        <w:t>Under operando conditions, how local structural distortion influences electrocatalysis in non‐metallic materials remains poorly understood, largely because charge‐transfer processes and subsequent chemical steps are strongly coupled and difficult to disentangle experimentally. Here, by using operando atomic force microscopy–scanning electrochemical microscopy (AFM‐SECM), we directly identify wrinkled regions in monolayer molybdenum disulfide (MoS</w:t>
      </w:r>
      <w:r>
        <w:rPr>
          <w:vertAlign w:val="subscript"/>
        </w:rPr>
        <w:t>2</w:t>
      </w:r>
      <w:r>
        <w:t>) as highly active domains for the hydrogen evolution reaction (HER). Combined local AFM‐SECM and scanning transmission electron microscopy (STEM) imaging further reveal that the enhanced activity is primarily localized at wrinkle edges, where folded edge structures are formed, providing spatially resolved evidence of a local structure–activity relationship. Interestingly, operando electron‐transfer (ET) imaging reveals only limited enhancement of charge‐transfer kinetics in these regions, indicating that the increased HER activity more likely arises from the promotion of subsequent chemical steps rather than from improved electron transfer. These findings provide mechanistic insight into the role of folded edge structures within wrinkled regions in non‐metallic electrocatalysis and offer guidance for the rational design of high‐performance electrocatalytic materials.</w:t>
      </w:r>
    </w:p>
    <w:p>
      <w:pPr>
        <w:spacing w:before="120" w:after="120"/>
      </w:pPr>
      <w:r>
        <w:rPr>
          <w:sz w:val="18"/>
        </w:rPr>
        <w:t>——————————————————————————————————————————————————————————————————————</w:t>
      </w:r>
    </w:p>
    <w:p>
      <w:pPr>
        <w:spacing w:before="160" w:after="40" w:line="240" w:lineRule="auto"/>
      </w:pPr>
      <w:r>
        <w:rPr>
          <w:b/>
        </w:rPr>
        <w:t xml:space="preserve">[139] </w:t>
      </w:r>
      <w:hyperlink r:id="rId406">
        <w:r>
          <w:rPr>
            <w:color w:val="1155CC"/>
            <w:u w:val="single"/>
          </w:rPr>
          <w:t>酶促氧化还原门控引导非环过氧化物生物合成中的氧化分歧</w:t>
        </w:r>
      </w:hyperlink>
    </w:p>
    <w:p>
      <w:pPr>
        <w:spacing w:before="0" w:after="80"/>
      </w:pPr>
      <w:r>
        <w:rPr>
          <w:i/>
          <w:sz w:val="20"/>
        </w:rPr>
        <w:t>EN: Enzymatic Redox Gating Directs Oxidative Divergence in Acyclic Peroxides Biosynthesis</w:t>
      </w:r>
    </w:p>
    <w:p>
      <w:pPr>
        <w:spacing w:before="0" w:after="120"/>
      </w:pPr>
      <w:r>
        <w:rPr>
          <w:b/>
        </w:rPr>
        <w:t xml:space="preserve">Source: </w:t>
      </w:r>
      <w:r>
        <w:t>Wiley: Angewandte Chemie International Edition: Table of Contents</w:t>
      </w:r>
      <w:r>
        <w:t xml:space="preserve">    </w:t>
      </w:r>
      <w:r>
        <w:rPr>
          <w:b/>
        </w:rPr>
        <w:t xml:space="preserve">Pub date: </w:t>
      </w:r>
      <w:r>
        <w:t>2026-05-04 12:12:04+00:00</w:t>
      </w:r>
      <w:r>
        <w:t xml:space="preserve">    </w:t>
      </w:r>
      <w:r>
        <w:rPr>
          <w:b/>
        </w:rPr>
        <w:t xml:space="preserve">DOI: </w:t>
      </w:r>
      <w:hyperlink r:id="rId407">
        <w:r>
          <w:rPr>
            <w:color w:val="1155CC"/>
            <w:u w:val="single"/>
          </w:rPr>
          <w:t>10.1002/anie.8877646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天然产物，包括内过氧化物、非环过氧化物和过氧化氢，广泛分布于所有生命领域，其中许多，如青蒿素和前列腺素，是临床重要的药物。然而，自然界中安装O─O键的酶促机制在很大程度上仍然难以捉摸。迄今为止，仅鉴定出少数形成内过氧化物的酶，而非环过氧化物组装的酶促基础仍然未知。在此，我们鉴定出两种同源的黄素依赖酶，OxaJ和OtnJ，它们在氧蒽霉素天然产物的生物合成中催化对映选择性非环过氧化物的形成。一个保守的结构基序通过阻止NADPH进入活性位点作为氧化还原门，从而促进过氧化物的安装。去除该基序允许NADPH结合并将酶的活性重定向至羟基化。此项工作建立了黄素依赖酶形成过氧化物的首例，并引入了氧化还原门控作为控制酶促催化中氧化分歧的先前未被认识的策略。</w:t>
      </w:r>
    </w:p>
    <w:p>
      <w:pPr>
        <w:spacing w:before="0" w:after="200" w:lineRule="auto" w:line="276"/>
      </w:pPr>
      <w:r>
        <w:rPr>
          <w:b/>
        </w:rPr>
        <w:t xml:space="preserve">Abstract (EN): </w:t>
      </w:r>
      <w:r>
        <w:t>Peroxy natural products, including endoperoxides, acyclic peroxides, and hydroperoxides, are widely distributed across all domains of life, with many, such as artemisinin and prostaglandins, serving as clinically important agents. However, the enzymatic mechanisms by which nature installs O─O bonds have largely remained elusive. To date, only a limited number of endoperoxide‐forming enzymes have been identified, while the enzymatic basis for acyclic peroxide assembly remains unknown. Here, we identify two homologous flavin‐dependent enzymes, OxaJ and OtnJ, that catalyze enantioselective acyclic peroxide formation in the biosynthesis of oxanthromicin natural products. A conserved structural motif acts as a redox gate by blocking NADPH access to the active site, thereby promoting peroxide installation. Removal of this motif permits NADPH binding and redirects the enzyme's activity toward hydroxylation. This work establishes the first example of peroxide formation by a flavin‐dependent enzyme and introduces redox gating as a previously unrecognized strategy for controlling oxidative divergence in enzymatic catalysis.</w:t>
      </w:r>
    </w:p>
    <w:p>
      <w:pPr>
        <w:spacing w:before="120" w:after="120"/>
      </w:pPr>
      <w:r>
        <w:rPr>
          <w:sz w:val="18"/>
        </w:rPr>
        <w:t>——————————————————————————————————————————————————————————————————————</w:t>
      </w:r>
    </w:p>
    <w:p>
      <w:pPr>
        <w:spacing w:before="160" w:after="40" w:line="240" w:lineRule="auto"/>
      </w:pPr>
      <w:r>
        <w:rPr>
          <w:b/>
        </w:rPr>
        <w:t xml:space="preserve">[140] </w:t>
      </w:r>
      <w:hyperlink r:id="rId408">
        <w:r>
          <w:rPr>
            <w:color w:val="1155CC"/>
            <w:u w:val="single"/>
          </w:rPr>
          <w:t>Hopf链与Solomon链之间的可逆结构转变</w:t>
        </w:r>
      </w:hyperlink>
    </w:p>
    <w:p>
      <w:pPr>
        <w:spacing w:before="0" w:after="80"/>
      </w:pPr>
      <w:r>
        <w:rPr>
          <w:i/>
          <w:sz w:val="20"/>
        </w:rPr>
        <w:t>EN: Reversible Structural Transformation Between a Hopf Link and a Solomon Link</w:t>
      </w:r>
    </w:p>
    <w:p>
      <w:pPr>
        <w:spacing w:before="0" w:after="120"/>
      </w:pPr>
      <w:r>
        <w:rPr>
          <w:b/>
        </w:rPr>
        <w:t xml:space="preserve">Source: </w:t>
      </w:r>
      <w:r>
        <w:t>Wiley: Angewandte Chemie International Edition: Table of Contents</w:t>
      </w:r>
      <w:r>
        <w:t xml:space="preserve">    </w:t>
      </w:r>
      <w:r>
        <w:rPr>
          <w:b/>
        </w:rPr>
        <w:t xml:space="preserve">Pub date: </w:t>
      </w:r>
      <w:r>
        <w:t>2026-05-04 12:13:25+00:00</w:t>
      </w:r>
      <w:r>
        <w:t xml:space="preserve">    </w:t>
      </w:r>
      <w:r>
        <w:rPr>
          <w:b/>
        </w:rPr>
        <w:t xml:space="preserve">DOI: </w:t>
      </w:r>
      <w:hyperlink r:id="rId409">
        <w:r>
          <w:rPr>
            <w:color w:val="1155CC"/>
            <w:u w:val="single"/>
          </w:rPr>
          <w:t>10.1002/anie.3700741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利用Ag(I)离子在温和条件下的化学反应性，我们成功展示了Hopf链环与Solomon链环之间的可逆拓扑转变。通过调整双核构建块的长度，通过模板自由自组装合成了一个大环和一个Hopf链环。Ag(I)离子的引入促进了大环和Hopf链环向Solomon链环组装的拓扑转变。相反，当Ag(I)离子在阳光照射下还原或与氯离子反应时，Solomon链环恢复为大环和Hopf链环，这伴随着半刚性配体的构象变化。此外，Ag(I)离子的多样化配位几何导致了双吡啶螯合配体与双核Cp*Rh受体</w:t>
      </w:r>
      <w:r>
        <w:t xml:space="preserve"> </w:t>
      </w:r>
      <w:r>
        <w:t>B3</w:t>
      </w:r>
      <w:r>
        <w:t xml:space="preserve"> </w:t>
      </w:r>
      <w:r>
        <w:t>的金属离子模板组装，产生了两个组装体：一个Solomon链环和一个Hopf链环，最终Solomon链环随着时间的推移转变为Hopf链环。这项工作不仅强调了使用Ag(I)离子作为模板构建Solomon链环，还首次展示了Hopf链环与Solomon链环之间的拓扑转变过程。</w:t>
      </w:r>
    </w:p>
    <w:p>
      <w:pPr>
        <w:spacing w:before="0" w:after="200" w:lineRule="auto" w:line="276"/>
      </w:pPr>
      <w:r>
        <w:rPr>
          <w:b/>
        </w:rPr>
        <w:t xml:space="preserve">Abstract (EN): </w:t>
      </w:r>
      <w:r>
        <w:t>By utilizing the chemical reactivity of Ag(I) ions under mild conditions, we successfully demonstrated the reversible topological transformation between a Hopf link and a Solomon link. A macrocycle and a Hopf link were synthesized through the template‐free self‐assembly of a semirigid ligand through the adjustment of the length of the binuclear building blocks. The introduction of Ag(I) ions facilitated the topological transformation of the macrocycle and the Hopf link into Solomon link assemblies. In contrast, the Solomon links reverted to the macrocycle and the Hopf link when Ag(I) ions were reduced under sunlight irradiation or when Ag(I) ions were reacted with chloride ions, which was accompanied by a conformational change in the semirigid ligand. In addition, the diverse coordination geometry of the Ag(I) ion led to the metal‐ion‐templated assembly of the bipyridyl chelating ligand with the binuclear Cp*Rh acceptor</w:t>
      </w:r>
      <w:r>
        <w:t xml:space="preserve"> </w:t>
      </w:r>
      <w:r>
        <w:t>B3</w:t>
      </w:r>
      <w:r>
        <w:t xml:space="preserve"> </w:t>
      </w:r>
      <w:r>
        <w:t>, resulting in two assemblies: A Solomon link and a Hopf link, with the Solomon link eventually transforming into the Hopf link over time. This work not only highlights the construction of a Solomon link using Ag(I) ions as templates, but also presents, for the first time, a process of topological transformation between a Hopf link and a Solomon link.</w:t>
      </w:r>
    </w:p>
    <w:p>
      <w:pPr>
        <w:spacing w:before="120" w:after="120"/>
      </w:pPr>
      <w:r>
        <w:rPr>
          <w:sz w:val="18"/>
        </w:rPr>
        <w:t>——————————————————————————————————————————————————————————————————————</w:t>
      </w:r>
    </w:p>
    <w:p>
      <w:pPr>
        <w:spacing w:before="160" w:after="40" w:line="240" w:lineRule="auto"/>
      </w:pPr>
      <w:r>
        <w:rPr>
          <w:b/>
        </w:rPr>
        <w:t xml:space="preserve">[141] </w:t>
      </w:r>
      <w:hyperlink r:id="rId410">
        <w:r>
          <w:rPr>
            <w:color w:val="1155CC"/>
            <w:u w:val="single"/>
          </w:rPr>
          <w:t>通过Hantzsch酯阴离子光诱导还原电子缺乏烯烃的醛-烯烃偶联</w:t>
        </w:r>
      </w:hyperlink>
    </w:p>
    <w:p>
      <w:pPr>
        <w:spacing w:before="0" w:after="80"/>
      </w:pPr>
      <w:r>
        <w:rPr>
          <w:i/>
          <w:sz w:val="20"/>
        </w:rPr>
        <w:t>EN: Aldehyde–Olefin Couplings by Photoinduced Reduction of Electron‐Deficient Olefins with Hantzsch Ester Anions</w:t>
      </w:r>
    </w:p>
    <w:p>
      <w:pPr>
        <w:spacing w:before="0" w:after="120"/>
      </w:pPr>
      <w:r>
        <w:rPr>
          <w:b/>
        </w:rPr>
        <w:t xml:space="preserve">Source: </w:t>
      </w:r>
      <w:r>
        <w:t>Wiley: Angewandte Chemie International Edition: Table of Contents</w:t>
      </w:r>
      <w:r>
        <w:t xml:space="preserve">    </w:t>
      </w:r>
      <w:r>
        <w:rPr>
          <w:b/>
        </w:rPr>
        <w:t xml:space="preserve">Pub date: </w:t>
      </w:r>
      <w:r>
        <w:t>2026-05-04 12:15:34+00:00</w:t>
      </w:r>
      <w:r>
        <w:t xml:space="preserve">    </w:t>
      </w:r>
      <w:r>
        <w:rPr>
          <w:b/>
        </w:rPr>
        <w:t xml:space="preserve">DOI: </w:t>
      </w:r>
      <w:hyperlink r:id="rId411">
        <w:r>
          <w:rPr>
            <w:color w:val="1155CC"/>
            <w:u w:val="single"/>
          </w:rPr>
          <w:t>10.1002/anie.9744019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醛和烯烃之间的还原偶联反应，这两者都是低成本的化学原料，可以轻松获得有价值的醇产品。光催化和电化学方法的最新进展提供了通过亲核酮基或烯烃自由基阴离子中间体实现还原醛-烯烃偶联的有效策略。然而，自由基形成所需的强还原条件导致底物普遍性受到限制，特别是未活化的脂肪醛与电子缺乏的烯烃的反应。在这种情况下，由于烯烃自由基阴离子中间体的优先形成和亲核性降低，烯烃二聚或氢化反应优于醛偶联。在此，我们报告了一种简单的、无光催化剂的方案，通过在温和碱性条件下使用可见光激活的Hantzsch酯作为光还原剂来克服这一限制。转化成功的关键是使用水作为质子添加剂，使烯烃自由基阴离子能够亲核加成到醛上。机制实验支持烯烃自由基阴离子作为关键中间体，并提供了关于水在转化中重要作用的见解。</w:t>
      </w:r>
    </w:p>
    <w:p>
      <w:pPr>
        <w:spacing w:before="0" w:after="200" w:lineRule="auto" w:line="276"/>
      </w:pPr>
      <w:r>
        <w:rPr>
          <w:b/>
        </w:rPr>
        <w:t xml:space="preserve">Abstract (EN): </w:t>
      </w:r>
      <w:r>
        <w:t>Reductive couplings between aldehydes and olefins, both of which are low‐cost chemical feedstocks, provide facile access to valuable alcohol products. Recent advances in photocatalytic and electrochemical methods have provided efficient strategies to achieve reductive aldehyde–olefin couplings through nucleophilic ketyl or olefin radical anion intermediates. However, the strongly reducing conditions required for radical formation result in limitations in substrate generality, especially for reactions of unactivated aliphatic aldehydes with electron‐deficient olefins. In this scenario, olefin dimerization or hydrogenation outcompetes aldehyde coupling due to the preferential formation and diminished nucleophilicity of olefin radical anion intermediates. Herein, we report a simple, photocatalyst‐free protocol that overcomes this limitation by using visible light‐activated Hantzsch ester as a photoreductant under mildly basic conditions. Key to the success of the transformation was the use of water as a protic additive, which enabled nucleophilic addition of the olefin radical anions to aldehydes. Mechanistic experiments support olefin radical anions as the key intermediates and offer insight into the important role of water in the transformation.</w:t>
      </w:r>
    </w:p>
    <w:p>
      <w:pPr>
        <w:spacing w:before="120" w:after="120"/>
      </w:pPr>
      <w:r>
        <w:rPr>
          <w:sz w:val="18"/>
        </w:rPr>
        <w:t>——————————————————————————————————————————————————————————————————————</w:t>
      </w:r>
    </w:p>
    <w:p>
      <w:pPr>
        <w:spacing w:before="160" w:after="40" w:line="240" w:lineRule="auto"/>
      </w:pPr>
      <w:r>
        <w:rPr>
          <w:b/>
        </w:rPr>
        <w:t xml:space="preserve">[142] </w:t>
      </w:r>
      <w:hyperlink r:id="rId412">
        <w:r>
          <w:rPr>
            <w:color w:val="1155CC"/>
            <w:u w:val="single"/>
          </w:rPr>
          <w:t>结构编码氧化实现核苷酸分辨的RNA编辑、连接和结构探测</w:t>
        </w:r>
      </w:hyperlink>
    </w:p>
    <w:p>
      <w:pPr>
        <w:spacing w:before="0" w:after="80"/>
      </w:pPr>
      <w:r>
        <w:rPr>
          <w:i/>
          <w:sz w:val="20"/>
        </w:rPr>
        <w:t>EN: Structure‐Encoded Oxidation Enables Nucleotide‐Resolved RNA Editing, Conjugation, and Structural Probing</w:t>
      </w:r>
    </w:p>
    <w:p>
      <w:pPr>
        <w:spacing w:before="0" w:after="120"/>
      </w:pPr>
      <w:r>
        <w:rPr>
          <w:b/>
        </w:rPr>
        <w:t xml:space="preserve">Source: </w:t>
      </w:r>
      <w:r>
        <w:t>Wiley: Angewandte Chemie International Edition: Table of Contents</w:t>
      </w:r>
      <w:r>
        <w:t xml:space="preserve">    </w:t>
      </w:r>
      <w:r>
        <w:rPr>
          <w:b/>
        </w:rPr>
        <w:t xml:space="preserve">Pub date: </w:t>
      </w:r>
      <w:r>
        <w:t>2026-05-04 12:24:12+00:00</w:t>
      </w:r>
      <w:r>
        <w:t xml:space="preserve">    </w:t>
      </w:r>
      <w:r>
        <w:rPr>
          <w:b/>
        </w:rPr>
        <w:t xml:space="preserve">DOI: </w:t>
      </w:r>
      <w:hyperlink r:id="rId413">
        <w:r>
          <w:rPr>
            <w:color w:val="1155CC"/>
            <w:u w:val="single"/>
          </w:rPr>
          <w:t>10.1002/anie.1434064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RNA氧化在压力和疾病生物学中普遍存在，并且通过邻近标记、配体导向光化学和氧化RNA靶向在化学生物学中得到了利用。在大多数情况下，区域选择性由空间邻近性或专门的RNA结合配体指定，结果修饰通常分布在局部区域而不是指定的核苷酸上。我们展示了，通过选择的氧化剂，RNA二级结构本身可以作为可编程手柄来控制RNA氧化的位点选择性。我们定义了实用的结构-反应性规则，确定哪个鸟苷被氧化以及哪些损伤占主导地位，基于环几何和氧化剂身份。在这些规则的指导下，我们开发了LOCAL（Localized Oxidation Constrained at Loops），一种DNA编程的、后合成的方法，能够在转录的RNA中以核苷酸分辨率选择性地引导鸟苷氧化。LOCAL使氧化碱基编辑能够调节RNA相互作用和稳定性，提供了一种即插即用的工具，通过捕获氧化鸟苷的亲核体进行位点特异性生物偶联，并作为RNA单链性和配体诱导结构变化的蓝光门控、鸟苷聚焦的结构读出。总之，这些结果将RNA氧化定位为一种核苷酸分辨率、结构编码的反应多样性，补充了现有的配体编码氧化靶向化学和2'-OH-和酶基RNA化学。</w:t>
      </w:r>
    </w:p>
    <w:p>
      <w:pPr>
        <w:spacing w:before="0" w:after="200" w:lineRule="auto" w:line="276"/>
      </w:pPr>
      <w:r>
        <w:rPr>
          <w:b/>
        </w:rPr>
        <w:t xml:space="preserve">Abstract (EN): </w:t>
      </w:r>
      <w:r>
        <w:t>RNA oxidation is pervasive in stress and disease biology and has also been harnessed in chemical biology through proximity labeling, ligand‐directed photochemistry, and oxidative RNA targeting. In most settings, the regioselectivity is specified by spatial proximity or a specialized RNA‐binding ligand, and the resulting modification is typically distributed across a local region rather than at a designated nucleotide. Here we show that, with selected oxidants, RNA secondary structure can itself serve as a programmable handle to control RNA oxidation site‐selectively. We define practical structure–reactivity rules that determine which guanosine is oxidized and which lesions predominate, based on loop geometry and oxidant identity. Guided by these rules, we develop LOCAL (Localized Oxidation Constrained at Loops), a DNA‐programmed, postsynthetic method that directs guanosine oxidation to predetermined sites in transcribed RNAs with nucleotide‐resolved selectivity. LOCAL enables oxidative base editing to modulate RNA interactions and stability, provides a plug‐and‐play tool for site‐specific bioconjugation via nucleophile trapping of oxidized guanosines, and serves as a blue‐light‐gated, guanosine‐focused structural readout of RNA single‐strandedness and ligand‐induced structural changes. Together, these results position RNA oxidation as a nucleotide‐resolved, structure‐encoded reaction manifold that complements existing ligand‐encoded oxidative targeting chemistry, and 2´‐OH‐ and enzyme‐based RNA chemistries.</w:t>
      </w:r>
    </w:p>
    <w:p>
      <w:pPr>
        <w:spacing w:before="120" w:after="120"/>
      </w:pPr>
      <w:r>
        <w:rPr>
          <w:sz w:val="18"/>
        </w:rPr>
        <w:t>——————————————————————————————————————————————————————————————————————</w:t>
      </w:r>
    </w:p>
    <w:p>
      <w:pPr>
        <w:spacing w:before="160" w:after="40" w:line="240" w:lineRule="auto"/>
      </w:pPr>
      <w:r>
        <w:rPr>
          <w:b/>
        </w:rPr>
        <w:t xml:space="preserve">[143] </w:t>
      </w:r>
      <w:hyperlink r:id="rId414">
        <w:r>
          <w:rPr>
            <w:color w:val="1155CC"/>
            <w:u w:val="single"/>
          </w:rPr>
          <w:t>机器学习加速晶体化以进行结构测定</w:t>
        </w:r>
      </w:hyperlink>
    </w:p>
    <w:p>
      <w:pPr>
        <w:spacing w:before="0" w:after="80"/>
      </w:pPr>
      <w:r>
        <w:rPr>
          <w:i/>
          <w:sz w:val="20"/>
        </w:rPr>
        <w:t>EN: Machine Learning Accelerates Crystallization for Structure Determination</w:t>
      </w:r>
    </w:p>
    <w:p>
      <w:pPr>
        <w:spacing w:before="0" w:after="120"/>
      </w:pPr>
      <w:r>
        <w:rPr>
          <w:b/>
        </w:rPr>
        <w:t xml:space="preserve">Source: </w:t>
      </w:r>
      <w:r>
        <w:t>Wiley: Angewandte Chemie International Edition: Table of Contents</w:t>
      </w:r>
      <w:r>
        <w:t xml:space="preserve">    </w:t>
      </w:r>
      <w:r>
        <w:rPr>
          <w:b/>
        </w:rPr>
        <w:t xml:space="preserve">Pub date: </w:t>
      </w:r>
      <w:r>
        <w:t>2026-05-04 12:36:05+00:00</w:t>
      </w:r>
      <w:r>
        <w:t xml:space="preserve">    </w:t>
      </w:r>
      <w:r>
        <w:rPr>
          <w:b/>
        </w:rPr>
        <w:t xml:space="preserve">DOI: </w:t>
      </w:r>
      <w:hyperlink r:id="rId415">
        <w:r>
          <w:rPr>
            <w:color w:val="1155CC"/>
            <w:u w:val="single"/>
          </w:rPr>
          <w:t>10.1002/anie.1218503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晶X射线衍射（SCXRD）是一种强大的结构解析工具，但需要高质量的晶体，这通常难以获得。结晶伴侣策略通过促进挥发性或复杂分子的共结晶，帮助克服这一限制，对大小或纯度的限制很少。然而，定义其适用范围仍然具有挑战性，直到现在需要实验的试错筛选。在此，我们展示了一种机器学习（ML）加速的工作流程，可以快速识别适合共结晶的候选物。通过特征工程和工作流程优化，我们训练了MCC模型，实现了超过95%的预测准确性。实验验证确认了120个预测化合物中有114个成功的共晶体。展示的广泛结构和功能多样性突出了我们策略的稳健性和广泛适用性，使得在标准实验室条件下通过SCXRD高效发现新结构成为可能。</w:t>
      </w:r>
    </w:p>
    <w:p>
      <w:pPr>
        <w:spacing w:before="0" w:after="200" w:lineRule="auto" w:line="276"/>
      </w:pPr>
      <w:r>
        <w:rPr>
          <w:b/>
        </w:rPr>
        <w:t xml:space="preserve">Abstract (EN): </w:t>
      </w:r>
      <w:r>
        <w:t>Single‐crystal x‐ray diffraction (SCXRD) is a powerful tool for structural elucidation, but requires high‐quality crystals that are often difficult to obtain. The crystalline mate strategy helps overcome this limitation by facilitating the co‐crystallization of volatile or complex molecules, with few restrictions on size or purity. However, defining its scope of applicability remains challenging, until now requiring experimental trial‐and‐error screening. Here, we demonstrate a machine learning (ML)‐accelerated workflow that rapidly identifies suitable candidates for co‐crystallization. Through feature engineering and workflow optimization, we trained the</w:t>
      </w:r>
      <w:r>
        <w:t xml:space="preserve"> </w:t>
      </w:r>
      <w:r>
        <w:t>MCC</w:t>
      </w:r>
      <w:r>
        <w:t xml:space="preserve"> </w:t>
      </w:r>
      <w:r>
        <w:t>model, achieving over 95% prediction accuracy. Experimental validation confirmed 114 successful co‐crystals among 120 predicted compounds. The wide structural and functional diversity exhibited highlights the robustness and broad applicability of our strategy, enabling efficient discovery of new structures by SCXRD under standard laboratory conditions.</w:t>
      </w:r>
    </w:p>
    <w:p>
      <w:pPr>
        <w:spacing w:before="120" w:after="120"/>
      </w:pPr>
      <w:r>
        <w:rPr>
          <w:sz w:val="18"/>
        </w:rPr>
        <w:t>——————————————————————————————————————————————————————————————————————</w:t>
      </w:r>
    </w:p>
    <w:p>
      <w:pPr>
        <w:spacing w:before="160" w:after="40" w:line="240" w:lineRule="auto"/>
      </w:pPr>
      <w:r>
        <w:rPr>
          <w:b/>
        </w:rPr>
        <w:t xml:space="preserve">[144] </w:t>
      </w:r>
      <w:hyperlink r:id="rId416">
        <w:r>
          <w:rPr>
            <w:color w:val="1155CC"/>
            <w:u w:val="single"/>
          </w:rPr>
          <w:t>[ASAP] 配体控制在苯酚和苯胺衍生物的C–H硼化中超越内在位点选择性</w:t>
        </w:r>
      </w:hyperlink>
    </w:p>
    <w:p>
      <w:pPr>
        <w:spacing w:before="0" w:after="80"/>
      </w:pPr>
      <w:r>
        <w:rPr>
          <w:i/>
          <w:sz w:val="20"/>
        </w:rPr>
        <w:t>EN: [ASAP] Ligand Control Overrides Intrinsic Site Selectivity in C–H Borylation of Phenol and Aniline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2026-05-04 12:42:46+00:00</w:t>
      </w:r>
      <w:r>
        <w:t xml:space="preserve">    </w:t>
      </w:r>
      <w:r>
        <w:rPr>
          <w:b/>
        </w:rPr>
        <w:t xml:space="preserve">DOI: </w:t>
      </w:r>
      <w:hyperlink r:id="rId417">
        <w:r>
          <w:rPr>
            <w:color w:val="1155CC"/>
            <w:u w:val="single"/>
          </w:rPr>
          <w:t>10.1021/jacs.6c01983</w:t>
        </w:r>
      </w:hyperlink>
    </w:p>
    <w:p>
      <w:pPr>
        <w:spacing w:before="0" w:after="120"/>
      </w:pPr>
      <w:r>
        <w:rPr>
          <w:b/>
        </w:rPr>
        <w:t xml:space="preserve">Notes: </w:t>
      </w:r>
      <w:r>
        <w:t>abstract_source=pubmed</w:t>
      </w:r>
    </w:p>
    <w:p>
      <w:pPr>
        <w:spacing w:before="0" w:after="80" w:lineRule="auto" w:line="276"/>
      </w:pPr>
      <w:r>
        <w:rPr>
          <w:b/>
        </w:rPr>
        <w:t xml:space="preserve">摘要（ZH）: </w:t>
      </w:r>
      <w:r>
        <w:t>在有机合成中，控制C-H官能化的区域选择性是一个具有挑战性的问题。通常，底物的特定电子和/或空间特性导致C-H官能化中的内在位点选择性。虽然增强内在位点选择性相对简单，但改变和逆转高选择性是具有挑战性的。通过为铱催化剂设计的配体，通常优先的对位选择性C-H硼化反应在硫酸酯化酚和苯胺衍生物中已完全逆转为强的间位选择性。该方法在温和的反应条件下，以优异的区域选择性提供了各种间位硼化酚类、苯胺类及相关化合物。机制实验和密度泛函理论计算阐明了从对位到间位选择性转变的起源。</w:t>
      </w:r>
    </w:p>
    <w:p>
      <w:pPr>
        <w:spacing w:before="0" w:after="200" w:lineRule="auto" w:line="276"/>
      </w:pPr>
      <w:r>
        <w:rPr>
          <w:b/>
        </w:rPr>
        <w:t xml:space="preserve">Abstract (EN): </w:t>
      </w:r>
      <w:r>
        <w:t>Controlling the regioselectivity in C-H functionalization is a challenging issue in organic synthesis. Typically, the specific electronic and/or steric character of the substrate leads to intrinsic site selectivity in C-H functionalization. While enhancing intrinsic site selectivity is relatively straightforward, altering and reversing high selectivity is challenging. By the use of a designed ligand for an iridium catalyst, the normally preferred para-selective C-H borylation of sulfated phenol and aniline derivatives has been completely inverted to strong meta-selectivity. This protocol affords a variety of meta-borylated phenols, anilines, and related compounds with excellent regioselectivity under mild reaction conditions. Mechanistic experiments and density functional theory calculations elucidate the origins of this conversion from para- to meta-selectivity.</w:t>
      </w:r>
    </w:p>
    <w:p>
      <w:pPr>
        <w:spacing w:before="120" w:after="120"/>
      </w:pPr>
      <w:r>
        <w:rPr>
          <w:sz w:val="18"/>
        </w:rPr>
        <w:t>——————————————————————————————————————————————————————————————————————</w:t>
      </w:r>
    </w:p>
    <w:p>
      <w:pPr>
        <w:spacing w:before="160" w:after="40" w:line="240" w:lineRule="auto"/>
      </w:pPr>
      <w:r>
        <w:rPr>
          <w:b/>
        </w:rPr>
        <w:t xml:space="preserve">[145] </w:t>
      </w:r>
      <w:hyperlink r:id="rId418">
        <w:r>
          <w:rPr>
            <w:color w:val="1155CC"/>
            <w:u w:val="single"/>
          </w:rPr>
          <w:t>[ASAP] 嘧啶核苷和核苷酸的电子弛豫中的扭曲：C5甲基化对非绝热跃迁和光水合损伤的影响</w:t>
        </w:r>
      </w:hyperlink>
    </w:p>
    <w:p>
      <w:pPr>
        <w:spacing w:before="0" w:after="80"/>
      </w:pPr>
      <w:r>
        <w:rPr>
          <w:i/>
          <w:sz w:val="20"/>
        </w:rPr>
        <w:t>EN: [ASAP] A Twist in Electronic Relaxation of Pyrimidine Nucleosides and Nucleotides: Impact of C5 Methylation on Nonadiabatic Transition and Photohydration Damage</w:t>
      </w:r>
    </w:p>
    <w:p>
      <w:pPr>
        <w:spacing w:before="0" w:after="120"/>
      </w:pPr>
      <w:r>
        <w:rPr>
          <w:b/>
        </w:rPr>
        <w:t xml:space="preserve">Source: </w:t>
      </w:r>
      <w:r>
        <w:t>Journal of the American Chemical Society: Latest Articles (ACS Publications)</w:t>
      </w:r>
      <w:r>
        <w:t xml:space="preserve">    </w:t>
      </w:r>
      <w:r>
        <w:rPr>
          <w:b/>
        </w:rPr>
        <w:t xml:space="preserve">Pub date: </w:t>
      </w:r>
      <w:r>
        <w:t>2026-05-04 12:43:27+00:00</w:t>
      </w:r>
      <w:r>
        <w:t xml:space="preserve">    </w:t>
      </w:r>
      <w:r>
        <w:rPr>
          <w:b/>
        </w:rPr>
        <w:t xml:space="preserve">DOI: </w:t>
      </w:r>
      <w:hyperlink r:id="rId419">
        <w:r>
          <w:rPr>
            <w:color w:val="1155CC"/>
            <w:u w:val="single"/>
          </w:rPr>
          <w:t>10.1021/jacs.6c00684</w:t>
        </w:r>
      </w:hyperlink>
    </w:p>
    <w:p>
      <w:pPr>
        <w:spacing w:before="0" w:after="120"/>
      </w:pPr>
      <w:r>
        <w:rPr>
          <w:b/>
        </w:rPr>
        <w:t xml:space="preserve">Notes: </w:t>
      </w:r>
      <w:r>
        <w:t>abstract_source=pubmed</w:t>
      </w:r>
    </w:p>
    <w:p>
      <w:pPr>
        <w:spacing w:before="0" w:after="80" w:lineRule="auto" w:line="276"/>
      </w:pPr>
      <w:r>
        <w:rPr>
          <w:b/>
        </w:rPr>
        <w:t xml:space="preserve">摘要（ZH）: </w:t>
      </w:r>
      <w:r>
        <w:t>我们报告了一项结合实验和理论的研究，研究了在水溶液中紫外激发的嘧啶核苷和核苷酸的超快内转换中涉及的基态扭曲中间体（TI）的形成和衰变动力学。红外瞬态吸收光谱识别出一个具有强烈扭曲的C5=C6双键的TI，并确定了结构不同的核苷和核苷酸的量子产率（ΦTI）和寿命（τTI）。在连续266 nm照射下测量的光水合速率（khyd）与ΦTI × τTI直接相关，提供了TI介导水合反应的明确证据。C5-H和C5-CH3衍生物的比较显示出甲基化后ΦTI和khyd的显著降低。量子力学/分子力学动力学模拟表明，TI的形成需要在锥形交叉处沿TI形成坐标具有足够的核动量，而C5甲基化和溶剂相互作用引起的振动能量随机化降低了这种动量，从而降低了ΦTI。TI既不是双自由基也不是双离子，而是包含一个延长的、高度反应性的C5=C6双键，其极化和水合反应性被C5甲基化削弱。相应地，标准化反应指数khyd/(ΦTI × τTI)对于C5甲基化化合物显著降低。高活化能垒限制了光水合量子产率（约0.01），而τTI主要由异构化回到平面基态结构控制。</w:t>
      </w:r>
    </w:p>
    <w:p>
      <w:pPr>
        <w:spacing w:before="0" w:after="200" w:lineRule="auto" w:line="276"/>
      </w:pPr>
      <w:r>
        <w:rPr>
          <w:b/>
        </w:rPr>
        <w:t xml:space="preserve">Abstract (EN): </w:t>
      </w:r>
      <w:r>
        <w:t>We report a combined experimental and theoretical study of the formation and decay dynamics of a ground-state twisted intermediate (TI) involved in the ultrafast internal conversion of UV-excited pyrimidine nucleosides and nucleotides in aqueous solution. Infrared transient absorption spectroscopy identifies a TI featuring a strongly twisted C5=C6 double bond, and its quantum yield (ΦTI) and lifetime (τTI) are determined for structurally distinct nucleosides and nucleotides. Photohydration rates (khyd) measured under continuous 266 nm irradiation correlate directly with ΦTI × τTI, providing unambiguous evidence that the TI mediates the hydration reaction. Comparison of C5-H and C5-CH3 derivatives reveals pronounced reductions in both ΦTI and khyd upon methylation. Quantum mechanics/molecular mechanics dynamical simulations show that TI formation requires sufficient nuclear momentum along the TI-forming coordinate at the conical intersection, whereas vibrational energy randomization induced by C5 methylation and solvent interactions diminishes this momentum and consequently ΦTI. The TI is neither diradical nor zwitterionic but instead contains an elongated, highly reactive C5=C6 double bond whose polarization and hydration reactivity are attenuated by C5 methylation. Consistently, the normalized reactivity index, khyd/(ΦTI × τTI), is substantially lower for C5-methylated compounds. A high activation barrier limits the photohydration quantum yield (∼0.01), and τTI is primarily governed by isomerization back to the planar ground-state structure.</w:t>
      </w:r>
    </w:p>
    <w:p>
      <w:pPr>
        <w:spacing w:before="120" w:after="120"/>
      </w:pPr>
      <w:r>
        <w:rPr>
          <w:sz w:val="18"/>
        </w:rPr>
        <w:t>——————————————————————————————————————————————————————————————————————</w:t>
      </w:r>
    </w:p>
    <w:p>
      <w:pPr>
        <w:spacing w:before="160" w:after="40" w:line="240" w:lineRule="auto"/>
      </w:pPr>
      <w:r>
        <w:rPr>
          <w:b/>
        </w:rPr>
        <w:t xml:space="preserve">[146] </w:t>
      </w:r>
      <w:hyperlink r:id="rId420">
        <w:r>
          <w:rPr>
            <w:color w:val="1155CC"/>
            <w:u w:val="single"/>
          </w:rPr>
          <w:t>[ASAP] 在未探索的手性选择性磺二胺反应中评估互补催化剂</w:t>
        </w:r>
      </w:hyperlink>
    </w:p>
    <w:p>
      <w:pPr>
        <w:spacing w:before="0" w:after="80"/>
      </w:pPr>
      <w:r>
        <w:rPr>
          <w:i/>
          <w:sz w:val="20"/>
        </w:rPr>
        <w:t>EN: [ASAP] Assessment of Complementary Catalysts in an Uncharted Enantioselective Reaction of Sulfondiimines</w:t>
      </w:r>
    </w:p>
    <w:p>
      <w:pPr>
        <w:spacing w:before="0" w:after="120"/>
      </w:pPr>
      <w:r>
        <w:rPr>
          <w:b/>
        </w:rPr>
        <w:t xml:space="preserve">Source: </w:t>
      </w:r>
      <w:r>
        <w:t>Journal of the American Chemical Society: Latest Articles (ACS Publications)</w:t>
      </w:r>
      <w:r>
        <w:t xml:space="preserve">    </w:t>
      </w:r>
      <w:r>
        <w:rPr>
          <w:b/>
        </w:rPr>
        <w:t xml:space="preserve">Pub date: </w:t>
      </w:r>
      <w:r>
        <w:t>2026-05-04 13:28:32+00:00</w:t>
      </w:r>
      <w:r>
        <w:t xml:space="preserve">    </w:t>
      </w:r>
      <w:r>
        <w:rPr>
          <w:b/>
        </w:rPr>
        <w:t xml:space="preserve">DOI: </w:t>
      </w:r>
      <w:hyperlink r:id="rId421">
        <w:r>
          <w:rPr>
            <w:color w:val="1155CC"/>
            <w:u w:val="single"/>
          </w:rPr>
          <w:t>10.1021/jacs.5c23100</w:t>
        </w:r>
      </w:hyperlink>
    </w:p>
    <w:p>
      <w:pPr>
        <w:spacing w:before="0" w:after="120"/>
      </w:pPr>
      <w:r>
        <w:rPr>
          <w:b/>
        </w:rPr>
        <w:t xml:space="preserve">Notes: </w:t>
      </w:r>
      <w:r>
        <w:t>abstract_source=openalex</w:t>
      </w:r>
    </w:p>
    <w:p>
      <w:pPr>
        <w:spacing w:before="0" w:after="80" w:lineRule="auto" w:line="276"/>
      </w:pPr>
      <w:r>
        <w:rPr>
          <w:b/>
        </w:rPr>
        <w:t xml:space="preserve">摘要（ZH）: </w:t>
      </w:r>
      <w:r>
        <w:t>揭示每种催化剂性能的对比性质。</w:t>
      </w:r>
    </w:p>
    <w:p>
      <w:pPr>
        <w:spacing w:before="0" w:after="200" w:lineRule="auto" w:line="276"/>
      </w:pPr>
      <w:r>
        <w:rPr>
          <w:b/>
        </w:rPr>
        <w:t xml:space="preserve">Abstract (EN): </w:t>
      </w:r>
      <w:r>
        <w:t>to reveal the contrasting nature of each catalyst's performance.</w:t>
      </w:r>
    </w:p>
    <w:p>
      <w:pPr>
        <w:spacing w:before="120" w:after="120"/>
      </w:pPr>
      <w:r>
        <w:rPr>
          <w:sz w:val="18"/>
        </w:rPr>
        <w:t>——————————————————————————————————————————————————————————————————————</w:t>
      </w:r>
    </w:p>
    <w:p>
      <w:pPr>
        <w:spacing w:before="160" w:after="40" w:line="240" w:lineRule="auto"/>
      </w:pPr>
      <w:r>
        <w:rPr>
          <w:b/>
        </w:rPr>
        <w:t xml:space="preserve">[147] </w:t>
      </w:r>
      <w:hyperlink r:id="rId422">
        <w:r>
          <w:rPr>
            <w:color w:val="1155CC"/>
            <w:u w:val="single"/>
          </w:rPr>
          <w:t>[ASAP] 通过固态NMR对氧化物纳米材料中原子分散的轻元素物种进行原子尺度映射</w:t>
        </w:r>
      </w:hyperlink>
    </w:p>
    <w:p>
      <w:pPr>
        <w:spacing w:before="0" w:after="80"/>
      </w:pPr>
      <w:r>
        <w:rPr>
          <w:i/>
          <w:sz w:val="20"/>
        </w:rPr>
        <w:t>EN: [ASAP] Atomic-Scale Mapping of Atomically Dispersed Light-Element Species in Oxide Nanomaterials by Solid-State NMR</w:t>
      </w:r>
    </w:p>
    <w:p>
      <w:pPr>
        <w:spacing w:before="0" w:after="120"/>
      </w:pPr>
      <w:r>
        <w:rPr>
          <w:b/>
        </w:rPr>
        <w:t xml:space="preserve">Source: </w:t>
      </w:r>
      <w:r>
        <w:t>Journal of the American Chemical Society: Latest Articles (ACS Publications)</w:t>
      </w:r>
      <w:r>
        <w:t xml:space="preserve">    </w:t>
      </w:r>
      <w:r>
        <w:rPr>
          <w:b/>
        </w:rPr>
        <w:t xml:space="preserve">Pub date: </w:t>
      </w:r>
      <w:r>
        <w:t>2026-05-04 13:29:09+00:00</w:t>
      </w:r>
      <w:r>
        <w:t xml:space="preserve">    </w:t>
      </w:r>
      <w:r>
        <w:rPr>
          <w:b/>
        </w:rPr>
        <w:t xml:space="preserve">DOI: </w:t>
      </w:r>
      <w:hyperlink r:id="rId423">
        <w:r>
          <w:rPr>
            <w:color w:val="1155CC"/>
            <w:u w:val="single"/>
          </w:rPr>
          <w:t>10.1021/jacs.6c02293</w:t>
        </w:r>
      </w:hyperlink>
    </w:p>
    <w:p>
      <w:pPr>
        <w:spacing w:before="0" w:after="120"/>
      </w:pPr>
      <w:r>
        <w:rPr>
          <w:b/>
        </w:rPr>
        <w:t xml:space="preserve">Notes: </w:t>
      </w:r>
      <w:r>
        <w:t>abstract_source=openalex</w:t>
      </w:r>
    </w:p>
    <w:p>
      <w:pPr>
        <w:spacing w:before="0" w:after="80" w:lineRule="auto" w:line="276"/>
      </w:pPr>
      <w:r>
        <w:rPr>
          <w:b/>
        </w:rPr>
        <w:t xml:space="preserve">摘要（ZH）: </w:t>
      </w:r>
      <w:r>
        <w:t>显示出优先吸附在Na-O-Ce位点而不是Na-O-H基团上。</w:t>
      </w:r>
    </w:p>
    <w:p>
      <w:pPr>
        <w:spacing w:before="0" w:after="200" w:lineRule="auto" w:line="276"/>
      </w:pPr>
      <w:r>
        <w:rPr>
          <w:b/>
        </w:rPr>
        <w:t xml:space="preserve">Abstract (EN): </w:t>
      </w:r>
      <w:r>
        <w:t>is shown to preferentially adsorb at Na-O-Ce sites rather than at Na-O-H groups.</w:t>
      </w:r>
    </w:p>
    <w:p>
      <w:pPr>
        <w:spacing w:before="120" w:after="120"/>
      </w:pPr>
      <w:r>
        <w:rPr>
          <w:sz w:val="18"/>
        </w:rPr>
        <w:t>——————————————————————————————————————————————————————————————————————</w:t>
      </w:r>
    </w:p>
    <w:p>
      <w:pPr>
        <w:spacing w:before="160" w:after="40" w:line="240" w:lineRule="auto"/>
      </w:pPr>
      <w:r>
        <w:rPr>
          <w:b/>
        </w:rPr>
        <w:t xml:space="preserve">[148] </w:t>
      </w:r>
      <w:hyperlink r:id="rId424">
        <w:r>
          <w:rPr>
            <w:color w:val="1155CC"/>
            <w:u w:val="single"/>
          </w:rPr>
          <w:t>[ASAP] 从共面性到共轴性：一种面向线性设计的超高紫外双折射无机晶体范式</w:t>
        </w:r>
      </w:hyperlink>
    </w:p>
    <w:p>
      <w:pPr>
        <w:spacing w:before="0" w:after="80"/>
      </w:pPr>
      <w:r>
        <w:rPr>
          <w:i/>
          <w:sz w:val="20"/>
        </w:rPr>
        <w:t>EN: [ASAP] From Coplanarity to Coaxiality: A Linearity-Oriented Design Paradigm for Ultrahigh Ultraviolet Birefringent Inorganic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2026-05-04 14:57:36+00:00</w:t>
      </w:r>
      <w:r>
        <w:t xml:space="preserve">    </w:t>
      </w:r>
      <w:r>
        <w:rPr>
          <w:b/>
        </w:rPr>
        <w:t xml:space="preserve">DOI: </w:t>
      </w:r>
      <w:hyperlink r:id="rId425">
        <w:r>
          <w:rPr>
            <w:color w:val="1155CC"/>
            <w:u w:val="single"/>
          </w:rPr>
          <w:t>10.1021/jacs.6c04217</w:t>
        </w:r>
      </w:hyperlink>
    </w:p>
    <w:p>
      <w:pPr>
        <w:spacing w:before="0" w:after="120"/>
      </w:pPr>
      <w:r>
        <w:rPr>
          <w:b/>
        </w:rPr>
        <w:t xml:space="preserve">Notes: </w:t>
      </w:r>
      <w:r>
        <w:t>abstract_source=openalex</w:t>
      </w:r>
    </w:p>
    <w:p>
      <w:pPr>
        <w:spacing w:before="0" w:after="80" w:lineRule="auto" w:line="276"/>
      </w:pPr>
      <w:r>
        <w:rPr>
          <w:b/>
        </w:rPr>
        <w:t xml:space="preserve">摘要（ZH）: </w:t>
      </w:r>
      <w:r>
        <w:t>= 0.754在546 nm处，伴随宽带隙超过3.20 eV（分别为3.50和3.53 eV）。结构指纹和响应电子分布各向异性分析建立了线性模块主导系统的全面结构-性质关系，揭示了同轴性而非传统共面性构成了基于线性功能模块构建下一代双折射晶体的决定性结构标准。</w:t>
      </w:r>
    </w:p>
    <w:p>
      <w:pPr>
        <w:spacing w:before="0" w:after="200" w:lineRule="auto" w:line="276"/>
      </w:pPr>
      <w:r>
        <w:rPr>
          <w:b/>
        </w:rPr>
        <w:t xml:space="preserve">Abstract (EN): </w:t>
      </w:r>
      <w:r>
        <w:t>= 0.754 at 546 nm together with wide band gaps exceeding 3.20 eV (3.50 and 3.53 eV, respectively). Structural fingerprint and response electron distribution anisotropy analyses establish a comprehensive structure-property relationship for linear-module-dominant systems, revealing that coaxiality, rather than conventional coplanarity, constitutes the decisive structural criterion for constructing next-generation birefringent crystals based on linear functional modules.</w:t>
      </w:r>
    </w:p>
    <w:p>
      <w:pPr>
        <w:spacing w:before="120" w:after="120"/>
      </w:pPr>
      <w:r>
        <w:rPr>
          <w:sz w:val="18"/>
        </w:rPr>
        <w:t>——————————————————————————————————————————————————————————————————————</w:t>
      </w:r>
    </w:p>
    <w:p>
      <w:pPr>
        <w:spacing w:before="160" w:after="40" w:line="240" w:lineRule="auto"/>
      </w:pPr>
      <w:r>
        <w:rPr>
          <w:b/>
        </w:rPr>
        <w:t xml:space="preserve">[149] </w:t>
      </w:r>
      <w:hyperlink r:id="rId426">
        <w:r>
          <w:rPr>
            <w:color w:val="1155CC"/>
            <w:u w:val="single"/>
          </w:rPr>
          <w:t>[ASAP] 独特的金属-配体质子互变异构现象支持可逆的电催化NAD+/NADH互转</w:t>
        </w:r>
      </w:hyperlink>
    </w:p>
    <w:p>
      <w:pPr>
        <w:spacing w:before="0" w:after="80"/>
      </w:pPr>
      <w:r>
        <w:rPr>
          <w:i/>
          <w:sz w:val="20"/>
        </w:rPr>
        <w:t>EN: [ASAP] Unique Metal–Ligand Proton Tautomerism Underlying the Reversible Electrocatalytic NAD+/NADH Interconversion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2026-05-04 14:58:36+00:00</w:t>
      </w:r>
      <w:r>
        <w:t xml:space="preserve">    </w:t>
      </w:r>
      <w:r>
        <w:rPr>
          <w:b/>
        </w:rPr>
        <w:t xml:space="preserve">DOI: </w:t>
      </w:r>
      <w:hyperlink r:id="rId427">
        <w:r>
          <w:rPr>
            <w:color w:val="1155CC"/>
            <w:u w:val="single"/>
          </w:rPr>
          <w:t>10.1021/jacs.6c00789</w:t>
        </w:r>
      </w:hyperlink>
    </w:p>
    <w:p>
      <w:pPr>
        <w:spacing w:before="0" w:after="120"/>
      </w:pPr>
      <w:r>
        <w:rPr>
          <w:b/>
        </w:rPr>
        <w:t xml:space="preserve">Notes: </w:t>
      </w:r>
      <w:r>
        <w:t>abstract_source=openalex</w:t>
      </w:r>
    </w:p>
    <w:p>
      <w:pPr>
        <w:spacing w:before="0" w:after="80" w:lineRule="auto" w:line="276"/>
      </w:pPr>
      <w:r>
        <w:rPr>
          <w:b/>
        </w:rPr>
        <w:t xml:space="preserve">摘要（ZH）: </w:t>
      </w:r>
      <w:r>
        <w:t>被证明足够稳定，可以通过NMR光谱直接观察它们的相互转化，并量化这种转化的准确热力学和动力学参数。这项工作为这种独特的MLPT在实现可逆电催化中的有益作用提供了有力证据。</w:t>
      </w:r>
    </w:p>
    <w:p>
      <w:pPr>
        <w:spacing w:before="0" w:after="200" w:lineRule="auto" w:line="276"/>
      </w:pPr>
      <w:r>
        <w:rPr>
          <w:b/>
        </w:rPr>
        <w:t xml:space="preserve">Abstract (EN): </w:t>
      </w:r>
      <w:r>
        <w:t>showed to be sufficiently stable to allow direct observation of their interconversion by NMR spectroscopy and quantification of accurate thermodynamic and kinetic parameters for such transformation. This work provides solid evidence for the beneficial role of such unique MLPT in enabling reversible electrocatalysis.</w:t>
      </w:r>
    </w:p>
    <w:p>
      <w:pPr>
        <w:spacing w:before="120" w:after="120"/>
      </w:pPr>
      <w:r>
        <w:rPr>
          <w:sz w:val="18"/>
        </w:rPr>
        <w:t>——————————————————————————————————————————————————————————————————————</w:t>
      </w:r>
    </w:p>
    <w:p>
      <w:pPr>
        <w:spacing w:before="160" w:after="40" w:line="240" w:lineRule="auto"/>
      </w:pPr>
      <w:r>
        <w:rPr>
          <w:b/>
        </w:rPr>
        <w:t xml:space="preserve">[150] </w:t>
      </w:r>
      <w:hyperlink r:id="rId428">
        <w:r>
          <w:rPr>
            <w:color w:val="1155CC"/>
            <w:u w:val="single"/>
          </w:rPr>
          <w:t>[ASAP] 在晶体内合成三重态银氮烯</w:t>
        </w:r>
      </w:hyperlink>
    </w:p>
    <w:p>
      <w:pPr>
        <w:spacing w:before="0" w:after="80"/>
      </w:pPr>
      <w:r>
        <w:rPr>
          <w:i/>
          <w:sz w:val="20"/>
        </w:rPr>
        <w:t>EN: [ASAP] In Crystallo Synthesis of a Triplet Silver Nitrene</w:t>
      </w:r>
    </w:p>
    <w:p>
      <w:pPr>
        <w:spacing w:before="0" w:after="120"/>
      </w:pPr>
      <w:r>
        <w:rPr>
          <w:b/>
        </w:rPr>
        <w:t xml:space="preserve">Source: </w:t>
      </w:r>
      <w:r>
        <w:t>Journal of the American Chemical Society: Latest Articles (ACS Publications)</w:t>
      </w:r>
      <w:r>
        <w:t xml:space="preserve">    </w:t>
      </w:r>
      <w:r>
        <w:rPr>
          <w:b/>
        </w:rPr>
        <w:t xml:space="preserve">Pub date: </w:t>
      </w:r>
      <w:r>
        <w:t>2026-05-04 15:38:44+00:00</w:t>
      </w:r>
      <w:r>
        <w:t xml:space="preserve">    </w:t>
      </w:r>
      <w:r>
        <w:rPr>
          <w:b/>
        </w:rPr>
        <w:t xml:space="preserve">DOI: </w:t>
      </w:r>
      <w:hyperlink r:id="rId429">
        <w:r>
          <w:rPr>
            <w:color w:val="1155CC"/>
            <w:u w:val="single"/>
          </w:rPr>
          <w:t>10.1021/jacs.6c05174</w:t>
        </w:r>
      </w:hyperlink>
    </w:p>
    <w:p>
      <w:pPr>
        <w:spacing w:before="0" w:after="120"/>
      </w:pPr>
      <w:r>
        <w:rPr>
          <w:b/>
        </w:rPr>
        <w:t xml:space="preserve">Notes: </w:t>
      </w:r>
      <w:r>
        <w:t>abstract_source=openalex</w:t>
      </w:r>
    </w:p>
    <w:p>
      <w:pPr>
        <w:spacing w:before="0" w:after="80" w:lineRule="auto" w:line="276"/>
      </w:pPr>
      <w:r>
        <w:rPr>
          <w:b/>
        </w:rPr>
        <w:t xml:space="preserve">摘要（ZH）: </w:t>
      </w:r>
      <w:r>
        <w:t>模板化以分离Ag的单核三重态亚胺，并提供一个平台以实验阐明Ag催化的亚胺转移催化中的配体控制选择性。</w:t>
      </w:r>
    </w:p>
    <w:p>
      <w:pPr>
        <w:spacing w:before="0" w:after="200" w:lineRule="auto" w:line="276"/>
      </w:pPr>
      <w:r>
        <w:rPr>
          <w:b/>
        </w:rPr>
        <w:t xml:space="preserve">Abstract (EN): </w:t>
      </w:r>
      <w:r>
        <w:t>templating to isolate a mononuclear triplet nitrene of Ag and provide a platform to experimentally elucidate ligand-controlled selectivity in Ag-catalyzed nitrene transfer catalysis.</w:t>
      </w:r>
    </w:p>
    <w:p>
      <w:pPr>
        <w:spacing w:before="120" w:after="120"/>
      </w:pPr>
      <w:r>
        <w:rPr>
          <w:sz w:val="18"/>
        </w:rPr>
        <w:t>——————————————————————————————————————————————————————————————————————</w:t>
      </w:r>
    </w:p>
    <w:p>
      <w:pPr>
        <w:spacing w:before="160" w:after="40" w:line="240" w:lineRule="auto"/>
      </w:pPr>
      <w:r>
        <w:rPr>
          <w:b/>
        </w:rPr>
        <w:t xml:space="preserve">[151] </w:t>
      </w:r>
      <w:hyperlink r:id="rId430">
        <w:r>
          <w:rPr>
            <w:color w:val="1155CC"/>
            <w:u w:val="single"/>
          </w:rPr>
          <w:t>[ASAP] 具有聚乙二醇界面的DNA-脂质纳米盘</w:t>
        </w:r>
      </w:hyperlink>
    </w:p>
    <w:p>
      <w:pPr>
        <w:spacing w:before="0" w:after="80"/>
      </w:pPr>
      <w:r>
        <w:rPr>
          <w:i/>
          <w:sz w:val="20"/>
        </w:rPr>
        <w:t>EN: [ASAP] DNA-Lipid Nanodiscs with a Polyethylene Glycol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2026-05-04 16:06:10+00:00</w:t>
      </w:r>
      <w:r>
        <w:t xml:space="preserve">    </w:t>
      </w:r>
      <w:r>
        <w:rPr>
          <w:b/>
        </w:rPr>
        <w:t xml:space="preserve">DOI: </w:t>
      </w:r>
      <w:hyperlink r:id="rId431">
        <w:r>
          <w:rPr>
            <w:color w:val="1155CC"/>
            <w:u w:val="single"/>
          </w:rPr>
          <w:t>10.1021/jacs.6c03471</w:t>
        </w:r>
      </w:hyperlink>
    </w:p>
    <w:p>
      <w:pPr>
        <w:spacing w:before="0" w:after="120"/>
      </w:pPr>
      <w:r>
        <w:rPr>
          <w:b/>
        </w:rPr>
        <w:t xml:space="preserve">Notes: </w:t>
      </w:r>
      <w:r>
        <w:t>abstract_source=pubmed</w:t>
      </w:r>
    </w:p>
    <w:p>
      <w:pPr>
        <w:spacing w:before="0" w:after="80" w:lineRule="auto" w:line="276"/>
      </w:pPr>
      <w:r>
        <w:rPr>
          <w:b/>
        </w:rPr>
        <w:t xml:space="preserve">摘要（ZH）: </w:t>
      </w:r>
      <w:r>
        <w:t>纳米尺度的双层模拟物，如蛋白质或聚合物基纳米盘，是研究脂质双层物理化学或膜蛋白结构和功能的多功能工具。在此，我们介绍了DNA-脂质纳米盘（DLNs），其中疏水脂质和带电DNA之间的界面通过两亲性聚乙二醇（PEG）介导。为此，我们用PEG修饰寡核苷酸，并将其杂交成单链环，形成具有明确直径的功能化小环。这些小环的中心可以通过添加去污剂溶解的脂质然后去除去污剂来填充脂质双层。模拟显示PEG中的亚甲基基团与脂质的酰基链形成动态相互作用，有效地屏蔽了疏水失配。作为复杂膜蛋白嵌入的概念验证，我们将生物素化的突触小泡蛋白跨膜域插入这些纳米盘，并将其与链霉亲和素修饰的量子点结合，作为成功嵌入的标记。我们设想这些原子精确的模块化DNA支架将在未来的膜蛋白和纳米尺度脂质膜研究中广泛应用。</w:t>
      </w:r>
    </w:p>
    <w:p>
      <w:pPr>
        <w:spacing w:before="0" w:after="200" w:lineRule="auto" w:line="276"/>
      </w:pPr>
      <w:r>
        <w:rPr>
          <w:b/>
        </w:rPr>
        <w:t xml:space="preserve">Abstract (EN): </w:t>
      </w:r>
      <w:r>
        <w:t>Nanoscale bilayer mimetics such as protein or polymer-based nanodiscs are versatile tools to study the physical chemistry of lipid bilayers or the structures and functions of membrane proteins. Here, we introduce DNA-lipid nanodiscs (DLNs) in which the interface between hydrophobic lipids and the charged DNA is mediated through amphiphilic poly(ethylene)glycol (PEG). For this, we modified oligonucleotides with PEG and hybridized them to a single-stranded ring to form functionalized minicircles with a well-defined diameter. The center of these minicircles can be filled with a lipid bilayer through addition of detergent-solubilized lipids followed by detergent removal. Simulations reveal that the methylene groups in PEG form dynamic interactions with the acyl chains of lipids, effectively shielding the hydrophobic mismatch. As proof of concept toward incorporation of complex membrane proteins, we inserted the biotinylated transmembrane domain of synaptobrevin into these nanodiscs and bound them to streptavidin-modified quantum dots as a marker for successful incorporation. We envision these atomically precise, modular DNA scaffolds to be widely applicable in future studies of membrane proteins and nanoscale lipid membranes.</w:t>
      </w:r>
    </w:p>
    <w:p>
      <w:pPr>
        <w:spacing w:before="120" w:after="120"/>
      </w:pPr>
      <w:r>
        <w:rPr>
          <w:sz w:val="18"/>
        </w:rPr>
        <w:t>——————————————————————————————————————————————————————————————————————</w:t>
      </w:r>
    </w:p>
    <w:p>
      <w:pPr>
        <w:spacing w:before="160" w:after="40" w:line="240" w:lineRule="auto"/>
      </w:pPr>
      <w:r>
        <w:rPr>
          <w:b/>
        </w:rPr>
        <w:t xml:space="preserve">[152] </w:t>
      </w:r>
      <w:hyperlink r:id="rId432">
        <w:r>
          <w:rPr>
            <w:color w:val="1155CC"/>
            <w:u w:val="single"/>
          </w:rPr>
          <w:t>[ASAP] 立体反转的C–O活化解锁全碳四取代Z-烯烃合成</w:t>
        </w:r>
      </w:hyperlink>
    </w:p>
    <w:p>
      <w:pPr>
        <w:spacing w:before="0" w:after="80"/>
      </w:pPr>
      <w:r>
        <w:rPr>
          <w:i/>
          <w:sz w:val="20"/>
        </w:rPr>
        <w:t>EN: [ASAP] Stereoreversed C–O Activation Unlocks All-Carbon Tetrasubstituted Z-Alkene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2026-05-04 16:09:46+00:00</w:t>
      </w:r>
      <w:r>
        <w:t xml:space="preserve">    </w:t>
      </w:r>
      <w:r>
        <w:rPr>
          <w:b/>
        </w:rPr>
        <w:t xml:space="preserve">DOI: </w:t>
      </w:r>
      <w:hyperlink r:id="rId433">
        <w:r>
          <w:rPr>
            <w:color w:val="1155CC"/>
            <w:u w:val="single"/>
          </w:rPr>
          <w:t>10.1021/jacs.6c05845</w:t>
        </w:r>
      </w:hyperlink>
    </w:p>
    <w:p>
      <w:pPr>
        <w:spacing w:before="0" w:after="120"/>
      </w:pPr>
      <w:r>
        <w:rPr>
          <w:b/>
        </w:rPr>
        <w:t xml:space="preserve">Notes: </w:t>
      </w:r>
      <w:r>
        <w:t>abstract_source=pubmed</w:t>
      </w:r>
    </w:p>
    <w:p>
      <w:pPr>
        <w:spacing w:before="0" w:after="80" w:lineRule="auto" w:line="276"/>
      </w:pPr>
      <w:r>
        <w:rPr>
          <w:b/>
        </w:rPr>
        <w:t xml:space="preserve">摘要（ZH）: </w:t>
      </w:r>
      <w:r>
        <w:t>立体化学定义的全碳四取代烯烃是各种生物活性化合物和有机材料中的关键结构基元。由于碳-碳双键的拥挤性质，控制区域和立体化学仍然是现代合成化学中的一个关键挑战。因此，我们在此披露了一种实用的钴催化立体选择性Negishi交叉偶联反应，通过一种新颖的立体反转C-O键断裂策略，将易得的烯基乙酸酯和有机锌戊酸酯偶联。详细的实验和计算研究强烈表明，立体反转C-O键活化的机制涉及钴(0/II)氧化还原过程，而螯合辅助的二面角旋转事件对于立体化学反转的起源至关重要。此外，简单的钴催化还允许广泛的四取代烯基乙酸酯，无论是非对映异构体混合物还是Z-异构体，进行立体收敛和立体保留转化，从而为全碳四取代Z-烯烃的立体控制合成这一长期挑战提供了一个新的平台。值得注意的是，高产率和立体控制的药物分子简洁合成应突出该技术在药物发现中的潜在应用。</w:t>
      </w:r>
    </w:p>
    <w:p>
      <w:pPr>
        <w:spacing w:before="0" w:after="200" w:lineRule="auto" w:line="276"/>
      </w:pPr>
      <w:r>
        <w:rPr>
          <w:b/>
        </w:rPr>
        <w:t xml:space="preserve">Abstract (EN): </w:t>
      </w:r>
      <w:r>
        <w:t>Stereochemically defined all-carbon tetrasubstituted alkenes are key structural motifs in various bioactive compounds and organic materials. Owing to the congested nature of the carbon-carbon double bond, controlling regio- and stereochemistry still remains a crucial challenge in modern synthetic chemistry. As such, we herein disclose a practical cobalt-catalyzed stereoselective Negishi cross-coupling between readily available alkenyl acetates and organozinc pivalates through a novel stereoreversed C-O bond-cleavage strategy. Detailed experimental and computational studies strongly suggest that the mechanism for stereoreversed C-O-bond activation involves a cobalt(0/II) redox process, whereas the chelation-assisted dihedral rotation event is crucial to the origin of stereochemical inversion. Moreover, the simple cobalt catalysis also allows broad tetrasubstituted alkenyl acetates, either diastereomeric mixtures or Z-isomers, to undergo stereoconvergent and stereoretentive transformations, thus unlocking a new platform for modular and straightforward access to the longstanding challenge of the stereocontrolled synthesis of all-carbon tetrasubstituted Z-alkenes. Notably, the concise synthesis of drug molecules with high yield and stereocontrol should highlight the potential applications of this technology to the drug-discovery setting in medicinal chemistry.</w:t>
      </w:r>
    </w:p>
    <w:p>
      <w:pPr>
        <w:spacing w:before="120" w:after="120"/>
      </w:pPr>
      <w:r>
        <w:rPr>
          <w:sz w:val="18"/>
        </w:rPr>
        <w:t>——————————————————————————————————————————————————————————————————————</w:t>
      </w:r>
    </w:p>
    <w:p>
      <w:pPr>
        <w:spacing w:before="160" w:after="40" w:line="240" w:lineRule="auto"/>
      </w:pPr>
      <w:r>
        <w:rPr>
          <w:b/>
        </w:rPr>
        <w:t xml:space="preserve">[153] </w:t>
      </w:r>
      <w:hyperlink r:id="rId434">
        <w:r>
          <w:rPr>
            <w:color w:val="1155CC"/>
            <w:u w:val="single"/>
          </w:rPr>
          <w:t>[ASAP] 配位客体识别触发共价连接的金属-有机多面体聚合物凝胶的宏观变形</w:t>
        </w:r>
      </w:hyperlink>
    </w:p>
    <w:p>
      <w:pPr>
        <w:spacing w:before="0" w:after="80"/>
      </w:pPr>
      <w:r>
        <w:rPr>
          <w:i/>
          <w:sz w:val="20"/>
        </w:rPr>
        <w:t>EN: [ASAP] Coordinative Guest Recognition Triggers Macroscale Deformation of Covalently Linked Metal–Organic Polyhedra Polymer Gels</w:t>
      </w:r>
    </w:p>
    <w:p>
      <w:pPr>
        <w:spacing w:before="0" w:after="120"/>
      </w:pPr>
      <w:r>
        <w:rPr>
          <w:b/>
        </w:rPr>
        <w:t xml:space="preserve">Source: </w:t>
      </w:r>
      <w:r>
        <w:t>Journal of the American Chemical Society: Latest Articles (ACS Publications)</w:t>
      </w:r>
      <w:r>
        <w:t xml:space="preserve">    </w:t>
      </w:r>
      <w:r>
        <w:rPr>
          <w:b/>
        </w:rPr>
        <w:t xml:space="preserve">Pub date: </w:t>
      </w:r>
      <w:r>
        <w:t>2026-05-04 16:33:48+00:00</w:t>
      </w:r>
      <w:r>
        <w:t xml:space="preserve">    </w:t>
      </w:r>
      <w:r>
        <w:rPr>
          <w:b/>
        </w:rPr>
        <w:t xml:space="preserve">DOI: </w:t>
      </w:r>
      <w:hyperlink r:id="rId435">
        <w:r>
          <w:rPr>
            <w:color w:val="1155CC"/>
            <w:u w:val="single"/>
          </w:rPr>
          <w:t>10.1021/jacs.6c06620</w:t>
        </w:r>
      </w:hyperlink>
    </w:p>
    <w:p>
      <w:pPr>
        <w:spacing w:before="0" w:after="120"/>
      </w:pPr>
      <w:r>
        <w:rPr>
          <w:b/>
        </w:rPr>
        <w:t xml:space="preserve">Notes: </w:t>
      </w:r>
      <w:r>
        <w:t>abstract_source=pubmed</w:t>
      </w:r>
    </w:p>
    <w:p>
      <w:pPr>
        <w:spacing w:before="0" w:after="80" w:lineRule="auto" w:line="276"/>
      </w:pPr>
      <w:r>
        <w:rPr>
          <w:b/>
        </w:rPr>
        <w:t xml:space="preserve">摘要（ZH）: </w:t>
      </w:r>
      <w:r>
        <w:t>分子识别在超分子化学中起着核心作用。分子识别的概念最初源于离散分子系统，现在已扩展到固态软材料；然而，仍然缺乏知识来阐明分子识别事件与宏观性质调节之间的关系。在此，我们展示了一种新型聚合物凝胶，通过利用配位相互作用来区分结构相似的客体。我们的方法使用基于Rh(II)的金属有机多面体（MOPs）作为配位识别位点和交联节点。通过将MOPs与柔性、可变形的聚乙二醇连接，形成了共价连接的MOP聚合物凝胶，同时保留了可访问的配位位点。所得的MOP聚合物凝胶在溶剂交换和客体分子识别时表现出宏观收缩和膨胀行为。具体而言，双位配位客体引起显著的凝胶收缩，而结构相似的非配位客体则导致体积变化微乎其微。这种差异突显了MOP聚合物凝胶在配位识别位点区分客体细微结构差异的能力，并将识别事件传播到宏观收缩。相应地，凝胶的储存模量在客体诱导的收缩时增加，这表明配位客体识别增强了凝胶内的聚合物网络。这些结果建立了配位客体识别之间的相关性</w:t>
      </w:r>
    </w:p>
    <w:p>
      <w:pPr>
        <w:spacing w:before="0" w:after="200" w:lineRule="auto" w:line="276"/>
      </w:pPr>
      <w:r>
        <w:rPr>
          <w:b/>
        </w:rPr>
        <w:t xml:space="preserve">Abstract (EN): </w:t>
      </w:r>
      <w:r>
        <w:t>Molecular recognition plays a central role in supramolecular chemistry. The concept of molecular recognition initially emerged from discrete molecular systems and has now been expanded to solid-state soft materials; however, there remains a lack of knowledge to elucidate the relationship between molecular recognition events and the modulation of macroscale properties. Here, we present a new type of polymer gel that discriminates structurally similar guests by utilizing coordination interactions. Our approach uses Rh(II)-based metal-organic polyhedra (MOPs) as both coordinative recognition sites and cross-linking nodes. By connecting MOPs with flexible, deformable poly(ethylene glycol)s, covalently linked MOP polymer gels are formed while preserving accessible coordination sites. The resulting MOP polymer gels exhibit macroscale shrinkage and swelling behavior in response to solvent exchange and guest molecule recognition. Specifically, ditopic coordinative guests induce significant gel shrinkage, whereas a structurally similar noncoordinative guest results in negligible volumetric changes. This difference highlights the capability of the MOP polymer gel to distinguish subtle structural differences of the guests at the coordinative recognition sites and to propagate the recognition events into macroscale shrinkage. Correspondingly, the storage modulus of the gel increases upon guest-induced shrinkage, which indicates that coordinative guest recognition reinforces the polymer network within the gel. These results establish a correlation between coordinative guest recognition and macroscale changes in the volumetric deformation and mechanical properties of the gels. This covalently linked MOP polymer gel system paves the way for designing stimuli-responsive, functional soft materials.</w:t>
      </w:r>
    </w:p>
    <w:p>
      <w:pPr>
        <w:spacing w:before="120" w:after="120"/>
      </w:pPr>
      <w:r>
        <w:rPr>
          <w:sz w:val="18"/>
        </w:rPr>
        <w:t>——————————————————————————————————————————————————————————————————————</w:t>
      </w:r>
    </w:p>
    <w:p>
      <w:pPr>
        <w:spacing w:before="160" w:after="40" w:line="240" w:lineRule="auto"/>
      </w:pPr>
      <w:r>
        <w:rPr>
          <w:b/>
        </w:rPr>
        <w:t xml:space="preserve">[154] </w:t>
      </w:r>
      <w:hyperlink r:id="rId436">
        <w:r>
          <w:rPr>
            <w:color w:val="1155CC"/>
            <w:u w:val="single"/>
          </w:rPr>
          <w:t>[ASAP] 激光诱导溶液-液体-固体外延生长垂直排列的锗纳米线</w:t>
        </w:r>
      </w:hyperlink>
    </w:p>
    <w:p>
      <w:pPr>
        <w:spacing w:before="0" w:after="80"/>
      </w:pPr>
      <w:r>
        <w:rPr>
          <w:i/>
          <w:sz w:val="20"/>
        </w:rPr>
        <w:t>EN: [ASAP] Laser-Induced Solution–Liquid–Solid Epitaxial Growth of Vertically Aligned Germanium Nanowires</w:t>
      </w:r>
    </w:p>
    <w:p>
      <w:pPr>
        <w:spacing w:before="0" w:after="120"/>
      </w:pPr>
      <w:r>
        <w:rPr>
          <w:b/>
        </w:rPr>
        <w:t xml:space="preserve">Source: </w:t>
      </w:r>
      <w:r>
        <w:t>Journal of the American Chemical Society: Latest Articles (ACS Publications)</w:t>
      </w:r>
      <w:r>
        <w:t xml:space="preserve">    </w:t>
      </w:r>
      <w:r>
        <w:rPr>
          <w:b/>
        </w:rPr>
        <w:t xml:space="preserve">Pub date: </w:t>
      </w:r>
      <w:r>
        <w:t>2026-05-04 16:43:35+00:00</w:t>
      </w:r>
      <w:r>
        <w:t xml:space="preserve">    </w:t>
      </w:r>
      <w:r>
        <w:rPr>
          <w:b/>
        </w:rPr>
        <w:t xml:space="preserve">DOI: </w:t>
      </w:r>
      <w:hyperlink r:id="rId437">
        <w:r>
          <w:rPr>
            <w:color w:val="1155CC"/>
            <w:u w:val="single"/>
          </w:rPr>
          <w:t>10.1021/jacs.6c02133</w:t>
        </w:r>
      </w:hyperlink>
    </w:p>
    <w:p>
      <w:pPr>
        <w:spacing w:before="0" w:after="120"/>
      </w:pPr>
      <w:r>
        <w:rPr>
          <w:b/>
        </w:rPr>
        <w:t xml:space="preserve">Notes: </w:t>
      </w:r>
      <w:r>
        <w:t>abstract_source=pubmed</w:t>
      </w:r>
    </w:p>
    <w:p>
      <w:pPr>
        <w:spacing w:before="0" w:after="80" w:lineRule="auto" w:line="276"/>
      </w:pPr>
      <w:r>
        <w:rPr>
          <w:b/>
        </w:rPr>
        <w:t xml:space="preserve">摘要（ZH）: </w:t>
      </w:r>
      <w:r>
        <w:t>一维半导体的外延生长为具有相干界面和高晶体质量的垂直集成异质结构架构提供了一个引人注目的途径。然而，气相方法通常受热预算限制，并需要复杂的基础设施，而溶液-液体-固体（SLS）合成通常产生结晶性受损和单片集成能力有限的胶体产品。在此，我们报告了一种激光诱导溶液-液体-固体（激光-SLS）合成方法，该方法能够实现垂直排列的单晶锗（Ge）纳米线的外延生长，这是一种用于先进电子应用的IV族半导体。通过在激光-SLS过程中使用铋（Bi）催化剂，获得了具有均匀形态和与基底具有明确外延关系的周期性排列的Ge纳米线阵列。脉冲激光辐照在催化剂-基底界面提供了空间限制的光热加热。这种局部加热促进了前体反应并维持了快速的纳米线生长，而周围的溶液则保持在整体低温。电气测量显示出几乎线性的电流-电压特性，接触电阻低，与纳米线中的高载流子浓度和外延纳米线-基底结一致。通过在低热预算下实现外延纳米线生长，激光-SLS可能为缓解n型Ge中持续的接触挑战提供了一条可行的途径，并支持异质</w:t>
      </w:r>
    </w:p>
    <w:p>
      <w:pPr>
        <w:spacing w:before="0" w:after="200" w:lineRule="auto" w:line="276"/>
      </w:pPr>
      <w:r>
        <w:rPr>
          <w:b/>
        </w:rPr>
        <w:t xml:space="preserve">Abstract (EN): </w:t>
      </w:r>
      <w:r>
        <w:t>Epitaxial growth of one-dimensional semiconductors provides a compelling route to vertically integrated heterostructure architectures with coherent interfaces and a high crystalline quality. However, vapor-phase approaches are typically constrained by the thermal budget and require complex infrastructure, whereas solution-liquid-solid (SLS) syntheses generally yield colloidal products with compromised crystallinity and limited capability for monolithic integration. Here, we report a laser-induced solution-liquid-solid (laser-SLS) synthesis method that enables epitaxial growth of vertically aligned, single-crystalline germanium (Ge) nanowires, a group-IV semiconductor for advanced electronic applications. Through the use of bismuth (Bi) catalysts in the laser-SLS process, periodically ordered Ge nanowire arrays are obtained with uniform morphology and a well-defined epitaxial relationship with the substrate. Pulsed-laser irradiation provides spatially confined photothermal heating at the catalyst-substrate interface. This localized heating promotes the precursor reaction and sustains rapid nanowire growth, while the surrounding solution remains at a globally low temperature. Electrical measurements show nearly linear current-voltage characteristics with low contact resistance, consistent with a high carrier concentration in the nanowires and an epitaxial nanowire-substrate junction. By enabling epitaxial nanowire growth under low thermal budgets, laser-SLS may provide a viable pathway to mitigate persistent contact challenges in n-type Ge and support opportunities for heterogeneous and monolithic integration in advanced CMOS and nanoelectronic technologies.</w:t>
      </w:r>
    </w:p>
    <w:p>
      <w:pPr>
        <w:spacing w:before="120" w:after="120"/>
      </w:pPr>
      <w:r>
        <w:rPr>
          <w:sz w:val="18"/>
        </w:rPr>
        <w:t>——————————————————————————————————————————————————————————————————————</w:t>
      </w:r>
    </w:p>
    <w:p>
      <w:pPr>
        <w:spacing w:before="160" w:after="40" w:line="240" w:lineRule="auto"/>
      </w:pPr>
      <w:r>
        <w:rPr>
          <w:b/>
        </w:rPr>
        <w:t xml:space="preserve">[155] </w:t>
      </w:r>
      <w:hyperlink r:id="rId438">
        <w:r>
          <w:rPr>
            <w:color w:val="1155CC"/>
            <w:u w:val="single"/>
          </w:rPr>
          <w:t>[ASAP] 配体辅助的钯催化C(sp3)–H/C(sp2)–H偶联</w:t>
        </w:r>
      </w:hyperlink>
    </w:p>
    <w:p>
      <w:pPr>
        <w:spacing w:before="0" w:after="80"/>
      </w:pPr>
      <w:r>
        <w:rPr>
          <w:i/>
          <w:sz w:val="20"/>
        </w:rPr>
        <w:t>EN: [ASAP] Ligand-Enabled Pd-Catalyzed C(sp3)–H/C(sp2)–H Coupling</w:t>
      </w:r>
    </w:p>
    <w:p>
      <w:pPr>
        <w:spacing w:before="0" w:after="120"/>
      </w:pPr>
      <w:r>
        <w:rPr>
          <w:b/>
        </w:rPr>
        <w:t xml:space="preserve">Source: </w:t>
      </w:r>
      <w:r>
        <w:t>Journal of the American Chemical Society: Latest Articles (ACS Publications)</w:t>
      </w:r>
      <w:r>
        <w:t xml:space="preserve">    </w:t>
      </w:r>
      <w:r>
        <w:rPr>
          <w:b/>
        </w:rPr>
        <w:t xml:space="preserve">Pub date: </w:t>
      </w:r>
      <w:r>
        <w:t>2026-05-04 18:10:56+00:00</w:t>
      </w:r>
      <w:r>
        <w:t xml:space="preserve">    </w:t>
      </w:r>
      <w:r>
        <w:rPr>
          <w:b/>
        </w:rPr>
        <w:t xml:space="preserve">DOI: </w:t>
      </w:r>
      <w:hyperlink r:id="rId439">
        <w:r>
          <w:rPr>
            <w:color w:val="1155CC"/>
            <w:u w:val="single"/>
          </w:rPr>
          <w:t>10.1021/jacs.6c03711</w:t>
        </w:r>
      </w:hyperlink>
    </w:p>
    <w:p>
      <w:pPr>
        <w:spacing w:before="0" w:after="120"/>
      </w:pPr>
      <w:r>
        <w:rPr>
          <w:b/>
        </w:rPr>
        <w:t xml:space="preserve">Notes: </w:t>
      </w:r>
      <w:r>
        <w:t>abstract_source=pubmed</w:t>
      </w:r>
    </w:p>
    <w:p>
      <w:pPr>
        <w:spacing w:before="0" w:after="80" w:lineRule="auto" w:line="276"/>
      </w:pPr>
      <w:r>
        <w:rPr>
          <w:b/>
        </w:rPr>
        <w:t xml:space="preserve">摘要（ZH）: </w:t>
      </w:r>
      <w:r>
        <w:t>近年来，钯催化的自由羧酸与芳基硼试剂和芳基碘化物的β和γ-C-H芳基化得到了广泛的发展。用简单的芳烃替代这些芳基偶联伙伴仍然是一个重大挑战。通过开发吡啶酮-吗啉配体，我们揭示了使用苯、呋喃、噻吩和C-2取代吡啶作为偶联伙伴的非环状脂肪酸的β-亚甲基C-H（杂）芳基化和环烷烃羧酸的γ-（杂）芳基化。初步的机制研究表明，反应通过配体促进的脂肪羧酸脱氢、（杂）芳烃的C(sp2)-H活化和随后的氢芳基化进行。基于机制见解，我们开发了一种双配体催化系统，一个配体促进脱氢，另一个增强后续步骤，以实现C(sp3)-H键与吲哚和吡咯作为反应伙伴的偶联。</w:t>
      </w:r>
    </w:p>
    <w:p>
      <w:pPr>
        <w:spacing w:before="0" w:after="200" w:lineRule="auto" w:line="276"/>
      </w:pPr>
      <w:r>
        <w:rPr>
          <w:b/>
        </w:rPr>
        <w:t xml:space="preserve">Abstract (EN): </w:t>
      </w:r>
      <w:r>
        <w:t>Palladium-catalyzed β and γ-C-H arylation of free carboxylic acids with both aryl boron reagents and aryl iodides has been extensively developed in recent years. Replacing these aryl coupling partners with simple arenes remains a significant challenge. By developing pyridone-morpholine ligands, we disclosed the β-methylene C-H (hetero)arylation of acyclic aliphatic acids and the γ-(hetero)arylation of cycloalkane carboxylic acids using benzene, furan, thiophene, and C-2 substituted pyridine as coupling partners. Preliminary mechanistic studies suggest that the reaction proceeds via ligand-promoted dehydrogenation of aliphatic carboxylic acids, C(sp2)-H activation of (hetero)arenes, and subsequent hydroarylation. Building on the mechanistic insights, we developed a dual-ligand catalysis system with one ligand promoting dehydrogenation and the other enhancing subsequent steps to enable coupling of C(sp3)-H bonds with indoles and pyrroles as reaction partners.</w:t>
      </w:r>
    </w:p>
    <w:p>
      <w:pPr>
        <w:spacing w:before="120" w:after="120"/>
      </w:pPr>
      <w:r>
        <w:rPr>
          <w:sz w:val="18"/>
        </w:rPr>
        <w:t>——————————————————————————————————————————————————————————————————————</w:t>
      </w:r>
    </w:p>
    <w:p>
      <w:pPr>
        <w:spacing w:before="160" w:after="40" w:line="240" w:lineRule="auto"/>
      </w:pPr>
      <w:r>
        <w:rPr>
          <w:b/>
        </w:rPr>
        <w:t xml:space="preserve">[156] </w:t>
      </w:r>
      <w:hyperlink r:id="rId440">
        <w:r>
          <w:rPr>
            <w:color w:val="1155CC"/>
            <w:u w:val="single"/>
          </w:rPr>
          <w:t>涉及双自由基的光化学重排的最新进展</w:t>
        </w:r>
      </w:hyperlink>
    </w:p>
    <w:p>
      <w:pPr>
        <w:spacing w:before="0" w:after="80"/>
      </w:pPr>
      <w:r>
        <w:rPr>
          <w:i/>
          <w:sz w:val="20"/>
        </w:rPr>
        <w:t>EN: Recent advances in photochemical rearrangements involving diradicals</w:t>
      </w:r>
    </w:p>
    <w:p>
      <w:pPr>
        <w:spacing w:before="0" w:after="120"/>
      </w:pPr>
      <w:r>
        <w:rPr>
          <w:b/>
        </w:rPr>
        <w:t xml:space="preserve">Source: </w:t>
      </w:r>
      <w:r>
        <w:t>RSC - Chem. Soc. Rev. latest articles</w:t>
      </w:r>
      <w:r>
        <w:t xml:space="preserve">    </w:t>
      </w:r>
      <w:r>
        <w:rPr>
          <w:b/>
        </w:rPr>
        <w:t xml:space="preserve">Pub date: </w:t>
      </w:r>
      <w:r>
        <w:t>2026-05-04 23:00:00+00:00</w:t>
      </w:r>
    </w:p>
    <w:p>
      <w:pPr>
        <w:spacing w:before="0" w:after="120"/>
      </w:pPr>
      <w:r>
        <w:rPr>
          <w:b/>
        </w:rPr>
        <w:t xml:space="preserve">Notes: </w:t>
      </w:r>
      <w:r>
        <w:t>abstract_source=rsc_html</w:t>
      </w:r>
    </w:p>
    <w:p>
      <w:pPr>
        <w:spacing w:before="0" w:after="80" w:lineRule="auto" w:line="276"/>
      </w:pPr>
      <w:r>
        <w:rPr>
          <w:b/>
        </w:rPr>
        <w:t xml:space="preserve">摘要（ZH）: </w:t>
      </w:r>
      <w:r>
        <w:t>通过双自由基中间体的光化学重排代表了现代有机合成中的一种变革性范式，通过基于自由基的骨架重塑提供了对分子结构的无与伦比的控制。这篇综合性综述提出了一个统一的机制框架，用于理解和利用这些强大的转化，系统地将它们分类为三大类：（1）促进战略性分子增长的环扩展过程，（2）用于复杂性生成的环收缩反应，以及（3）跨越小到中型系统的可编程环构建。最近在可见光介导的光化学方面的突破极大地扩大了这些转化的范围，实现了显著的效率和选择性。我们通过在天然产物合成和功能材料设计中的变革性应用展示了这些进展，特色案例研究展示了通过创新的双自由基策略组装的复杂分子目标。展望未来，我们确定了三个关键增长领域：（1）能量转移催化与双自由基反应性的协同整合，（2）由可见光驱动的可持续光化学重排的发展，以及（3）用于机制预测和反应优化的计算工具的实施。这篇综述既是关于基本机制的权威参考，也是未来创新的战略指南，弥合了理论理解与这一快速发展的领域中的实际合成应用之间的差距。</w:t>
      </w:r>
    </w:p>
    <w:p>
      <w:pPr>
        <w:spacing w:before="0" w:after="200" w:lineRule="auto" w:line="276"/>
      </w:pPr>
      <w:r>
        <w:rPr>
          <w:b/>
        </w:rPr>
        <w:t xml:space="preserve">Abstract (EN): </w:t>
      </w:r>
      <w:r>
        <w:t>Photochemical rearrangements through diradical intermediates represent a transformative paradigm in modern organic synthesis, offering unparalleled control over molecular architecture through radical-based skeletal remodeling. This comprehensive review presents a unified mechanistic framework for understanding and exploiting these powerful transformations, systematically categorizing them into three key classes: (1) ring-expanding processes that facilitate strategic molecular growth, (2) ring-contracting reactions for complexity generation, and (3) programmable ring constructions spanning small to medium-sized systems. Recent breakthroughs in visible-light mediated photochemistry have dramatically expanded the scope of these transformations, achieving remarkable levels of efficiency and selectivity. We showcase these advances through transformative applications in natural product synthesis and functional materials design, featuring case studies of complex molecular targets assembled via innovative diradical strategies. Looking forward, we identify three key growth areas: (1) synergistic integration of energy transfer catalysis with diradical reactivity, (2) the development of sustainable photochemical rearrangements powered by visible light, and (3) implementation of computational tools for mechanistic prediction and reaction optimization This review serves both as an authoritative reference on fundamental mechanisms and as a strategic guide for future innovation, bridging the gap between theoretical understanding and practical synthetic applications in this rapidly evolving field.</w:t>
      </w:r>
    </w:p>
    <w:p>
      <w:pPr>
        <w:spacing w:before="120" w:after="120"/>
      </w:pPr>
      <w:r>
        <w:rPr>
          <w:sz w:val="18"/>
        </w:rPr>
        <w:t>——————————————————————————————————————————————————————————————————————</w:t>
      </w:r>
    </w:p>
    <w:p>
      <w:pPr>
        <w:spacing w:before="160" w:after="40" w:line="240" w:lineRule="auto"/>
      </w:pPr>
      <w:r>
        <w:rPr>
          <w:b/>
        </w:rPr>
        <w:t xml:space="preserve">[157] </w:t>
      </w:r>
      <w:hyperlink r:id="rId441">
        <w:r>
          <w:rPr>
            <w:color w:val="1155CC"/>
            <w:u w:val="single"/>
          </w:rPr>
          <w:t>更正：晶格化学阻尼稳定性使锂富层状氧化物的电压稳定性和氧化还原可逆性得以实现</w:t>
        </w:r>
      </w:hyperlink>
    </w:p>
    <w:p>
      <w:pPr>
        <w:spacing w:before="0" w:after="80"/>
      </w:pPr>
      <w:r>
        <w:rPr>
          <w:i/>
          <w:sz w:val="20"/>
        </w:rPr>
        <w:t>EN: Correction: Lattice chemistry damping stabilization enables voltage stability and oxygen redox reversibility in Li-rich layered oxides</w:t>
      </w:r>
    </w:p>
    <w:p>
      <w:pPr>
        <w:spacing w:before="0" w:after="120"/>
      </w:pPr>
      <w:r>
        <w:rPr>
          <w:b/>
        </w:rPr>
        <w:t xml:space="preserve">Source: </w:t>
      </w:r>
      <w:r>
        <w:t>RSC - Energy Environ. Sci. latest articles</w:t>
      </w:r>
      <w:r>
        <w:t xml:space="preserve">    </w:t>
      </w:r>
      <w:r>
        <w:rPr>
          <w:b/>
        </w:rPr>
        <w:t xml:space="preserve">Pub date: </w:t>
      </w:r>
      <w:r>
        <w:t>2026-05-04 23:00:00+00:00</w:t>
      </w:r>
    </w:p>
    <w:p>
      <w:pPr>
        <w:spacing w:before="0" w:after="120"/>
      </w:pPr>
      <w:r>
        <w:rPr>
          <w:b/>
        </w:rPr>
        <w:t xml:space="preserve">Notes: </w:t>
      </w:r>
      <w:r>
        <w:t>abstract_source=rsc_html</w:t>
      </w:r>
    </w:p>
    <w:p>
      <w:pPr>
        <w:spacing w:before="0" w:after="80" w:lineRule="auto" w:line="276"/>
      </w:pPr>
      <w:r>
        <w:rPr>
          <w:b/>
        </w:rPr>
        <w:t xml:space="preserve">摘要（ZH）: </w:t>
      </w:r>
      <w:r>
        <w:t>对Lingcai Zeng等人在《Energy Environ. Sci.》上发表的“晶格化学阻尼稳定性使富锂层状氧化物的电压稳定性和氧化还原可逆性成为可能”的更正，2026, 19, 1642–1657, https://doi.org/10.1039/D5EE06116D。</w:t>
      </w:r>
    </w:p>
    <w:p>
      <w:pPr>
        <w:spacing w:before="0" w:after="200" w:lineRule="auto" w:line="276"/>
      </w:pPr>
      <w:r>
        <w:rPr>
          <w:b/>
        </w:rPr>
        <w:t xml:space="preserve">Abstract (EN): </w:t>
      </w:r>
      <w:r>
        <w:t>Correction for ‘Lattice chemistry damping stabilization enables voltage stability and oxygen redox reversibility in Li-rich layered oxides’ by Lingcai Zeng et al., Energy Environ. Sci., 2026, 19, 1642–1657, https://doi.org/10.1039/D5EE06116D.</w:t>
      </w:r>
    </w:p>
    <w:p>
      <w:pPr>
        <w:spacing w:before="120" w:after="120"/>
      </w:pPr>
      <w:r>
        <w:rPr>
          <w:sz w:val="18"/>
        </w:rPr>
        <w:t>——————————————————————————————————————————————————————————————————————</w:t>
      </w:r>
    </w:p>
    <w:p>
      <w:pPr>
        <w:spacing w:before="160" w:after="40" w:line="240" w:lineRule="auto"/>
      </w:pPr>
      <w:r>
        <w:rPr>
          <w:b/>
        </w:rPr>
        <w:t xml:space="preserve">[158] </w:t>
      </w:r>
      <w:hyperlink r:id="rId442">
        <w:r>
          <w:rPr>
            <w:color w:val="1155CC"/>
            <w:u w:val="single"/>
          </w:rPr>
          <w:t>用于中枢神经系统疾病的刺激响应纳米平台：整合递送、调节和成像</w:t>
        </w:r>
      </w:hyperlink>
    </w:p>
    <w:p>
      <w:pPr>
        <w:spacing w:before="0" w:after="80"/>
      </w:pPr>
      <w:r>
        <w:rPr>
          <w:i/>
          <w:sz w:val="20"/>
        </w:rPr>
        <w:t>EN: Stimuli-responsive nanoplatforms for central nervous system disorders: integrating delivery, modulation, and imaging</w:t>
      </w:r>
    </w:p>
    <w:p>
      <w:pPr>
        <w:spacing w:before="0" w:after="120"/>
      </w:pPr>
      <w:r>
        <w:rPr>
          <w:b/>
        </w:rPr>
        <w:t xml:space="preserve">Source: </w:t>
      </w:r>
      <w:r>
        <w:t>RSC - Chem. Soc. Rev. latest articles</w:t>
      </w:r>
      <w:r>
        <w:t xml:space="preserve">    </w:t>
      </w:r>
      <w:r>
        <w:rPr>
          <w:b/>
        </w:rPr>
        <w:t xml:space="preserve">Pub date: </w:t>
      </w:r>
      <w:r>
        <w:t>2026-05-04 23:00:00+00:00</w:t>
      </w:r>
    </w:p>
    <w:p>
      <w:pPr>
        <w:spacing w:before="0" w:after="120"/>
      </w:pPr>
      <w:r>
        <w:rPr>
          <w:b/>
        </w:rPr>
        <w:t xml:space="preserve">Notes: </w:t>
      </w:r>
      <w:r>
        <w:t>abstract_source=rsc_html</w:t>
      </w:r>
    </w:p>
    <w:p>
      <w:pPr>
        <w:spacing w:before="0" w:after="80" w:lineRule="auto" w:line="276"/>
      </w:pPr>
      <w:r>
        <w:rPr>
          <w:b/>
        </w:rPr>
        <w:t xml:space="preserve">摘要（ZH）: </w:t>
      </w:r>
      <w:r>
        <w:t>刺激响应型纳米平台通过成功穿越血脑屏障，实现对治疗激活的时空控制，同时提供可测量的成像读数以进行实时监测，从而重塑了中枢神经系统（CNS）治疗的格局。本文综述了对关键内源性信号，特别是氧化还原、pH值和酶信号响应的纳米平台的合理设计，并讨论了外源性物理刺激（包括光、超声波、磁场和电场）通过实时反馈操作的治疗效果。除了被动药物递送之外，这些集成系统还具备主动感知局部微环境的能力，并利用特定的分子信号进行结构成像，从而使临床医生能够个性化药物剂量和刺激时间以优化输出。最后，我们通过分析当前的试验和监管障碍，讨论了临床转化的实际步骤，并强调人工智能如何预测结构-功能关系并提高成像清晰度。与可扩展制造相结合时，这些工具有望促进脑适应性设计向可行的临床疗法的转化。</w:t>
      </w:r>
    </w:p>
    <w:p>
      <w:pPr>
        <w:spacing w:before="0" w:after="200" w:lineRule="auto" w:line="276"/>
      </w:pPr>
      <w:r>
        <w:rPr>
          <w:b/>
        </w:rPr>
        <w:t xml:space="preserve">Abstract (EN): </w:t>
      </w:r>
      <w:r>
        <w:t>Stimuli-responsive nanoplatforms have been reforming the landscape of central nervous system (CNS) therapeutics by successfully crossing the blood–brain barrier to allow spatiotemporal control over therapeutic activation, while simultaneously providing measurable imaging readouts for real-time monitoring. This review presents the rational design of nanoplatforms responsive to key endogenous cues, especially redox, pH and enzymatic signals, and discusses the therapeutic effects of exogenous physical stimuli, including light, ultrasound, magnetic and electrical fields, operated via real-time feedback. Beyond passive drug delivery, these integrated systems are endowed with the capacity to actively sense the localized microenvironment and utilize specific molecular signals for structural imaging, thereby enabling clinicians to personalize both drug dosimetry and stimulation timing for optimized outputs. Finally, we discuss the practical steps toward clinical translation by analyzing current trials and regulatory hurdles, and highlight how artificial intelligence can predict structure–function relationships and improve imaging clarity. When paired with scalable manufacturing, these tools are expected to promote the translation of brain-adaptive designs into viable clinical therapies.</w:t>
      </w:r>
    </w:p>
    <w:p>
      <w:pPr>
        <w:spacing w:before="120" w:after="120"/>
      </w:pPr>
      <w:r>
        <w:rPr>
          <w:sz w:val="18"/>
        </w:rPr>
        <w:t>——————————————————————————————————————————————————————————————————————</w:t>
      </w:r>
    </w:p>
    <w:p>
      <w:pPr>
        <w:spacing w:before="160" w:after="40" w:line="240" w:lineRule="auto"/>
      </w:pPr>
      <w:r>
        <w:rPr>
          <w:b/>
        </w:rPr>
        <w:t xml:space="preserve">[159] </w:t>
      </w:r>
      <w:hyperlink r:id="rId443">
        <w:r>
          <w:rPr>
            <w:color w:val="1155CC"/>
            <w:u w:val="single"/>
          </w:rPr>
          <w:t>用于肿瘤浸润免疫细胞生物成像的光学探针及其在癌症免疫治疗中的应用</w:t>
        </w:r>
      </w:hyperlink>
    </w:p>
    <w:p>
      <w:pPr>
        <w:spacing w:before="0" w:after="80"/>
      </w:pPr>
      <w:r>
        <w:rPr>
          <w:i/>
          <w:sz w:val="20"/>
        </w:rPr>
        <w:t>EN: Optical probes for bioimaging of tumor-infiltrating immune cells and their applications in cancer immunotherapy</w:t>
      </w:r>
    </w:p>
    <w:p>
      <w:pPr>
        <w:spacing w:before="0" w:after="120"/>
      </w:pPr>
      <w:r>
        <w:rPr>
          <w:b/>
        </w:rPr>
        <w:t xml:space="preserve">Source: </w:t>
      </w:r>
      <w:r>
        <w:t>RSC - Chem. Soc. Rev. latest articles</w:t>
      </w:r>
      <w:r>
        <w:t xml:space="preserve">    </w:t>
      </w:r>
      <w:r>
        <w:rPr>
          <w:b/>
        </w:rPr>
        <w:t xml:space="preserve">Pub date: </w:t>
      </w:r>
      <w:r>
        <w:t>2026-05-04 23:00:00+00:00</w:t>
      </w:r>
    </w:p>
    <w:p>
      <w:pPr>
        <w:spacing w:before="0" w:after="120"/>
      </w:pPr>
      <w:r>
        <w:rPr>
          <w:b/>
        </w:rPr>
        <w:t xml:space="preserve">Notes: </w:t>
      </w:r>
      <w:r>
        <w:t>abstract_source=rsc_html</w:t>
      </w:r>
    </w:p>
    <w:p>
      <w:pPr>
        <w:spacing w:before="0" w:after="80" w:lineRule="auto" w:line="276"/>
      </w:pPr>
      <w:r>
        <w:rPr>
          <w:b/>
        </w:rPr>
        <w:t xml:space="preserve">摘要（ZH）: </w:t>
      </w:r>
      <w:r>
        <w:t>肿瘤浸润免疫细胞（TIICs）在肿瘤微环境（TME）中的作用对肿瘤发展至关重要。TIICs在肿瘤组织中的精确定位及其生物过程的阐明对于肿瘤的诊断、治疗和预后至关重要。目前，具有高特异性、灵敏度和时空分辨率的光学探针已成为精确定位TIICs及研究其生物功能的强大工具。此外，具有这些特性的光学生物材料的可修改性使其能够根据不同的设计策略促进TIICs的多样化和精确定位以及生物过程的监测。本文综述了源自光学生物材料的光学探针的最新进展，包括TIICs靶向光学探针的设计策略、其在精确TIICs定位和生物过程监测中的应用。此外，我们强调了其与免疫治疗整合的重要性，分析了导致调节性T细胞（Tregs）光学探针发展受限的潜在因素，并系统地讨论了其在肿瘤诊断和治疗中快速发展的机遇和挑战。</w:t>
      </w:r>
    </w:p>
    <w:p>
      <w:pPr>
        <w:spacing w:before="0" w:after="200" w:lineRule="auto" w:line="276"/>
      </w:pPr>
      <w:r>
        <w:rPr>
          <w:b/>
        </w:rPr>
        <w:t xml:space="preserve">Abstract (EN): </w:t>
      </w:r>
      <w:r>
        <w:t>The role of tumor-infiltrating immune cells (TIICs) in the tumor microenvironment (TME) is crucial in tumor development. The precise localization of TIICs within tumor tissues and the elucidation of their biological processes are critical for tumor diagnosis, treatment, and prognosis. Currently, optical probes with high specificity, sensitivity, and spatiotemporal resolution have emerged as powerful tools for the precise localization of TIICs and the investigation of their biological functions. In addition, the modifiability of optical biomaterials with these characteristics enables them to facilitate diverse and precise localization of TIICs and the monitoring of biological processes according to different design strategies. This review summarizes recent advancements in optical probes derived from optical biomaterials, including design strategies for TIIC-targeted optical probes, their applications in precise TIIC localization, and biological process monitoring. Furthermore, we emphasize the importance of their integration with immunotherapy, analyze the underlying factors contributing to the limited development of optical probes for regulatory T cells (Tregs), and systematically discuss the opportunities and challenges associated with their rapid advancement in tumor diagnosis and treatment.</w:t>
      </w:r>
    </w:p>
    <w:p>
      <w:pPr>
        <w:spacing w:before="120" w:after="120"/>
      </w:pPr>
      <w:r>
        <w:rPr>
          <w:sz w:val="18"/>
        </w:rPr>
        <w:t>——————————————————————————————————————————————————————————————————————</w:t>
      </w:r>
    </w:p>
    <w:p>
      <w:pPr>
        <w:spacing w:before="160" w:after="40" w:line="240" w:lineRule="auto"/>
      </w:pPr>
      <w:r>
        <w:rPr>
          <w:b/>
        </w:rPr>
        <w:t xml:space="preserve">[160] </w:t>
      </w:r>
      <w:hyperlink r:id="rId444">
        <w:r>
          <w:rPr>
            <w:color w:val="1155CC"/>
            <w:u w:val="single"/>
          </w:rPr>
          <w:t>研究中的AI代理：当生产力以学徒制为代价时</w:t>
        </w:r>
      </w:hyperlink>
    </w:p>
    <w:p>
      <w:pPr>
        <w:spacing w:before="0" w:after="80"/>
      </w:pPr>
      <w:r>
        <w:rPr>
          <w:i/>
          <w:sz w:val="20"/>
        </w:rPr>
        <w:t>EN: AI agents in research: when productivity comes at the cost of apprenticeship</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45">
        <w:r>
          <w:rPr>
            <w:color w:val="1155CC"/>
            <w:u w:val="single"/>
          </w:rPr>
          <w:t>10.1038/d41586-026-01440-9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446">
        <w:r>
          <w:rPr>
            <w:color w:val="1155CC"/>
            <w:u w:val="single"/>
          </w:rPr>
          <w:t>能源危机导致的化肥短缺如何威胁粮食安全</w:t>
        </w:r>
      </w:hyperlink>
    </w:p>
    <w:p>
      <w:pPr>
        <w:spacing w:before="0" w:after="80"/>
      </w:pPr>
      <w:r>
        <w:rPr>
          <w:i/>
          <w:sz w:val="20"/>
        </w:rPr>
        <w:t>EN: How fertilizer shortages caused by the energy crisis threaten food security</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47">
        <w:r>
          <w:rPr>
            <w:color w:val="1155CC"/>
            <w:u w:val="single"/>
          </w:rPr>
          <w:t>10.1038/d41586-026-01409-8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448">
        <w:r>
          <w:rPr>
            <w:color w:val="1155CC"/>
            <w:u w:val="single"/>
          </w:rPr>
          <w:t>量子‘温度计’测量活体癌细胞内部温度</w:t>
        </w:r>
      </w:hyperlink>
    </w:p>
    <w:p>
      <w:pPr>
        <w:spacing w:before="0" w:after="80"/>
      </w:pPr>
      <w:r>
        <w:rPr>
          <w:i/>
          <w:sz w:val="20"/>
        </w:rPr>
        <w:t>EN: Quantum ‘thermometer’ takes temperatures inside living cancer cells</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49">
        <w:r>
          <w:rPr>
            <w:color w:val="1155CC"/>
            <w:u w:val="single"/>
          </w:rPr>
          <w:t>10.1038/d41586-026-01444-5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450">
        <w:r>
          <w:rPr>
            <w:color w:val="1155CC"/>
            <w:u w:val="single"/>
          </w:rPr>
          <w:t>通过凸优化-小波变换方法在无人机应用中进行燃料电池的在线滚动参数识别</w:t>
        </w:r>
      </w:hyperlink>
    </w:p>
    <w:p>
      <w:pPr>
        <w:spacing w:before="0" w:after="80"/>
      </w:pPr>
      <w:r>
        <w:rPr>
          <w:i/>
          <w:sz w:val="20"/>
        </w:rPr>
        <w:t>EN: Online rolling parameter identification of fuel cells in unmanned aerial vehicle applications via a convex optimization-wavelet transform method</w:t>
      </w:r>
    </w:p>
    <w:p>
      <w:pPr>
        <w:spacing w:before="0" w:after="120"/>
      </w:pPr>
      <w:r>
        <w:rPr>
          <w:b/>
        </w:rPr>
        <w:t xml:space="preserve">Source: </w:t>
      </w:r>
      <w:r>
        <w:t>ScienceDirect Publication: Applied Energy</w:t>
      </w:r>
      <w:r>
        <w:t xml:space="preserve">    </w:t>
      </w:r>
      <w:r>
        <w:rPr>
          <w:b/>
        </w:rPr>
        <w:t xml:space="preserve">Pub date: </w:t>
      </w:r>
      <w:r>
        <w:t>2026-05-05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451">
        <w:r>
          <w:rPr>
            <w:color w:val="1155CC"/>
            <w:u w:val="single"/>
          </w:rPr>
          <w:t>认识拒绝使用生成式AI的学者</w:t>
        </w:r>
      </w:hyperlink>
    </w:p>
    <w:p>
      <w:pPr>
        <w:spacing w:before="0" w:after="80"/>
      </w:pPr>
      <w:r>
        <w:rPr>
          <w:i/>
          <w:sz w:val="20"/>
        </w:rPr>
        <w:t>EN: Meet the academics refusing to use generative AI</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52">
        <w:r>
          <w:rPr>
            <w:color w:val="1155CC"/>
            <w:u w:val="single"/>
          </w:rPr>
          <w:t>10.1038/d41586-026-00508-w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453">
        <w:r>
          <w:rPr>
            <w:color w:val="1155CC"/>
            <w:u w:val="single"/>
          </w:rPr>
          <w:t>基于流致振动的能量收集技术综述</w:t>
        </w:r>
      </w:hyperlink>
    </w:p>
    <w:p>
      <w:pPr>
        <w:spacing w:before="0" w:after="80"/>
      </w:pPr>
      <w:r>
        <w:rPr>
          <w:i/>
          <w:sz w:val="20"/>
        </w:rPr>
        <w:t>EN: A review of energy harvesting techniques based on flow-induced vibrations</w:t>
      </w:r>
    </w:p>
    <w:p>
      <w:pPr>
        <w:spacing w:before="0" w:after="120"/>
      </w:pPr>
      <w:r>
        <w:rPr>
          <w:b/>
        </w:rPr>
        <w:t xml:space="preserve">Source: </w:t>
      </w:r>
      <w:r>
        <w:t>ScienceDirect Publication: Applied Energy</w:t>
      </w:r>
      <w:r>
        <w:t xml:space="preserve">    </w:t>
      </w:r>
      <w:r>
        <w:rPr>
          <w:b/>
        </w:rPr>
        <w:t xml:space="preserve">Pub date: </w:t>
      </w:r>
      <w:r>
        <w:t>2026-05-05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454">
        <w:r>
          <w:rPr>
            <w:color w:val="1155CC"/>
            <w:u w:val="single"/>
          </w:rPr>
          <w:t>通过惰性气体保护的低温像差校正TEM对空气和电子束敏感材料的原子成像</w:t>
        </w:r>
      </w:hyperlink>
    </w:p>
    <w:p>
      <w:pPr>
        <w:spacing w:before="0" w:after="80"/>
      </w:pPr>
      <w:r>
        <w:rPr>
          <w:i/>
          <w:sz w:val="20"/>
        </w:rPr>
        <w:t>EN: Atomic imaging of air- and electron-beam-sensitive materials by inert-gas-protected cryogenic aberration-corrected TEM</w:t>
      </w:r>
    </w:p>
    <w:p>
      <w:pPr>
        <w:spacing w:before="0" w:after="120"/>
      </w:pPr>
      <w:r>
        <w:rPr>
          <w:b/>
        </w:rPr>
        <w:t xml:space="preserve">Source: </w:t>
      </w:r>
      <w:r>
        <w:t>National Science Review Advance Access</w:t>
      </w:r>
      <w:r>
        <w:t xml:space="preserve">    </w:t>
      </w:r>
      <w:r>
        <w:rPr>
          <w:b/>
        </w:rPr>
        <w:t xml:space="preserve">Pub date: </w:t>
      </w:r>
      <w:r>
        <w:t>2026-05-05 00:00:00+00:00</w:t>
      </w:r>
      <w:r>
        <w:t xml:space="preserve">    </w:t>
      </w:r>
      <w:r>
        <w:rPr>
          <w:b/>
        </w:rPr>
        <w:t xml:space="preserve">DOI: </w:t>
      </w:r>
      <w:hyperlink r:id="rId455">
        <w:r>
          <w:rPr>
            <w:color w:val="1155CC"/>
            <w:u w:val="single"/>
          </w:rPr>
          <w:t>10.1093/nsr/nwag225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456">
        <w:r>
          <w:rPr>
            <w:color w:val="1155CC"/>
            <w:u w:val="single"/>
          </w:rPr>
          <w:t>多少科学文献是由AI生成的？</w:t>
        </w:r>
      </w:hyperlink>
    </w:p>
    <w:p>
      <w:pPr>
        <w:spacing w:before="0" w:after="80"/>
      </w:pPr>
      <w:r>
        <w:rPr>
          <w:i/>
          <w:sz w:val="20"/>
        </w:rPr>
        <w:t>EN: How much of the scientific literature is generated by AI?</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57">
        <w:r>
          <w:rPr>
            <w:color w:val="1155CC"/>
            <w:u w:val="single"/>
          </w:rPr>
          <w:t>10.1038/d41586-025-03504-8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458">
        <w:r>
          <w:rPr>
            <w:color w:val="1155CC"/>
            <w:u w:val="single"/>
          </w:rPr>
          <w:t>每日简报：谁需要睾酮疗法？</w:t>
        </w:r>
      </w:hyperlink>
    </w:p>
    <w:p>
      <w:pPr>
        <w:spacing w:before="0" w:after="80"/>
      </w:pPr>
      <w:r>
        <w:rPr>
          <w:i/>
          <w:sz w:val="20"/>
        </w:rPr>
        <w:t>EN: Daily briefing: Who needs testosterone therapy?</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59">
        <w:r>
          <w:rPr>
            <w:color w:val="1155CC"/>
            <w:u w:val="single"/>
          </w:rPr>
          <w:t>10.1038/d41586-026-01470-3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460">
        <w:r>
          <w:rPr>
            <w:color w:val="1155CC"/>
            <w:u w:val="single"/>
          </w:rPr>
          <w:t>对神经形态计算过去十年的反思</w:t>
        </w:r>
      </w:hyperlink>
    </w:p>
    <w:p>
      <w:pPr>
        <w:spacing w:before="0" w:after="80"/>
      </w:pPr>
      <w:r>
        <w:rPr>
          <w:i/>
          <w:sz w:val="20"/>
        </w:rPr>
        <w:t>EN: Reflections on the past decade of neuromorphic computing</w:t>
      </w:r>
    </w:p>
    <w:p>
      <w:pPr>
        <w:spacing w:before="0" w:after="120"/>
      </w:pPr>
      <w:r>
        <w:rPr>
          <w:b/>
        </w:rPr>
        <w:t xml:space="preserve">Source: </w:t>
      </w:r>
      <w:r>
        <w:t>Nature Reviews Materials</w:t>
      </w:r>
      <w:r>
        <w:t xml:space="preserve">    </w:t>
      </w:r>
      <w:r>
        <w:rPr>
          <w:b/>
        </w:rPr>
        <w:t xml:space="preserve">Pub date: </w:t>
      </w:r>
      <w:r>
        <w:t>2026-05-05 00:00:00+00:00</w:t>
      </w:r>
      <w:r>
        <w:t xml:space="preserve">    </w:t>
      </w:r>
      <w:r>
        <w:rPr>
          <w:b/>
        </w:rPr>
        <w:t xml:space="preserve">DOI: </w:t>
      </w:r>
      <w:hyperlink r:id="rId461">
        <w:r>
          <w:rPr>
            <w:color w:val="1155CC"/>
            <w:u w:val="single"/>
          </w:rPr>
          <w:t>10.1038/s41578-026-00924-4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462">
        <w:r>
          <w:rPr>
            <w:color w:val="1155CC"/>
            <w:u w:val="single"/>
          </w:rPr>
          <w:t>冶金不相容金属连接的动力学路径</w:t>
        </w:r>
      </w:hyperlink>
    </w:p>
    <w:p>
      <w:pPr>
        <w:spacing w:before="0" w:after="80"/>
      </w:pPr>
      <w:r>
        <w:rPr>
          <w:i/>
          <w:sz w:val="20"/>
        </w:rPr>
        <w:t>EN: Kinetic pathways for joining metallurgically incompatible metals</w:t>
      </w:r>
    </w:p>
    <w:p>
      <w:pPr>
        <w:spacing w:before="0" w:after="120"/>
      </w:pPr>
      <w:r>
        <w:rPr>
          <w:b/>
        </w:rPr>
        <w:t xml:space="preserve">Source: </w:t>
      </w:r>
      <w:r>
        <w:t>Nature Reviews Materials</w:t>
      </w:r>
      <w:r>
        <w:t xml:space="preserve">    </w:t>
      </w:r>
      <w:r>
        <w:rPr>
          <w:b/>
        </w:rPr>
        <w:t xml:space="preserve">Pub date: </w:t>
      </w:r>
      <w:r>
        <w:t>2026-05-05 00:00:00+00:00</w:t>
      </w:r>
      <w:r>
        <w:t xml:space="preserve">    </w:t>
      </w:r>
      <w:r>
        <w:rPr>
          <w:b/>
        </w:rPr>
        <w:t xml:space="preserve">DOI: </w:t>
      </w:r>
      <w:hyperlink r:id="rId463">
        <w:r>
          <w:rPr>
            <w:color w:val="1155CC"/>
            <w:u w:val="single"/>
          </w:rPr>
          <w:t>10.1038/s41578-026-00922-6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464">
        <w:r>
          <w:rPr>
            <w:color w:val="1155CC"/>
            <w:u w:val="single"/>
          </w:rPr>
          <w:t>优化长远目标：能源系统优化路径中的方法学挑战</w:t>
        </w:r>
      </w:hyperlink>
    </w:p>
    <w:p>
      <w:pPr>
        <w:spacing w:before="0" w:after="80"/>
      </w:pPr>
      <w:r>
        <w:rPr>
          <w:i/>
          <w:sz w:val="20"/>
        </w:rPr>
        <w:t>EN: Optimising for the long game: methodological challenges in energy system optimisation pathways</w:t>
      </w:r>
    </w:p>
    <w:p>
      <w:pPr>
        <w:spacing w:before="0" w:after="120"/>
      </w:pPr>
      <w:r>
        <w:rPr>
          <w:b/>
        </w:rPr>
        <w:t xml:space="preserve">Source: </w:t>
      </w:r>
      <w:r>
        <w:t>ScienceDirect Publication: Applied Energy</w:t>
      </w:r>
      <w:r>
        <w:t xml:space="preserve">    </w:t>
      </w:r>
      <w:r>
        <w:rPr>
          <w:b/>
        </w:rPr>
        <w:t xml:space="preserve">Pub date: </w:t>
      </w:r>
      <w:r>
        <w:t>2026-05-05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465">
        <w:r>
          <w:rPr>
            <w:color w:val="1155CC"/>
            <w:u w:val="single"/>
          </w:rPr>
          <w:t>引导硫而不使其结晶</w:t>
        </w:r>
      </w:hyperlink>
    </w:p>
    <w:p>
      <w:pPr>
        <w:spacing w:before="0" w:after="80"/>
      </w:pPr>
      <w:r>
        <w:rPr>
          <w:i/>
          <w:sz w:val="20"/>
        </w:rPr>
        <w:t>EN: Guiding sulfur without crystallizing it</w:t>
      </w:r>
    </w:p>
    <w:p>
      <w:pPr>
        <w:spacing w:before="0" w:after="120"/>
      </w:pPr>
      <w:r>
        <w:rPr>
          <w:b/>
        </w:rPr>
        <w:t xml:space="preserve">Source: </w:t>
      </w:r>
      <w:r>
        <w:t>Nature Materials</w:t>
      </w:r>
      <w:r>
        <w:t xml:space="preserve">    </w:t>
      </w:r>
      <w:r>
        <w:rPr>
          <w:b/>
        </w:rPr>
        <w:t xml:space="preserve">Pub date: </w:t>
      </w:r>
      <w:r>
        <w:t>2026-05-05 00:00:00+00:00</w:t>
      </w:r>
      <w:r>
        <w:t xml:space="preserve">    </w:t>
      </w:r>
      <w:r>
        <w:rPr>
          <w:b/>
        </w:rPr>
        <w:t xml:space="preserve">DOI: </w:t>
      </w:r>
      <w:hyperlink r:id="rId466">
        <w:r>
          <w:rPr>
            <w:color w:val="1155CC"/>
            <w:u w:val="single"/>
          </w:rPr>
          <w:t>10.1038/s41563-026-02520-x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467">
        <w:r>
          <w:rPr>
            <w:color w:val="1155CC"/>
            <w:u w:val="single"/>
          </w:rPr>
          <w:t>昆虫的法律权利：无刺蜂保护的全球迫切需求</w:t>
        </w:r>
      </w:hyperlink>
    </w:p>
    <w:p>
      <w:pPr>
        <w:spacing w:before="0" w:after="80"/>
      </w:pPr>
      <w:r>
        <w:rPr>
          <w:i/>
          <w:sz w:val="20"/>
        </w:rPr>
        <w:t>EN: Legal rights for insects: a global imperative for stingless-bee conservation</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68">
        <w:r>
          <w:rPr>
            <w:color w:val="1155CC"/>
            <w:u w:val="single"/>
          </w:rPr>
          <w:t>10.1038/d41586-026-01441-8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469">
        <w:r>
          <w:rPr>
            <w:color w:val="1155CC"/>
            <w:u w:val="single"/>
          </w:rPr>
          <w:t>溶剂介导的电化学乙炔半氢化用于连续生产聚合物级乙烯</w:t>
        </w:r>
      </w:hyperlink>
    </w:p>
    <w:p>
      <w:pPr>
        <w:spacing w:before="0" w:after="80"/>
      </w:pPr>
      <w:r>
        <w:rPr>
          <w:i/>
          <w:sz w:val="20"/>
        </w:rPr>
        <w:t>EN: Solvent-mediated electrochemical acetylene semihydrogenation for continuous production of polymer-grade ethylene</w:t>
      </w:r>
    </w:p>
    <w:p>
      <w:pPr>
        <w:spacing w:before="0" w:after="120"/>
      </w:pPr>
      <w:r>
        <w:rPr>
          <w:b/>
        </w:rPr>
        <w:t xml:space="preserve">Source: </w:t>
      </w:r>
      <w:r>
        <w:t>Chem</w:t>
      </w:r>
      <w:r>
        <w:t xml:space="preserve">    </w:t>
      </w:r>
      <w:r>
        <w:rPr>
          <w:b/>
        </w:rPr>
        <w:t xml:space="preserve">Pub date: </w:t>
      </w:r>
      <w:r>
        <w:t>2026-05-05 00:00:00+00:00</w:t>
      </w:r>
      <w:r>
        <w:t xml:space="preserve">    </w:t>
      </w:r>
      <w:r>
        <w:rPr>
          <w:b/>
        </w:rPr>
        <w:t xml:space="preserve">DOI: </w:t>
      </w:r>
      <w:hyperlink r:id="rId470">
        <w:r>
          <w:rPr>
            <w:color w:val="1155CC"/>
            <w:u w:val="single"/>
          </w:rPr>
          <w:t>10.1016/j.chempr.2026.103063</w:t>
        </w:r>
      </w:hyperlink>
    </w:p>
    <w:p>
      <w:pPr>
        <w:spacing w:before="0" w:after="120"/>
      </w:pPr>
      <w:r>
        <w:rPr>
          <w:b/>
        </w:rPr>
        <w:t xml:space="preserve">Notes: </w:t>
      </w:r>
      <w:r>
        <w:t>abstract_source=rss_cell</w:t>
      </w:r>
    </w:p>
    <w:p>
      <w:pPr>
        <w:spacing w:before="0" w:after="80" w:lineRule="auto" w:line="276"/>
      </w:pPr>
      <w:r>
        <w:rPr>
          <w:b/>
        </w:rPr>
        <w:t xml:space="preserve">摘要（ZH）: </w:t>
      </w:r>
      <w:r>
        <w:t>我们报告了一种连续的液相平台，该平台结合了乙炔的溶剂吸收与原位电化学转化，在温和条件下将乙炔合成乙烯。该平台技术兼容多种溶剂（包括水）、催化剂和氢源。该方法解决了溶剂吸收法的技术瓶颈，同时将大宗乙炔升级为高价值的乙烯。本研究为从石油基生产线中提纯乙烯和从煤基生产线中生产乙烯提供了替代途径。</w:t>
      </w:r>
    </w:p>
    <w:p>
      <w:pPr>
        <w:spacing w:before="0" w:after="200" w:lineRule="auto" w:line="276"/>
      </w:pPr>
      <w:r>
        <w:rPr>
          <w:b/>
        </w:rPr>
        <w:t xml:space="preserve">Abstract (EN): </w:t>
      </w:r>
      <w:r>
        <w:t>We report a continuous, liquid-phase platform that combines solvent absorption of acetylene with in situ electrochemical transformation to synthesize ethylene from acetylene under mild conditions. This platform technology is compatible with a wide range of solvents (including water), catalysts, and hydrogen sources. This approach addresses the technical bottlenecks of the solvent-absorption method while upgrading bulk acetylene into high-value ethylene. This study offers alternative routes to ethylene purification from petroleum-based lines and to ethylene production from coal-based lines.</w:t>
      </w:r>
    </w:p>
    <w:p>
      <w:pPr>
        <w:spacing w:before="120" w:after="120"/>
      </w:pPr>
      <w:r>
        <w:rPr>
          <w:sz w:val="18"/>
        </w:rPr>
        <w:t>——————————————————————————————————————————————————————————————————————</w:t>
      </w:r>
    </w:p>
    <w:p>
      <w:pPr>
        <w:spacing w:before="160" w:after="40" w:line="240" w:lineRule="auto"/>
      </w:pPr>
      <w:r>
        <w:rPr>
          <w:b/>
        </w:rPr>
        <w:t xml:space="preserve">[175] </w:t>
      </w:r>
      <w:hyperlink r:id="rId471">
        <w:r>
          <w:rPr>
            <w:color w:val="1155CC"/>
            <w:u w:val="single"/>
          </w:rPr>
          <w:t>调控钴相演变以实现高效合成气转化为轻质烯烃</w:t>
        </w:r>
      </w:hyperlink>
    </w:p>
    <w:p>
      <w:pPr>
        <w:spacing w:before="0" w:after="80"/>
      </w:pPr>
      <w:r>
        <w:rPr>
          <w:i/>
          <w:sz w:val="20"/>
        </w:rPr>
        <w:t>EN: Steering cobalt phase evolution for efficient syngas-to-light-olefin conversion</w:t>
      </w:r>
    </w:p>
    <w:p>
      <w:pPr>
        <w:spacing w:before="0" w:after="120"/>
      </w:pPr>
      <w:r>
        <w:rPr>
          <w:b/>
        </w:rPr>
        <w:t xml:space="preserve">Source: </w:t>
      </w:r>
      <w:r>
        <w:t>Chem</w:t>
      </w:r>
      <w:r>
        <w:t xml:space="preserve">    </w:t>
      </w:r>
      <w:r>
        <w:rPr>
          <w:b/>
        </w:rPr>
        <w:t xml:space="preserve">Pub date: </w:t>
      </w:r>
      <w:r>
        <w:t>2026-05-05 00:00:00+00:00</w:t>
      </w:r>
      <w:r>
        <w:t xml:space="preserve">    </w:t>
      </w:r>
      <w:r>
        <w:rPr>
          <w:b/>
        </w:rPr>
        <w:t xml:space="preserve">DOI: </w:t>
      </w:r>
      <w:hyperlink r:id="rId472">
        <w:r>
          <w:rPr>
            <w:color w:val="1155CC"/>
            <w:u w:val="single"/>
          </w:rPr>
          <w:t>10.1016/j.chempr.2026.103067</w:t>
        </w:r>
      </w:hyperlink>
    </w:p>
    <w:p>
      <w:pPr>
        <w:spacing w:before="0" w:after="120"/>
      </w:pPr>
      <w:r>
        <w:rPr>
          <w:b/>
        </w:rPr>
        <w:t xml:space="preserve">Notes: </w:t>
      </w:r>
      <w:r>
        <w:t>abstract_source=rss_cell</w:t>
      </w:r>
    </w:p>
    <w:p>
      <w:pPr>
        <w:spacing w:before="0" w:after="80" w:lineRule="auto" w:line="276"/>
      </w:pPr>
      <w:r>
        <w:rPr>
          <w:b/>
        </w:rPr>
        <w:t xml:space="preserve">摘要（ZH）: </w:t>
      </w:r>
      <w:r>
        <w:t>在最近一期的《Nature》杂志中，Han等人展示了通过将含羟基的促进剂与Co2MnO4前体物理混合，可以将催化剂的演变重定向为协同的斜方Co–Mn氧化物/碳化物工作状态；在250°C–260°C和0.1 MPa下，该系统实现了70%–82%的CO转化率，并具有超过60%的轻烯烃选择性，将基于钴的费托合成（FTO）从单相识别转向动态相集合控制。</w:t>
      </w:r>
    </w:p>
    <w:p>
      <w:pPr>
        <w:spacing w:before="0" w:after="200" w:lineRule="auto" w:line="276"/>
      </w:pPr>
      <w:r>
        <w:rPr>
          <w:b/>
        </w:rPr>
        <w:t xml:space="preserve">Abstract (EN): </w:t>
      </w:r>
      <w:r>
        <w:t>In a recent issue of Nature, Han et al. show that physically mixing hydroxyl-containing promoters with a Co2MnO4 precursor redirects catalyst evolution toward a cooperative anorthic Co–Mn oxide/carbide working state; at 250°C–260°C and 0.1 MPa, this system achieves 70%–82% CO conversion with &gt;60% light-olefin selectivity, shifting cobalt-based Fischer-Tropsch to olefin (FTO) synthesis from single-phase identification to dynamic phase-ensemble control.</w:t>
      </w:r>
    </w:p>
    <w:p>
      <w:pPr>
        <w:spacing w:before="120" w:after="120"/>
      </w:pPr>
      <w:r>
        <w:rPr>
          <w:sz w:val="18"/>
        </w:rPr>
        <w:t>——————————————————————————————————————————————————————————————————————</w:t>
      </w:r>
    </w:p>
    <w:p>
      <w:pPr>
        <w:spacing w:before="160" w:after="40" w:line="240" w:lineRule="auto"/>
      </w:pPr>
      <w:r>
        <w:rPr>
          <w:b/>
        </w:rPr>
        <w:t xml:space="preserve">[176] </w:t>
      </w:r>
      <w:hyperlink r:id="rId473">
        <w:r>
          <w:rPr>
            <w:color w:val="1155CC"/>
            <w:u w:val="single"/>
          </w:rPr>
          <w:t>2021-2050年全球190个国家的糖尿病经济负担：一项宏观经济建模研究</w:t>
        </w:r>
      </w:hyperlink>
    </w:p>
    <w:p>
      <w:pPr>
        <w:spacing w:before="0" w:after="80"/>
      </w:pPr>
      <w:r>
        <w:rPr>
          <w:i/>
          <w:sz w:val="20"/>
        </w:rPr>
        <w:t>EN: The global economic burden of diabetes for 190 countries 2021-50: a macroeconomic modelling study</w:t>
      </w:r>
    </w:p>
    <w:p>
      <w:pPr>
        <w:spacing w:before="0" w:after="120"/>
      </w:pPr>
      <w:r>
        <w:rPr>
          <w:b/>
        </w:rPr>
        <w:t xml:space="preserve">Source: </w:t>
      </w:r>
      <w:r>
        <w:t>Nature Communications</w:t>
      </w:r>
      <w:r>
        <w:t xml:space="preserve">    </w:t>
      </w:r>
      <w:r>
        <w:rPr>
          <w:b/>
        </w:rPr>
        <w:t xml:space="preserve">Pub date: </w:t>
      </w:r>
      <w:r>
        <w:t>2026-05-05 00:00:00+00:00</w:t>
      </w:r>
      <w:r>
        <w:t xml:space="preserve">    </w:t>
      </w:r>
      <w:r>
        <w:rPr>
          <w:b/>
        </w:rPr>
        <w:t xml:space="preserve">DOI: </w:t>
      </w:r>
      <w:hyperlink r:id="rId474">
        <w:r>
          <w:rPr>
            <w:color w:val="1155CC"/>
            <w:u w:val="single"/>
          </w:rPr>
          <w:t>10.1038/s41467-026-72694-0</w:t>
        </w:r>
      </w:hyperlink>
    </w:p>
    <w:p>
      <w:pPr>
        <w:spacing w:before="0" w:after="120"/>
      </w:pPr>
      <w:r>
        <w:rPr>
          <w:b/>
        </w:rPr>
        <w:t xml:space="preserve">Notes: </w:t>
      </w:r>
      <w:r>
        <w:t>abstract_source=nature_html</w:t>
      </w:r>
    </w:p>
    <w:p>
      <w:pPr>
        <w:spacing w:before="0" w:after="80" w:lineRule="auto" w:line="276"/>
      </w:pPr>
      <w:r>
        <w:rPr>
          <w:b/>
        </w:rPr>
        <w:t xml:space="preserve">摘要（ZH）: </w:t>
      </w:r>
      <w:r>
        <w:t>糖尿病带来了巨大的健康负担，但其宏观经济后果仍未完全量化。在此，我们使用一个健康增强的宏观经济模型来估算2021年至2050年间糖尿病在190个国家和地区造成的产出损失。我们预计，在此期间，糖尿病可能会使全球累计产出减少5.177万亿国际美元，各国GDP份额的相对损失存在显著异质性。国家层面的负担差异显著，反映了人口趋势、宏观经济状况、糖尿病患病率、卫生系统能力和治疗成本的异质性。大多数预计的产出损失归因于糖尿病相关的残疾，而非过早死亡。在这项工作中，我们提供了糖尿病长期宏观经济负担的跨国可比估计，以指导预防、治疗政策和相关投资的优先级。</w:t>
      </w:r>
    </w:p>
    <w:p>
      <w:pPr>
        <w:spacing w:before="0" w:after="200" w:lineRule="auto" w:line="276"/>
      </w:pPr>
      <w:r>
        <w:rPr>
          <w:b/>
        </w:rPr>
        <w:t xml:space="preserve">Abstract (EN): </w:t>
      </w:r>
      <w:r>
        <w:t>Diabetes imposes a substantial health burden, yet its macroeconomic consequences remain incompletely quantified. Here we use a health-augmented macroeconomic model to estimate output losses attributable to diabetes across 190 countries and territories during 2021–2050. We project that diabetes could reduce cumulative global output by 5.177 trillion international dollars over this period, with substantial heterogeneity in relative losses as a share of GDP across countries. Country-level burdens vary markedly, reflecting heterogeneity in demographic trends, macroeconomic conditions, diabetes prevalence, health-system capacity and treatment costs. Most projected output loss is attributable to diabetes-related disability rather than premature mortality. In this work, we provide comparable cross-country estimates of the long-run macroeconomic burden of diabetes, informing prioritization of prevention, treatment policies, and related investments.</w:t>
      </w:r>
    </w:p>
    <w:p>
      <w:pPr>
        <w:spacing w:before="120" w:after="120"/>
      </w:pPr>
      <w:r>
        <w:rPr>
          <w:sz w:val="18"/>
        </w:rPr>
        <w:t>——————————————————————————————————————————————————————————————————————</w:t>
      </w:r>
    </w:p>
    <w:p>
      <w:pPr>
        <w:spacing w:before="160" w:after="40" w:line="240" w:lineRule="auto"/>
      </w:pPr>
      <w:r>
        <w:rPr>
          <w:b/>
        </w:rPr>
        <w:t xml:space="preserve">[177] </w:t>
      </w:r>
      <w:hyperlink r:id="rId475">
        <w:r>
          <w:rPr>
            <w:color w:val="1155CC"/>
            <w:u w:val="single"/>
          </w:rPr>
          <w:t>睾酮疗法正在流行。谁真正需要它，为什么？</w:t>
        </w:r>
      </w:hyperlink>
    </w:p>
    <w:p>
      <w:pPr>
        <w:spacing w:before="0" w:after="80"/>
      </w:pPr>
      <w:r>
        <w:rPr>
          <w:i/>
          <w:sz w:val="20"/>
        </w:rPr>
        <w:t>EN: Testosterone therapy is trending. Who really needs it, and why?</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76">
        <w:r>
          <w:rPr>
            <w:color w:val="1155CC"/>
            <w:u w:val="single"/>
          </w:rPr>
          <w:t>10.1038/d41586-026-01408-9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477">
        <w:r>
          <w:rPr>
            <w:color w:val="1155CC"/>
            <w:u w:val="single"/>
          </w:rPr>
          <w:t>NIH拨款削减对少数族裔和女性科学家的影响尤为严重</w:t>
        </w:r>
      </w:hyperlink>
    </w:p>
    <w:p>
      <w:pPr>
        <w:spacing w:before="0" w:after="80"/>
      </w:pPr>
      <w:r>
        <w:rPr>
          <w:i/>
          <w:sz w:val="20"/>
        </w:rPr>
        <w:t>EN: NIH grant cuts disproportionately hit minority and female scientists</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78">
        <w:r>
          <w:rPr>
            <w:color w:val="1155CC"/>
            <w:u w:val="single"/>
          </w:rPr>
          <w:t>10.1038/d41586-026-01426-7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479">
        <w:r>
          <w:rPr>
            <w:color w:val="1155CC"/>
            <w:u w:val="single"/>
          </w:rPr>
          <w:t>要超越GDP，不要忽视环境经济学家</w:t>
        </w:r>
      </w:hyperlink>
    </w:p>
    <w:p>
      <w:pPr>
        <w:spacing w:before="0" w:after="80"/>
      </w:pPr>
      <w:r>
        <w:rPr>
          <w:i/>
          <w:sz w:val="20"/>
        </w:rPr>
        <w:t>EN: To move beyond GDP, don’t ignore environmental economists</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80">
        <w:r>
          <w:rPr>
            <w:color w:val="1155CC"/>
            <w:u w:val="single"/>
          </w:rPr>
          <w:t>10.1038/d41586-026-01299-w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481">
        <w:r>
          <w:rPr>
            <w:color w:val="1155CC"/>
            <w:u w:val="single"/>
          </w:rPr>
          <w:t>奇妙的显微镜在伦敦派对上给客人留下深刻印象</w:t>
        </w:r>
      </w:hyperlink>
    </w:p>
    <w:p>
      <w:pPr>
        <w:spacing w:before="0" w:after="80"/>
      </w:pPr>
      <w:r>
        <w:rPr>
          <w:i/>
          <w:sz w:val="20"/>
        </w:rPr>
        <w:t>EN: Marvellous microscopes impress guests at a London party</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82">
        <w:r>
          <w:rPr>
            <w:color w:val="1155CC"/>
            <w:u w:val="single"/>
          </w:rPr>
          <w:t>10.1038/d41586-026-01333-x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483">
        <w:r>
          <w:rPr>
            <w:color w:val="1155CC"/>
            <w:u w:val="single"/>
          </w:rPr>
          <w:t>极地熊毛的分层结构维持低温韧性</w:t>
        </w:r>
      </w:hyperlink>
    </w:p>
    <w:p>
      <w:pPr>
        <w:spacing w:before="0" w:after="80"/>
      </w:pPr>
      <w:r>
        <w:rPr>
          <w:i/>
          <w:sz w:val="20"/>
        </w:rPr>
        <w:t>EN: Hierarchical architecture sustains low-temperature toughness in polar bear hair</w:t>
      </w:r>
    </w:p>
    <w:p>
      <w:pPr>
        <w:spacing w:before="0" w:after="120"/>
      </w:pPr>
      <w:r>
        <w:rPr>
          <w:b/>
        </w:rPr>
        <w:t xml:space="preserve">Source: </w:t>
      </w:r>
      <w:r>
        <w:t>Matter</w:t>
      </w:r>
      <w:r>
        <w:t xml:space="preserve">    </w:t>
      </w:r>
      <w:r>
        <w:rPr>
          <w:b/>
        </w:rPr>
        <w:t xml:space="preserve">Pub date: </w:t>
      </w:r>
      <w:r>
        <w:t>2026-05-05 00:00:00+00:00</w:t>
      </w:r>
      <w:r>
        <w:t xml:space="preserve">    </w:t>
      </w:r>
      <w:r>
        <w:rPr>
          <w:b/>
        </w:rPr>
        <w:t xml:space="preserve">DOI: </w:t>
      </w:r>
      <w:hyperlink r:id="rId484">
        <w:r>
          <w:rPr>
            <w:color w:val="1155CC"/>
            <w:u w:val="single"/>
          </w:rPr>
          <w:t>10.1016/j.matt.2026.102814</w:t>
        </w:r>
      </w:hyperlink>
    </w:p>
    <w:p>
      <w:pPr>
        <w:spacing w:before="0" w:after="120"/>
      </w:pPr>
      <w:r>
        <w:rPr>
          <w:b/>
        </w:rPr>
        <w:t xml:space="preserve">Notes: </w:t>
      </w:r>
      <w:r>
        <w:t>abstract_source=rss_cell</w:t>
      </w:r>
    </w:p>
    <w:p>
      <w:pPr>
        <w:spacing w:before="0" w:after="80" w:lineRule="auto" w:line="276"/>
      </w:pPr>
      <w:r>
        <w:rPr>
          <w:b/>
        </w:rPr>
        <w:t xml:space="preserve">摘要（ZH）: </w:t>
      </w:r>
      <w:r>
        <w:t>北极熊的毛发即使在−80°C时仍然异常坚韧，这得益于其分层的纤维结构，能够保持多尺度变形和能量耗散。这项研究表明，低温韧性可以源于结构设计，为必须在极端寒冷中保持机械可靠性的合成材料提供了仿生学线索。</w:t>
      </w:r>
    </w:p>
    <w:p>
      <w:pPr>
        <w:spacing w:before="0" w:after="200" w:lineRule="auto" w:line="276"/>
      </w:pPr>
      <w:r>
        <w:rPr>
          <w:b/>
        </w:rPr>
        <w:t xml:space="preserve">Abstract (EN): </w:t>
      </w:r>
      <w:r>
        <w:t>Polar bear hair remains exceptionally tough even at −80°C through a hierarchical fibrous architecture that preserves multiscale deformation and energy dissipation. This study shows that low-temperature toughness can arise from structural design, offering bioinspired clues for synthetic materials that must remain mechanically reliable in extreme cold.</w:t>
      </w:r>
    </w:p>
    <w:p>
      <w:pPr>
        <w:spacing w:before="120" w:after="120"/>
      </w:pPr>
      <w:r>
        <w:rPr>
          <w:sz w:val="18"/>
        </w:rPr>
        <w:t>——————————————————————————————————————————————————————————————————————</w:t>
      </w:r>
    </w:p>
    <w:p>
      <w:pPr>
        <w:spacing w:before="160" w:after="40" w:line="240" w:lineRule="auto"/>
      </w:pPr>
      <w:r>
        <w:rPr>
          <w:b/>
        </w:rPr>
        <w:t xml:space="preserve">[182] </w:t>
      </w:r>
      <w:hyperlink r:id="rId485">
        <w:r>
          <w:rPr>
            <w:color w:val="1155CC"/>
            <w:u w:val="single"/>
          </w:rPr>
          <w:t>受木工启发的界面用于改善电子和热传输</w:t>
        </w:r>
      </w:hyperlink>
    </w:p>
    <w:p>
      <w:pPr>
        <w:spacing w:before="0" w:after="80"/>
      </w:pPr>
      <w:r>
        <w:rPr>
          <w:i/>
          <w:sz w:val="20"/>
        </w:rPr>
        <w:t>EN: Carpentry-inspired interfaces for improved electronic and thermal transport</w:t>
      </w:r>
    </w:p>
    <w:p>
      <w:pPr>
        <w:spacing w:before="0" w:after="120"/>
      </w:pPr>
      <w:r>
        <w:rPr>
          <w:b/>
        </w:rPr>
        <w:t xml:space="preserve">Source: </w:t>
      </w:r>
      <w:r>
        <w:t>Nature Electronics</w:t>
      </w:r>
      <w:r>
        <w:t xml:space="preserve">    </w:t>
      </w:r>
      <w:r>
        <w:rPr>
          <w:b/>
        </w:rPr>
        <w:t xml:space="preserve">Pub date: </w:t>
      </w:r>
      <w:r>
        <w:t>2026-05-05 00:00:00+00:00</w:t>
      </w:r>
      <w:r>
        <w:t xml:space="preserve">    </w:t>
      </w:r>
      <w:r>
        <w:rPr>
          <w:b/>
        </w:rPr>
        <w:t xml:space="preserve">DOI: </w:t>
      </w:r>
      <w:hyperlink r:id="rId486">
        <w:r>
          <w:rPr>
            <w:color w:val="1155CC"/>
            <w:u w:val="single"/>
          </w:rPr>
          <w:t>10.1038/s41928-026-01622-3</w:t>
        </w:r>
      </w:hyperlink>
    </w:p>
    <w:p>
      <w:pPr>
        <w:spacing w:before="0" w:after="120"/>
      </w:pPr>
      <w:r>
        <w:rPr>
          <w:b/>
        </w:rPr>
        <w:t xml:space="preserve">Notes: </w:t>
      </w:r>
      <w:r>
        <w:t>abstract_source=nature_html</w:t>
      </w:r>
    </w:p>
    <w:p>
      <w:pPr>
        <w:spacing w:before="0" w:after="80" w:lineRule="auto" w:line="276"/>
      </w:pPr>
      <w:r>
        <w:rPr>
          <w:b/>
        </w:rPr>
        <w:t xml:space="preserve">摘要（ZH）: </w:t>
      </w:r>
      <w:r>
        <w:t>机械界面——即两种材料简单地压在一起——在电子系统中很常见，但微观表面粗糙度限制了实际接触的面积，造成了电子或声子传输的阻抗。这可能导致电子电路中的焦耳热和电力电子中的散热不良。在此，我们展示了受传统木工接头（如榫卯和指接）启发的机械元界面可以增强界面电子和热传输。这些界面结合了几何驱动的接触力增强和界面应力从压缩转变为剪切的转换，去除了表面介电屏障。作为电气界面的一个例子，我们创建了一个用于电动汽车插头连接器的榫卯接头，其面积归一化电阻仅为商业产品的八分之一。对于热界面，我们创建了一个用于电子冷却的指接界面，其热阻低至2.3 K mm2 W−1，与当前解决方案相比，当用于发光二极管芯片和铜散热器之间时，芯片温度额外降低了44 °C。这些元界面可以通过常规加工作为图案化技术制造，并且易于扩展。</w:t>
      </w:r>
    </w:p>
    <w:p>
      <w:pPr>
        <w:spacing w:before="0" w:after="200" w:lineRule="auto" w:line="276"/>
      </w:pPr>
      <w:r>
        <w:rPr>
          <w:b/>
        </w:rPr>
        <w:t xml:space="preserve">Abstract (EN): </w:t>
      </w:r>
      <w:r>
        <w:t>Mechanical interfaces—in which two materials are simply pressed together—are common in electronic systems, but microscopic surface roughness limits the area that is actually in contact, creating an impedance to electron or phonon transport. This can lead to Joule heating in electronic circuits and poor heat dissipation in power electronics. Here we show that mechanical metainterfaces, which are inspired by traditional carpentry joints such as mortise and tenon and finger joint, can enhance interfacial electronic and thermal transport. The interfaces use geometry-driven contact force augmentation in combination with conversion of interfacial stress from compressive to shear, which removes surface dielectric barriers. As an example for electrical interfaces, we create a mortise–tenon joint used in a plug-in connector for electric vehicles that exhibits one-eighth the area-normalized electrical resistance of its commercial counterparts. For thermal interfaces, we create a finger-joint interface used in electronic cooling that exhibits a thermal resistance as low as 2.3 K mm2 W−1, resulting in an additional chip temperature drop of 44 °C compared with current solutions when used between a light-emitting diode chip and a copper heat sink. The metainterfaces can be made with regular machining as the patterning technique and are readily scalable.</w:t>
      </w:r>
    </w:p>
    <w:p>
      <w:pPr>
        <w:spacing w:before="120" w:after="120"/>
      </w:pPr>
      <w:r>
        <w:rPr>
          <w:sz w:val="18"/>
        </w:rPr>
        <w:t>——————————————————————————————————————————————————————————————————————</w:t>
      </w:r>
    </w:p>
    <w:p>
      <w:pPr>
        <w:spacing w:before="160" w:after="40" w:line="240" w:lineRule="auto"/>
      </w:pPr>
      <w:r>
        <w:rPr>
          <w:b/>
        </w:rPr>
        <w:t xml:space="preserve">[183] </w:t>
      </w:r>
      <w:hyperlink r:id="rId487">
        <w:r>
          <w:rPr>
            <w:color w:val="1155CC"/>
            <w:u w:val="single"/>
          </w:rPr>
          <w:t>显微镜下的胸腺健康</w:t>
        </w:r>
      </w:hyperlink>
    </w:p>
    <w:p>
      <w:pPr>
        <w:spacing w:before="0" w:after="80"/>
      </w:pPr>
      <w:r>
        <w:rPr>
          <w:i/>
          <w:sz w:val="20"/>
        </w:rPr>
        <w:t>EN: Thymic health under the microscope</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88">
        <w:r>
          <w:rPr>
            <w:color w:val="1155CC"/>
            <w:u w:val="single"/>
          </w:rPr>
          <w:t>10.1038/d41586-026-01443-6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489">
        <w:r>
          <w:rPr>
            <w:color w:val="1155CC"/>
            <w:u w:val="single"/>
          </w:rPr>
          <w:t>风滚草式机器人可以在草原上滚动——无需风力</w:t>
        </w:r>
      </w:hyperlink>
    </w:p>
    <w:p>
      <w:pPr>
        <w:spacing w:before="0" w:after="80"/>
      </w:pPr>
      <w:r>
        <w:rPr>
          <w:i/>
          <w:sz w:val="20"/>
        </w:rPr>
        <w:t>EN: Tumbleweed-style robot can roll across the prairie — no wind needed</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90">
        <w:r>
          <w:rPr>
            <w:color w:val="1155CC"/>
            <w:u w:val="single"/>
          </w:rPr>
          <w:t>10.1038/d41586-026-01445-4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491">
        <w:r>
          <w:rPr>
            <w:color w:val="1155CC"/>
            <w:u w:val="single"/>
          </w:rPr>
          <w:t>没有公平性的精准医学只是分层的不平等</w:t>
        </w:r>
      </w:hyperlink>
    </w:p>
    <w:p>
      <w:pPr>
        <w:spacing w:before="0" w:after="80"/>
      </w:pPr>
      <w:r>
        <w:rPr>
          <w:i/>
          <w:sz w:val="20"/>
        </w:rPr>
        <w:t>EN: Precision medicine without equity is just stratified inequality</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92">
        <w:r>
          <w:rPr>
            <w:color w:val="1155CC"/>
            <w:u w:val="single"/>
          </w:rPr>
          <w:t>10.1038/d41586-026-01442-7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[186] </w:t>
      </w:r>
      <w:hyperlink r:id="rId493">
        <w:r>
          <w:rPr>
            <w:color w:val="1155CC"/>
            <w:u w:val="single"/>
          </w:rPr>
          <w:t>观察能源材料的实际表现</w:t>
        </w:r>
      </w:hyperlink>
    </w:p>
    <w:p>
      <w:pPr>
        <w:spacing w:before="0" w:after="80"/>
      </w:pPr>
      <w:r>
        <w:rPr>
          <w:i/>
          <w:sz w:val="20"/>
        </w:rPr>
        <w:t>EN: Observing energy materials in action</w:t>
      </w:r>
    </w:p>
    <w:p>
      <w:pPr>
        <w:spacing w:before="0" w:after="120"/>
      </w:pPr>
      <w:r>
        <w:rPr>
          <w:b/>
        </w:rPr>
        <w:t xml:space="preserve">Source: </w:t>
      </w:r>
      <w:r>
        <w:t>Nature Materials</w:t>
      </w:r>
      <w:r>
        <w:t xml:space="preserve">    </w:t>
      </w:r>
      <w:r>
        <w:rPr>
          <w:b/>
        </w:rPr>
        <w:t xml:space="preserve">Pub date: </w:t>
      </w:r>
      <w:r>
        <w:t>2026-05-05 00:00:00+00:00</w:t>
      </w:r>
      <w:r>
        <w:t xml:space="preserve">    </w:t>
      </w:r>
      <w:r>
        <w:rPr>
          <w:b/>
        </w:rPr>
        <w:t xml:space="preserve">DOI: </w:t>
      </w:r>
      <w:hyperlink r:id="rId494">
        <w:r>
          <w:rPr>
            <w:color w:val="1155CC"/>
            <w:u w:val="single"/>
          </w:rPr>
          <w:t>10.1038/s41563-026-02610-w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[187] </w:t>
      </w:r>
      <w:hyperlink r:id="rId495">
        <w:r>
          <w:rPr>
            <w:color w:val="1155CC"/>
            <w:u w:val="single"/>
          </w:rPr>
          <w:t>对AI资助激增的回应必须将公平性作为卓越的一部分优先考虑</w:t>
        </w:r>
      </w:hyperlink>
    </w:p>
    <w:p>
      <w:pPr>
        <w:spacing w:before="0" w:after="80"/>
      </w:pPr>
      <w:r>
        <w:rPr>
          <w:i/>
          <w:sz w:val="20"/>
        </w:rPr>
        <w:t>EN: Responses to the AI grant flood must prioritize fairness as part of excellence</w:t>
      </w:r>
    </w:p>
    <w:p>
      <w:pPr>
        <w:spacing w:before="0" w:after="120"/>
      </w:pPr>
      <w:r>
        <w:rPr>
          <w:b/>
        </w:rPr>
        <w:t xml:space="preserve">Source: </w:t>
      </w:r>
      <w:r>
        <w:t>Nature</w:t>
      </w:r>
      <w:r>
        <w:t xml:space="preserve">    </w:t>
      </w:r>
      <w:r>
        <w:rPr>
          <w:b/>
        </w:rPr>
        <w:t xml:space="preserve">Pub date: </w:t>
      </w:r>
      <w:r>
        <w:t>2026-05-05 00:00:00+00:00</w:t>
      </w:r>
      <w:r>
        <w:t xml:space="preserve">    </w:t>
      </w:r>
      <w:r>
        <w:rPr>
          <w:b/>
        </w:rPr>
        <w:t xml:space="preserve">DOI: </w:t>
      </w:r>
      <w:hyperlink r:id="rId496">
        <w:r>
          <w:rPr>
            <w:color w:val="1155CC"/>
            <w:u w:val="single"/>
          </w:rPr>
          <w:t>10.1038/d41586-026-01422-x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497">
        <w:r>
          <w:rPr>
            <w:color w:val="1155CC"/>
            <w:u w:val="single"/>
          </w:rPr>
          <w:t>一种低电压多频带可调智能窗，用于自适应热调节</w:t>
        </w:r>
      </w:hyperlink>
    </w:p>
    <w:p>
      <w:pPr>
        <w:spacing w:before="0" w:after="80"/>
      </w:pPr>
      <w:r>
        <w:rPr>
          <w:i/>
          <w:sz w:val="20"/>
        </w:rPr>
        <w:t>EN: A Low‐Voltage Multi‐Band Tunable Smart Window for Self‐Adaptive Thermoregulation</w:t>
      </w:r>
    </w:p>
    <w:p>
      <w:pPr>
        <w:spacing w:before="0" w:after="120"/>
      </w:pPr>
      <w:r>
        <w:rPr>
          <w:b/>
        </w:rPr>
        <w:t xml:space="preserve">Source: </w:t>
      </w:r>
      <w:r>
        <w:t>Wiley: Advanced Materials: Table of Contents</w:t>
      </w:r>
      <w:r>
        <w:t xml:space="preserve">    </w:t>
      </w:r>
      <w:r>
        <w:rPr>
          <w:b/>
        </w:rPr>
        <w:t xml:space="preserve">Pub date: </w:t>
      </w:r>
      <w:r>
        <w:t>2026-05-05 06:31:02+00:00</w:t>
      </w:r>
      <w:r>
        <w:t xml:space="preserve">    </w:t>
      </w:r>
      <w:r>
        <w:rPr>
          <w:b/>
        </w:rPr>
        <w:t xml:space="preserve">DOI: </w:t>
      </w:r>
      <w:hyperlink r:id="rId498">
        <w:r>
          <w:rPr>
            <w:color w:val="1155CC"/>
            <w:u w:val="single"/>
          </w:rPr>
          <w:t>10.1002/adma.73235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一种关键的智能窗技术，聚合物分散液晶（PDLC）在应用中面临两个主要性能限制：高驱动电压和有限的光谱调节。在此，我们开发了一种基于PDLC的智能窗，其在低电压下运行并实现多波段调制。通过引入p-n异质结纳米颗粒，PDLC膜的电光性能显著增强。具体而言，在膜厚为20 µm时，饱和电压降低了35.1%（至16.3 V），对比度提高到130。随后整合W-VO2/PMMA，形成了V-PDLC智能窗。所得设备展示了可切换的长波红外发射率（εLWIR = 0.75在高温下；εLWIR = 0.41在低温下），在保持高可见光透过率和高效近红外调制的同时，实现了被动辐射冷却。现场测试和能量模拟证实，该系统不仅在各种气候区提供有效的温度调节（白天约8°C降温，夜间2°C保温），还展示了显著的节能潜力。这项研究为开发具有自适应和按需调整能力的智能窗提供了宝贵的见解。</w:t>
      </w:r>
    </w:p>
    <w:p>
      <w:pPr>
        <w:spacing w:before="0" w:after="200" w:lineRule="auto" w:line="276"/>
      </w:pPr>
      <w:r>
        <w:rPr>
          <w:b/>
        </w:rPr>
        <w:t xml:space="preserve">Abstract (EN): </w:t>
      </w:r>
      <w:r>
        <w:t>As a crucial smart window technology, polymer‐dispersed liquid crystal (PDLC) faces two major performance limitations in applications: high driving voltage and limited spectral regulation. Herein, we develop a PDLC‐based smart window that operates at low voltage and enables multi‐band modulation. By incorporating p–n heterojunction nanoparticles, the electro‐optical performance of the PDLC film is significantly enhanced. Specifically, a 35.1% reduction in saturation voltage (to 16.3 V) and an increased contrast ratio of 130 were achieved at a film thickness of 20 µm. Subsequent integration of W‐VO</w:t>
      </w:r>
      <w:r>
        <w:rPr>
          <w:vertAlign w:val="subscript"/>
        </w:rPr>
        <w:t>2</w:t>
      </w:r>
      <w:r>
        <w:t>/PMMA resulted in a V‐PDLC smart window. The resulting device demonstrates switchable long‐wave infrared emissivity (ε</w:t>
      </w:r>
      <w:r>
        <w:t xml:space="preserve"> </w:t>
      </w:r>
      <w:r>
        <w:t>LWIR</w:t>
      </w:r>
      <w:r>
        <w:t xml:space="preserve"> </w:t>
      </w:r>
      <w:r>
        <w:t>= 0.75 at high temperature; ε</w:t>
      </w:r>
      <w:r>
        <w:t xml:space="preserve"> </w:t>
      </w:r>
      <w:r>
        <w:t>LWIR</w:t>
      </w:r>
      <w:r>
        <w:t xml:space="preserve"> </w:t>
      </w:r>
      <w:r>
        <w:t>= 0.41 at low temperature), enabling passive radiative cooling while maintaining high visible light transmittance and efficient near‐infrared modulation. Field test and energy simulations confirmed that the system not only provides effective temperature regulation (approximately 8°C cooling during the day and 2°C insulation at night) but also demonstrates significant energy‐saving potential across various climatic zones. This research offers valuable insights for developing smart windows with adaptive and on‐demand adjustment capabilities.</w:t>
      </w:r>
    </w:p>
    <w:p>
      <w:pPr>
        <w:spacing w:before="120" w:after="120"/>
      </w:pPr>
      <w:r>
        <w:rPr>
          <w:sz w:val="18"/>
        </w:rPr>
        <w:t>——————————————————————————————————————————————————————————————————————</w:t>
      </w:r>
    </w:p>
    <w:p>
      <w:pPr>
        <w:spacing w:before="160" w:after="40" w:line="240" w:lineRule="auto"/>
      </w:pPr>
      <w:r>
        <w:rPr>
          <w:b/>
        </w:rPr>
        <w:t xml:space="preserve">[189] </w:t>
      </w:r>
      <w:hyperlink r:id="rId499">
        <w:r>
          <w:rPr>
            <w:color w:val="1155CC"/>
            <w:u w:val="single"/>
          </w:rPr>
          <w:t>在深度线性网络中，通过迭代学习出现的组合性和系统性</w:t>
        </w:r>
      </w:hyperlink>
    </w:p>
    <w:p>
      <w:pPr>
        <w:spacing w:before="0" w:after="80"/>
      </w:pPr>
      <w:r>
        <w:rPr>
          <w:i/>
          <w:sz w:val="20"/>
        </w:rPr>
        <w:t>EN: Compositionality and systematicity emerge from iterated learning in deep linear networks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00">
        <w:r>
          <w:rPr>
            <w:color w:val="1155CC"/>
            <w:u w:val="single"/>
          </w:rPr>
          <w:t>10.1073/pnas.2509739123</w:t>
        </w:r>
      </w:hyperlink>
    </w:p>
    <w:p>
      <w:pPr>
        <w:spacing w:before="0" w:after="120"/>
      </w:pPr>
      <w:r>
        <w:rPr>
          <w:b/>
        </w:rPr>
        <w:t xml:space="preserve">Notes: </w:t>
      </w:r>
      <w:r>
        <w:t>abstract_source=crossref</w:t>
      </w:r>
    </w:p>
    <w:p>
      <w:pPr>
        <w:spacing w:before="0" w:after="80" w:lineRule="auto" w:line="276"/>
      </w:pPr>
      <w:r>
        <w:rPr>
          <w:b/>
        </w:rPr>
        <w:t xml:space="preserve">摘要（ZH）: </w:t>
      </w:r>
      <w:r>
        <w:t>人类具有系统性概括的非凡能力——通过结合先前经验的各个方面来推理新情况。语言是这种能力的主要例子之一，现代机器学习从语言学中汲取了很多灵感。最近的一个例子是迭代学习，这是一种网络代代从早期学习者的输出中学习的程序。结果是网络的“语言”或给定输入的输出标签向组成结构的精炼。在此，我们理论研究了组成语言的出现，以及简单神经网络利用这种组成性进行系统性概括的能力。我们基于先前关于线性网络的理论工作，数学上定义了系统性概括，通过a）将浅层和深层线性网络的分析应用于迭代学习程序，推导出跨代学习的精确动态；b）细化系统性的定义以理解迭代学习的优缺点。我们发现，迭代学习确实通过揭示输出标签中的组成子结构促进了系统性概括，优于标准训练范式。我们的结果证实了一个长期存在的猜想：需要多代迭代学习才能出现组成结构，这可以超越单代网络在最佳早停下的训练。然而，为了让网络系统性地处理输入并忽略不概括的特征，网络必须经过训练。</w:t>
      </w:r>
    </w:p>
    <w:p>
      <w:pPr>
        <w:spacing w:before="0" w:after="200" w:lineRule="auto" w:line="276"/>
      </w:pPr>
      <w:r>
        <w:rPr>
          <w:b/>
        </w:rPr>
        <w:t xml:space="preserve">Abstract (EN): </w:t>
      </w:r>
      <w:r>
        <w:t>Humans have a remarkable ability to systematically generalize—reasoning about new situations by combining aspects of previous experiences. Language provides one of the primary examples of this ability and modern machine learning has drawn much inspiration from linguistics. A recent example is iterated learning, a procedure where generations of networks learn from the output of earlier learners. The result is a refinement of the network’s “language” or output labels for given inputs toward compositional structure. Here we theoretically study the emergence of compositional language, and the ability of simple neural networks to leverage this compositionality to systematically generalize. We build on prior theoretical work on linear networks, which mathematically define systematic generalization, by a) applying the analysis of shallow and deep linear network to the iterated learning procedure by deriving exact dynamics of learning over generations; b) refining the definition of systematicity to understand the benefits and limitations of iterated learning. We find that iterated learning does facilitate systematic generalization over standard training paradigms by uncovering compositional substructure in the output labels. Our results confirm a long standing conjecture: that multiple generations of iterated learning are required for compositional structure to emerge, which can outperform a single generation network trained with optimal early-stopping. However, for the network to treat the input systematically and ignore features which do not generalize, the network must be trained on an extremely large dataset. Hence, we define “weak systematic generalization” to explain this emergent systematicity from scale.</w:t>
      </w:r>
    </w:p>
    <w:p>
      <w:pPr>
        <w:spacing w:before="120" w:after="120"/>
      </w:pPr>
      <w:r>
        <w:rPr>
          <w:sz w:val="18"/>
        </w:rPr>
        <w:t>——————————————————————————————————————————————————————————————————————</w:t>
      </w:r>
    </w:p>
    <w:p>
      <w:pPr>
        <w:spacing w:before="160" w:after="40" w:line="240" w:lineRule="auto"/>
      </w:pPr>
      <w:r>
        <w:rPr>
          <w:b/>
        </w:rPr>
        <w:t xml:space="preserve">[190] </w:t>
      </w:r>
      <w:hyperlink r:id="rId501">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02">
        <w:r>
          <w:rPr>
            <w:color w:val="1155CC"/>
            <w:u w:val="single"/>
          </w:rPr>
          <w:t>10.1073/iti1826123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503">
        <w:r>
          <w:rPr>
            <w:color w:val="1155CC"/>
            <w:u w:val="single"/>
          </w:rPr>
          <w:t>微同源介导的串联重复是基因组变异的一种保守机制，对人类疾病有影响</w:t>
        </w:r>
      </w:hyperlink>
    </w:p>
    <w:p>
      <w:pPr>
        <w:spacing w:before="0" w:after="80"/>
      </w:pPr>
      <w:r>
        <w:rPr>
          <w:i/>
          <w:sz w:val="20"/>
        </w:rPr>
        <w:t>EN: Microhomology-mediated tandem duplication is a conserved mechanism of genomic variation with implications for human disease</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04">
        <w:r>
          <w:rPr>
            <w:color w:val="1155CC"/>
            <w:u w:val="single"/>
          </w:rPr>
          <w:t>10.1073/pnas.2606747123</w:t>
        </w:r>
      </w:hyperlink>
    </w:p>
    <w:p>
      <w:pPr>
        <w:spacing w:before="0" w:after="120"/>
      </w:pPr>
      <w:r>
        <w:rPr>
          <w:b/>
        </w:rPr>
        <w:t xml:space="preserve">Notes: </w:t>
      </w:r>
      <w:r>
        <w:t>abstract_source=crossref</w:t>
      </w:r>
    </w:p>
    <w:p>
      <w:pPr>
        <w:spacing w:before="0" w:after="80" w:lineRule="auto" w:line="276"/>
      </w:pPr>
      <w:r>
        <w:rPr>
          <w:b/>
        </w:rPr>
        <w:t xml:space="preserve">摘要（ZH）: </w:t>
      </w:r>
      <w:r>
        <w:t>串联重复序列是高度可变的基因组元素，具有显著的功能后果，但其进化起源的机制仍不清楚。一种提出的机制是微同源介导的串联重复（MTD），其中由微同源序列夹在两侧的单拷贝DNA片段发生重复，并可能随后扩展。尽管MTD最初是在</w:t>
      </w:r>
      <w:r>
        <w:t xml:space="preserve"> </w:t>
      </w:r>
      <w:r>
        <w:t>Schizosaccharomyces pombe</w:t>
      </w:r>
      <w:r>
        <w:t xml:space="preserve"> </w:t>
      </w:r>
      <w:r>
        <w:t>中描述的，但其在生命中的普遍性和进化意义尚未系统地确立。通过全基因组深度测序和统一的分析框架，我们表明MTD在细菌、古菌、真菌和病毒中新生。对2,245个参考基因组、来自103种微生物物种的数百万个基因组和人类数据集的分析表明，微同源介导的重复构成了生命领域中串联重复的主要来源。全基因组分析显示，大多数MTD在中性或几乎中性的动态下进化，而纯化选择优先从编码区中去除MTD。在机制上，保守的flap核酸内切酶Rad27的缺失特异性地增加了芽殖酵母中新生MTD的形成，暗示了冈崎片段成熟在MTD生成中的作用。在人类中，微同源特征在参考、变异和疾病相关的串联重复中普遍存在，并在与基因组稳定性和癌症相关的致病变异中富集。这些发现共同确立了MTD作为一种保守机制</w:t>
      </w:r>
    </w:p>
    <w:p>
      <w:pPr>
        <w:spacing w:before="0" w:after="200" w:lineRule="auto" w:line="276"/>
      </w:pPr>
      <w:r>
        <w:rPr>
          <w:b/>
        </w:rPr>
        <w:t xml:space="preserve">Abstract (EN): </w:t>
      </w:r>
      <w:r>
        <w:t>Tandem repeats are highly mutable genomic elements with significant functional consequences, yet the mechanisms underlying their evolutionary origin remain unclear. One proposed mechanism is microhomology-mediated tandem duplication (MTD), in which single-copy DNA segments flanked by microhomology undergo duplication and may subsequently expand. Although MTD was first described in</w:t>
      </w:r>
      <w:r>
        <w:t xml:space="preserve"> </w:t>
      </w:r>
      <w:r>
        <w:t>Schizosaccharomyces pombe</w:t>
      </w:r>
      <w:r>
        <w:t xml:space="preserve"> </w:t>
      </w:r>
      <w:r>
        <w:t>, its prevalence and evolutionary significance across life have not been systematically established. Using whole-genome deep sequencing and a unified analytical framework, we show that MTDs arise de novo across bacteria, archaea, fungi, and viruses. Analyses of 2,245 reference genomes, millions of genomes from 103 microbial species, and human datasets reveal that microhomology-mediated duplications constitute a major source of tandem duplication across domains of life. Genome-wide analyses show that most MTDs evolve under neutral or nearly neutral dynamics, while purifying selection preferentially depletes MTDs from coding regions. Mechanistically, deletion of the conserved flap endonuclease Rad27 specifically increases de novo MTD formation in budding yeast, implicating Okazaki fragment maturation in the generation of MTDs. In humans, microhomology signatures are pervasive among reference, polymorphic, and disease-associated tandem duplications and are enriched among pathogenic variants linked to genome stability and cancer. Together, these findings establish MTD as a conserved mechanism that shapes genomic variation, with implications for human disease.</w:t>
      </w:r>
    </w:p>
    <w:p>
      <w:pPr>
        <w:spacing w:before="120" w:after="120"/>
      </w:pPr>
      <w:r>
        <w:rPr>
          <w:sz w:val="18"/>
        </w:rPr>
        <w:t>——————————————————————————————————————————————————————————————————————</w:t>
      </w:r>
    </w:p>
    <w:p>
      <w:pPr>
        <w:spacing w:before="160" w:after="40" w:line="240" w:lineRule="auto"/>
      </w:pPr>
      <w:r>
        <w:rPr>
          <w:b/>
        </w:rPr>
        <w:t xml:space="preserve">[192] </w:t>
      </w:r>
      <w:hyperlink r:id="rId505">
        <w:r>
          <w:rPr>
            <w:color w:val="1155CC"/>
            <w:u w:val="single"/>
          </w:rPr>
          <w:t>原核生物基因组进化的异质选择景观</w:t>
        </w:r>
      </w:hyperlink>
    </w:p>
    <w:p>
      <w:pPr>
        <w:spacing w:before="0" w:after="80"/>
      </w:pPr>
      <w:r>
        <w:rPr>
          <w:i/>
          <w:sz w:val="20"/>
        </w:rPr>
        <w:t>EN: The heterogeneous selection landscape of genome evolution in prokaryotes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06">
        <w:r>
          <w:rPr>
            <w:color w:val="1155CC"/>
            <w:u w:val="single"/>
          </w:rPr>
          <w:t>10.1073/pnas.2605871123</w:t>
        </w:r>
      </w:hyperlink>
    </w:p>
    <w:p>
      <w:pPr>
        <w:spacing w:before="0" w:after="120"/>
      </w:pPr>
      <w:r>
        <w:rPr>
          <w:b/>
        </w:rPr>
        <w:t xml:space="preserve">Notes: </w:t>
      </w:r>
      <w:r>
        <w:t>abstract_source=crossref</w:t>
      </w:r>
    </w:p>
    <w:p>
      <w:pPr>
        <w:spacing w:before="0" w:after="80" w:lineRule="auto" w:line="276"/>
      </w:pPr>
      <w:r>
        <w:rPr>
          <w:b/>
        </w:rPr>
        <w:t xml:space="preserve">摘要（ZH）: </w:t>
      </w:r>
      <w:r>
        <w:t>原核生物基因组的进化似乎是由基因组精简选择、删除偏向和功能多样化选择的相互作用所定义的。先前观察到的选择强度与非同义与同义核苷酸替换的比率（</w:t>
      </w:r>
      <w:r>
        <w:t xml:space="preserve"> </w:t>
      </w:r>
      <w:r>
        <w:t>dN/dS</w:t>
      </w:r>
      <w:r>
        <w:t xml:space="preserve"> </w:t>
      </w:r>
      <w:r>
        <w:t>）之间的总体正相关，表明多样化是原核生物基因组进化的主要因素。在此，我们通过分析扩展的密切相关的原核生物基因组集合，研究了基因组大小与选择压力之间的相互作用，通过使用准确的基于系统发育的方法测量</w:t>
      </w:r>
      <w:r>
        <w:t xml:space="preserve"> </w:t>
      </w:r>
      <w:r>
        <w:t>dN/dS</w:t>
      </w:r>
      <w:r>
        <w:t xml:space="preserve"> </w:t>
      </w:r>
      <w:r>
        <w:t>并将结果值分解为谱系特异性和基因特异性成分来评估全基因组选择。这些分析揭示了原核生物多样性中基因组大小与选择强度之间关系的显著异质性。大多数细菌显示出与多样化选择一致的正相关，而所有分析的古菌谱系显示出强烈的负相关，这是精简的特征。这些发现表明，选择机制在原核生物多样性中广泛变化，而不是遵循单一的普遍模式。基因组精简、功能多样性选择和小种群中的漂变都是进化的重要因素，其相对贡献取决于给定谱系的人口遗传学和生态学。</w:t>
      </w:r>
    </w:p>
    <w:p>
      <w:pPr>
        <w:spacing w:before="0" w:after="200" w:lineRule="auto" w:line="276"/>
      </w:pPr>
      <w:r>
        <w:rPr>
          <w:b/>
        </w:rPr>
        <w:t xml:space="preserve">Abstract (EN): </w:t>
      </w:r>
      <w:r>
        <w:t>Evolution of prokaryote genomes appears to be defined by the interplay of selection for genome streamlining, deletion bias, and selection for functional diversification. The previously observed overall positive correlation between the strength of selection, measured as the ratio of nonsynonymous to synonymous nucleotide substitutions (</w:t>
      </w:r>
      <w:r>
        <w:t xml:space="preserve"> </w:t>
      </w:r>
      <w:r>
        <w:t>dN/dS</w:t>
      </w:r>
      <w:r>
        <w:t xml:space="preserve"> </w:t>
      </w:r>
      <w:r>
        <w:t>), points to diversification as the primary factor of prokaryote genome evolution. Here, we investigated the interplay between genome size and selection pressure by analyzing an expanded collection of closely related prokaryotic genomes, evaluating genome-wide selection by measuring</w:t>
      </w:r>
      <w:r>
        <w:t xml:space="preserve"> </w:t>
      </w:r>
      <w:r>
        <w:t>dN/dS</w:t>
      </w:r>
      <w:r>
        <w:t xml:space="preserve"> </w:t>
      </w:r>
      <w:r>
        <w:t>by using an accurate, phylogeny-based method and decomposing the resulting values into lineage-specific and gene-specific components. These analyses reveal a pronounced heterogeneity in the relationship between genome size and the strength of selection across the diversity of prokaryotes. Most bacteria display a positive correlation consistent with selection for diversification, whereas all analyzed archaeal lineages show strong negative correlation which is the signature of streamlining. These findings indicate that the selection regimes broadly vary across the diversity of prokaryotes rather than following a single, universal pattern. Genome streamlining, selection for functional diversity and drift in small populations are all important factors of evolution, with their relative contributions depending on the population genetics and ecology of a given lineage.</w:t>
      </w:r>
    </w:p>
    <w:p>
      <w:pPr>
        <w:spacing w:before="120" w:after="120"/>
      </w:pPr>
      <w:r>
        <w:rPr>
          <w:sz w:val="18"/>
        </w:rPr>
        <w:t>——————————————————————————————————————————————————————————————————————</w:t>
      </w:r>
    </w:p>
    <w:p>
      <w:pPr>
        <w:spacing w:before="160" w:after="40" w:line="240" w:lineRule="auto"/>
      </w:pPr>
      <w:r>
        <w:rPr>
          <w:b/>
        </w:rPr>
        <w:t xml:space="preserve">[193] </w:t>
      </w:r>
      <w:hyperlink r:id="rId507">
        <w:r>
          <w:rPr>
            <w:color w:val="1155CC"/>
            <w:u w:val="single"/>
          </w:rPr>
          <w:t>在对热和干燥的光合作用响应中，气孔、叶肉和生化功能的协调</w:t>
        </w:r>
      </w:hyperlink>
    </w:p>
    <w:p>
      <w:pPr>
        <w:spacing w:before="0" w:after="80"/>
      </w:pPr>
      <w:r>
        <w:rPr>
          <w:i/>
          <w:sz w:val="20"/>
        </w:rPr>
        <w:t>EN: Coordinated stomatal, mesophyll, and biochemical functions in photosynthetic responses to heat and dryness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08">
        <w:r>
          <w:rPr>
            <w:color w:val="1155CC"/>
            <w:u w:val="single"/>
          </w:rPr>
          <w:t>10.1073/pnas.2605032123</w:t>
        </w:r>
      </w:hyperlink>
    </w:p>
    <w:p>
      <w:pPr>
        <w:spacing w:before="0" w:after="120"/>
      </w:pPr>
      <w:r>
        <w:rPr>
          <w:b/>
        </w:rPr>
        <w:t xml:space="preserve">Notes: </w:t>
      </w:r>
      <w:r>
        <w:t>abstract_source=crossref</w:t>
      </w:r>
    </w:p>
    <w:p>
      <w:pPr>
        <w:spacing w:before="0" w:after="80" w:lineRule="auto" w:line="276"/>
      </w:pPr>
      <w:r>
        <w:rPr>
          <w:b/>
        </w:rPr>
        <w:t xml:space="preserve">摘要（ZH）: </w:t>
      </w:r>
      <w:r>
        <w:t>温度与叶-空气蒸汽压差（Δ</w:t>
      </w:r>
      <w:r>
        <w:t xml:space="preserve"> </w:t>
      </w:r>
      <w:r>
        <w:t>e</w:t>
      </w:r>
      <w:r>
        <w:t xml:space="preserve"> </w:t>
      </w:r>
      <w:r>
        <w:t>）之间的内在联系使得分离它们对光合作用的单独影响变得复杂。因此，CO</w:t>
      </w:r>
      <w:r>
        <w:rPr>
          <w:vertAlign w:val="subscript"/>
        </w:rPr>
        <w:t>2</w:t>
      </w:r>
      <w:r>
        <w:t>扩散在高温和高蒸发需求下的变化，特别是通过叶肉导度（</w:t>
      </w:r>
      <w:r>
        <w:t xml:space="preserve"> </w:t>
      </w:r>
      <w:r>
        <w:t>g</w:t>
      </w:r>
      <w:r>
        <w:t xml:space="preserve"> </w:t>
      </w:r>
      <w:r>
        <w:t>m</w:t>
      </w:r>
      <w:r>
        <w:t xml:space="preserve"> </w:t>
      </w:r>
      <w:r>
        <w:t>）的响应，仍然知之甚少。生化共限制发生的条件，即Rubisco羧化和RuBP再生能力匹配的条件，也不清楚。为了推进对植物对气候变化响应的理解，我们通过将Δ</w:t>
      </w:r>
      <w:r>
        <w:t xml:space="preserve"> </w:t>
      </w:r>
      <w:r>
        <w:t>e</w:t>
      </w:r>
      <w:r>
        <w:t xml:space="preserve"> </w:t>
      </w:r>
      <w:r>
        <w:t>保持在1和2 kPa的同时，将叶温（</w:t>
      </w:r>
      <w:r>
        <w:t xml:space="preserve"> </w:t>
      </w:r>
      <w:r>
        <w:t>T</w:t>
      </w:r>
      <w:r>
        <w:t xml:space="preserve"> </w:t>
      </w:r>
      <w:r>
        <w:t>leaf</w:t>
      </w:r>
      <w:r>
        <w:t xml:space="preserve"> </w:t>
      </w:r>
      <w:r>
        <w:t>）从20到40°C变化，并在五个CO</w:t>
      </w:r>
      <w:r>
        <w:rPr>
          <w:vertAlign w:val="subscript"/>
        </w:rPr>
        <w:t>2</w:t>
      </w:r>
      <w:r>
        <w:t>水平（150到800 μmol mol</w:t>
      </w:r>
      <w:r>
        <w:t xml:space="preserve"> </w:t>
      </w:r>
      <w:r>
        <w:t>−1</w:t>
      </w:r>
      <w:r>
        <w:t xml:space="preserve"> </w:t>
      </w:r>
      <w:r>
        <w:t>）下进行研究，涉及棉花、向日葵和矮豆。气体交换和叶绿素荧光测量显示，</w:t>
      </w:r>
      <w:r>
        <w:t xml:space="preserve"> </w:t>
      </w:r>
      <w:r>
        <w:t>g</w:t>
      </w:r>
      <w:r>
        <w:t xml:space="preserve"> </w:t>
      </w:r>
      <w:r>
        <w:t>m</w:t>
      </w:r>
      <w:r>
        <w:t xml:space="preserve"> </w:t>
      </w:r>
      <w:r>
        <w:t>的响应部分抵消了高温下气孔导度对CO</w:t>
      </w:r>
      <w:r>
        <w:rPr>
          <w:vertAlign w:val="subscript"/>
        </w:rPr>
        <w:t>2</w:t>
      </w:r>
      <w:r>
        <w:t>（</w:t>
      </w:r>
      <w:r>
        <w:t xml:space="preserve"> </w:t>
      </w:r>
      <w:r>
        <w:t>g</w:t>
      </w:r>
      <w:r>
        <w:t xml:space="preserve"> </w:t>
      </w:r>
      <w:r>
        <w:t>sc</w:t>
      </w:r>
      <w:r>
        <w:t xml:space="preserve"> </w:t>
      </w:r>
      <w:r>
        <w:t>）的增加和在升高的Δ</w:t>
      </w:r>
      <w:r>
        <w:t xml:space="preserve"> </w:t>
      </w:r>
      <w:r>
        <w:t>e</w:t>
      </w:r>
      <w:r>
        <w:t xml:space="preserve"> </w:t>
      </w:r>
      <w:r>
        <w:t>下</w:t>
      </w:r>
      <w:r>
        <w:t xml:space="preserve"> </w:t>
      </w:r>
      <w:r>
        <w:t>g</w:t>
      </w:r>
      <w:r>
        <w:t xml:space="preserve"> </w:t>
      </w:r>
      <w:r>
        <w:t>sc</w:t>
      </w:r>
      <w:r>
        <w:t xml:space="preserve"> </w:t>
      </w:r>
      <w:r>
        <w:t>的下降。协调b</w:t>
      </w:r>
    </w:p>
    <w:p>
      <w:pPr>
        <w:spacing w:before="0" w:after="200" w:lineRule="auto" w:line="276"/>
      </w:pPr>
      <w:r>
        <w:rPr>
          <w:b/>
        </w:rPr>
        <w:t xml:space="preserve">Abstract (EN): </w:t>
      </w:r>
      <w:r>
        <w:t>The intrinsic link between temperature and leaf-to-air vapor pressure difference (Δ</w:t>
      </w:r>
      <w:r>
        <w:t xml:space="preserve"> </w:t>
      </w:r>
      <w:r>
        <w:t>e</w:t>
      </w:r>
      <w:r>
        <w:t xml:space="preserve"> </w:t>
      </w:r>
      <w:r>
        <w:t>) complicates isolation of their individual effects on photosynthesis. Consequently, how CO</w:t>
      </w:r>
      <w:r>
        <w:rPr>
          <w:vertAlign w:val="subscript"/>
        </w:rPr>
        <w:t>2</w:t>
      </w:r>
      <w:r>
        <w:t>diffusion changes under heat and high evaporative demand, particularly through mesophyll conductance (</w:t>
      </w:r>
      <w:r>
        <w:t xml:space="preserve"> </w:t>
      </w:r>
      <w:r>
        <w:t>g</w:t>
      </w:r>
      <w:r>
        <w:t xml:space="preserve"> </w:t>
      </w:r>
      <w:r>
        <w:t>m</w:t>
      </w:r>
      <w:r>
        <w:t xml:space="preserve"> </w:t>
      </w:r>
      <w:r>
        <w:t>) responses, remains poorly understood. The conditions under which biochemical colimitation occurs, meaning Rubisco carboxylation and RuBP regeneration capacities match, are also unclear. To advance understanding of plant responses to climate change, we separated temperature and Δ</w:t>
      </w:r>
      <w:r>
        <w:t xml:space="preserve"> </w:t>
      </w:r>
      <w:r>
        <w:t>e</w:t>
      </w:r>
      <w:r>
        <w:t xml:space="preserve"> </w:t>
      </w:r>
      <w:r>
        <w:t>effects by holding Δ</w:t>
      </w:r>
      <w:r>
        <w:t xml:space="preserve"> </w:t>
      </w:r>
      <w:r>
        <w:t>e</w:t>
      </w:r>
      <w:r>
        <w:t xml:space="preserve"> </w:t>
      </w:r>
      <w:r>
        <w:t>at 1 and 2 kPa while varying leaf temperature (</w:t>
      </w:r>
      <w:r>
        <w:t xml:space="preserve"> </w:t>
      </w:r>
      <w:r>
        <w:t>T</w:t>
      </w:r>
      <w:r>
        <w:t xml:space="preserve"> </w:t>
      </w:r>
      <w:r>
        <w:t>leaf</w:t>
      </w:r>
      <w:r>
        <w:t xml:space="preserve"> </w:t>
      </w:r>
      <w:r>
        <w:t>) from 20 to 40 °C across five CO</w:t>
      </w:r>
      <w:r>
        <w:rPr>
          <w:vertAlign w:val="subscript"/>
        </w:rPr>
        <w:t>2</w:t>
      </w:r>
      <w:r>
        <w:t>levels (150 to 800 μmol mol</w:t>
      </w:r>
      <w:r>
        <w:t xml:space="preserve"> </w:t>
      </w:r>
      <w:r>
        <w:t>−1</w:t>
      </w:r>
      <w:r>
        <w:t xml:space="preserve"> </w:t>
      </w:r>
      <w:r>
        <w:t>) in cotton, sunflower, and dwarf bean. Gas exchange and chlorophyll fluorescence measurements showed that</w:t>
      </w:r>
      <w:r>
        <w:t xml:space="preserve"> </w:t>
      </w:r>
      <w:r>
        <w:t>g</w:t>
      </w:r>
      <w:r>
        <w:t xml:space="preserve"> </w:t>
      </w:r>
      <w:r>
        <w:t>m</w:t>
      </w:r>
      <w:r>
        <w:t xml:space="preserve"> </w:t>
      </w:r>
      <w:r>
        <w:t>responses partly counteract increases in stomatal conductance to CO</w:t>
      </w:r>
      <w:r>
        <w:rPr>
          <w:vertAlign w:val="subscript"/>
        </w:rPr>
        <w:t>2</w:t>
      </w:r>
      <w:r>
        <w:t>(</w:t>
      </w:r>
      <w:r>
        <w:t xml:space="preserve"> </w:t>
      </w:r>
      <w:r>
        <w:t>g</w:t>
      </w:r>
      <w:r>
        <w:t xml:space="preserve"> </w:t>
      </w:r>
      <w:r>
        <w:t>sc</w:t>
      </w:r>
      <w:r>
        <w:t xml:space="preserve"> </w:t>
      </w:r>
      <w:r>
        <w:t>) at high temperatures and declines in</w:t>
      </w:r>
      <w:r>
        <w:t xml:space="preserve"> </w:t>
      </w:r>
      <w:r>
        <w:t>g</w:t>
      </w:r>
      <w:r>
        <w:t xml:space="preserve"> </w:t>
      </w:r>
      <w:r>
        <w:t>sc</w:t>
      </w:r>
      <w:r>
        <w:t xml:space="preserve"> </w:t>
      </w:r>
      <w:r>
        <w:t>at elevated Δ</w:t>
      </w:r>
      <w:r>
        <w:t xml:space="preserve"> </w:t>
      </w:r>
      <w:r>
        <w:t>e</w:t>
      </w:r>
      <w:r>
        <w:t xml:space="preserve"> </w:t>
      </w:r>
      <w:r>
        <w:t>. Coordination between</w:t>
      </w:r>
      <w:r>
        <w:t xml:space="preserve"> </w:t>
      </w:r>
      <w:r>
        <w:t>g</w:t>
      </w:r>
      <w:r>
        <w:t xml:space="preserve"> </w:t>
      </w:r>
      <w:r>
        <w:t>sc</w:t>
      </w:r>
      <w:r>
        <w:t xml:space="preserve"> </w:t>
      </w:r>
      <w:r>
        <w:t>and</w:t>
      </w:r>
      <w:r>
        <w:t xml:space="preserve"> </w:t>
      </w:r>
      <w:r>
        <w:t>g</w:t>
      </w:r>
      <w:r>
        <w:t xml:space="preserve"> </w:t>
      </w:r>
      <w:r>
        <w:t>m</w:t>
      </w:r>
      <w:r>
        <w:t xml:space="preserve"> </w:t>
      </w:r>
      <w:r>
        <w:t>buffers effects of heat and dryness on CO</w:t>
      </w:r>
      <w:r>
        <w:rPr>
          <w:vertAlign w:val="subscript"/>
        </w:rPr>
        <w:t>2</w:t>
      </w:r>
      <w:r>
        <w:t>diffusion and stabilizes chloroplast-to-ambient CO</w:t>
      </w:r>
      <w:r>
        <w:rPr>
          <w:vertAlign w:val="subscript"/>
        </w:rPr>
        <w:t>2</w:t>
      </w:r>
      <w:r>
        <w:t>ratio (</w:t>
      </w:r>
      <w:r>
        <w:t xml:space="preserve"> </w:t>
      </w:r>
      <w:r>
        <w:t>C</w:t>
      </w:r>
      <w:r>
        <w:t xml:space="preserve"> </w:t>
      </w:r>
      <w:r>
        <w:t>c</w:t>
      </w:r>
      <w:r>
        <w:t xml:space="preserve"> </w:t>
      </w:r>
      <w:r>
        <w:t>/</w:t>
      </w:r>
      <w:r>
        <w:t>C</w:t>
      </w:r>
      <w:r>
        <w:t xml:space="preserve"> </w:t>
      </w:r>
      <w:r>
        <w:t>a</w:t>
      </w:r>
      <w:r>
        <w:t xml:space="preserve"> </w:t>
      </w:r>
      <w:r>
        <w:t>) across measured</w:t>
      </w:r>
      <w:r>
        <w:t xml:space="preserve"> </w:t>
      </w:r>
      <w:r>
        <w:t>T</w:t>
      </w:r>
      <w:r>
        <w:t xml:space="preserve"> </w:t>
      </w:r>
      <w:r>
        <w:t>leaf</w:t>
      </w:r>
      <w:r>
        <w:t xml:space="preserve"> </w:t>
      </w:r>
      <w:r>
        <w:t>and Δ</w:t>
      </w:r>
      <w:r>
        <w:t xml:space="preserve"> </w:t>
      </w:r>
      <w:r>
        <w:t>e</w:t>
      </w:r>
      <w:r>
        <w:t xml:space="preserve"> </w:t>
      </w:r>
      <w:r>
        <w:t>ranges.</w:t>
      </w:r>
      <w:r>
        <w:t xml:space="preserve"> </w:t>
      </w:r>
      <w:r>
        <w:t>C</w:t>
      </w:r>
      <w:r>
        <w:t xml:space="preserve"> </w:t>
      </w:r>
      <w:r>
        <w:t>c</w:t>
      </w:r>
      <w:r>
        <w:t xml:space="preserve"> </w:t>
      </w:r>
      <w:r>
        <w:t>/</w:t>
      </w:r>
      <w:r>
        <w:t>C</w:t>
      </w:r>
      <w:r>
        <w:t xml:space="preserve"> </w:t>
      </w:r>
      <w:r>
        <w:t>a</w:t>
      </w:r>
      <w:r>
        <w:t xml:space="preserve"> </w:t>
      </w:r>
      <w:r>
        <w:t>is more conservative with increasing</w:t>
      </w:r>
      <w:r>
        <w:t xml:space="preserve"> </w:t>
      </w:r>
      <w:r>
        <w:t>T</w:t>
      </w:r>
      <w:r>
        <w:t xml:space="preserve"> </w:t>
      </w:r>
      <w:r>
        <w:t>leaf</w:t>
      </w:r>
      <w:r>
        <w:t xml:space="preserve"> </w:t>
      </w:r>
      <w:r>
        <w:t>at</w:t>
      </w:r>
      <w:r>
        <w:t xml:space="preserve"> </w:t>
      </w:r>
      <w:r>
        <w:t>C</w:t>
      </w:r>
      <w:r>
        <w:t xml:space="preserve"> </w:t>
      </w:r>
      <w:r>
        <w:t>a</w:t>
      </w:r>
      <w:r>
        <w:t xml:space="preserve"> </w:t>
      </w:r>
      <w:r>
        <w:t>≤ 400 μmol mol</w:t>
      </w:r>
      <w:r>
        <w:t xml:space="preserve"> </w:t>
      </w:r>
      <w:r>
        <w:t>−1</w:t>
      </w:r>
      <w:r>
        <w:t xml:space="preserve"> </w:t>
      </w:r>
      <w:r>
        <w:t>than at elevated</w:t>
      </w:r>
      <w:r>
        <w:t xml:space="preserve"> </w:t>
      </w:r>
      <w:r>
        <w:t>C</w:t>
      </w:r>
      <w:r>
        <w:t xml:space="preserve"> </w:t>
      </w:r>
      <w:r>
        <w:t>a</w:t>
      </w:r>
      <w:r>
        <w:t xml:space="preserve"> </w:t>
      </w:r>
      <w:r>
        <w:t>. Across tested</w:t>
      </w:r>
      <w:r>
        <w:t xml:space="preserve"> </w:t>
      </w:r>
      <w:r>
        <w:t>T</w:t>
      </w:r>
      <w:r>
        <w:t xml:space="preserve"> </w:t>
      </w:r>
      <w:r>
        <w:t>leaf</w:t>
      </w:r>
      <w:r>
        <w:t xml:space="preserve"> </w:t>
      </w:r>
      <w:r>
        <w:t>and Δ</w:t>
      </w:r>
      <w:r>
        <w:t xml:space="preserve"> </w:t>
      </w:r>
      <w:r>
        <w:t>e</w:t>
      </w:r>
      <w:r>
        <w:t xml:space="preserve"> </w:t>
      </w:r>
      <w:r>
        <w:t>conditions, the transition from Rubisco carboxylation to RuBP regeneration limitation remains near</w:t>
      </w:r>
      <w:r>
        <w:t xml:space="preserve"> </w:t>
      </w:r>
      <w:r>
        <w:t>C</w:t>
      </w:r>
      <w:r>
        <w:t xml:space="preserve"> </w:t>
      </w:r>
      <w:r>
        <w:t>a</w:t>
      </w:r>
      <w:r>
        <w:t xml:space="preserve"> </w:t>
      </w:r>
      <w:r>
        <w:t>of 400 μmol mol</w:t>
      </w:r>
      <w:r>
        <w:t xml:space="preserve"> </w:t>
      </w:r>
      <w:r>
        <w:t>−1</w:t>
      </w:r>
      <w:r>
        <w:t xml:space="preserve"> </w:t>
      </w:r>
      <w:r>
        <w:t>, indicating that biochemical colimitation occurs near current atmospheric CO</w:t>
      </w:r>
      <w:r>
        <w:rPr>
          <w:vertAlign w:val="subscript"/>
        </w:rPr>
        <w:t>2</w:t>
      </w:r>
      <w:r>
        <w:t>levels. Our findings reveal that plants alleviate diffusional limitations under heat and dryness through coordinated responses of</w:t>
      </w:r>
      <w:r>
        <w:t xml:space="preserve"> </w:t>
      </w:r>
      <w:r>
        <w:t>g</w:t>
      </w:r>
      <w:r>
        <w:t xml:space="preserve"> </w:t>
      </w:r>
      <w:r>
        <w:t>sc</w:t>
      </w:r>
      <w:r>
        <w:t xml:space="preserve"> </w:t>
      </w:r>
      <w:r>
        <w:t>and</w:t>
      </w:r>
      <w:r>
        <w:t xml:space="preserve"> </w:t>
      </w:r>
      <w:r>
        <w:t>g</w:t>
      </w:r>
      <w:r>
        <w:t xml:space="preserve"> </w:t>
      </w:r>
      <w:r>
        <w:t>m</w:t>
      </w:r>
      <w:r>
        <w:t xml:space="preserve"> </w:t>
      </w:r>
      <w:r>
        <w:t>, and maintain biochemical colimitation over broad</w:t>
      </w:r>
      <w:r>
        <w:t xml:space="preserve"> </w:t>
      </w:r>
      <w:r>
        <w:t>T</w:t>
      </w:r>
      <w:r>
        <w:t xml:space="preserve"> </w:t>
      </w:r>
      <w:r>
        <w:t>leaf</w:t>
      </w:r>
      <w:r>
        <w:t xml:space="preserve"> </w:t>
      </w:r>
      <w:r>
        <w:t>and Δ</w:t>
      </w:r>
      <w:r>
        <w:t xml:space="preserve"> </w:t>
      </w:r>
      <w:r>
        <w:t>e</w:t>
      </w:r>
      <w:r>
        <w:t xml:space="preserve"> </w:t>
      </w:r>
      <w:r>
        <w:t>conditions to efficiently utilize Rubisco carboxylation and RuBP regeneration capacities at near-atmospheric CO</w:t>
      </w:r>
      <w:r>
        <w:rPr>
          <w:vertAlign w:val="subscript"/>
        </w:rPr>
        <w:t>2</w:t>
      </w:r>
      <w:r>
        <w:t>levels.</w:t>
      </w:r>
    </w:p>
    <w:p>
      <w:pPr>
        <w:spacing w:before="120" w:after="120"/>
      </w:pPr>
      <w:r>
        <w:rPr>
          <w:sz w:val="18"/>
        </w:rPr>
        <w:t>——————————————————————————————————————————————————————————————————————</w:t>
      </w:r>
    </w:p>
    <w:p>
      <w:pPr>
        <w:spacing w:before="160" w:after="40" w:line="240" w:lineRule="auto"/>
      </w:pPr>
      <w:r>
        <w:rPr>
          <w:b/>
        </w:rPr>
        <w:t xml:space="preserve">[194] </w:t>
      </w:r>
      <w:hyperlink r:id="rId509">
        <w:r>
          <w:rPr>
            <w:color w:val="1155CC"/>
            <w:u w:val="single"/>
          </w:rPr>
          <w:t>ATP2B1表达识别人类造血干细胞，具有优越的再生和自我更新能力</w:t>
        </w:r>
      </w:hyperlink>
    </w:p>
    <w:p>
      <w:pPr>
        <w:spacing w:before="0" w:after="80"/>
      </w:pPr>
      <w:r>
        <w:rPr>
          <w:i/>
          <w:sz w:val="20"/>
        </w:rPr>
        <w:t>EN: ATP2B1 expression identifies human hematopoietic stem cells with superior repopulation and self-renewal</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10">
        <w:r>
          <w:rPr>
            <w:color w:val="1155CC"/>
            <w:u w:val="single"/>
          </w:rPr>
          <w:t>10.1073/pnas.2604380123</w:t>
        </w:r>
      </w:hyperlink>
    </w:p>
    <w:p>
      <w:pPr>
        <w:spacing w:before="0" w:after="120"/>
      </w:pPr>
      <w:r>
        <w:rPr>
          <w:b/>
        </w:rPr>
        <w:t xml:space="preserve">Notes: </w:t>
      </w:r>
      <w:r>
        <w:t>abstract_source=crossref</w:t>
      </w:r>
    </w:p>
    <w:p>
      <w:pPr>
        <w:spacing w:before="0" w:after="80" w:lineRule="auto" w:line="276"/>
      </w:pPr>
      <w:r>
        <w:rPr>
          <w:b/>
        </w:rPr>
        <w:t xml:space="preserve">摘要（ZH）: </w:t>
      </w:r>
      <w:r>
        <w:t>长期造血干细胞（LT-HSC）通过自我更新维持终生造血，同时保护干细胞区室。人类LT-HSC区室在分子和功能上是异质的，并且在个体发育过程中也有所不同。由于缺乏免疫表型标记来解析LT-HSC的异质性，研究这种变异的分子基础受到阻碍。在此，我们确定了ATP酶质膜钙转运蛋白1（ATP2B1/PMCA1）作为一种细胞表面标记，其在胎儿到成人造血的CD49f</w:t>
      </w:r>
      <w:r>
        <w:t xml:space="preserve"> </w:t>
      </w:r>
      <w:r>
        <w:t>+</w:t>
      </w:r>
      <w:r>
        <w:t xml:space="preserve"> </w:t>
      </w:r>
      <w:r>
        <w:t>LT-HSC中异质性表达。ATP2B1免疫表型表达将来自胎儿肝脏、新生儿脐带血和成人动员外周血来源的人类CD49f</w:t>
      </w:r>
      <w:r>
        <w:t xml:space="preserve"> </w:t>
      </w:r>
      <w:r>
        <w:t>+</w:t>
      </w:r>
      <w:r>
        <w:t xml:space="preserve"> </w:t>
      </w:r>
      <w:r>
        <w:t>LT-HSC在单细胞（sc）克隆形成实验中分为功能上不同的亚群。CD49f</w:t>
      </w:r>
      <w:r>
        <w:t xml:space="preserve"> </w:t>
      </w:r>
      <w:r>
        <w:t>+</w:t>
      </w:r>
      <w:r>
        <w:t xml:space="preserve"> </w:t>
      </w:r>
      <w:r>
        <w:t>ATP2B1</w:t>
      </w:r>
      <w:r>
        <w:t xml:space="preserve"> </w:t>
      </w:r>
      <w:r>
        <w:t>+</w:t>
      </w:r>
      <w:r>
        <w:t xml:space="preserve"> </w:t>
      </w:r>
      <w:r>
        <w:t>LT-HSC在体内表现出优越的长期重建和自我更新能力，相比于CD49f</w:t>
      </w:r>
      <w:r>
        <w:t xml:space="preserve"> </w:t>
      </w:r>
      <w:r>
        <w:t>+</w:t>
      </w:r>
      <w:r>
        <w:t xml:space="preserve"> </w:t>
      </w:r>
      <w:r>
        <w:t>ATP2B1</w:t>
      </w:r>
      <w:r>
        <w:t xml:space="preserve"> </w:t>
      </w:r>
      <w:r>
        <w:t>–</w:t>
      </w:r>
      <w:r>
        <w:t xml:space="preserve"> </w:t>
      </w:r>
      <w:r>
        <w:t>LT-HSC。通过scMultiome和免疫荧光显微镜进行的分子分析表明，CD49f</w:t>
      </w:r>
      <w:r>
        <w:t xml:space="preserve"> </w:t>
      </w:r>
      <w:r>
        <w:t>+</w:t>
      </w:r>
      <w:r>
        <w:t xml:space="preserve"> </w:t>
      </w:r>
      <w:r>
        <w:t>ATP2B1</w:t>
      </w:r>
      <w:r>
        <w:t xml:space="preserve"> </w:t>
      </w:r>
      <w:r>
        <w:t>+</w:t>
      </w:r>
      <w:r>
        <w:t xml:space="preserve"> </w:t>
      </w:r>
      <w:r>
        <w:t>LT-HSC中富集了包括TFEB–内溶酶体轴在内的HSC自我更新程序。我们的研究提供了一个框架来解析LT-HSC中的异质分子程序。</w:t>
      </w:r>
    </w:p>
    <w:p>
      <w:pPr>
        <w:spacing w:before="0" w:after="200" w:lineRule="auto" w:line="276"/>
      </w:pPr>
      <w:r>
        <w:rPr>
          <w:b/>
        </w:rPr>
        <w:t xml:space="preserve">Abstract (EN): </w:t>
      </w:r>
      <w:r>
        <w:t>Long-term hematopoietic stem cells (LT-HSC) maintain lifelong hematopoiesis while preserving the stem cell compartment through self-renewal. The human LT-HSC compartment is molecularly and functionally heterogeneous and also varies across ontogeny. Dissecting the molecular basis for this variation is impeded by the paucity of immunophenotypic markers to resolve LT-HSC heterogeneity. Here, we identified ATPase plasma membrane calcium transporting 1 (ATP2B1/PMCA1) as a cell surface marker that is heterogeneously expressed by CD49f</w:t>
      </w:r>
      <w:r>
        <w:t xml:space="preserve"> </w:t>
      </w:r>
      <w:r>
        <w:t>+</w:t>
      </w:r>
      <w:r>
        <w:t xml:space="preserve"> </w:t>
      </w:r>
      <w:r>
        <w:t>LT-HSC from fetal to adult hematopoiesis. ATP2B1 immunophenotypic expression stratified human CD49f</w:t>
      </w:r>
      <w:r>
        <w:t xml:space="preserve"> </w:t>
      </w:r>
      <w:r>
        <w:t>+</w:t>
      </w:r>
      <w:r>
        <w:t xml:space="preserve"> </w:t>
      </w:r>
      <w:r>
        <w:t>LT-HSC from fetal liver, neonatal cord blood, and adult mobilized peripheral blood sources into functionally distinct subpopulations in single-cell (sc) clonogenic assays. CD49f</w:t>
      </w:r>
      <w:r>
        <w:t xml:space="preserve"> </w:t>
      </w:r>
      <w:r>
        <w:t>+</w:t>
      </w:r>
      <w:r>
        <w:t xml:space="preserve"> </w:t>
      </w:r>
      <w:r>
        <w:t>ATP2B1</w:t>
      </w:r>
      <w:r>
        <w:t xml:space="preserve"> </w:t>
      </w:r>
      <w:r>
        <w:t>+</w:t>
      </w:r>
      <w:r>
        <w:t xml:space="preserve"> </w:t>
      </w:r>
      <w:r>
        <w:t>LT-HSC exhibited superior long-term repopulation and self-renewal capacities in vivo compared to CD49f</w:t>
      </w:r>
      <w:r>
        <w:t xml:space="preserve"> </w:t>
      </w:r>
      <w:r>
        <w:t>+</w:t>
      </w:r>
      <w:r>
        <w:t xml:space="preserve"> </w:t>
      </w:r>
      <w:r>
        <w:t>ATP2B1</w:t>
      </w:r>
      <w:r>
        <w:t xml:space="preserve"> </w:t>
      </w:r>
      <w:r>
        <w:t>–</w:t>
      </w:r>
      <w:r>
        <w:t xml:space="preserve"> </w:t>
      </w:r>
      <w:r>
        <w:t>LT-HSC. Molecular profiling by scMultiome and immunofluorescence microscopy point to enrichment of an HSC self-renewal program that includes the TFEB–endolysosomal axis in CD49f</w:t>
      </w:r>
      <w:r>
        <w:t xml:space="preserve"> </w:t>
      </w:r>
      <w:r>
        <w:t>+</w:t>
      </w:r>
      <w:r>
        <w:t xml:space="preserve"> </w:t>
      </w:r>
      <w:r>
        <w:t>ATP2B1</w:t>
      </w:r>
      <w:r>
        <w:t xml:space="preserve"> </w:t>
      </w:r>
      <w:r>
        <w:t>+</w:t>
      </w:r>
      <w:r>
        <w:t xml:space="preserve"> </w:t>
      </w:r>
      <w:r>
        <w:t>LT-HSC. Our study provides a framework to dissect the heterogeneous molecular programs in LT-HSC.</w:t>
      </w:r>
    </w:p>
    <w:p>
      <w:pPr>
        <w:spacing w:before="120" w:after="120"/>
      </w:pPr>
      <w:r>
        <w:rPr>
          <w:sz w:val="18"/>
        </w:rPr>
        <w:t>——————————————————————————————————————————————————————————————————————</w:t>
      </w:r>
    </w:p>
    <w:p>
      <w:pPr>
        <w:spacing w:before="160" w:after="40" w:line="240" w:lineRule="auto"/>
      </w:pPr>
      <w:r>
        <w:rPr>
          <w:b/>
        </w:rPr>
        <w:t xml:space="preserve">[195] </w:t>
      </w:r>
      <w:hyperlink r:id="rId511">
        <w:r>
          <w:rPr>
            <w:color w:val="1155CC"/>
            <w:u w:val="single"/>
          </w:rPr>
          <w:t>隐私技术能否取代Cookies？广告收入的实地实验</w:t>
        </w:r>
      </w:hyperlink>
    </w:p>
    <w:p>
      <w:pPr>
        <w:spacing w:before="0" w:after="80"/>
      </w:pPr>
      <w:r>
        <w:rPr>
          <w:i/>
          <w:sz w:val="20"/>
        </w:rPr>
        <w:t>EN: Can privacy technologies replace cookies? Ad revenue in a field experiment</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12">
        <w:r>
          <w:rPr>
            <w:color w:val="1155CC"/>
            <w:u w:val="single"/>
          </w:rPr>
          <w:t>10.1073/pnas.2603752123</w:t>
        </w:r>
      </w:hyperlink>
    </w:p>
    <w:p>
      <w:pPr>
        <w:spacing w:before="0" w:after="120"/>
      </w:pPr>
      <w:r>
        <w:rPr>
          <w:b/>
        </w:rPr>
        <w:t xml:space="preserve">Notes: </w:t>
      </w:r>
      <w:r>
        <w:t>abstract_source=crossref</w:t>
      </w:r>
    </w:p>
    <w:p>
      <w:pPr>
        <w:spacing w:before="0" w:after="80" w:lineRule="auto" w:line="276"/>
      </w:pPr>
      <w:r>
        <w:rPr>
          <w:b/>
        </w:rPr>
        <w:t xml:space="preserve">摘要（ZH）: </w:t>
      </w:r>
      <w:r>
        <w:t>数字广告为开放网络提供了大量资金，但依赖于监管机构日益寻求限制的跟踪技术。作为回应，行业开发了旨在在限制数据收集的同时保持广告性能的隐私增强技术，但其经济影响仍然基本未经测试。我们通过一个由Google和英国竞争与市场管理局共同监督的开放、行业范围的现场实验研究这个问题，其中Chrome用户被随机分配为启用第三方cookie、禁用cookie或使用Google的隐私沙盒替代cookie进行浏览。结合来自一家主要广告管理公司的专有数据，我们分析了全球超过5,000家出版商的超过2亿次广告展示。移除第三方cookie使出版商广告收入减少29.1%。隐私沙盒仅恢复了这部分损失收入的4.2%；这一估计反映了研究期间观察到的采用和性能，并可能反映出行业采用的适度。隐私保护拍卖还增加了广告延迟，减少了展示交付并进一步限制了收入表现。这些发现共同为评估隐私保护改革提供了大规模实验基准，并展示了在保护隐私与在线内容提供经济学之间调和的困难。</w:t>
      </w:r>
    </w:p>
    <w:p>
      <w:pPr>
        <w:spacing w:before="0" w:after="200" w:lineRule="auto" w:line="276"/>
      </w:pPr>
      <w:r>
        <w:rPr>
          <w:b/>
        </w:rPr>
        <w:t xml:space="preserve">Abstract (EN): </w:t>
      </w:r>
      <w:r>
        <w:t>Digital advertising finances much of the open web, yet relies on tracking technologies that regulators increasingly seek to restrict. In response, industry has developed privacy-enhancing technologies intended to preserve advertising performance while limiting data collection, but their economic effects remain largely untested. We study this question using an open, industry-wide field experiment jointly overseen by Google and the UK Competition and Markets Authority, in which Chrome users were randomly assigned to browse with third-party cookies enabled, with cookies disabled, or with Google’s Privacy Sandbox replacing cookies. Combining this experimental variation with proprietary data from a major ad management firm, we analyze more than 200 million ad impressions across over 5,000 publishers worldwide. Removing third-party cookies reduces publisher advertising revenue by 29.1%. Privacy Sandbox recovers only 4.2% of this lost revenue; this estimate reflects observed adoption and performance during the study period and may reflect modest industry adoption. Privacy-preserving auctions also increase ad latency, reducing impression delivery and further limiting revenue performance. Together, these findings provide a large-scale experimental benchmark for evaluating privacy-preserving reforms and demonstrate the difficulty of reconciling privacy protection with the economics of online content provision.</w:t>
      </w:r>
    </w:p>
    <w:p>
      <w:pPr>
        <w:spacing w:before="120" w:after="120"/>
      </w:pPr>
      <w:r>
        <w:rPr>
          <w:sz w:val="18"/>
        </w:rPr>
        <w:t>——————————————————————————————————————————————————————————————————————</w:t>
      </w:r>
    </w:p>
    <w:p>
      <w:pPr>
        <w:spacing w:before="160" w:after="40" w:line="240" w:lineRule="auto"/>
      </w:pPr>
      <w:r>
        <w:rPr>
          <w:b/>
        </w:rPr>
        <w:t xml:space="preserve">[196] </w:t>
      </w:r>
      <w:hyperlink r:id="rId513">
        <w:r>
          <w:rPr>
            <w:color w:val="1155CC"/>
            <w:u w:val="single"/>
          </w:rPr>
          <w:t>脂质双层膜中鞘磷脂与胆固醇相互作用的可视化</w:t>
        </w:r>
      </w:hyperlink>
    </w:p>
    <w:p>
      <w:pPr>
        <w:spacing w:before="0" w:after="80"/>
      </w:pPr>
      <w:r>
        <w:rPr>
          <w:i/>
          <w:sz w:val="20"/>
        </w:rPr>
        <w:t>EN: Visualization of the interaction between sphingomyelin and cholesterol in lipid bilayer membranes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14">
        <w:r>
          <w:rPr>
            <w:color w:val="1155CC"/>
            <w:u w:val="single"/>
          </w:rPr>
          <w:t>10.1073/pnas.2528400123</w:t>
        </w:r>
      </w:hyperlink>
    </w:p>
    <w:p>
      <w:pPr>
        <w:spacing w:before="0" w:after="120"/>
      </w:pPr>
      <w:r>
        <w:rPr>
          <w:b/>
        </w:rPr>
        <w:t xml:space="preserve">Notes: </w:t>
      </w:r>
      <w:r>
        <w:t>abstract_source=crossref</w:t>
      </w:r>
    </w:p>
    <w:p>
      <w:pPr>
        <w:spacing w:before="0" w:after="80" w:lineRule="auto" w:line="276"/>
      </w:pPr>
      <w:r>
        <w:rPr>
          <w:b/>
        </w:rPr>
        <w:t xml:space="preserve">摘要（ZH）: </w:t>
      </w:r>
      <w:r>
        <w:t>生物膜是由数百种脂质组成的复杂二维液体，以多种方式相互作用。其中一种相互作用是动物细胞质膜中鞘磷脂（SM）和胆固醇之间的相互作用，提供了许多功能性益处，包括防止微生物感染、抑制不受控制的细胞生长以及正确维持细胞脂质组成。由于膜的液体性质，SM/胆固醇相互作用或任何其他功能关键的脂质-脂质相互作用的结构一直难以捉摸。在此，我们使用一种称为Ostreolysin A（OlyA）的真菌毒素克服了这一挑战，该毒素已被证明能特异性结合膜中的SM/胆固醇复合物。我们使用OlyA稳定SM/胆固醇相互作用，就像抗体用于稳定预先存在的蛋白质复合物一样。OlyA结合SM/胆固醇膜的冷冻电子显微镜分析揭示了这两种脂质之间紧密相互作用的细节——胆固醇的甾核与SM的酰基链紧密结合，并且在SM的神经酰胺基上的氮和胆固醇羟基上的氧之间形成氢键，从而隔离了胆固醇的这一关键功能基团。通过对一种以胆固醇非依赖方式结合游离SM的OlyA突变体的结构分析，支持了氢键在稳定SM/胆固醇相互作用中的重要性。这些结果提供了关于膜中胆固醇组织的结构见解。</w:t>
      </w:r>
    </w:p>
    <w:p>
      <w:pPr>
        <w:spacing w:before="0" w:after="200" w:lineRule="auto" w:line="276"/>
      </w:pPr>
      <w:r>
        <w:rPr>
          <w:b/>
        </w:rPr>
        <w:t xml:space="preserve">Abstract (EN): </w:t>
      </w:r>
      <w:r>
        <w:t>Biomembranes are complex two-dimensional liquids composed of hundreds of lipid species that interact in a myriad of ways. One such interaction, that between sphingomyelin (SM) and cholesterol in plasma membranes of animal cells, provides many functional benefits, including protection from microbial infection, prevention of unrestrained cell growth, and proper maintenance of cellular lipid composition. Owing to the liquid nature of membranes, the structure of the SM/cholesterol interaction, or any other functionally critical lipid–lipid interaction, has remained elusive. Here, we overcome this challenge using a fungal toxin called Ostreolysin A (OlyA), that has been shown to specifically bind to SM/cholesterol complexes in membranes. We used OlyA to stabilize the SM/cholesterol interaction much in the same way as antibodies are used to stabilize preexisting protein complexes. Cryoelectron microscopy analysis of OlyA bound to SM/cholesterol membranes reveals the details of the tight interaction between these two lipids—the steroid nucleus of cholesterol packs against the acyl chains of SM, and a hydrogen bond forms between the nitrogen on SM’s ceramide base and the oxygen on cholesterol’s hydroxyl group, thus sequestering this key functional group of cholesterol. The importance of hydrogen bonding in stabilizing the SM/cholesterol interaction is supported by structural analysis of a mutant form of OlyA that binds free SM in a cholesterol-independent manner. These results provide structural insights into the organization of cholesterol in membranes.</w:t>
      </w:r>
    </w:p>
    <w:p>
      <w:pPr>
        <w:spacing w:before="120" w:after="120"/>
      </w:pPr>
      <w:r>
        <w:rPr>
          <w:sz w:val="18"/>
        </w:rPr>
        <w:t>——————————————————————————————————————————————————————————————————————</w:t>
      </w:r>
    </w:p>
    <w:p>
      <w:pPr>
        <w:spacing w:before="160" w:after="40" w:line="240" w:lineRule="auto"/>
      </w:pPr>
      <w:r>
        <w:rPr>
          <w:b/>
        </w:rPr>
        <w:t xml:space="preserve">[197] </w:t>
      </w:r>
      <w:hyperlink r:id="rId515">
        <w:r>
          <w:rPr>
            <w:color w:val="1155CC"/>
            <w:u w:val="single"/>
          </w:rPr>
          <w:t>MCM8-9解旋酶活性保护原始生殖细胞发育以防止过早卵巢功能不全</w:t>
        </w:r>
      </w:hyperlink>
    </w:p>
    <w:p>
      <w:pPr>
        <w:spacing w:before="0" w:after="80"/>
      </w:pPr>
      <w:r>
        <w:rPr>
          <w:i/>
          <w:sz w:val="20"/>
        </w:rPr>
        <w:t>EN: MCM8-9 helicase activity protects primordial germ cell development to prevent premature ovarian insufficiency</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16">
        <w:r>
          <w:rPr>
            <w:color w:val="1155CC"/>
            <w:u w:val="single"/>
          </w:rPr>
          <w:t>10.1073/pnas.2535910123</w:t>
        </w:r>
      </w:hyperlink>
    </w:p>
    <w:p>
      <w:pPr>
        <w:spacing w:before="0" w:after="120"/>
      </w:pPr>
      <w:r>
        <w:rPr>
          <w:b/>
        </w:rPr>
        <w:t xml:space="preserve">Notes: </w:t>
      </w:r>
      <w:r>
        <w:t>abstract_source=crossref</w:t>
      </w:r>
    </w:p>
    <w:p>
      <w:pPr>
        <w:spacing w:before="0" w:after="80" w:lineRule="auto" w:line="276"/>
      </w:pPr>
      <w:r>
        <w:rPr>
          <w:b/>
        </w:rPr>
        <w:t xml:space="preserve">摘要（ZH）: </w:t>
      </w:r>
      <w:r>
        <w:t>MCM8和MCM9形成一个六聚体解旋酶，对同源重组（HR）至关重要。虽然它们的变体与卵巢早衰（POI）密切相关，许多变体聚集在其AAA+ ATPase结构域内，但其解旋酶活性的需求仍然未知。在此，我们展示了MCM8-9的解旋酶活性对于卵巢储备的保存和POI的预防是必不可少的。通过一系列解旋酶缺陷的小鼠模型，我们证明了这种活性对于减数分裂重组是可有可无的，但对于有丝分裂HR和原始生殖细胞（PGC）发育是至关重要的。MCM8-9的两个不同的ATPase活性位点表现出显著的功能不对称性，这一特性由其Walker B基序内的残基调节。尽管存在这种不对称性，但两个ATPase活性位点对于MCM8-9在HR、PGC发育、卵巢储备保存和POI预防中的功能同样重要。我们的研究结果建立了MCM8-9解旋酶活性受损与POI发病机制之间的直接联系，通过其在PGC发育中的重要作用。</w:t>
      </w:r>
    </w:p>
    <w:p>
      <w:pPr>
        <w:spacing w:before="0" w:after="200" w:lineRule="auto" w:line="276"/>
      </w:pPr>
      <w:r>
        <w:rPr>
          <w:b/>
        </w:rPr>
        <w:t xml:space="preserve">Abstract (EN): </w:t>
      </w:r>
      <w:r>
        <w:t>MCM8 and MCM9 form a hexameric helicase critical for homologous recombination (HR). While their variants are strongly associated with premature ovarian insufficiency (POI), with many clustering within their AAA+ ATPase domains, the requirement for their helicase activity remains unknown. Here, we show that MCM8-9’s helicase activity is essential for ovarian reserve preservation and POI prevention. Using a series of helicase-deficient mouse models, we demonstrate that this activity is dispensable for meiotic recombination but critically required for mitotic HR and primordial germ cell (PGC) development. The two distinct ATPase active sites of MCM8-9 exhibit marked functional asymmetry, a property regulated by residues within their Walker B motifs. Despite this asymmetry, both ATPase active sites are equally essential for MCM8-9’s function in HR, PGC development, ovarian reserve preservation, and POI prevention. Our findings establish a direct mechanistic link between compromised MCM8-9 helicase activity and POI pathogenesis through its essential role in PGC development.</w:t>
      </w:r>
    </w:p>
    <w:p>
      <w:pPr>
        <w:spacing w:before="120" w:after="120"/>
      </w:pPr>
      <w:r>
        <w:rPr>
          <w:sz w:val="18"/>
        </w:rPr>
        <w:t>——————————————————————————————————————————————————————————————————————</w:t>
      </w:r>
    </w:p>
    <w:p>
      <w:pPr>
        <w:spacing w:before="160" w:after="40" w:line="240" w:lineRule="auto"/>
      </w:pPr>
      <w:r>
        <w:rPr>
          <w:b/>
        </w:rPr>
        <w:t xml:space="preserve">[198] </w:t>
      </w:r>
      <w:hyperlink r:id="rId517">
        <w:r>
          <w:rPr>
            <w:color w:val="1155CC"/>
            <w:u w:val="single"/>
          </w:rPr>
          <w:t>植物中光温整合的保守调控核心和谱系特异性多样化</w:t>
        </w:r>
      </w:hyperlink>
    </w:p>
    <w:p>
      <w:pPr>
        <w:spacing w:before="0" w:after="80"/>
      </w:pPr>
      <w:r>
        <w:rPr>
          <w:i/>
          <w:sz w:val="20"/>
        </w:rPr>
        <w:t>EN: Conserved regulatory core and lineage-specific diversification of light–temperature integration in plants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18">
        <w:r>
          <w:rPr>
            <w:color w:val="1155CC"/>
            <w:u w:val="single"/>
          </w:rPr>
          <w:t>10.1073/pnas.2601574123</w:t>
        </w:r>
      </w:hyperlink>
    </w:p>
    <w:p>
      <w:pPr>
        <w:spacing w:before="0" w:after="120"/>
      </w:pPr>
      <w:r>
        <w:rPr>
          <w:b/>
        </w:rPr>
        <w:t xml:space="preserve">Notes: </w:t>
      </w:r>
      <w:r>
        <w:t>abstract_source=crossref</w:t>
      </w:r>
    </w:p>
    <w:p>
      <w:pPr>
        <w:spacing w:before="0" w:after="80" w:lineRule="auto" w:line="276"/>
      </w:pPr>
      <w:r>
        <w:rPr>
          <w:b/>
        </w:rPr>
        <w:t xml:space="preserve">摘要（ZH）: </w:t>
      </w:r>
      <w:r>
        <w:t>植物依赖于光和温度等环境信息来控制生长和发育。整合这些线索提高了发育的精确性，但尚不清楚这种能力如何在主要植物谱系中分布以及在进化过程中如何多样化。我们研究了主要绿色植物谱系中的光-温度整合，特别关注陆地植物的起源和早期多样化。通过比较表型和转录组分析，我们检查了绿藻、链型藻、苔藓植物和被子植物对光和温度信号组合的响应。链型藻表现出协同的发育和转录响应，而绿藻代表则主要表现出加性行为，表明链型藻谱系在环境信号整合方面经历了显著的扩展。功能遗传分析揭示了光敏色素和转录因子PHYTOCHROME INTERACTING FACTOR和ELONGATED HYPOCOTYL 5是陆地植物中这种整合的保守调节因子。Cistromic分析进一步显示，下游转录响应的多样化与保守的</w:t>
      </w:r>
      <w:r>
        <w:t xml:space="preserve"> </w:t>
      </w:r>
      <w:r>
        <w:t>cis</w:t>
      </w:r>
      <w:r>
        <w:t xml:space="preserve"> </w:t>
      </w:r>
      <w:r>
        <w:t>-调控元件的谱系特异性再分布相关。总之，这些结果支持了在链型藻进化早期建立光-温度整合能力并通过基因调控景观的谱系特异性变化而多样化的观点。</w:t>
      </w:r>
    </w:p>
    <w:p>
      <w:pPr>
        <w:spacing w:before="0" w:after="200" w:lineRule="auto" w:line="276"/>
      </w:pPr>
      <w:r>
        <w:rPr>
          <w:b/>
        </w:rPr>
        <w:t xml:space="preserve">Abstract (EN): </w:t>
      </w:r>
      <w:r>
        <w:t>Plants rely on environmental information such as light and temperature to control growth and development. Integrating these cues improves developmental precision, yet it remains unclear how this capacity is distributed across major plant lineages and how it diversified during evolution. We investigated light–temperature integration across major green plant lineages with particular attention to the origin and early diversification of land plants. Using comparative phenotypic and transcriptomic analyses, we examined responses to combined light and temperature signals in a chlorophyte alga, a streptophyte alga, a bryophyte, and a flowering plant. Streptophytes showed synergistic developmental and transcriptional responses, whereas the chlorophyte representative displayed predominantly additive behavior, indicating that the streptophyte lineage underwent a significant elaboration in environmental signal integration. Functional genetic analyses revealed that phytochromes and the transcription factors PHYTOCHROME INTERACTING FACTOR and ELONGATED HYPOCOTYL 5 are conserved regulators of this integration in land plants. Cistromic analyses further showed that diversification of downstream transcriptional responses is associated with lineage-specific redistribution of conserved</w:t>
      </w:r>
      <w:r>
        <w:t xml:space="preserve"> </w:t>
      </w:r>
      <w:r>
        <w:t>cis</w:t>
      </w:r>
      <w:r>
        <w:t xml:space="preserve"> </w:t>
      </w:r>
      <w:r>
        <w:t>-regulatory elements. Together, these results support the view that the capacity for light–temperature integration was established early during streptophyte evolution and diversified through lineage-specific changes in gene regulatory landscapes.</w:t>
      </w:r>
    </w:p>
    <w:p>
      <w:pPr>
        <w:spacing w:before="120" w:after="120"/>
      </w:pPr>
      <w:r>
        <w:rPr>
          <w:sz w:val="18"/>
        </w:rPr>
        <w:t>——————————————————————————————————————————————————————————————————————</w:t>
      </w:r>
    </w:p>
    <w:p>
      <w:pPr>
        <w:spacing w:before="160" w:after="40" w:line="240" w:lineRule="auto"/>
      </w:pPr>
      <w:r>
        <w:rPr>
          <w:b/>
        </w:rPr>
        <w:t xml:space="preserve">[199] </w:t>
      </w:r>
      <w:hyperlink r:id="rId519">
        <w:r>
          <w:rPr>
            <w:color w:val="1155CC"/>
            <w:u w:val="single"/>
          </w:rPr>
          <w:t>分子内键合作为寡聚物稳健分子间结合的设计策略</w:t>
        </w:r>
      </w:hyperlink>
    </w:p>
    <w:p>
      <w:pPr>
        <w:spacing w:before="0" w:after="80"/>
      </w:pPr>
      <w:r>
        <w:rPr>
          <w:i/>
          <w:sz w:val="20"/>
        </w:rPr>
        <w:t>EN: Intramolecular bonding as a design strategy for robust intermolecular binding of oligomers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20">
        <w:r>
          <w:rPr>
            <w:color w:val="1155CC"/>
            <w:u w:val="single"/>
          </w:rPr>
          <w:t>10.1073/pnas.2534579123</w:t>
        </w:r>
      </w:hyperlink>
    </w:p>
    <w:p>
      <w:pPr>
        <w:spacing w:before="0" w:after="120"/>
      </w:pPr>
      <w:r>
        <w:rPr>
          <w:b/>
        </w:rPr>
        <w:t xml:space="preserve">Notes: </w:t>
      </w:r>
      <w:r>
        <w:t>abstract_source=crossref</w:t>
      </w:r>
    </w:p>
    <w:p>
      <w:pPr>
        <w:spacing w:before="0" w:after="80" w:lineRule="auto" w:line="276"/>
      </w:pPr>
      <w:r>
        <w:rPr>
          <w:b/>
        </w:rPr>
        <w:t xml:space="preserve">摘要（ZH）: </w:t>
      </w:r>
      <w:r>
        <w:t>在这项研究中，提出了一个结合多尺度建模和实验的框架，以阐明优化序列定义的寡聚物结合热力学和动力学的设计规则。研究表明，与传统观念相反，熵可以被设计为不仅有利于结合亲和力，还能促进稳定互补复合物的快速杂交。这种结合的熵增益源于分子间接触和分子内相互作用之间的战略性相互作用，当未结合时保持寡聚物构象的限制。此外，我们的分析强调了溶剂质量在通过结合时寡聚物及其溶剂化壳的结构变化来调节这种相互作用的重要作用。虽然这些见解原则上与化学无关，可以用于广泛的材料平台和应用，但寡聚氨基甲酸酯被用作实验验证的试验台。寡聚氨基甲酸酯是经济的DNA模拟物，与基于DNA的构建体不同，它们在常见的非水溶剂中形成稳定的Watson–Crick键，不易受酶降解，并且可以经济地大规模生产。</w:t>
      </w:r>
    </w:p>
    <w:p>
      <w:pPr>
        <w:spacing w:before="0" w:after="200" w:lineRule="auto" w:line="276"/>
      </w:pPr>
      <w:r>
        <w:rPr>
          <w:b/>
        </w:rPr>
        <w:t xml:space="preserve">Abstract (EN): </w:t>
      </w:r>
      <w:r>
        <w:t>In this study, a combined multiscale-modeling and experimental framework is presented to elucidate design rules to optimize the binding thermodynamics and kinetics of sequence-defined oligomers. It is shown that, contrary to conventional notions, entropy can be designed to favor not only binding affinity but also the rapid hybridization of stable complementary complexes. This entropic gain of binding arises from a strategic interplay between intermolecular contacts and intramolecular interactions that maintain restricted oligomer conformations when unbound. Furthermore, our analysis underscores the important role that solvent quality plays in modulating this interplay through structural changes upon binding in both the oligomers and their solvation shells. While these insights are in principle chemistry-agnostic and can be deployed for a wide range of materials platforms and applications, oligocarbamates are used as testbeds for experimental validation. Oligocarbamates are economical DNA-mimics that, unlike DNA-based constructs, form stable Watson–Crick bonds in common nonaqueous solvents, are not susceptible to enzymatic degradation and can be economically produced at scale.</w:t>
      </w:r>
    </w:p>
    <w:p>
      <w:pPr>
        <w:spacing w:before="120" w:after="120"/>
      </w:pPr>
      <w:r>
        <w:rPr>
          <w:sz w:val="18"/>
        </w:rPr>
        <w:t>——————————————————————————————————————————————————————————————————————</w:t>
      </w:r>
    </w:p>
    <w:p>
      <w:pPr>
        <w:spacing w:before="160" w:after="40" w:line="240" w:lineRule="auto"/>
      </w:pPr>
      <w:r>
        <w:rPr>
          <w:b/>
        </w:rPr>
        <w:t xml:space="preserve">[200] </w:t>
      </w:r>
      <w:hyperlink r:id="rId521">
        <w:r>
          <w:rPr>
            <w:color w:val="1155CC"/>
            <w:u w:val="single"/>
          </w:rPr>
          <w:t>过去四十年间，中国旱地农田的地下土壤无机碳增益抵消了一半的地表损失</w:t>
        </w:r>
      </w:hyperlink>
    </w:p>
    <w:p>
      <w:pPr>
        <w:spacing w:before="0" w:after="80"/>
      </w:pPr>
      <w:r>
        <w:rPr>
          <w:i/>
          <w:sz w:val="20"/>
        </w:rPr>
        <w:t>EN: Subsurface soil inorganic carbon gains offset half of surface losses in China’s upland croplands over the last four decades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22">
        <w:r>
          <w:rPr>
            <w:color w:val="1155CC"/>
            <w:u w:val="single"/>
          </w:rPr>
          <w:t>10.1073/pnas.2531214123</w:t>
        </w:r>
      </w:hyperlink>
    </w:p>
    <w:p>
      <w:pPr>
        <w:spacing w:before="0" w:after="120"/>
      </w:pPr>
      <w:r>
        <w:rPr>
          <w:b/>
        </w:rPr>
        <w:t xml:space="preserve">Notes: </w:t>
      </w:r>
      <w:r>
        <w:t>abstract_source=crossref</w:t>
      </w:r>
    </w:p>
    <w:p>
      <w:pPr>
        <w:spacing w:before="0" w:after="80" w:lineRule="auto" w:line="276"/>
      </w:pPr>
      <w:r>
        <w:rPr>
          <w:b/>
        </w:rPr>
        <w:t xml:space="preserve">摘要（ZH）: </w:t>
      </w:r>
      <w:r>
        <w:t>土壤无机碳（SIC）构成了陆地碳库的一半，并对全球碳循环和生态系统多功能性产生深远影响。与千年尺度稳定性的观点相反，农田中的SIC由于强烈的人为干扰正在发生快速变化。然而，近年来SIC变化的方向、幅度和驱动因素仍然缺乏量化，尤其是在整个土壤剖面中。在此，我们量化了中国旱地农田204个匹配地点（4,305个土壤剖面）在1980年代和2023年间1米土壤剖面中SIC的变化，使用遗留地点描述和实地验证重新定位。在过去的四十年中，表层SIC密度（0至40厘米）平均减少了0.68 kg m−2，主要与降水增加和土壤酸化有关，而次表层SIC密度（40至100厘米）增加了0.49 kg m−2，归因于碳输入和土壤pH值的增加。次表层SIC积累达到0.48 0.39 0.58 Pg，抵消了上层1米土壤剖面44%的表层损失。重要的是，这</w:t>
      </w:r>
    </w:p>
    <w:p>
      <w:pPr>
        <w:spacing w:before="0" w:after="200" w:lineRule="auto" w:line="276"/>
      </w:pPr>
      <w:r>
        <w:rPr>
          <w:b/>
        </w:rPr>
        <w:t xml:space="preserve">Abstract (EN): </w:t>
      </w:r>
      <w:r>
        <w:t>Soil inorganic carbon (SIC) constitutes half of the terrestrial carbon pool and exerts a profound influence on global carbon cycling and ecosystem multifunctionality. Contrary to the view of millennial-scale stability, SIC in cropland are undergoing rapid changes due to intense anthropogenic disturbances. However, the direction, magnitude, and drivers of SIC changes over recent decades remain poorly quantified, especially in entire soil profile. Here, we quantified changes in SIC across a 1-m soil profile across China’s upland croplands at 204 matched sites (4,305 soil profiles) in 1980s and 2023, relocated using legacy site descriptions and field verification. Over the past four decades, the mean of surface SIC density (0 to 40 cm) depleted by 0.68 kg m</w:t>
      </w:r>
      <w:r>
        <w:t xml:space="preserve"> </w:t>
      </w:r>
      <w:r>
        <w:t>−2</w:t>
      </w:r>
      <w:r>
        <w:t xml:space="preserve"> </w:t>
      </w:r>
      <w:r>
        <w:t>, primarily associated with increased precipitation and soil acidification, whereas subsurface SIC density (40 to 100 cm) increased by 0.49 kg m</w:t>
      </w:r>
      <w:r>
        <w:t xml:space="preserve"> </w:t>
      </w:r>
      <w:r>
        <w:t>−2</w:t>
      </w:r>
      <w:r>
        <w:t xml:space="preserve"> </w:t>
      </w:r>
      <w:r>
        <w:t>, attributed to carbon inputs and an increase in soil pH. Subsurface SIC accumulation amounted to</w:t>
      </w:r>
      <w:r>
        <w:t xml:space="preserve"> </w:t>
      </w:r>
      <w:r>
        <w:t>0.48</w:t>
      </w:r>
      <w:r>
        <w:t xml:space="preserve"> </w:t>
      </w:r>
      <w:r>
        <w:t>0.39</w:t>
      </w:r>
      <w:r>
        <w:t xml:space="preserve"> </w:t>
      </w:r>
      <w:r>
        <w:t>0.58</w:t>
      </w:r>
      <w:r>
        <w:t xml:space="preserve"> </w:t>
      </w:r>
      <w:r>
        <w:t>Pg, offsetting 44% surface losses within the upper 1 m soil profile. Importantly, this offset reflects vertical redistribution of SIC rather than net carbon sequestration at the ecosystem scale. These findings highlight the need to incorporate depth-resolved SIC dynamics into terrestrial carbon accounting and climate projections.</w:t>
      </w:r>
    </w:p>
    <w:p>
      <w:pPr>
        <w:spacing w:before="120" w:after="120"/>
      </w:pPr>
      <w:r>
        <w:rPr>
          <w:sz w:val="18"/>
        </w:rPr>
        <w:t>——————————————————————————————————————————————————————————————————————</w:t>
      </w:r>
    </w:p>
    <w:p>
      <w:pPr>
        <w:spacing w:before="160" w:after="40" w:line="240" w:lineRule="auto"/>
      </w:pPr>
      <w:r>
        <w:rPr>
          <w:b/>
        </w:rPr>
        <w:t xml:space="preserve">[201] </w:t>
      </w:r>
      <w:hyperlink r:id="rId523">
        <w:r>
          <w:rPr>
            <w:color w:val="1155CC"/>
            <w:u w:val="single"/>
          </w:rPr>
          <w:t>基因组祖先预测跨时空尺度的快速干旱响应</w:t>
        </w:r>
      </w:hyperlink>
    </w:p>
    <w:p>
      <w:pPr>
        <w:spacing w:before="0" w:after="80"/>
      </w:pPr>
      <w:r>
        <w:rPr>
          <w:i/>
          <w:sz w:val="20"/>
        </w:rPr>
        <w:t>EN: Genomic ancestry predicts rapid responses to drought across spatiotemporal scales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24">
        <w:r>
          <w:rPr>
            <w:color w:val="1155CC"/>
            <w:u w:val="single"/>
          </w:rPr>
          <w:t>10.1073/pnas.2531142123</w:t>
        </w:r>
      </w:hyperlink>
    </w:p>
    <w:p>
      <w:pPr>
        <w:spacing w:before="0" w:after="120"/>
      </w:pPr>
      <w:r>
        <w:rPr>
          <w:b/>
        </w:rPr>
        <w:t xml:space="preserve">Notes: </w:t>
      </w:r>
      <w:r>
        <w:t>abstract_source=crossref</w:t>
      </w:r>
    </w:p>
    <w:p>
      <w:pPr>
        <w:spacing w:before="0" w:after="80" w:lineRule="auto" w:line="276"/>
      </w:pPr>
      <w:r>
        <w:rPr>
          <w:b/>
        </w:rPr>
        <w:t xml:space="preserve">摘要（ZH）: </w:t>
      </w:r>
      <w:r>
        <w:t>尽管遗传多样性对物种在变化的景观中持续存在的重要性，但其在时空尺度上对环境变化的响应仍然知之甚少。农业杂草为研究这些适应性动态提供了理想的模型，因为它们在旨在消除它们的集约管理实践和日益严重的气候挑战（如干旱）下迅速进化。在此，我们结合实验和标本基因组学方法，跨越从世代内到长达一个世纪的时间尺度，以了解基因组范围的变异如何响应于苋属植物（Amaranthus tuberculatus）的干旱。在这种本土物种中，两条祖先谱系之间的分歧选择历史，随后是次级接触，被认为促进了其对农业的入侵。对其范围内配对的农业和自然种群的种质进行的干旱生存实验揭示了由栖息地、地理和祖先区分的显著表型变异。混合图谱揭示了几乎所有染色体上的43个独立位点，这些位点在干旱下具有保护作用，表现出特别快速的等位基因频率变化，并在施加的干旱过程中表现出特定持续时间的选择。对过去一个世纪等位基因频率的观察揭示了气候依赖的波动选择的证据，这种选择控制着与干旱相关的位点的进化。在炎热/干燥的年份中选择有利于干旱等位基因，而在凉爽/潮湿的年份中选择不利于它们——这种模式在长</w:t>
      </w:r>
    </w:p>
    <w:p>
      <w:pPr>
        <w:spacing w:before="0" w:after="200" w:lineRule="auto" w:line="276"/>
      </w:pPr>
      <w:r>
        <w:rPr>
          <w:b/>
        </w:rPr>
        <w:t xml:space="preserve">Abstract (EN): </w:t>
      </w:r>
      <w:r>
        <w:t>How genetic diversity responds to environmental change across spatiotemporal scales remains poorly understood despite its importance for species persistence in changing landscapes. Agricultural weeds offer ideal models for studying these adaptive dynamics as they rapidly evolve under both the intensive management practices designed to eliminate them and increasingly severe climate challenges such as drought. Here, we combine experimental and herbarium genomic approaches spanning within-generation to century-long timescales to understand how genome-wide variation responds to drought in</w:t>
      </w:r>
      <w:r>
        <w:t xml:space="preserve"> </w:t>
      </w:r>
      <w:r>
        <w:t>Amaranthus tuberculatus</w:t>
      </w:r>
      <w:r>
        <w:t xml:space="preserve"> </w:t>
      </w:r>
      <w:r>
        <w:t>. In this native species, a history of divergent selection between two ancestral lineages followed by secondary contact is thought to have facilitated its invasion into agriculture. A drought survival experiment on accessions from paired agricultural and natural populations across its range revealed substantial phenotypic variation differentiated by habitat, geography, and ancestry. Admixture mapping revealed 43 independent loci across nearly all chromosomes that confer protective effects under drought, demonstrate particularly rapid allele frequency changes, and exhibit duration-specific selection over the course of the imposed drought. Observation of allele frequencies across the past century reveals evidence for climate-dependent fluctuating selection governing the evolution of drought-associated loci. Selection favors drought alleles during hot/dry years and selects against them in cool/wet years—a pattern more evident in long-term trends than in shorter temporal intervals, suggestive of adaptive lag in rapidly changing environments. By combining short and long-term spatiotemporal data, we demonstrate that fluctuating selection has preserved the polygenic variation underlying population responses to drought, enabling ongoing adaptive responses to contemporary land use and climate change.</w:t>
      </w:r>
    </w:p>
    <w:p>
      <w:pPr>
        <w:spacing w:before="120" w:after="120"/>
      </w:pPr>
      <w:r>
        <w:rPr>
          <w:sz w:val="18"/>
        </w:rPr>
        <w:t>——————————————————————————————————————————————————————————————————————</w:t>
      </w:r>
    </w:p>
    <w:p>
      <w:pPr>
        <w:spacing w:before="160" w:after="40" w:line="240" w:lineRule="auto"/>
      </w:pPr>
      <w:r>
        <w:rPr>
          <w:b/>
        </w:rPr>
        <w:t xml:space="preserve">[202] </w:t>
      </w:r>
      <w:hyperlink r:id="rId525">
        <w:r>
          <w:rPr>
            <w:color w:val="1155CC"/>
            <w:u w:val="single"/>
          </w:rPr>
          <w:t>通过NELiS解码GPR151的结构</w:t>
        </w:r>
      </w:hyperlink>
    </w:p>
    <w:p>
      <w:pPr>
        <w:spacing w:before="0" w:after="80"/>
      </w:pPr>
      <w:r>
        <w:rPr>
          <w:i/>
          <w:sz w:val="20"/>
        </w:rPr>
        <w:t>EN: Decoding the structure of GPR151 via NELiS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26">
        <w:r>
          <w:rPr>
            <w:color w:val="1155CC"/>
            <w:u w:val="single"/>
          </w:rPr>
          <w:t>10.1073/pnas.2534234123</w:t>
        </w:r>
      </w:hyperlink>
    </w:p>
    <w:p>
      <w:pPr>
        <w:spacing w:before="0" w:after="120"/>
      </w:pPr>
      <w:r>
        <w:rPr>
          <w:b/>
        </w:rPr>
        <w:t xml:space="preserve">Notes: </w:t>
      </w:r>
      <w:r>
        <w:t>abstract_source=crossref</w:t>
      </w:r>
    </w:p>
    <w:p>
      <w:pPr>
        <w:spacing w:before="0" w:after="80" w:lineRule="auto" w:line="276"/>
      </w:pPr>
      <w:r>
        <w:rPr>
          <w:b/>
        </w:rPr>
        <w:t xml:space="preserve">摘要（ZH）: </w:t>
      </w:r>
      <w:r>
        <w:t>孤儿G蛋白偶联受体（GPCRs）的结构测定因缺乏已知配体和在纯化过程中固有的不稳定性而受到阻碍。传统的热稳定性筛选需要配体或纯化的蛋白质，限制了其对孤儿GPCRs的实用性。在此，我们提出了Nb6-Enabled Ligand-Free Stabilization Platform（NELiS）——一种独立于配体和纯化的方法，用于识别稳定性突变。应用于GPR151，一种在缰核中富集并与神经精神疾病相关的孤儿GPCR，NELiS识别出四个显著改善热稳定性和表达的突变，允许受体纯化。使用稳定化和纯化的受体，我们进一步发现了一种高亲和力、GPR151特异性纳米抗体，促进了结构测定。结构分析揭示了跨越经典基序的非常规抗激活特征和占据正构口袋的自抑制N末端区域。功能研究证实了一种独特的激活机制以及N末端在受体成熟和运输中的关键作用。这些结果确立了NELiS作为孤儿GPCRs结构和功能研究的通用工具。</w:t>
      </w:r>
    </w:p>
    <w:p>
      <w:pPr>
        <w:spacing w:before="0" w:after="200" w:lineRule="auto" w:line="276"/>
      </w:pPr>
      <w:r>
        <w:rPr>
          <w:b/>
        </w:rPr>
        <w:t xml:space="preserve">Abstract (EN): </w:t>
      </w:r>
      <w:r>
        <w:t>Structure determination of orphan G protein–coupled receptors (GPCRs) is hindered by lack of known ligands and their inherent instability during purification. Conventional thermostability screening requires ligands or purified protein, limiting its utility for orphan GPCRs. Here, we present the Nb6-Enabled Ligand-Free Stabilization Platform (NELiS)—a ligand- and purification-independent method for identifying stabilizing mutations. Applied to GPR151, an orphan GPCR enriched in habenula and implicated in neuropsychiatric disorders, NELiS identified four mutations that significantly improved thermostability and expression, allowing receptor purification. Using the stabilized and purified receptor, we further found a high-affinity, GPR151-specific nanobody that facilitated structural determination. Structural analysis revealed unconventional activation-resistant features across canonical motifs and an autoinhibitory N-terminal region occupying the orthosteric pocket. Functional studies confirmed a unique activation mechanism and the critical role of the N terminus in receptor maturation and trafficking. These results establish NELiS as a generalizable tool for structural and functional investigation of orphan GPCRs.</w:t>
      </w:r>
    </w:p>
    <w:p>
      <w:pPr>
        <w:spacing w:before="120" w:after="120"/>
      </w:pPr>
      <w:r>
        <w:rPr>
          <w:sz w:val="18"/>
        </w:rPr>
        <w:t>——————————————————————————————————————————————————————————————————————</w:t>
      </w:r>
    </w:p>
    <w:p>
      <w:pPr>
        <w:spacing w:before="160" w:after="40" w:line="240" w:lineRule="auto"/>
      </w:pPr>
      <w:r>
        <w:rPr>
          <w:b/>
        </w:rPr>
        <w:t xml:space="preserve">[203] </w:t>
      </w:r>
      <w:hyperlink r:id="rId527">
        <w:r>
          <w:rPr>
            <w:color w:val="1155CC"/>
            <w:u w:val="single"/>
          </w:rPr>
          <w:t>细胞壁状态的变化启动拟南芥珠心的消除</w:t>
        </w:r>
      </w:hyperlink>
    </w:p>
    <w:p>
      <w:pPr>
        <w:spacing w:before="0" w:after="80"/>
      </w:pPr>
      <w:r>
        <w:rPr>
          <w:i/>
          <w:sz w:val="20"/>
        </w:rPr>
        <w:t>EN: A change in the cell wall status initiates the elimination of the nucellus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28">
        <w:r>
          <w:rPr>
            <w:color w:val="1155CC"/>
            <w:u w:val="single"/>
          </w:rPr>
          <w:t>10.1073/pnas.2515702123</w:t>
        </w:r>
      </w:hyperlink>
    </w:p>
    <w:p>
      <w:pPr>
        <w:spacing w:before="0" w:after="120"/>
      </w:pPr>
      <w:r>
        <w:rPr>
          <w:b/>
        </w:rPr>
        <w:t xml:space="preserve">Notes: </w:t>
      </w:r>
      <w:r>
        <w:t>abstract_source=crossref</w:t>
      </w:r>
    </w:p>
    <w:p>
      <w:pPr>
        <w:spacing w:before="0" w:after="80" w:lineRule="auto" w:line="276"/>
      </w:pPr>
      <w:r>
        <w:rPr>
          <w:b/>
        </w:rPr>
        <w:t xml:space="preserve">摘要（ZH）: </w:t>
      </w:r>
      <w:r>
        <w:t>种子习性的演变可以追溯到珠心细胞命运的改变，珠心是负责雌性减数分裂的孢子体组织。当珠心保留雌性孢子而不是将其释放到环境中时，种子就产生了。因此，珠心被部分消除，以适应雌配子体在孢子体内的生长。随着被子植物种子的演化，珠心消除的过程被征用，以允许胚乳的生长，胚乳是受精产物，专用于储存营养物质，这些营养物质是人类饮食的基础。细胞消除不同于大多数已知的细胞死亡程序，因为它导致细胞壁的明显拆解。在此，我们展示了在</w:t>
      </w:r>
      <w:r>
        <w:t xml:space="preserve"> </w:t>
      </w:r>
      <w:r>
        <w:t>Arabidopsis</w:t>
      </w:r>
      <w:r>
        <w:t xml:space="preserve"> </w:t>
      </w:r>
      <w:r>
        <w:t>中，珠心消除是通过细胞壁中果胶多糖的去甲酯化和随后的裂解启动的。这个过程使其他细胞壁成分暴露于可能的进一步降解，并先于导致核DNA片段化的细胞死亡程序。这两个途径都由TRANSPARENT TESTA 16调节，这是一种随着种子植物演化的MADS域转录因子。我们的结果强调了动物和植物中细胞外多糖的结构和功能的趋同，并强调了它们对多细胞生物体发育的关键贡献。</w:t>
      </w:r>
    </w:p>
    <w:p>
      <w:pPr>
        <w:spacing w:before="0" w:after="200" w:lineRule="auto" w:line="276"/>
      </w:pPr>
      <w:r>
        <w:rPr>
          <w:b/>
        </w:rPr>
        <w:t xml:space="preserve">Abstract (EN): </w:t>
      </w:r>
      <w:r>
        <w:t>The evolution of the seed habit can be traced back to a change in the cell fate of the nucellus, the sporophytic tissue responsible for female meiosis. Seeds arose when the nucellus retained the female spores instead of releasing them into the environment. As a consequence, the nucellus was partially eliminated to accommodate the growth of the female gametophyte inside the sporophyte. With the evolution of angiosperm seeds, the process of nucellus elimination was requisitioned to allow the growth of the endosperm, the fertilization product devoted to storing nutrients that are at the foundation of the human diet. Cell elimination differs from most known cell death programs as it leads to the apparent dismantling of the cell wall. Here, we show that nucellus elimination in</w:t>
      </w:r>
      <w:r>
        <w:t xml:space="preserve"> </w:t>
      </w:r>
      <w:r>
        <w:t>Arabidopsis</w:t>
      </w:r>
      <w:r>
        <w:t xml:space="preserve"> </w:t>
      </w:r>
      <w:r>
        <w:t>is initiated by demethylesterification and subsequent lysis of the pectic polysaccharides in the cell wall. This process exposes other cell wall components to possible further degradation and precedes a cell death program that leads to nuclear DNA fragmentation. Both pathways are regulated by TRANSPARENT TESTA 16, a MADS-domain transcription factor that evolved with seed plants. Our results highlight a convergence in the structure and function of extracellular polysaccharides in animals and plants and emphasize their crucial contribution to the development of multicellular organisms.</w:t>
      </w:r>
    </w:p>
    <w:p>
      <w:pPr>
        <w:spacing w:before="120" w:after="120"/>
      </w:pPr>
      <w:r>
        <w:rPr>
          <w:sz w:val="18"/>
        </w:rPr>
        <w:t>——————————————————————————————————————————————————————————————————————</w:t>
      </w:r>
    </w:p>
    <w:p>
      <w:pPr>
        <w:spacing w:before="160" w:after="40" w:line="240" w:lineRule="auto"/>
      </w:pPr>
      <w:r>
        <w:rPr>
          <w:b/>
        </w:rPr>
        <w:t xml:space="preserve">[204] </w:t>
      </w:r>
      <w:hyperlink r:id="rId529">
        <w:r>
          <w:rPr>
            <w:color w:val="1155CC"/>
            <w:u w:val="single"/>
          </w:rPr>
          <w:t>Pde4介导少突胶质细胞中的MHCII表达</w:t>
        </w:r>
      </w:hyperlink>
    </w:p>
    <w:p>
      <w:pPr>
        <w:spacing w:before="0" w:after="80"/>
      </w:pPr>
      <w:r>
        <w:rPr>
          <w:i/>
          <w:sz w:val="20"/>
        </w:rPr>
        <w:t>EN: Pde4 mediates MHCII expression in oligodendroglia</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30">
        <w:r>
          <w:rPr>
            <w:color w:val="1155CC"/>
            <w:u w:val="single"/>
          </w:rPr>
          <w:t>10.1073/pnas.2511231123</w:t>
        </w:r>
      </w:hyperlink>
    </w:p>
    <w:p>
      <w:pPr>
        <w:spacing w:before="0" w:after="120"/>
      </w:pPr>
      <w:r>
        <w:rPr>
          <w:b/>
        </w:rPr>
        <w:t xml:space="preserve">Notes: </w:t>
      </w:r>
      <w:r>
        <w:t>abstract_source=crossref</w:t>
      </w:r>
    </w:p>
    <w:p>
      <w:pPr>
        <w:spacing w:before="0" w:after="80" w:lineRule="auto" w:line="276"/>
      </w:pPr>
      <w:r>
        <w:rPr>
          <w:b/>
        </w:rPr>
        <w:t xml:space="preserve">摘要（ZH）: </w:t>
      </w:r>
      <w:r>
        <w:t>慢性心理社会压力是导致重度抑郁症（MDD）的主要诱因，但将持续压力转化为不良髓鞘和免疫变化的胶质机制仍不清楚。使用慢性社会挫败压力和前内侧PFC（mPFC）少突胶质细胞的单核RNA测序，我们识别出一个几乎完全来自压力易感动物的成熟少突胶质细胞簇，以免疫基因（MHCII）和上调的Pde4b为标志。与人类MDD单核RNA测序数据集的整合证实了一个保守的免疫样少突胶质细胞（ImOL）亚群，共表达Plp1和Cd74，并富集Pde4b。在机制上，使用crisaborole抑制PDE4提高了cAMP–PKA–CREB信号，阻止了IFNγ诱导的MHCII表达，并参与了整合应激反应（ISR）的eIF2α–ATF4/CHOP分支。在体内，使用ISRIB或guanabenz调节ISR双向控制ImOL的普遍性和压力相关行为。这些发现将Pde4b–cAMP–ISR信号定位为少突胶质免疫表型的调节器，并作为调节髓鞘形成和应对压力相关疾病中的神经炎症的有前途的靶点。</w:t>
      </w:r>
    </w:p>
    <w:p>
      <w:pPr>
        <w:spacing w:before="0" w:after="200" w:lineRule="auto" w:line="276"/>
      </w:pPr>
      <w:r>
        <w:rPr>
          <w:b/>
        </w:rPr>
        <w:t xml:space="preserve">Abstract (EN): </w:t>
      </w:r>
      <w:r>
        <w:t>Chronic psychosocial stress is a major precipitant of Major Depressive Disorder (MDD), yet the glial mechanisms that translate sustained stress into maladaptive myelin and immune changes remain unclear. Using chronic social defeat stress and single-nucleus RNA sequencing of anterior medial PFC (mPFC) oligodendroglia, we identified a mature-oligodendrocyte cluster almost exclusively from stress-susceptible animals, marked by immune genes (MHCII) and upregulated Pde4b. Integration with a human MDD single-nucleus RNA sequencing dataset confirmed a conserved immune-like oligodendrocyte (ImOL) subset coexpressing Plp1 and Cd74 and enriched for Pde4b. Mechanistically, PDE4 inhibition with crisaborole elevated cAMP–PKA–CREB signaling, blocked IFNγ-induced MHCII expression, and engaged the eIF2α–ATF4/CHOP arm of the integrated stress response (ISR). In vivo modulation of the ISR with ISRIB or guanabenz bidirectionally controlled ImOL prevalence and stress-related behaviors. These findings position Pde4b–cAMP–ISR signaling as a regulator of oligodendroglial immune phenotypes and a promising target to modulate myelination and neuroinflammation in stress-related disorders.</w:t>
      </w:r>
    </w:p>
    <w:p>
      <w:pPr>
        <w:spacing w:before="120" w:after="120"/>
      </w:pPr>
      <w:r>
        <w:rPr>
          <w:sz w:val="18"/>
        </w:rPr>
        <w:t>——————————————————————————————————————————————————————————————————————</w:t>
      </w:r>
    </w:p>
    <w:p>
      <w:pPr>
        <w:spacing w:before="160" w:after="40" w:line="240" w:lineRule="auto"/>
      </w:pPr>
      <w:r>
        <w:rPr>
          <w:b/>
        </w:rPr>
        <w:t xml:space="preserve">[205] </w:t>
      </w:r>
      <w:hyperlink r:id="rId531">
        <w:r>
          <w:rPr>
            <w:color w:val="1155CC"/>
            <w:u w:val="single"/>
          </w:rPr>
          <w:t>VEGF-D诱导的骨内淋巴管生成驱动特定部位的异位骨吸收</w:t>
        </w:r>
      </w:hyperlink>
    </w:p>
    <w:p>
      <w:pPr>
        <w:spacing w:before="0" w:after="80"/>
      </w:pPr>
      <w:r>
        <w:rPr>
          <w:i/>
          <w:sz w:val="20"/>
        </w:rPr>
        <w:t>EN: VEGF-D-induced intraosseous lymphangiogenesis drives site-specific heterotopic bone resorption</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32">
        <w:r>
          <w:rPr>
            <w:color w:val="1155CC"/>
            <w:u w:val="single"/>
          </w:rPr>
          <w:t>10.1073/pnas.2524022123</w:t>
        </w:r>
      </w:hyperlink>
    </w:p>
    <w:p>
      <w:pPr>
        <w:spacing w:before="0" w:after="120"/>
      </w:pPr>
      <w:r>
        <w:rPr>
          <w:b/>
        </w:rPr>
        <w:t xml:space="preserve">Notes: </w:t>
      </w:r>
      <w:r>
        <w:t>abstract_source=crossref</w:t>
      </w:r>
    </w:p>
    <w:p>
      <w:pPr>
        <w:spacing w:before="0" w:after="80" w:lineRule="auto" w:line="276"/>
      </w:pPr>
      <w:r>
        <w:rPr>
          <w:b/>
        </w:rPr>
        <w:t xml:space="preserve">摘要（ZH）: </w:t>
      </w:r>
      <w:r>
        <w:t>异位骨化（HO）是一种常在肌肉骨骼损伤后发生的衰弱性疾病，其特征是在软组织中形成骨。尽管在理解其发病机制方面取得了进展，但仍缺乏有效的疗法来逆转已建立的异位骨。虽然淋巴管与Gorham-Stout病等罕见疾病中的骨破坏有关，但其对HO的影响尚未被广泛探索。在此，我们使用转基因小鼠来确定淋巴生长因子VEGF-D的靶向表达是否可以在HO小鼠模型中促进骨的治疗性吸收。我们显示对照小鼠在异位骨中缺乏淋巴管。相比之下，</w:t>
      </w:r>
      <w:r>
        <w:t xml:space="preserve"> </w:t>
      </w:r>
      <w:r>
        <w:t>Vegfd</w:t>
      </w:r>
      <w:r>
        <w:t xml:space="preserve"> </w:t>
      </w:r>
      <w:r>
        <w:t>过表达（</w:t>
      </w:r>
      <w:r>
        <w:t xml:space="preserve"> </w:t>
      </w:r>
      <w:r>
        <w:t>Vegfd-OE</w:t>
      </w:r>
      <w:r>
        <w:t xml:space="preserve"> </w:t>
      </w:r>
      <w:r>
        <w:t>）小鼠在异位骨中发育出淋巴管，并形成显著少于对照小鼠的异位骨。此外，我们证明VEGF-D过表达或局部递送促进了已建立的异位骨的治疗性吸收。在机制上，我们显示在</w:t>
      </w:r>
      <w:r>
        <w:t xml:space="preserve"> </w:t>
      </w:r>
      <w:r>
        <w:t>Vegfd-OE</w:t>
      </w:r>
      <w:r>
        <w:t xml:space="preserve"> </w:t>
      </w:r>
      <w:r>
        <w:t>小鼠中，髓样细胞向破骨细胞的转变和破骨细胞介导的骨吸收得到增强。这些发现揭示了淋巴管在调节异位骨吸收中的一个先前未被认识的作用，并确定了VEGF-D介导的淋巴管生成作为HO的一个有前途的治疗策略。</w:t>
      </w:r>
    </w:p>
    <w:p>
      <w:pPr>
        <w:spacing w:before="0" w:after="200" w:lineRule="auto" w:line="276"/>
      </w:pPr>
      <w:r>
        <w:rPr>
          <w:b/>
        </w:rPr>
        <w:t xml:space="preserve">Abstract (EN): </w:t>
      </w:r>
      <w:r>
        <w:t>Heterotopic ossification (HO) is a debilitating condition that commonly occurs after musculoskeletal injury and is characterized by the formation of bone in soft tissues. Despite advances in understanding its pathogenesis, effective therapies to reverse established heterotopic bone remain lacking. While lymphatic vessels are associated with the destruction of bone in rare diseases such as Gorham-Stout disease, their effect on HO has not been widely explored. Here, we use transgenic mice to determine whether targeted expression of the lymphatic growth factor VEGF-D can promote the therapeutic resorption of bone in a mouse model of HO. We show that control mice lack lymphatic vessels in heterotopic bone. In contrast,</w:t>
      </w:r>
      <w:r>
        <w:t xml:space="preserve"> </w:t>
      </w:r>
      <w:r>
        <w:t>Vegfd</w:t>
      </w:r>
      <w:r>
        <w:t xml:space="preserve"> </w:t>
      </w:r>
      <w:r>
        <w:t>-overexpressing (</w:t>
      </w:r>
      <w:r>
        <w:t xml:space="preserve"> </w:t>
      </w:r>
      <w:r>
        <w:t>Vegfd-OE</w:t>
      </w:r>
      <w:r>
        <w:t xml:space="preserve"> </w:t>
      </w:r>
      <w:r>
        <w:t>) mice develop lymphatic vessels in heterotopic bone and form significantly less heterotopic bone than control mice. Additionally, we demonstrate that VEGF-D overexpression or local delivery promotes the therapeutic resorption of established heterotopic bone. Mechanistically, we show that the transition of myeloid cells to osteoclasts and osteoclast-mediated bone resorption are enhanced in</w:t>
      </w:r>
      <w:r>
        <w:t xml:space="preserve"> </w:t>
      </w:r>
      <w:r>
        <w:t>Vegfd-OE</w:t>
      </w:r>
      <w:r>
        <w:t xml:space="preserve"> </w:t>
      </w:r>
      <w:r>
        <w:t>mice. These findings reveal a previously unrecognized role for lymphatic vessels in regulating heterotopic bone resorption and identify VEGF-D-mediated lymphangiogenesis as a promising therapeutic strategy for HO.</w:t>
      </w:r>
    </w:p>
    <w:p>
      <w:pPr>
        <w:spacing w:before="120" w:after="120"/>
      </w:pPr>
      <w:r>
        <w:rPr>
          <w:sz w:val="18"/>
        </w:rPr>
        <w:t>——————————————————————————————————————————————————————————————————————</w:t>
      </w:r>
    </w:p>
    <w:p>
      <w:pPr>
        <w:spacing w:before="160" w:after="40" w:line="240" w:lineRule="auto"/>
      </w:pPr>
      <w:r>
        <w:rPr>
          <w:b/>
        </w:rPr>
        <w:t xml:space="preserve">[206] </w:t>
      </w:r>
      <w:hyperlink r:id="rId533">
        <w:r>
          <w:rPr>
            <w:color w:val="1155CC"/>
            <w:u w:val="single"/>
          </w:rPr>
          <w:t>灵长类松果体的单细胞多组学和空间景观揭示昼夜节律和褪黑素调控结构</w:t>
        </w:r>
      </w:hyperlink>
    </w:p>
    <w:p>
      <w:pPr>
        <w:spacing w:before="0" w:after="80"/>
      </w:pPr>
      <w:r>
        <w:rPr>
          <w:i/>
          <w:sz w:val="20"/>
        </w:rPr>
        <w:t>EN: Single-cell multiomic and spatial landscape of the primate pineal gland reveals circadian and melatonin regulatory architecture</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34">
        <w:r>
          <w:rPr>
            <w:color w:val="1155CC"/>
            <w:u w:val="single"/>
          </w:rPr>
          <w:t>10.1073/pnas.2524839123</w:t>
        </w:r>
      </w:hyperlink>
    </w:p>
    <w:p>
      <w:pPr>
        <w:spacing w:before="0" w:after="120"/>
      </w:pPr>
      <w:r>
        <w:rPr>
          <w:b/>
        </w:rPr>
        <w:t xml:space="preserve">Notes: </w:t>
      </w:r>
      <w:r>
        <w:t>abstract_source=crossref</w:t>
      </w:r>
    </w:p>
    <w:p>
      <w:pPr>
        <w:spacing w:before="0" w:after="80" w:lineRule="auto" w:line="276"/>
      </w:pPr>
      <w:r>
        <w:rPr>
          <w:b/>
        </w:rPr>
        <w:t xml:space="preserve">摘要（ZH）: </w:t>
      </w:r>
      <w:r>
        <w:t>哺乳动物的松果体通过分泌褪黑激素来维持正常的昼夜节律和体内平衡。然而，缺乏单细胞分辨率的调控图谱限制了我们对这些神经内分泌功能如何协调的理解。在此，我们通过整合snRNA-seq、snATAC-seq和空间转录组学，构建了猕猴（Macaca fascicularis）松果体的多组学图谱。我们确定了松果细胞是主要的细胞类型，此外还有六种胶质和血管谱系。染色质可及性分析描绘了富含褪黑激素合成和光转导基因的细胞类型特异性区域。值得注意的是，我们解析了双层调控结构：虽然褪黑激素合成程序组织严密，但昼夜节律调节因子表现出独特的稀疏空间模式。共表达网络进一步识别了核心模块和调控枢纽，包括CRX/OTX2、LHX4和RORA，这些枢纽整合了这些昼夜节律和光响应信号。细胞间通信分析识别了信号轴，如PTN-ALK/SDC2、RA-RORB和NRG1-ERBB4，这些轴可能协调这种空间功能组织。整合遗传特征显示，睡眠和神经精神风险变异体优先映射到这些松果体区域。</w:t>
      </w:r>
    </w:p>
    <w:p>
      <w:pPr>
        <w:spacing w:before="0" w:after="200" w:lineRule="auto" w:line="276"/>
      </w:pPr>
      <w:r>
        <w:rPr>
          <w:b/>
        </w:rPr>
        <w:t xml:space="preserve">Abstract (EN): </w:t>
      </w:r>
      <w:r>
        <w:t>The mammalian pineal gland maintains normal circadian rhythms and homeostasis by secreting melatonin. However, the lack of a single-cell-resolved regulatory map limits our understanding of how these neuroendocrine functions are orchestrated. Here, we constructed a multiomics atlas of the pineal gland from</w:t>
      </w:r>
      <w:r>
        <w:t xml:space="preserve"> </w:t>
      </w:r>
      <w:r>
        <w:t>Macaca fascicularis</w:t>
      </w:r>
      <w:r>
        <w:t xml:space="preserve"> </w:t>
      </w:r>
      <w:r>
        <w:t>by integrating snRNA-seq, snATAC-seq, and spatial transcriptomics. We identified pinealocytes as the predominant cell type, alongside six glial and vascular lineages. Chromatin accessibility analysis delineated cell-type-specific regions enriched for melatonin synthesis and phototransduction genes. Notably, we resolved a dual-layer regulatory architecture: While melatonin synthesis programs are robustly organized, circadian clock regulators exhibit a distinct, sparse spatial pattern. Coexpression networks further identified core modules and regulatory hubs—including CRX/OTX2, LHX4, and RORA—that integrate these circadian and light-responsive signals. Cell-cell communication analysis identified signaling axes, such as</w:t>
      </w:r>
      <w:r>
        <w:t xml:space="preserve"> </w:t>
      </w:r>
      <w:r>
        <w:t>PTN</w:t>
      </w:r>
      <w:r>
        <w:t xml:space="preserve"> </w:t>
      </w:r>
      <w:r>
        <w:t>-</w:t>
      </w:r>
      <w:r>
        <w:t>ALK</w:t>
      </w:r>
      <w:r>
        <w:t xml:space="preserve"> </w:t>
      </w:r>
      <w:r>
        <w:t>/</w:t>
      </w:r>
      <w:r>
        <w:t>SDC2</w:t>
      </w:r>
      <w:r>
        <w:t xml:space="preserve"> </w:t>
      </w:r>
      <w:r>
        <w:t>,</w:t>
      </w:r>
      <w:r>
        <w:t xml:space="preserve"> </w:t>
      </w:r>
      <w:r>
        <w:t>RA</w:t>
      </w:r>
      <w:r>
        <w:t xml:space="preserve"> </w:t>
      </w:r>
      <w:r>
        <w:t>-</w:t>
      </w:r>
      <w:r>
        <w:t>RORB</w:t>
      </w:r>
      <w:r>
        <w:t xml:space="preserve"> </w:t>
      </w:r>
      <w:r>
        <w:t>, and</w:t>
      </w:r>
      <w:r>
        <w:t xml:space="preserve"> </w:t>
      </w:r>
      <w:r>
        <w:t>NRG1</w:t>
      </w:r>
      <w:r>
        <w:t xml:space="preserve"> </w:t>
      </w:r>
      <w:r>
        <w:t>-</w:t>
      </w:r>
      <w:r>
        <w:t>ERBB4</w:t>
      </w:r>
      <w:r>
        <w:t xml:space="preserve"> </w:t>
      </w:r>
      <w:r>
        <w:t>, that potentially coordinate this spatial functional organization. Integrating genetic traits showed that sleep and neuropsychiatric risk variants preferentially map to these pineal regulatory modules. Specifically, sleep-associated loci converged on</w:t>
      </w:r>
      <w:r>
        <w:t xml:space="preserve"> </w:t>
      </w:r>
      <w:r>
        <w:t>MEIS1</w:t>
      </w:r>
      <w:r>
        <w:t xml:space="preserve"> </w:t>
      </w:r>
      <w:r>
        <w:t>-linked elements, while bipolar disorder-associated loci highlighted candidate genes of</w:t>
      </w:r>
      <w:r>
        <w:t xml:space="preserve"> </w:t>
      </w:r>
      <w:r>
        <w:t>RDH12</w:t>
      </w:r>
      <w:r>
        <w:t xml:space="preserve"> </w:t>
      </w:r>
      <w:r>
        <w:t>and</w:t>
      </w:r>
      <w:r>
        <w:t xml:space="preserve"> </w:t>
      </w:r>
      <w:r>
        <w:t>SDK2</w:t>
      </w:r>
      <w:r>
        <w:t xml:space="preserve"> </w:t>
      </w:r>
      <w:r>
        <w:t>. Overall, this study reveals the cellular diversity and spatial regulatory logic of the primate pineal gland, providing a physiological foundation for investigating circadian and neuroendocrine regulation in healthy and disease models.</w:t>
      </w:r>
    </w:p>
    <w:p>
      <w:pPr>
        <w:spacing w:before="120" w:after="120"/>
      </w:pPr>
      <w:r>
        <w:rPr>
          <w:sz w:val="18"/>
        </w:rPr>
        <w:t>——————————————————————————————————————————————————————————————————————</w:t>
      </w:r>
    </w:p>
    <w:p>
      <w:pPr>
        <w:spacing w:before="160" w:after="40" w:line="240" w:lineRule="auto"/>
      </w:pPr>
      <w:r>
        <w:rPr>
          <w:b/>
        </w:rPr>
        <w:t xml:space="preserve">[207] </w:t>
      </w:r>
      <w:hyperlink r:id="rId535">
        <w:r>
          <w:rPr>
            <w:color w:val="1155CC"/>
            <w:u w:val="single"/>
          </w:rPr>
          <w:t>社会认知与人际暴力</w:t>
        </w:r>
      </w:hyperlink>
    </w:p>
    <w:p>
      <w:pPr>
        <w:spacing w:before="0" w:after="80"/>
      </w:pPr>
      <w:r>
        <w:rPr>
          <w:i/>
          <w:sz w:val="20"/>
        </w:rPr>
        <w:t>EN: Social cognition and interpersonal violence</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36">
        <w:r>
          <w:rPr>
            <w:color w:val="1155CC"/>
            <w:u w:val="single"/>
          </w:rPr>
          <w:t>10.1073/pnas.2519361123</w:t>
        </w:r>
      </w:hyperlink>
    </w:p>
    <w:p>
      <w:pPr>
        <w:spacing w:before="0" w:after="120"/>
      </w:pPr>
      <w:r>
        <w:rPr>
          <w:b/>
        </w:rPr>
        <w:t xml:space="preserve">Notes: </w:t>
      </w:r>
      <w:r>
        <w:t>abstract_source=crossref</w:t>
      </w:r>
    </w:p>
    <w:p>
      <w:pPr>
        <w:spacing w:before="0" w:after="80" w:lineRule="auto" w:line="276"/>
      </w:pPr>
      <w:r>
        <w:rPr>
          <w:b/>
        </w:rPr>
        <w:t xml:space="preserve">摘要（ZH）: </w:t>
      </w:r>
      <w:r>
        <w:t>为什么有些人在相似的情况下会诉诸暴力，而另一些人则不会？通过对来自高暴力芝加哥社区的99名参与社区暴力干预的男性进行深入访谈，我们研究了过去暴力暴露如何通过人们用来解释社会情境和指导行为的图式和脚本来影响未来的暴力参与。我们识别了三种与暴力相关的特定社会认知：将模糊的线索误解为威胁，默认使用有限的行为反应集，以及将暴力行为归因于固定的个人特质而非情境因素。受访者报告说，参与项目的认知行为部分改变了这些社会认知，他们认为这与减少暴力参与有关。这些自我报告的一致性结合项目的实验影响，提出了这些特定社会认知可能在暴力中发挥重要作用并可能通过干预进行修改的假设。</w:t>
      </w:r>
    </w:p>
    <w:p>
      <w:pPr>
        <w:spacing w:before="0" w:after="200" w:lineRule="auto" w:line="276"/>
      </w:pPr>
      <w:r>
        <w:rPr>
          <w:b/>
        </w:rPr>
        <w:t xml:space="preserve">Abstract (EN): </w:t>
      </w:r>
      <w:r>
        <w:t>Why do some people resort to violence while others in similar circumstances do not? Drawing on 99 in-depth interviews with men from high-violence Chicago neighborhoods who participated in a community violence intervention, we examine how past exposure to violence shapes the social cognitions that influence future involvement in violence—through the schemas and scripts people use to interpret social situations and guide behavior. We identify three specific social cognitions that respondents associated with violence: misconstruing ambiguous cues as threats, defaulting to a narrow set of behavioral responses, and attributing violent behavior to fixed personal traits rather than situational factors. Respondents reported that participation in the program’s cognitive behavioral component shifted these social cognitions in ways they associated with reduced violence involvement. The consistency of these self-reports combined with the program’s experimental impacts suggest the hypothesis that these specific social cognitions could play an important role in violence and may be modifiable through intervention.</w:t>
      </w:r>
    </w:p>
    <w:p>
      <w:pPr>
        <w:spacing w:before="120" w:after="120"/>
      </w:pPr>
      <w:r>
        <w:rPr>
          <w:sz w:val="18"/>
        </w:rPr>
        <w:t>——————————————————————————————————————————————————————————————————————</w:t>
      </w:r>
    </w:p>
    <w:p>
      <w:pPr>
        <w:spacing w:before="160" w:after="40" w:line="240" w:lineRule="auto"/>
      </w:pPr>
      <w:r>
        <w:rPr>
          <w:b/>
        </w:rPr>
        <w:t xml:space="preserve">[208] </w:t>
      </w:r>
      <w:hyperlink r:id="rId537">
        <w:r>
          <w:rPr>
            <w:color w:val="1155CC"/>
            <w:u w:val="single"/>
          </w:rPr>
          <w:t>通过合成控制金属和酸双位点的接近性切换苯乙酮脱氧选择性</w:t>
        </w:r>
      </w:hyperlink>
    </w:p>
    <w:p>
      <w:pPr>
        <w:spacing w:before="0" w:after="80"/>
      </w:pPr>
      <w:r>
        <w:rPr>
          <w:i/>
          <w:sz w:val="20"/>
        </w:rPr>
        <w:t>EN: Synthetic control over proximity of metal and acid dual sites switches the selectivity of acetophenone hydrodeoxygenation</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38">
        <w:r>
          <w:rPr>
            <w:color w:val="1155CC"/>
            <w:u w:val="single"/>
          </w:rPr>
          <w:t>10.1073/pnas.2526002123</w:t>
        </w:r>
      </w:hyperlink>
    </w:p>
    <w:p>
      <w:pPr>
        <w:spacing w:before="0" w:after="120"/>
      </w:pPr>
      <w:r>
        <w:rPr>
          <w:b/>
        </w:rPr>
        <w:t xml:space="preserve">Notes: </w:t>
      </w:r>
      <w:r>
        <w:t>abstract_source=crossref</w:t>
      </w:r>
    </w:p>
    <w:p>
      <w:pPr>
        <w:spacing w:before="0" w:after="80" w:lineRule="auto" w:line="276"/>
      </w:pPr>
      <w:r>
        <w:rPr>
          <w:b/>
        </w:rPr>
        <w:t xml:space="preserve">摘要（ZH）: </w:t>
      </w:r>
      <w:r>
        <w:t>尽管金属与酸的空间排列已被证明能提高催化性能，但在控制产物选择性和揭示相关催化机制方面的精确调控仍然稀缺。在此，我们报道了一类将Pd纳米颗粒整合到具有或不具有磺酸基团的同构UiO-66型金属有机框架中（分别标记为UiO-S和UiO），这允许通过控制UiO-66层间厚度来精确调节Pd与酸位点之间的距离。与传统研究集中于通过双位点调控基质/中间体扩散不同，我们在此展示了在UiO-S@UiO 25@Pd@UiO上显著调节电子转移和Pd周围质子浓度的能力，切换反应路径并深刻调节乙酰苯酮脱氧氢化的选择性。具体而言，我们展示了UiO-S@UiO 25@Pd@UiO在Pd与酸位点之间25 nm分离的情况下，通过均裂H2裂解实现了对苯乙醇的最高选择性（约94%），减轻了普遍的过氢化路径；而UiO-S@Pd@UiO和UiO@Pd@UiO-S，具有紧密定位的双位点，显著增强了脱氧氢化活性，并显示出&gt;99%的高能量密度乙基苯选择性。值得注意的是，在UiO@Pd@UiO-S上阐明了一种涉及H2异裂的质子辅助机制，这对于在温和条件下实施催化过程特别重要。</w:t>
      </w:r>
    </w:p>
    <w:p>
      <w:pPr>
        <w:spacing w:before="0" w:after="200" w:lineRule="auto" w:line="276"/>
      </w:pPr>
      <w:r>
        <w:rPr>
          <w:b/>
        </w:rPr>
        <w:t xml:space="preserve">Abstract (EN): </w:t>
      </w:r>
      <w:r>
        <w:t>Though spatial arrangement between metal and acid has proven efficiency for enhancing catalytic performance, their precise regulation on controlling the product selectivity and revealing related catalytic mechanism remains scarce. Herein, we report a class of Pd nanoparticles integrated into isoreticular UiO-66-type metal-organic frameworks with or without sulfonic acid groups (denoted UiO-S and UiO), which allows for precise distance tuning between Pd and acid site by controlling UiO-66 interlayer thickness. Unlike traditional studies focusing on substrate/intermediate diffusion by dual-site regulation, we herein demonstrate that significant modulation of electron transfer and proton concentration around Pd over UiO-S@UiO</w:t>
      </w:r>
      <w:r>
        <w:rPr>
          <w:vertAlign w:val="subscript"/>
        </w:rPr>
        <w:t>25</w:t>
      </w:r>
      <w:r>
        <w:t>@Pd@UiO switches reaction pathways and profoundly tunes selectivity in acetophenone hydrodeoxygenation. Specifically, we show that UiO-S@UiO</w:t>
      </w:r>
      <w:r>
        <w:rPr>
          <w:vertAlign w:val="subscript"/>
        </w:rPr>
        <w:t>25</w:t>
      </w:r>
      <w:r>
        <w:t>@Pd@UiO with a 25 nm separation between Pd and acid sites achieves the highest selectivity (~94%) to phenylethanol via homolytic H</w:t>
      </w:r>
      <w:r>
        <w:rPr>
          <w:vertAlign w:val="subscript"/>
        </w:rPr>
        <w:t>2</w:t>
      </w:r>
      <w:r>
        <w:t>cleavage, mitigating prevalent overhydrogenation pathway; whereas UiO-S@Pd@UiO and UiO@Pd@UiO-S, with closely positioned dual sites, dramatically enhance hydrodeoxygenation activity, and display &amp;gt;99% selectivity to high-energy-density ethylbenzene. Notably, a proton-assisted mechanism involving H</w:t>
      </w:r>
      <w:r>
        <w:rPr>
          <w:vertAlign w:val="subscript"/>
        </w:rPr>
        <w:t>2</w:t>
      </w:r>
      <w:r>
        <w:t>heterolysis is elucidated over UiO@Pd@UiO-S, particularly significant for implementing the catalytic process under mild conditions.</w:t>
      </w:r>
    </w:p>
    <w:p>
      <w:pPr>
        <w:spacing w:before="120" w:after="120"/>
      </w:pPr>
      <w:r>
        <w:rPr>
          <w:sz w:val="18"/>
        </w:rPr>
        <w:t>——————————————————————————————————————————————————————————————————————</w:t>
      </w:r>
    </w:p>
    <w:p>
      <w:pPr>
        <w:spacing w:before="160" w:after="40" w:line="240" w:lineRule="auto"/>
      </w:pPr>
      <w:r>
        <w:rPr>
          <w:b/>
        </w:rPr>
        <w:t xml:space="preserve">[209] </w:t>
      </w:r>
      <w:hyperlink r:id="rId539">
        <w:r>
          <w:rPr>
            <w:color w:val="1155CC"/>
            <w:u w:val="single"/>
          </w:rPr>
          <w:t>行波经颅交流电刺激（twtACS）因果性地将神经时序与认知功能联系起来</w:t>
        </w:r>
      </w:hyperlink>
    </w:p>
    <w:p>
      <w:pPr>
        <w:spacing w:before="0" w:after="80"/>
      </w:pPr>
      <w:r>
        <w:rPr>
          <w:i/>
          <w:sz w:val="20"/>
        </w:rPr>
        <w:t>EN: Traveling-wave transcranial alternating current stimulation (twtACS) causally links neural timing to cognitive function</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40">
        <w:r>
          <w:rPr>
            <w:color w:val="1155CC"/>
            <w:u w:val="single"/>
          </w:rPr>
          <w:t>10.1073/pnas.2527296123</w:t>
        </w:r>
      </w:hyperlink>
    </w:p>
    <w:p>
      <w:pPr>
        <w:spacing w:before="0" w:after="120"/>
      </w:pPr>
      <w:r>
        <w:rPr>
          <w:b/>
        </w:rPr>
        <w:t xml:space="preserve">Notes: </w:t>
      </w:r>
      <w:r>
        <w:t>abstract_source=crossref</w:t>
      </w:r>
    </w:p>
    <w:p>
      <w:pPr>
        <w:spacing w:before="0" w:after="80" w:lineRule="auto" w:line="276"/>
      </w:pPr>
      <w:r>
        <w:rPr>
          <w:b/>
        </w:rPr>
        <w:t xml:space="preserve">摘要（ZH）: </w:t>
      </w:r>
      <w:r>
        <w:t>皮层行波（TWs）是支持神经信息在不同脑区之间传递的脑振荡模式，其方向塑造了认知功能。然而，关于其对脑动态和行为的因果影响的直接证据仍然缺乏。在此，我们通过外部施加类似TW的电场模式建立了这种因果联系。为此，我们开发了一种非侵入性脑刺激协议，行波经颅交流电刺激（twtACS）。twtACS可以产生一个精确的方向性电场，沿皮层表面传播，我们通过人类颅内记录验证了这一点。在猴子记录中，我们显示神经尖峰活动被方向性调制，系统地沿着twtACS的方向在空间上移动。在人类中，twtACS导致了方向依赖的认知表现改善。这些发现共同表明，外部施加的TWs可以因果地塑造神经活动和认知，突出了twtACS作为一种认知增强神经调节技术的潜力。</w:t>
      </w:r>
    </w:p>
    <w:p>
      <w:pPr>
        <w:spacing w:before="0" w:after="200" w:lineRule="auto" w:line="276"/>
      </w:pPr>
      <w:r>
        <w:rPr>
          <w:b/>
        </w:rPr>
        <w:t xml:space="preserve">Abstract (EN): </w:t>
      </w:r>
      <w:r>
        <w:t>Cortical traveling waves (TWs) are brain oscillation patterns that support the transfer of neural information across distinct brain regions, with their direction shaping cognitive function. However, direct evidence for their causal influence on brain dynamics and behavior remains lacking. Here, we establish such a causal link by externally applying TW-like electric field patterns. To achieve this, we develop a noninvasive brain stimulation protocol, traveling-wave transcranial alternating current stimulation (twtACS). twtACS can generate a precise directional electric field that propagates across the cortical surface, which we validate using human intracranial recordings. In monkey recordings, we show that neural spiking was directionally modulated, shifting systematically across space in line with the direction of twtACS. In humans, twtACS led to direction-dependent improvements in cognitive performance. Together, these findings demonstrate that externally imposed TWs can causally shape neural activity and cognition, highlighting the potential of twtACS as a neuromodulation technique for cognitive enhancement.</w:t>
      </w:r>
    </w:p>
    <w:p>
      <w:pPr>
        <w:spacing w:before="120" w:after="120"/>
      </w:pPr>
      <w:r>
        <w:rPr>
          <w:sz w:val="18"/>
        </w:rPr>
        <w:t>——————————————————————————————————————————————————————————————————————</w:t>
      </w:r>
    </w:p>
    <w:p>
      <w:pPr>
        <w:spacing w:before="160" w:after="40" w:line="240" w:lineRule="auto"/>
      </w:pPr>
      <w:r>
        <w:rPr>
          <w:b/>
        </w:rPr>
        <w:t xml:space="preserve">[210] </w:t>
      </w:r>
      <w:hyperlink r:id="rId541">
        <w:r>
          <w:rPr>
            <w:color w:val="1155CC"/>
            <w:u w:val="single"/>
          </w:rPr>
          <w:t>黄土高原的替代植被状态及其对大规模造林成功的影响</w:t>
        </w:r>
      </w:hyperlink>
    </w:p>
    <w:p>
      <w:pPr>
        <w:spacing w:before="0" w:after="80"/>
      </w:pPr>
      <w:r>
        <w:rPr>
          <w:i/>
          <w:sz w:val="20"/>
        </w:rPr>
        <w:t>EN: Alternative vegetation states on the Loess Plateau and implications for large-scale afforestation success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42">
        <w:r>
          <w:rPr>
            <w:color w:val="1155CC"/>
            <w:u w:val="single"/>
          </w:rPr>
          <w:t>10.1073/pnas.2527794123</w:t>
        </w:r>
      </w:hyperlink>
    </w:p>
    <w:p>
      <w:pPr>
        <w:spacing w:before="0" w:after="120"/>
      </w:pPr>
      <w:r>
        <w:rPr>
          <w:b/>
        </w:rPr>
        <w:t xml:space="preserve">Notes: </w:t>
      </w:r>
      <w:r>
        <w:t>abstract_source=crossref</w:t>
      </w:r>
    </w:p>
    <w:p>
      <w:pPr>
        <w:spacing w:before="0" w:after="80" w:lineRule="auto" w:line="276"/>
      </w:pPr>
      <w:r>
        <w:rPr>
          <w:b/>
        </w:rPr>
        <w:t xml:space="preserve">摘要（ZH）: </w:t>
      </w:r>
      <w:r>
        <w:t>黄土高原的大规模造林耗资数千亿人民币，增加了植被覆盖，但也耗尽了土壤水分，引发了对长期生态系统可持续性的担忧。尽管关于适合造林的区域和降水阈值的争论仍在继续，但替代稳定状态这一引人入胜的非线性动力学现象在造林成功中的潜在作用却被大大忽视。在此，我们结合了系统的实地调查（4875个地点，调查里程80000公里）和一个最小模型，使用树木覆盖作为状态变量，沿着年均降水梯度探索潜在的替代植被状态。结果显示，黄土高原的树木覆盖替代状态的明显特征：在350到500毫米的年均降水范围内，三种植被状态共存，分别为无树（覆盖率&lt;5%）、开放林地（5到50%）和森林（覆盖率&gt;50%）。对于年均降水在500到700毫米之间的地区，生态系统表现出由开放林地和森林状态组成的双稳态。我们的最小模型揭示了植被-降水正反馈扩展了允许替代植被状态的范围，并改变了相关阈值。替代植被状态之间的状态转变对碳储存潜力有强烈影响，表明造林策略应优先考虑恢复可行的双稳态和三稳态区域。这些发现为造林提供了一个框架。</w:t>
      </w:r>
    </w:p>
    <w:p>
      <w:pPr>
        <w:spacing w:before="0" w:after="200" w:lineRule="auto" w:line="276"/>
      </w:pPr>
      <w:r>
        <w:rPr>
          <w:b/>
        </w:rPr>
        <w:t xml:space="preserve">Abstract (EN): </w:t>
      </w:r>
      <w:r>
        <w:t>Large-scale afforestation on the Loess Plateau, costing hundreds of billions of Chinese yuan, has increased vegetation cover but also depleted soil water, raising concerns about the long-term ecosystem sustainability. While debates continue over suitable afforestation areas and precipitation thresholds, the potential role of alternative stable states, a captivating nonlinear dynamical phenomenon, in afforestation success has been largely overlooked. Here, we combined a systematic field survey (4,875 sites, survey mileage of 80,000 km) with a minimal model to explore potential alternative vegetation states, using tree cover as a state variable along a mean annual precipitation gradient. The results showed a clear signature of alternative states of tree cover across the Loess Plateau: Within the 350 to 500 mm mean annual precipitation range, three vegetation states coexist, which are identified as treeless (cover &amp;lt; 5%), open woodland (5 to 50%), and forest (cover &amp;gt; 50%). For areas with mean annual precipitation between 500 and 700 mm, the ecosystem displays bistability consisting of an open woodland and a forest state. Our minimal model revealed that vegetation-precipitation positive feedbacks expanded the range over which alternative vegetation states are permitted and shifted the associated thresholds. Regime shifts between the alternative vegetation states have a strong impact on carbon storage potential, suggesting that afforestation strategies should prioritize bistable and tristable zones where restoration is feasible. These findings provide a framework for afforestation planning and advance the theory of alternative stable states in dryland forests.</w:t>
      </w:r>
    </w:p>
    <w:p>
      <w:pPr>
        <w:spacing w:before="120" w:after="120"/>
      </w:pPr>
      <w:r>
        <w:rPr>
          <w:sz w:val="18"/>
        </w:rPr>
        <w:t>——————————————————————————————————————————————————————————————————————</w:t>
      </w:r>
    </w:p>
    <w:p>
      <w:pPr>
        <w:spacing w:before="160" w:after="40" w:line="240" w:lineRule="auto"/>
      </w:pPr>
      <w:r>
        <w:rPr>
          <w:b/>
        </w:rPr>
        <w:t xml:space="preserve">[211] </w:t>
      </w:r>
      <w:hyperlink r:id="rId543">
        <w:r>
          <w:rPr>
            <w:color w:val="1155CC"/>
            <w:u w:val="single"/>
          </w:rPr>
          <w:t>乳酰化NAT10通过NAT10/ac4C-DLAT-mRNA/DLAT正反馈回路在CRC中促进elesclomol触发的铜死亡</w:t>
        </w:r>
      </w:hyperlink>
    </w:p>
    <w:p>
      <w:pPr>
        <w:spacing w:before="0" w:after="80"/>
      </w:pPr>
      <w:r>
        <w:rPr>
          <w:i/>
          <w:sz w:val="20"/>
        </w:rPr>
        <w:t>EN: Lactylated NAT10 contributes to elesclomol-triggered cuproptosis via the NAT10/ac4C-DLAT-mRNA/DLAT positive feedback loop in CRC</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44">
        <w:r>
          <w:rPr>
            <w:color w:val="1155CC"/>
            <w:u w:val="single"/>
          </w:rPr>
          <w:t>10.1073/pnas.2501185123</w:t>
        </w:r>
      </w:hyperlink>
    </w:p>
    <w:p>
      <w:pPr>
        <w:spacing w:before="0" w:after="120"/>
      </w:pPr>
      <w:r>
        <w:rPr>
          <w:b/>
        </w:rPr>
        <w:t xml:space="preserve">Notes: </w:t>
      </w:r>
      <w:r>
        <w:t>abstract_source=crossref</w:t>
      </w:r>
    </w:p>
    <w:p>
      <w:pPr>
        <w:spacing w:before="0" w:after="80" w:lineRule="auto" w:line="276"/>
      </w:pPr>
      <w:r>
        <w:rPr>
          <w:b/>
        </w:rPr>
        <w:t xml:space="preserve">摘要（ZH）: </w:t>
      </w:r>
      <w:r>
        <w:t>铜死亡代表了一种有前景的癌症治疗策略；然而，其临床应用仍然有限。我们观察到结直肠癌（CRC）组织中铜水平升高和DLAT（一种关键的促铜死亡基因）表达增加，表明其对铜死亡的固有易感性。此外，NAT10通过介导其N4-乙酰胞苷（ac4C）修饰增强了DLAT mRNA的稳定性，从而促进了铜死亡。我们还发现NAT10在赖氨酸426（K426）上的乳酰化增强了NAT10的催化活性。相反，SIRT1介导了NAT10-K426的去乳酰化，导致铜死亡的抑制。elesclomol（一种铜死亡诱导剂）和selisistat（一种SIRT1抑制剂）的组合有效地在CRC中诱导了铜死亡。值得注意的是，elesclomol治疗引起的可溶性DLAT减少被发现增强了NAT10-K426的乳酰化。此外，DLAT补充建立了一个放大铜死亡的正反馈回路。这些结果强调了非组蛋白NAT10乳酰化在肿瘤铜死亡中的关键作用，并突出了针对这一途径进行CRC治疗的潜力。</w:t>
      </w:r>
    </w:p>
    <w:p>
      <w:pPr>
        <w:spacing w:before="0" w:after="200" w:lineRule="auto" w:line="276"/>
      </w:pPr>
      <w:r>
        <w:rPr>
          <w:b/>
        </w:rPr>
        <w:t xml:space="preserve">Abstract (EN): </w:t>
      </w:r>
      <w:r>
        <w:t>Cuproptosis represents a promising therapeutic strategy for cancer; however, its clinical application remains limited. We observed elevated copper levels and increased expression of DLAT, a key procuproptosis gene, in colorectal cancer (CRC) tissues, suggesting inherent susceptibility to cuproptosis. Furthermore, NAT10 enhances DLAT mRNA stability by mediating its N</w:t>
      </w:r>
      <w:r>
        <w:rPr>
          <w:vertAlign w:val="subscript"/>
        </w:rPr>
        <w:t>4</w:t>
      </w:r>
      <w:r>
        <w:t>-acetylcytidine (ac4C) modification, thereby promoting cuproptosis. We also discovered that lactylation of NAT10 at lysine 426 (K426) enhances NAT10 catalytic activity. Conversely, SIRT1 mediates the delactylation of NAT10-K426, leading to the inhibition of cuproptosis. The combination of elesclomol (a cuproptosis inducer) and selisistat (a SIRT1 inhibitor) effectively induced cuproptosis in CRC. Notably, the reduction of soluble DLAT induced by elesclomol treatment was found to enhance NAT10-K426 lactylation. Moreover, DLAT supplementation establishes a positive feedback loop that amplifies cuproptosis. These results underscore the critical role of nonhistone NAT10 lactylation in tumor cuproptosis and highlight the therapeutic potential of targeting this pathway for CRC treatment.</w:t>
      </w:r>
    </w:p>
    <w:p>
      <w:pPr>
        <w:spacing w:before="120" w:after="120"/>
      </w:pPr>
      <w:r>
        <w:rPr>
          <w:sz w:val="18"/>
        </w:rPr>
        <w:t>——————————————————————————————————————————————————————————————————————</w:t>
      </w:r>
    </w:p>
    <w:p>
      <w:pPr>
        <w:spacing w:before="160" w:after="40" w:line="240" w:lineRule="auto"/>
      </w:pPr>
      <w:r>
        <w:rPr>
          <w:b/>
        </w:rPr>
        <w:t xml:space="preserve">[212] </w:t>
      </w:r>
      <w:hyperlink r:id="rId545">
        <w:r>
          <w:rPr>
            <w:color w:val="1155CC"/>
            <w:u w:val="single"/>
          </w:rPr>
          <w:t>早期生活逆境塑造了自由放养雌性恒河猴的生长与繁殖关系</w:t>
        </w:r>
      </w:hyperlink>
    </w:p>
    <w:p>
      <w:pPr>
        <w:spacing w:before="0" w:after="80"/>
      </w:pPr>
      <w:r>
        <w:rPr>
          <w:i/>
          <w:sz w:val="20"/>
        </w:rPr>
        <w:t>EN: Early-life adversity shapes the relationship between growth and reproduction in free-ranging female rhesus macaques</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46">
        <w:r>
          <w:rPr>
            <w:color w:val="1155CC"/>
            <w:u w:val="single"/>
          </w:rPr>
          <w:t>10.1073/pnas.2524909123</w:t>
        </w:r>
      </w:hyperlink>
    </w:p>
    <w:p>
      <w:pPr>
        <w:spacing w:before="0" w:after="120"/>
      </w:pPr>
      <w:r>
        <w:rPr>
          <w:b/>
        </w:rPr>
        <w:t xml:space="preserve">Notes: </w:t>
      </w:r>
      <w:r>
        <w:t>abstract_source=crossref</w:t>
      </w:r>
    </w:p>
    <w:p>
      <w:pPr>
        <w:spacing w:before="0" w:after="80" w:lineRule="auto" w:line="276"/>
      </w:pPr>
      <w:r>
        <w:rPr>
          <w:b/>
        </w:rPr>
        <w:t xml:space="preserve">摘要（ZH）: </w:t>
      </w:r>
      <w:r>
        <w:t>生命历史理论预测，生物体在生理过程中分配资源以最大化适应性。在这一框架下，限制能量资本的早期生活逆境（ELA）可能会影响对生长和繁殖的投资，最终有助于进化适应性。通过整合64年的长期人口统计信息与来自雌性猕猴（</w:t>
      </w:r>
      <w:r>
        <w:t xml:space="preserve"> </w:t>
      </w:r>
      <w:r>
        <w:t>Macaca mulatta</w:t>
      </w:r>
      <w:r>
        <w:t xml:space="preserve"> </w:t>
      </w:r>
      <w:r>
        <w:t>；n = 163到2,105只雌性，具体取决于分析）的横截面行为和生理数据，我们测试了自然发生的ELA是否影响生长和繁殖的竞争性生理需求的投资。通过分析同一群体中的ELA、生长和繁殖，我们还评估了逆境是否加剧了限制并在生命历史领域之间引发权衡。类似于其他物种中描述的群体效应，我们发现ELA与生长改变、繁殖成熟延迟和成年体型小有关。这些效应主要反映了广泛的限制：经历生长限制的雌性也表现出繁殖让步，ELA与两者的投资减少有关。然而，有趣的是，两种类型的逆境与生长-繁殖权衡的转变有关，使得暴露于ELA的雌性在繁殖上相对投入更多，而以生长为代价。最后，我们研究了ELA修改的特征如何与终生繁殖成功相关，解决了ELA、生命历史和适应性之间未充分研究的联系。在整个群体中，</w:t>
      </w:r>
    </w:p>
    <w:p>
      <w:pPr>
        <w:spacing w:before="0" w:after="200" w:lineRule="auto" w:line="276"/>
      </w:pPr>
      <w:r>
        <w:rPr>
          <w:b/>
        </w:rPr>
        <w:t xml:space="preserve">Abstract (EN): </w:t>
      </w:r>
      <w:r>
        <w:t>Life history theory predicts that organisms allocate resources across physiological processes to maximize fitness. Under this framework, early-life adversity (ELA) which limits energetic capital could shape investment in growth and reproduction, ultimately contributing to evolutionary fitness. Integrating 64 y of long-term demographic information with cross-sectional behavioral and physiological data from female rhesus macaques (</w:t>
      </w:r>
      <w:r>
        <w:t xml:space="preserve"> </w:t>
      </w:r>
      <w:r>
        <w:t>Macaca mulatta</w:t>
      </w:r>
      <w:r>
        <w:t xml:space="preserve"> </w:t>
      </w:r>
      <w:r>
        <w:t>; n = 163 to 2,105 females depending on the analysis), we tested whether naturally occurring ELA influences investment in the competing physiological demands of growth and reproduction. By analyzing ELA, growth, and reproduction in the same individuals, we also assessed whether adversity intensifies constraints and induces trade-offs between life history domains. Similar to cohort effects described in other species, we found that ELA was associated with modified growth, delayed reproductive maturity, and small adult body size. These effects largely reflected generalized constraints: females that experienced growth limitations also exhibited reproductive concessions, with ELA linked to reduced investment in both. Interestingly, however, two types of adversity were associated with shifts in growth–reproduction trade-offs, such that ELA-exposed females invested relatively more in reproduction at the expense of growth. Finally, we examined how traits modified by ELA related to lifetime reproductive success, addressing understudied links between ELA, life history, and fitness. Across the population, starting reproduction earlier and maintaining a moderate reproductive rate conferred the greatest number of surviving offspring. These findings suggest that ELA impacts key life history traits as well as the relationships between them, and can constrain individuals from adopting the most optimal reproductive strategy.</w:t>
      </w:r>
    </w:p>
    <w:p>
      <w:pPr>
        <w:spacing w:before="120" w:after="120"/>
      </w:pPr>
      <w:r>
        <w:rPr>
          <w:sz w:val="18"/>
        </w:rPr>
        <w:t>——————————————————————————————————————————————————————————————————————</w:t>
      </w:r>
    </w:p>
    <w:p>
      <w:pPr>
        <w:spacing w:before="160" w:after="40" w:line="240" w:lineRule="auto"/>
      </w:pPr>
      <w:r>
        <w:rPr>
          <w:b/>
        </w:rPr>
        <w:t xml:space="preserve">[213] </w:t>
      </w:r>
      <w:hyperlink r:id="rId547">
        <w:r>
          <w:rPr>
            <w:color w:val="1155CC"/>
            <w:u w:val="single"/>
          </w:rPr>
          <w:t>Stag2介导的染色质动态调节抗体类别转换重组</w:t>
        </w:r>
      </w:hyperlink>
    </w:p>
    <w:p>
      <w:pPr>
        <w:spacing w:before="0" w:after="80"/>
      </w:pPr>
      <w:r>
        <w:rPr>
          <w:i/>
          <w:sz w:val="20"/>
        </w:rPr>
        <w:t>EN: Stag2-mediated chromatin dynamics regulates antibody class switch recombination</w:t>
      </w:r>
    </w:p>
    <w:p>
      <w:pPr>
        <w:spacing w:before="0" w:after="120"/>
      </w:pPr>
      <w:r>
        <w:rPr>
          <w:b/>
        </w:rPr>
        <w:t xml:space="preserve">Source: </w:t>
      </w:r>
      <w:r>
        <w:t>Proceedings of the National Academy of Sciences: Keyword search for query</w:t>
      </w:r>
      <w:r>
        <w:t xml:space="preserve">    </w:t>
      </w:r>
      <w:r>
        <w:rPr>
          <w:b/>
        </w:rPr>
        <w:t xml:space="preserve">Pub date: </w:t>
      </w:r>
      <w:r>
        <w:t>2026-05-05 07:00:00+00:00</w:t>
      </w:r>
      <w:r>
        <w:t xml:space="preserve">    </w:t>
      </w:r>
      <w:r>
        <w:rPr>
          <w:b/>
        </w:rPr>
        <w:t xml:space="preserve">DOI: </w:t>
      </w:r>
      <w:hyperlink r:id="rId548">
        <w:r>
          <w:rPr>
            <w:color w:val="1155CC"/>
            <w:u w:val="single"/>
          </w:rPr>
          <w:t>10.1073/pnas.2536391123</w:t>
        </w:r>
      </w:hyperlink>
    </w:p>
    <w:p>
      <w:pPr>
        <w:spacing w:before="0" w:after="120"/>
      </w:pPr>
      <w:r>
        <w:rPr>
          <w:b/>
        </w:rPr>
        <w:t xml:space="preserve">Notes: </w:t>
      </w:r>
      <w:r>
        <w:t>abstract_source=crossref</w:t>
      </w:r>
    </w:p>
    <w:p>
      <w:pPr>
        <w:spacing w:before="0" w:after="80" w:lineRule="auto" w:line="276"/>
      </w:pPr>
      <w:r>
        <w:rPr>
          <w:b/>
        </w:rPr>
        <w:t xml:space="preserve">摘要（ZH）: </w:t>
      </w:r>
      <w:r>
        <w:t>B淋巴细胞中的类交换重组（CSR）通过切换免疫球蛋白重链（</w:t>
      </w:r>
      <w:r>
        <w:t xml:space="preserve"> </w:t>
      </w:r>
      <w:r>
        <w:t>Igh</w:t>
      </w:r>
      <w:r>
        <w:t xml:space="preserve"> </w:t>
      </w:r>
      <w:r>
        <w:t>）恒定区（C</w:t>
      </w:r>
      <w:r>
        <w:t xml:space="preserve"> </w:t>
      </w:r>
      <w:r>
        <w:t>H</w:t>
      </w:r>
      <w:r>
        <w:t xml:space="preserve"> </w:t>
      </w:r>
      <w:r>
        <w:t>s）来生成不同功能的抗体同种型，并且已提出染色质环挤出调节CSR。Stag1和Stag2是稳定染色质环挤出过程中粘连蛋白的关键成分，但Stag1和Stag2在CSR中的调节机制尚不清楚。在此，我们报告Stag2是一个特定的粘连蛋白成分，在促进CSR中起关键作用。与Stag1在CSR中的可有可无的角色相比，Stag2缺失显著降低了CSR，而不影响DNA损伤修复途径。在机制上，Stag2的缺失，而非Stag1，显著降低了受体C</w:t>
      </w:r>
      <w:r>
        <w:t xml:space="preserve"> </w:t>
      </w:r>
      <w:r>
        <w:t>H</w:t>
      </w:r>
      <w:r>
        <w:t xml:space="preserve"> </w:t>
      </w:r>
      <w:r>
        <w:t>与CSR中心的染色质相互作用，导致供体和受体C</w:t>
      </w:r>
      <w:r>
        <w:t xml:space="preserve"> </w:t>
      </w:r>
      <w:r>
        <w:t>H</w:t>
      </w:r>
      <w:r>
        <w:t xml:space="preserve"> </w:t>
      </w:r>
      <w:r>
        <w:t>单元的联会减少，受体C</w:t>
      </w:r>
      <w:r>
        <w:t xml:space="preserve"> </w:t>
      </w:r>
      <w:r>
        <w:t>H</w:t>
      </w:r>
      <w:r>
        <w:t xml:space="preserve"> </w:t>
      </w:r>
      <w:r>
        <w:t>的转录减少，以及CSR受损。值得注意的是，Stag2缺失显著降低了Stag1在</w:t>
      </w:r>
      <w:r>
        <w:t xml:space="preserve"> </w:t>
      </w:r>
      <w:r>
        <w:t>Igh</w:t>
      </w:r>
      <w:r>
        <w:t xml:space="preserve"> </w:t>
      </w:r>
      <w:r>
        <w:t>内的结合，而Stag2可以在Stag1缺失时补偿</w:t>
      </w:r>
      <w:r>
        <w:t xml:space="preserve"> </w:t>
      </w:r>
      <w:r>
        <w:t>Igh</w:t>
      </w:r>
      <w:r>
        <w:t xml:space="preserve"> </w:t>
      </w:r>
      <w:r>
        <w:t>内的Stag1结合。有趣的是，在小鼠和人类生发中心（GC）B细胞发育过程中，Stag2的表达高于Stag1，并且Stag2的表达与接种疫苗和SARS-CoV-2感染患者的CSR水平高度相关。此外，Stag2在</w:t>
      </w:r>
    </w:p>
    <w:p>
      <w:pPr>
        <w:spacing w:before="0" w:after="200" w:lineRule="auto" w:line="276"/>
      </w:pPr>
      <w:r>
        <w:rPr>
          <w:b/>
        </w:rPr>
        <w:t xml:space="preserve">Abstract (EN): </w:t>
      </w:r>
      <w:r>
        <w:t>Class switch recombination (CSR) in B lymphocytes switches immunoglobulin heavy chain (</w:t>
      </w:r>
      <w:r>
        <w:t xml:space="preserve"> </w:t>
      </w:r>
      <w:r>
        <w:t>Igh</w:t>
      </w:r>
      <w:r>
        <w:t xml:space="preserve"> </w:t>
      </w:r>
      <w:r>
        <w:t>) constant regions (C</w:t>
      </w:r>
      <w:r>
        <w:t xml:space="preserve"> </w:t>
      </w:r>
      <w:r>
        <w:t>H</w:t>
      </w:r>
      <w:r>
        <w:t xml:space="preserve"> </w:t>
      </w:r>
      <w:r>
        <w:t>s) to generate different functional antibody isotypes and chromatin loop extrusion has been proposed to regulate CSR. Stag1 and Stag2 are key components for stabilizing cohesin during chromatin loop extrusion, but the regulatory mechanism of Stag1 and Stag2 in CSR is unknown. Here, we reported that Stag2 is a specific cohesin component playing critical roles in promoting CSR. In contrast to the dispensable roles of Stag1 in CSR, Stag2 deficiency significantly decreases CSR without affecting DNA damage repair pathways. Mechanistically, loss of Stag2, not Stag1, significantly decreases the chromatin interaction of acceptor C</w:t>
      </w:r>
      <w:r>
        <w:t xml:space="preserve"> </w:t>
      </w:r>
      <w:r>
        <w:t>H</w:t>
      </w:r>
      <w:r>
        <w:t xml:space="preserve"> </w:t>
      </w:r>
      <w:r>
        <w:t>with CSR center, leading to decreased synapsis of donor and acceptor C</w:t>
      </w:r>
      <w:r>
        <w:t xml:space="preserve"> </w:t>
      </w:r>
      <w:r>
        <w:t>H</w:t>
      </w:r>
      <w:r>
        <w:t xml:space="preserve"> </w:t>
      </w:r>
      <w:r>
        <w:t>units, decreased transcription of acceptor C</w:t>
      </w:r>
      <w:r>
        <w:t xml:space="preserve"> </w:t>
      </w:r>
      <w:r>
        <w:t>H</w:t>
      </w:r>
      <w:r>
        <w:t xml:space="preserve"> </w:t>
      </w:r>
      <w:r>
        <w:t>, and impaired CSR. Notably, Stag2 deficiency significantly decreases Stag1 binding within</w:t>
      </w:r>
      <w:r>
        <w:t xml:space="preserve"> </w:t>
      </w:r>
      <w:r>
        <w:t>Igh</w:t>
      </w:r>
      <w:r>
        <w:t xml:space="preserve"> </w:t>
      </w:r>
      <w:r>
        <w:t>, while Stag2 could compensate for Stag1 binding within</w:t>
      </w:r>
      <w:r>
        <w:t xml:space="preserve"> </w:t>
      </w:r>
      <w:r>
        <w:t>Igh</w:t>
      </w:r>
      <w:r>
        <w:t xml:space="preserve"> </w:t>
      </w:r>
      <w:r>
        <w:t>upon Stag1 deficiency. Interestingly, Stag2 expression is higher than Stag1 during both mouse and human germinal center (GC) B cell development and Stag2 expression has a high correlation with CSR level in vaccinated and SARS-CoV-2-infected patients. Furthermore, Stag2 is also highly expressed in the GC B cells within different cancers, corresponding to the high level of CSR. Our findings uncover the unrecognized specific roles of Stag2 in regulating CSR.</w:t>
      </w:r>
    </w:p>
    <w:p>
      <w:pPr>
        <w:spacing w:before="120" w:after="120"/>
      </w:pPr>
      <w:r>
        <w:rPr>
          <w:sz w:val="18"/>
        </w:rPr>
        <w:t>——————————————————————————————————————————————————————————————————————</w:t>
      </w:r>
    </w:p>
    <w:p>
      <w:pPr>
        <w:spacing w:before="160" w:after="40" w:line="240" w:lineRule="auto"/>
      </w:pPr>
      <w:r>
        <w:rPr>
          <w:b/>
        </w:rPr>
        <w:t xml:space="preserve">[214] </w:t>
      </w:r>
      <w:hyperlink r:id="rId549">
        <w:r>
          <w:rPr>
            <w:color w:val="1155CC"/>
            <w:u w:val="single"/>
          </w:rPr>
          <w:t>[ASAP] 通过一体化前体快速单核生长亚厘米单层MoS2单晶</w:t>
        </w:r>
      </w:hyperlink>
    </w:p>
    <w:p>
      <w:pPr>
        <w:spacing w:before="0" w:after="80"/>
      </w:pPr>
      <w:r>
        <w:rPr>
          <w:i/>
          <w:sz w:val="20"/>
        </w:rPr>
        <w:t>EN: [ASAP] Fast Single-Nucleus Growth of Subcentimeter Monolayer MoS2 Single Crystals via an All-in-One Precursor</w:t>
      </w:r>
    </w:p>
    <w:p>
      <w:pPr>
        <w:spacing w:before="0" w:after="120"/>
      </w:pPr>
      <w:r>
        <w:rPr>
          <w:b/>
        </w:rPr>
        <w:t xml:space="preserve">Source: </w:t>
      </w:r>
      <w:r>
        <w:t>Journal of the American Chemical Society: Latest Articles (ACS Publications)</w:t>
      </w:r>
      <w:r>
        <w:t xml:space="preserve">    </w:t>
      </w:r>
      <w:r>
        <w:rPr>
          <w:b/>
        </w:rPr>
        <w:t xml:space="preserve">Pub date: </w:t>
      </w:r>
      <w:r>
        <w:t>2026-05-05 08:04:18+00:00</w:t>
      </w:r>
      <w:r>
        <w:t xml:space="preserve">    </w:t>
      </w:r>
      <w:r>
        <w:rPr>
          <w:b/>
        </w:rPr>
        <w:t xml:space="preserve">DOI: </w:t>
      </w:r>
      <w:hyperlink r:id="rId550">
        <w:r>
          <w:rPr>
            <w:color w:val="1155CC"/>
            <w:u w:val="single"/>
          </w:rPr>
          <w:t>10.1021/jacs.6c02743</w:t>
        </w:r>
      </w:hyperlink>
    </w:p>
    <w:p>
      <w:pPr>
        <w:spacing w:before="0" w:after="120"/>
      </w:pPr>
      <w:r>
        <w:rPr>
          <w:b/>
        </w:rPr>
        <w:t xml:space="preserve">Notes: </w:t>
      </w:r>
      <w:r>
        <w:t>abstract_source=pubmed</w:t>
      </w:r>
    </w:p>
    <w:p>
      <w:pPr>
        <w:spacing w:before="0" w:after="80" w:lineRule="auto" w:line="276"/>
      </w:pPr>
      <w:r>
        <w:rPr>
          <w:b/>
        </w:rPr>
        <w:t xml:space="preserve">摘要（ZH）: </w:t>
      </w:r>
      <w:r>
        <w:t>从单个核合成大面积、高质量的二维（2D）MoS2单晶对于将这种超薄半导体应用于下一代集成电路以延续摩尔定律至关重要。然而，传统合成反应的复杂性阻碍了实际应用所需的可重复性和可控性。在此，我们通过采用独特的全合一K2MoS4前体简化了合成反应。通过热分解，该前体同时提供Mo和S源、增长促进剂和保护剂，这一机制通过综合理论计算、原位X射线光电子能谱（XPS）和飞行时间二次离子质谱（TOF-SIMS）得到证实。从单个核获得的单层MoS2的单晶域尺寸达到6毫米，超过了其他气相合成样品。此外，这些大单层样品表现出高结晶度和均匀性，室温载流子迁移率高达∼105 cm2 V-1 s-1。我们的研究强调了化学反应设计在合成大规模2D半导体中的关键作用，为其在可扩展的下一代电子产品中的应用铺平了道路。</w:t>
      </w:r>
    </w:p>
    <w:p>
      <w:pPr>
        <w:spacing w:before="0" w:after="200" w:lineRule="auto" w:line="276"/>
      </w:pPr>
      <w:r>
        <w:rPr>
          <w:b/>
        </w:rPr>
        <w:t xml:space="preserve">Abstract (EN): </w:t>
      </w:r>
      <w:r>
        <w:t>The controlled synthesis of large-area, high-quality two-dimensional (2D) MoS2 single crystals from a single nucleus is essential for applying this ultrathin semiconductor to next-generation integrated circuits to extend Moore's law. However, the complexity of traditional synthesis reactions hinders the reproducibility and controllability required for practical implementation. Here, we simplify the synthesis reactions by employing a distinctive all-in-one K2MoS4 precursor. Through thermal decomposition, this precursor simultaneously provides Mo and S sources, a growth promoter, and a protector, a mechanism confirmed by comprehensive theoretical calculations, in situ X-ray photoelectron spectroscopy (XPS), and time-of-flight secondary ion mass spectrometry (TOF-SIMS). The single-crystal domain size of the obtained monolayer MoS2 derived from a single nucleus reaches up to 6 mm, exceeding that of other gas-phase synthesized samples. Furthermore, these large monolayer samples exhibit high crystallinity and uniformity, with room-temperature carrier mobilities as high as ∼105 cm2 V-1 s-1. Our study underscores the critical role of chemical reaction design in synthesizing large-scale 2D semiconductors, paving the way for their application in scalable next-generation electronics.</w:t>
      </w:r>
    </w:p>
    <w:p>
      <w:pPr>
        <w:spacing w:before="120" w:after="120"/>
      </w:pPr>
      <w:r>
        <w:rPr>
          <w:sz w:val="18"/>
        </w:rPr>
        <w:t>——————————————————————————————————————————————————————————————————————</w:t>
      </w:r>
    </w:p>
    <w:p>
      <w:pPr>
        <w:spacing w:before="160" w:after="40" w:line="240" w:lineRule="auto"/>
      </w:pPr>
      <w:r>
        <w:rPr>
          <w:b/>
        </w:rPr>
        <w:t xml:space="preserve">[215] </w:t>
      </w:r>
      <w:hyperlink r:id="rId551">
        <w:r>
          <w:rPr>
            <w:color w:val="1155CC"/>
            <w:u w:val="single"/>
          </w:rPr>
          <w:t>RATEX：一种可扩展的基于RNA的平台用于逻辑和多层次的细胞编程</w:t>
        </w:r>
      </w:hyperlink>
    </w:p>
    <w:p>
      <w:pPr>
        <w:spacing w:before="0" w:after="80"/>
      </w:pPr>
      <w:r>
        <w:rPr>
          <w:i/>
          <w:sz w:val="20"/>
        </w:rPr>
        <w:t>EN: RATEX: A Scalable RNA‐Based Platform for Logical and Multi‐Layered Cellular Programming</w:t>
      </w:r>
    </w:p>
    <w:p>
      <w:pPr>
        <w:spacing w:before="0" w:after="120"/>
      </w:pPr>
      <w:r>
        <w:rPr>
          <w:b/>
        </w:rPr>
        <w:t xml:space="preserve">Source: </w:t>
      </w:r>
      <w:r>
        <w:t>Wiley: Angewandte Chemie International Edition: Table of Contents</w:t>
      </w:r>
      <w:r>
        <w:t xml:space="preserve">    </w:t>
      </w:r>
      <w:r>
        <w:rPr>
          <w:b/>
        </w:rPr>
        <w:t xml:space="preserve">Pub date: </w:t>
      </w:r>
      <w:r>
        <w:t>2026-05-05 10:08:46+00:00</w:t>
      </w:r>
      <w:r>
        <w:t xml:space="preserve">    </w:t>
      </w:r>
      <w:r>
        <w:rPr>
          <w:b/>
        </w:rPr>
        <w:t xml:space="preserve">DOI: </w:t>
      </w:r>
      <w:hyperlink r:id="rId552">
        <w:r>
          <w:rPr>
            <w:color w:val="1155CC"/>
            <w:u w:val="single"/>
          </w:rPr>
          <w:t>10.1002/anie.202520600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扩展的遗传电路对于在活细胞中实现复杂功能至关重要。为此，RNA调节器可以提供一个急需的部件库，具有低代谢负荷、设计灵活性和逻辑容量的附加优势。然而，尽管合成RNA电路具有巨大潜力，构建具有宽动态范围和多路复用调节级联的此类电路仍然是一个挑战。为了解决这个问题，我们通过将翻译到转录转换器与合成RNA调节器集成，引入了RATEX（核糖体辅助转录表达控制器），实现了紧凑且可扩展的RNA编程电路架构。RATEX平台重新利用了一个大型的、经过良好表征的翻译调节器库，基因调节高达1,492倍，同时利用天然核糖体介导的多样环境输入（如代谢物）的感应。我们展示了多输入逻辑处理，最多可实现6输入OR逻辑门用于RNA输入，以及混合3输入逻辑门以感应多样的代谢物和小分子输入以及RNA信号。通过多路复用信号级联实现了RNA输出的信号放大和组合控制。最后，RNA和代谢物感应的3输入AND门用于控制细胞形态和细胞内空间组织。总之，RATEX平台以其可扩展和模块化的架构，为合成生物学和生物技术提供了广阔的设计空间。</w:t>
      </w:r>
    </w:p>
    <w:p>
      <w:pPr>
        <w:spacing w:before="0" w:after="200" w:lineRule="auto" w:line="276"/>
      </w:pPr>
      <w:r>
        <w:rPr>
          <w:b/>
        </w:rPr>
        <w:t xml:space="preserve">Abstract (EN): </w:t>
      </w:r>
      <w:r>
        <w:t>Scalable genetic circuits are essential for implementing complex functions in living cells. Toward this goal, RNA regulators can provide a much‐needed parts library with added benefits of low metabolic load, design flexibility, and logic capacity. However, despite the great potential of synthetic RNA circuits, constructing such circuits with wide dynamic ranges and multiplexed regulatory cascades remains a challenge. To address this, we introduce RATEX (Ribosome‐Assisted Transcriptional EXpression controller) by integrating a translation‐to‐transcription converter with synthetic RNA regulators, enabling a compact and scalable RNA‐programmed circuit architecture. The RATEX platform repurposes a large library of well‐characterized translation regulators with up to 1,492‐fold gene regulation, while leveraging natural ribosome‐mediated sensing of diverse environmental inputs, such as metabolites. We demonstrated multi‐input logic processing with up to a 6‐input OR logic gate for RNA inputs and hybrid 3‐input logic gates to sense diverse metabolite and small‐molecule inputs alongside RNA signals. Signal amplification with multiplexed combinatorial control of RNA outputs was achieved through multiplexed signaling cascades. Finally, the RNA‐ and metabolite‐sensing 3‐input AND gates were used to control cellular morphology and intracellular spatial organization. Together, the RATEX platform, with its scalable and modular architecture, offers a broad potential design space for synthetic biology and biotechnology.</w:t>
      </w:r>
    </w:p>
    <w:p>
      <w:pPr>
        <w:spacing w:before="120" w:after="120"/>
      </w:pPr>
      <w:r>
        <w:rPr>
          <w:sz w:val="18"/>
        </w:rPr>
        <w:t>——————————————————————————————————————————————————————————————————————</w:t>
      </w:r>
    </w:p>
    <w:p>
      <w:pPr>
        <w:spacing w:before="160" w:after="40" w:line="240" w:lineRule="auto"/>
      </w:pPr>
      <w:r>
        <w:rPr>
          <w:b/>
        </w:rPr>
        <w:t xml:space="preserve">[216] </w:t>
      </w:r>
      <w:hyperlink r:id="rId553">
        <w:r>
          <w:rPr>
            <w:color w:val="1155CC"/>
            <w:u w:val="single"/>
          </w:rPr>
          <w:t>铁光催化烷烃C(sp3)–H磷酰化</w:t>
        </w:r>
      </w:hyperlink>
    </w:p>
    <w:p>
      <w:pPr>
        <w:spacing w:before="0" w:after="80"/>
      </w:pPr>
      <w:r>
        <w:rPr>
          <w:i/>
          <w:sz w:val="20"/>
        </w:rPr>
        <w:t>EN: Iron‐Photocatalyzed C(sp3)–H Phosphonylation of Alkanes</w:t>
      </w:r>
    </w:p>
    <w:p>
      <w:pPr>
        <w:spacing w:before="0" w:after="120"/>
      </w:pPr>
      <w:r>
        <w:rPr>
          <w:b/>
        </w:rPr>
        <w:t xml:space="preserve">Source: </w:t>
      </w:r>
      <w:r>
        <w:t>Wiley: Angewandte Chemie International Edition: Table of Contents</w:t>
      </w:r>
      <w:r>
        <w:t xml:space="preserve">    </w:t>
      </w:r>
      <w:r>
        <w:rPr>
          <w:b/>
        </w:rPr>
        <w:t xml:space="preserve">Pub date: </w:t>
      </w:r>
      <w:r>
        <w:t>2026-05-05 10:10:09+00:00</w:t>
      </w:r>
      <w:r>
        <w:t xml:space="preserve">    </w:t>
      </w:r>
      <w:r>
        <w:rPr>
          <w:b/>
        </w:rPr>
        <w:t xml:space="preserve">DOI: </w:t>
      </w:r>
      <w:hyperlink r:id="rId554">
        <w:r>
          <w:rPr>
            <w:color w:val="1155CC"/>
            <w:u w:val="single"/>
          </w:rPr>
          <w:t>10.1002/anie.6650940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烷基膦酸酯是具有广泛合成用途的有价值的基序，常见于生物活性分子中。因此，已经开发了许多方法来实现有机分子的高效膦酰化，通常涉及通过磷(III)试剂替代常见官能团来构建C(sp3)–P键。然而，未活化C(sp3)–H键的直接膦酰化是罕见的，目前缺乏在复杂分子中后期引入膦酸酯基团所需的底物普适性。在此，我们报告了一种使用氢原子转移（HAT）策略的铁光催化剂的光诱导未活化烷烃的C(sp3)–H膦酰化。该过程成功的关键是开发了一种新型的扁桃腈衍生的磷酸酯自由基捕获剂，其配备了一个氧化的苯乙腈自由基离去基团，使光催化剂能够有效周转。该方法显示出良好的官能团耐受性，对空间无阻碍的C─H键的膦酰化具有高选择性，并被发现适用于复杂分子中膦酸酯的区域选择性后期安装。</w:t>
      </w:r>
    </w:p>
    <w:p>
      <w:pPr>
        <w:spacing w:before="0" w:after="200" w:lineRule="auto" w:line="276"/>
      </w:pPr>
      <w:r>
        <w:rPr>
          <w:b/>
        </w:rPr>
        <w:t xml:space="preserve">Abstract (EN): </w:t>
      </w:r>
      <w:r>
        <w:t>Alkyl phosphonate esters are valuable motifs that have broad synthetic utility and are commonly found in bioactive molecules. Therefore, many methods have been developed to enable efficient phosphonylations of organic molecules, typically involving the construction of C(sp</w:t>
      </w:r>
      <w:r>
        <w:rPr>
          <w:vertAlign w:val="subscript"/>
        </w:rPr>
        <w:t>3</w:t>
      </w:r>
      <w:r>
        <w:t>)–P bonds by substitutions of common functional groups with phosphorus(III) reagents. However, direct phosphonylations of unactivated C(sp</w:t>
      </w:r>
      <w:r>
        <w:rPr>
          <w:vertAlign w:val="subscript"/>
        </w:rPr>
        <w:t>3</w:t>
      </w:r>
      <w:r>
        <w:t>)–H bonds are rare and currently lack the substrate generality required for late‐stage introduction of phosphonate groups into complex molecules. Herein, we report a photoinduced C(sp</w:t>
      </w:r>
      <w:r>
        <w:rPr>
          <w:vertAlign w:val="subscript"/>
        </w:rPr>
        <w:t>3</w:t>
      </w:r>
      <w:r>
        <w:t>)–H phosphonylation of unactivated alkanes using a hydrogen atom transfer (HAT) strategy with an iron photocatalyst. Key to the success of the process was the development of a novel mandelonitrile‐derived phosphite radical trap, which is equipped with an oxidizing phenylacetonitrile radical leaving group that enables effective turnover of the photocatalyst. The method displays good functional group tolerance, high selectivity for phosphonylations of sterically unhindered C─H bonds, and was found to be applicable to regioselective late‐stage installation of phosphonate esters into complex molecules.</w:t>
      </w:r>
    </w:p>
    <w:p>
      <w:pPr>
        <w:spacing w:before="120" w:after="120"/>
      </w:pPr>
      <w:r>
        <w:rPr>
          <w:sz w:val="18"/>
        </w:rPr>
        <w:t>——————————————————————————————————————————————————————————————————————</w:t>
      </w:r>
    </w:p>
    <w:p>
      <w:pPr>
        <w:spacing w:before="160" w:after="40" w:line="240" w:lineRule="auto"/>
      </w:pPr>
      <w:r>
        <w:rPr>
          <w:b/>
        </w:rPr>
        <w:t xml:space="preserve">[217] </w:t>
      </w:r>
      <w:hyperlink r:id="rId555">
        <w:r>
          <w:rPr>
            <w:color w:val="1155CC"/>
            <w:u w:val="single"/>
          </w:rPr>
          <w:t>通过环境依赖的双向发光对比可视化衰老-正常细胞边界</w:t>
        </w:r>
      </w:hyperlink>
    </w:p>
    <w:p>
      <w:pPr>
        <w:spacing w:before="0" w:after="80"/>
      </w:pPr>
      <w:r>
        <w:rPr>
          <w:i/>
          <w:sz w:val="20"/>
        </w:rPr>
        <w:t>EN: Visualizing Senescent–Normal Cell Boundaries Through Environment‐Dependent Bidirectional Luminescent Contrast</w:t>
      </w:r>
    </w:p>
    <w:p>
      <w:pPr>
        <w:spacing w:before="0" w:after="120"/>
      </w:pPr>
      <w:r>
        <w:rPr>
          <w:b/>
        </w:rPr>
        <w:t xml:space="preserve">Source: </w:t>
      </w:r>
      <w:r>
        <w:t>Wiley: Angewandte Chemie International Edition: Table of Contents</w:t>
      </w:r>
      <w:r>
        <w:t xml:space="preserve">    </w:t>
      </w:r>
      <w:r>
        <w:rPr>
          <w:b/>
        </w:rPr>
        <w:t xml:space="preserve">Pub date: </w:t>
      </w:r>
      <w:r>
        <w:t>2026-05-05 10:12:39+00:00</w:t>
      </w:r>
      <w:r>
        <w:t xml:space="preserve">    </w:t>
      </w:r>
      <w:r>
        <w:rPr>
          <w:b/>
        </w:rPr>
        <w:t xml:space="preserve">DOI: </w:t>
      </w:r>
      <w:hyperlink r:id="rId556">
        <w:r>
          <w:rPr>
            <w:color w:val="1155CC"/>
            <w:u w:val="single"/>
          </w:rPr>
          <w:t>10.1002/anie.7278240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肿瘤不同，衰老组织在细胞水平上缺乏明确的边界，因为衰老是逐渐发展的，导致衰老细胞和正常细胞的空间混合。这种模糊性对手术决策构成了重大概念挑战，切除不足会导致复发，而过度切除则会损害组织完整性。现有探针无法解决这种模糊性，因为信号静默区域可能代表正常细胞或未标记的衰老群体。因此，设计新的信号逻辑用于发光探针（例如，环境依赖的双向信号调制，分别取决于正常和衰老细胞的细胞环境）对于精确划定衰老-正常细胞边界至关重要。在这项工作中，通过将亲水性β-半乳糖基团修饰到疏水性羟基-六硫苯上，构建了能够实现双向光调制的发光探针，其性能如下：（1）方向1：在正常细胞中，探针保持无发射状态，但在光激发诱导聚集后变得发射（信号上调）；（2）方向2：在衰老细胞中，β-半乳糖苷酶（β-Gal）触发的去糖基化立即生成具有聚集诱导发射特征的疏水产物，其强烈发射可以在随后的光激发诱导分子重组后下调。这种使用相同探针的环境依赖性双向光调制能够实现动态对比。</w:t>
      </w:r>
    </w:p>
    <w:p>
      <w:pPr>
        <w:spacing w:before="0" w:after="200" w:lineRule="auto" w:line="276"/>
      </w:pPr>
      <w:r>
        <w:rPr>
          <w:b/>
        </w:rPr>
        <w:t xml:space="preserve">Abstract (EN): </w:t>
      </w:r>
      <w:r>
        <w:t>Unlike tumors, senescent tissues lack well‐defined boundaries at the cellular level because senescence develops gradually, leading to spatial intermixing of the senescent and normal cells. This ambiguity poses a major conceptual challenge for surgical decision‐making, where insufficient resection risks recurrence while excessive removal compromises tissue integrity. Existing probes fail to resolve this ambiguity because signal‐silent regions may represent either normal cells or unlabeled senescent populations. Therefore, designing new signal logic for luminescent probes (e.g., environment‐dependent bidirectional signal modulation, depending on the cellular environment of the normal and senescent cells, respectively), is crucial for precise delineation of senescent–normal cell boundaries. In this work, luminescent probes enabling bidirectional photomodulation were constructed by modifying hydrophilic β‐galactose groups onto hydrophobic hydroxyl‐hexathiobenzene, which can exhibit the following performance: (1) Direction 1: In normal cells, the probes remain non‐emissive, but become emissive upon photoexcitation‐induced aggregation (signal up‐regulated); (2) Direction 2: In senescent cells, β‐galactosidase (β‐Gal)‐triggered deglycosylation immediately generates hydrophobic products with an aggregation‐induced emission characteristic, whose strong emission can be down‐regulated upon a following photoexcitation‐induced molecular reorganization. This environment‐dependent bidirectional photomodulation using the same probe enables dynamic contrast between senescent and normal cells, thereby providing a new paradigm of resolving biological ambiguity at the cellular scale.</w:t>
      </w:r>
    </w:p>
    <w:p>
      <w:pPr>
        <w:spacing w:before="120" w:after="120"/>
      </w:pPr>
      <w:r>
        <w:rPr>
          <w:sz w:val="18"/>
        </w:rPr>
        <w:t>——————————————————————————————————————————————————————————————————————</w:t>
      </w:r>
    </w:p>
    <w:p>
      <w:pPr>
        <w:spacing w:before="160" w:after="40" w:line="240" w:lineRule="auto"/>
      </w:pPr>
      <w:r>
        <w:rPr>
          <w:b/>
        </w:rPr>
        <w:t xml:space="preserve">[218] </w:t>
      </w:r>
      <w:hyperlink r:id="rId557">
        <w:r>
          <w:rPr>
            <w:color w:val="1155CC"/>
            <w:u w:val="single"/>
          </w:rPr>
          <w:t>血脑屏障穿越的氟化荧光素酶前底物使得在脑疾病中对D-半胱氨酸水平的敏感监测成为可能</w:t>
        </w:r>
      </w:hyperlink>
    </w:p>
    <w:p>
      <w:pPr>
        <w:spacing w:before="0" w:after="80"/>
      </w:pPr>
      <w:r>
        <w:rPr>
          <w:i/>
          <w:sz w:val="20"/>
        </w:rPr>
        <w:t>EN: Blood‐Brain‐Barrier‐Crossing Fluorinated Luciferase Prosubstrates Enable Sensitive Monitoring of D‐Cysteine Levels in Brain Diseases</w:t>
      </w:r>
    </w:p>
    <w:p>
      <w:pPr>
        <w:spacing w:before="0" w:after="120"/>
      </w:pPr>
      <w:r>
        <w:rPr>
          <w:b/>
        </w:rPr>
        <w:t xml:space="preserve">Source: </w:t>
      </w:r>
      <w:r>
        <w:t>Wiley: Angewandte Chemie International Edition: Table of Contents</w:t>
      </w:r>
      <w:r>
        <w:t xml:space="preserve">    </w:t>
      </w:r>
      <w:r>
        <w:rPr>
          <w:b/>
        </w:rPr>
        <w:t xml:space="preserve">Pub date: </w:t>
      </w:r>
      <w:r>
        <w:t>2026-05-05 10:16:39+00:00</w:t>
      </w:r>
      <w:r>
        <w:t xml:space="preserve">    </w:t>
      </w:r>
      <w:r>
        <w:rPr>
          <w:b/>
        </w:rPr>
        <w:t xml:space="preserve">DOI: </w:t>
      </w:r>
      <w:hyperlink r:id="rId558">
        <w:r>
          <w:rPr>
            <w:color w:val="1155CC"/>
            <w:u w:val="single"/>
          </w:rPr>
          <w:t>10.1002/anie.5604948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半胱氨酸（D-Cys）在调节大脑内的氧化还原稳态中起关键作用，其失调与多种神经系统疾病的发病机制密切相关。然而，由于缺乏特定的检测工具，脑内D-Cys水平的精确映射仍然是一个艰巨的挑战。在此，我们报告了一类新的氟化萤火虫荧光素酶前底物，用于通过腈-氨基硫生物正交反应敏感且无创地检测大脑中的D-Cys。亲脂性7'F-CBT表现出增强的血脑屏障（BBB）通透性，并与内源性D-Cys反应形成荧光素类似物，在体内产生持久且强烈的生物发光。它在体外敏感地检测到D-Cys，检测限为1.37 nM，并在静脉注射后成功地以高信噪比（60:1）成像小鼠大脑中的内源性D-Cys。此外，7'F-CBT使得在自由活动的胶质母细胞瘤小鼠中实现了前所未有的视频速率D-Cys可视化。更重要的是，通过利用BBB可渗透的7'F-CBT，我们首次揭示了药物诱导的帕金森病（PD）小鼠模型中大脑D-Cys水平的急剧下降。这项研究为诊断与D-Cys相关的大脑疾病铺平了道路，并提供了一种新的诊断工具。</w:t>
      </w:r>
    </w:p>
    <w:p>
      <w:pPr>
        <w:spacing w:before="0" w:after="200" w:lineRule="auto" w:line="276"/>
      </w:pPr>
      <w:r>
        <w:rPr>
          <w:b/>
        </w:rPr>
        <w:t xml:space="preserve">Abstract (EN): </w:t>
      </w:r>
      <w:r>
        <w:t>D‐Cysteine (D‐Cys) is critically involved in regulating redox homeostasis within the brain, and its dysregulation has been closely related to the pathogenesis of various neurological disorders. However, the precise mapping of cerebral D‐Cys levels in situ remains a formidable challenge due to the lack of specific detection tools. Herein, we report a new class of fluorinated firefly luciferase prosubstrates for sensitive and noninvasive detection of D‐Cys in the brain via nitrile‐aminothiol bioorthogonal reaction. The lipophilic</w:t>
      </w:r>
      <w:r>
        <w:t xml:space="preserve"> </w:t>
      </w:r>
      <w:r>
        <w:t>7'F‐CBT</w:t>
      </w:r>
      <w:r>
        <w:t xml:space="preserve"> </w:t>
      </w:r>
      <w:r>
        <w:t>exhibits enhanced blood‐brain barrier (BBB) permeability and reacts with endogenous D‐Cys to form a luciferin analog in situ, generating prolonged and intense bioluminescence. It sensitively detected D‐Cys in vitro, achieving a detection limit of 1.37 nM, and successfully imaged endogenous D‐Cys in the mouse brain with a high signal‐to‐noise ratio (60:1) after intravenous administration. Furthermore,</w:t>
      </w:r>
      <w:r>
        <w:t xml:space="preserve"> </w:t>
      </w:r>
      <w:r>
        <w:t>7'F‐CBT</w:t>
      </w:r>
      <w:r>
        <w:t xml:space="preserve"> </w:t>
      </w:r>
      <w:r>
        <w:t>enabled unprecedented video‐rate visualization of D‐Cys in freely moving glioblastoma‐bearing mice. More importantly, by leveraging BBB‐permeable</w:t>
      </w:r>
      <w:r>
        <w:t xml:space="preserve"> </w:t>
      </w:r>
      <w:r>
        <w:t>7'F‐CBT</w:t>
      </w:r>
      <w:r>
        <w:t xml:space="preserve"> </w:t>
      </w:r>
      <w:r>
        <w:t>, we revealed a precipitous reduction of brain D‐Cys levels in a drug‐induced Parkinson's disease (PD) mouse model for the first time. This study paves the way for diagnosing D‐Cys‐related brain diseases and provides a novel diagnostic tool.</w:t>
      </w:r>
    </w:p>
    <w:p>
      <w:pPr>
        <w:spacing w:before="120" w:after="120"/>
      </w:pPr>
      <w:r>
        <w:rPr>
          <w:sz w:val="18"/>
        </w:rPr>
        <w:t>——————————————————————————————————————————————————————————————————————</w:t>
      </w:r>
    </w:p>
    <w:p>
      <w:pPr>
        <w:spacing w:before="160" w:after="40" w:line="240" w:lineRule="auto"/>
      </w:pPr>
      <w:r>
        <w:rPr>
          <w:b/>
        </w:rPr>
        <w:t xml:space="preserve">[219] </w:t>
      </w:r>
      <w:hyperlink r:id="rId559">
        <w:r>
          <w:rPr>
            <w:color w:val="1155CC"/>
            <w:u w:val="single"/>
          </w:rPr>
          <w:t>用于精确超分子手性控制的溶剂门控多模态电荷转移相互作用</w:t>
        </w:r>
      </w:hyperlink>
    </w:p>
    <w:p>
      <w:pPr>
        <w:spacing w:before="0" w:after="80"/>
      </w:pPr>
      <w:r>
        <w:rPr>
          <w:i/>
          <w:sz w:val="20"/>
        </w:rPr>
        <w:t>EN: Solvent‐Gated Multimodal Charge Transfer Interactions for Precise Supramolecular Chirality Control</w:t>
      </w:r>
    </w:p>
    <w:p>
      <w:pPr>
        <w:spacing w:before="0" w:after="120"/>
      </w:pPr>
      <w:r>
        <w:rPr>
          <w:b/>
        </w:rPr>
        <w:t xml:space="preserve">Source: </w:t>
      </w:r>
      <w:r>
        <w:t>Wiley: Angewandte Chemie International Edition: Table of Contents</w:t>
      </w:r>
      <w:r>
        <w:t xml:space="preserve">    </w:t>
      </w:r>
      <w:r>
        <w:rPr>
          <w:b/>
        </w:rPr>
        <w:t xml:space="preserve">Pub date: </w:t>
      </w:r>
      <w:r>
        <w:t>2026-05-05 10:32:49+00:00</w:t>
      </w:r>
      <w:r>
        <w:t xml:space="preserve">    </w:t>
      </w:r>
      <w:r>
        <w:rPr>
          <w:b/>
        </w:rPr>
        <w:t xml:space="preserve">DOI: </w:t>
      </w:r>
      <w:hyperlink r:id="rId560">
        <w:r>
          <w:rPr>
            <w:color w:val="1155CC"/>
            <w:u w:val="single"/>
          </w:rPr>
          <w:t>10.1002/anie.3257187</w:t>
        </w:r>
      </w:hyperlink>
    </w:p>
    <w:p>
      <w:pPr>
        <w:spacing w:before="0" w:after="120"/>
      </w:pPr>
      <w:r>
        <w:rPr>
          <w:b/>
        </w:rPr>
        <w:t xml:space="preserve">Notes: </w:t>
      </w:r>
      <w:r>
        <w:t>abstract_source=crossref</w:t>
      </w:r>
    </w:p>
    <w:p>
      <w:pPr>
        <w:spacing w:before="0" w:after="80" w:lineRule="auto" w:line="276"/>
      </w:pPr>
      <w:r>
        <w:rPr>
          <w:b/>
        </w:rPr>
        <w:t xml:space="preserve">摘要（ZH）: </w:t>
      </w:r>
      <w:r>
        <w:t>摘要 尽管电荷转移（CT）相互作用在手性光电材料中得到了广泛应用，但实现多模态CT相互作用以实现精确控制在分子设计和实际应用中都面临重大挑战。在此，我们开发了基于氨基酸的折叠结构，整合了芘供体和芳基酰亚胺受体，并具有空间阻碍的叔丁基团，这些结构在溶液中表现出动态的空间CT相互作用，这得益于可逆的溶剂门控折叠/展开。构象切换引发了不同的响应，使得发射可调，从蓝色到黄色，以实现白光发射，同时精确调节手性光学性质。除了基于溶液的CT络合物外，聚合物基质内还形成了具有优异手性光学性质的稳健CT络合物。自下而上的自组装也导致手性光学信号的放大和宏观手性的产生。值得注意的是，溶剂比例通过交替或分离的CT堆积模式控制分级自组装，生成具有反转手性的螺旋聚集体，同时诱导宏观超分子手性和增强的手性光学信号。热力学驱动的超分子手性选择性成熟反转了最初的动力学陷阱手性，利用交替CT堆积的稳定性实现同手性。这种结构表现出显著的溶剂控制的发光、手性光学手性和超分子手性的调制，提供了一个</w:t>
      </w:r>
    </w:p>
    <w:p>
      <w:pPr>
        <w:spacing w:before="0" w:after="200" w:lineRule="auto" w:line="276"/>
      </w:pPr>
      <w:r>
        <w:rPr>
          <w:b/>
        </w:rPr>
        <w:t xml:space="preserve">Abstract (EN): </w:t>
      </w:r>
      <w:r>
        <w:t>Despite the widespread application of charge transfer (CT) interactions in chiral optoelectronic materials, achieving multimodal CT interactions for the precise control poses significant challenges in both molecular design and practical implementation. Here, we develop amino acid‐based folded structures integrating pyrene donors and aryl imide acceptors with sterically hindering tert‐butyl groups, which exhibit dynamic through‐space CT interactions in solutions, enabled by reversible solvent‐gated folding/unfolding. The conformational switching induces distinct responses, enabling tunable emission spanning from blue to yellow to achieve white‐light emission, alongside precise regulation of chiroptical properties. Apart from solution‐based CT complexation, robust CT complexes with excellent chiroptical properties form within polymer matrices. Bottom‐up self‐assembly also leads to amplified chiroptical signals and the generation of macroscopic chirality. Remarkably, solvent ratio controls hierarchical self‐assembly via alternate or segregated CT stacking modes, generating helical aggregates with Inverted handedness, and simultaneously inducing macroscopic supramolecular chirality and enhanced chiroptical signals. Thermodynamically driven supramolecular chiral‐selective ripening inverts the initial kinetically trapped chirality, leveraging the stability of alternating CT stacks to achieve homochirality. This architecture exhibits remarkable solvent‐controlled modulation of luminescence, chiroptical handedness, and supramolecular chirality, offering a versatile platform for advanced photonics and multimodal encryption.</w:t>
      </w:r>
    </w:p>
    <w:p>
      <w:pPr>
        <w:spacing w:before="120" w:after="120"/>
      </w:pPr>
      <w:r>
        <w:rPr>
          <w:sz w:val="18"/>
        </w:rPr>
        <w:t>——————————————————————————————————————————————————————————————————————</w:t>
      </w:r>
    </w:p>
    <w:p>
      <w:pPr>
        <w:spacing w:before="160" w:after="40" w:line="240" w:lineRule="auto"/>
      </w:pPr>
      <w:r>
        <w:rPr>
          <w:b/>
        </w:rPr>
        <w:t xml:space="preserve">[220] </w:t>
      </w:r>
      <w:hyperlink r:id="rId561">
        <w:r>
          <w:rPr>
            <w:color w:val="1155CC"/>
            <w:u w:val="single"/>
          </w:rPr>
          <w:t>无簇内在组装用于高效稳定的钙钛矿发光二极管</w:t>
        </w:r>
      </w:hyperlink>
    </w:p>
    <w:p>
      <w:pPr>
        <w:spacing w:before="0" w:after="80"/>
      </w:pPr>
      <w:r>
        <w:rPr>
          <w:i/>
          <w:sz w:val="20"/>
        </w:rPr>
        <w:t>EN: Cluster‐Free Intrinsic Assembly for Efficient and Stable Perovskite Light Emitting Diodes</w:t>
      </w:r>
    </w:p>
    <w:p>
      <w:pPr>
        <w:spacing w:before="0" w:after="120"/>
      </w:pPr>
      <w:r>
        <w:rPr>
          <w:b/>
        </w:rPr>
        <w:t xml:space="preserve">Source: </w:t>
      </w:r>
      <w:r>
        <w:t>Wiley: Advanced Materials: Table of Contents</w:t>
      </w:r>
      <w:r>
        <w:t xml:space="preserve">    </w:t>
      </w:r>
      <w:r>
        <w:rPr>
          <w:b/>
        </w:rPr>
        <w:t xml:space="preserve">Pub date: </w:t>
      </w:r>
      <w:r>
        <w:t>2026-05-05 10:34:51+00:00</w:t>
      </w:r>
      <w:r>
        <w:t xml:space="preserve">    </w:t>
      </w:r>
      <w:r>
        <w:rPr>
          <w:b/>
        </w:rPr>
        <w:t xml:space="preserve">DOI: </w:t>
      </w:r>
      <w:hyperlink r:id="rId562">
        <w:r>
          <w:rPr>
            <w:color w:val="1155CC"/>
            <w:u w:val="single"/>
          </w:rPr>
          <w:t>10.1002/adma.73301</w:t>
        </w:r>
      </w:hyperlink>
    </w:p>
    <w:p>
      <w:pPr>
        <w:spacing w:before="0" w:after="120"/>
      </w:pPr>
      <w:r>
        <w:rPr>
          <w:b/>
        </w:rPr>
        <w:t xml:space="preserve">Notes: </w:t>
      </w:r>
      <w:r>
        <w:t>abstract_source=crossref</w:t>
      </w:r>
    </w:p>
    <w:p>
      <w:pPr>
        <w:spacing w:before="0" w:after="80" w:lineRule="auto" w:line="276"/>
      </w:pPr>
      <w:r>
        <w:rPr>
          <w:b/>
        </w:rPr>
        <w:t xml:space="preserve">摘要（ZH）: </w:t>
      </w:r>
      <w:r>
        <w:t>摘要 金属卤化物钙钛矿已成为下一代光电材料的变革性候选者，但其性能仍受限于由前聚集簇在前体中驱动的固有快速且不受控的结晶过程。虽然与簇相关的挑战在钙钛矿光伏中已部分探索，但对其机制和钙钛矿发光二极管（PeLEDs）的实际解决方案的系统研究仍然稀缺。在此，我们引入了一种无簇的内在组装策略，从根本上重塑钙钛矿的结晶动力学。通过利用利尿剂呋塞米（FRSM）作为离子粘合剂，我们实现了钙钛矿前体中所有离子组分的同时协调，有效抑制了簇的形成，并将结晶重定向到无簇的内在组装路径。由此产生的钙钛矿薄膜表现出均匀的高质量钙钛矿纳米晶结构，具有卓越的光电性能和显著的环境稳定性。这些进步使得PeLEDs的外部量子效率（EQE）达到31.0%，并具有前所未有的操作稳定性（相当于T 50 &gt;310 000小时在100 cd m −2 ，T 90 &gt; 1000小时在1000 cd m −2 ），为PeLEDs建立了新的性能基准。我们的工作建立了一个范式链接</w:t>
      </w:r>
    </w:p>
    <w:p>
      <w:pPr>
        <w:spacing w:before="0" w:after="200" w:lineRule="auto" w:line="276"/>
      </w:pPr>
      <w:r>
        <w:rPr>
          <w:b/>
        </w:rPr>
        <w:t xml:space="preserve">Abstract (EN): </w:t>
      </w:r>
      <w:r>
        <w:t>Metal halide perovskites have emerged as transformative candidates for next‐generation optoelectronic materials, yet their performance remains constrained by an inherently rapid and uncontrolled crystallization process driven by pre‐aggregated clusters in precursors. While cluster‐related challenges have been partially explored in perovskite photovoltaics, systematic investigations into their mechanisms and practical solutions for perovskite light‐emitting diodes (PeLEDs) remain scarce. Herein, we introduce a cluster‐free intrinsic assembly strategy to fundamentally reshape the crystallization dynamics of perovskites. By exploiting the diuretic furosemide (FRSM) as an ionic binder, we achieve simultaneous coordination of all ionic components within the perovskite precursor, effectively suppressing cluster formation and redirecting crystallization toward a cluster‐free intrinsic assembly pathway. The resulting perovskite films exhibit homogeneous high‐quality perovskite nanocrystal structure, with exceptional optoelectronic properties and remarkable ambient stability. These advancements enable PeLEDs with a record external quantum efficiency (EQE) of 31.0% alongside unprecedented operational stability (equivalent T</w:t>
      </w:r>
      <w:r>
        <w:rPr>
          <w:vertAlign w:val="subscript"/>
        </w:rPr>
        <w:t>50</w:t>
      </w:r>
      <w:r>
        <w:t>&amp;gt;310 000 h at 100 cd m</w:t>
      </w:r>
      <w:r>
        <w:t xml:space="preserve"> </w:t>
      </w:r>
      <w:r>
        <w:t>−2</w:t>
      </w:r>
      <w:r>
        <w:t xml:space="preserve"> </w:t>
      </w:r>
      <w:r>
        <w:t>, T</w:t>
      </w:r>
      <w:r>
        <w:rPr>
          <w:vertAlign w:val="subscript"/>
        </w:rPr>
        <w:t>90</w:t>
      </w:r>
      <w:r>
        <w:t>&amp;gt; 1000 h at 1000 cd m</w:t>
      </w:r>
      <w:r>
        <w:t xml:space="preserve"> </w:t>
      </w:r>
      <w:r>
        <w:t>−2</w:t>
      </w:r>
      <w:r>
        <w:t xml:space="preserve"> </w:t>
      </w:r>
      <w:r>
        <w:t>), establishing new performance benchmarks for PeLEDs. Our work establishes a paradigm linking precursor‐state engineering to film‐quality determinism, demonstrating that eliminating conventional cluster‐dominated aggregation pathways can revolutionize the assembly process and unlock the potentials of perovskite optoelectronics.</w:t>
      </w:r>
    </w:p>
    <w:p>
      <w:pPr>
        <w:spacing w:before="120" w:after="120"/>
      </w:pPr>
      <w:r>
        <w:rPr>
          <w:sz w:val="18"/>
        </w:rPr>
        <w:t>——————————————————————————————————————————————————————————————————————</w:t>
      </w:r>
    </w:p>
    <w:p>
      <w:pPr>
        <w:spacing w:before="160" w:after="40" w:line="240" w:lineRule="auto"/>
      </w:pPr>
      <w:r>
        <w:rPr>
          <w:b/>
        </w:rPr>
        <w:t xml:space="preserve">[221] </w:t>
      </w:r>
      <w:hyperlink r:id="rId563">
        <w:r>
          <w:rPr>
            <w:color w:val="1155CC"/>
            <w:u w:val="single"/>
          </w:rPr>
          <w:t>通过控制原位H2O2生成来增强选择性甲烷羟基化的Na–Auδ−界面工程</w:t>
        </w:r>
      </w:hyperlink>
    </w:p>
    <w:p>
      <w:pPr>
        <w:spacing w:before="0" w:after="80"/>
      </w:pPr>
      <w:r>
        <w:rPr>
          <w:i/>
          <w:sz w:val="20"/>
        </w:rPr>
        <w:t>EN: Engineering Na–Auδ− Interfaces for Enhancing Selective Methane Hydroxylation With O2 via Controlled In Situ H2O2 Generation</w:t>
      </w:r>
    </w:p>
    <w:p>
      <w:pPr>
        <w:spacing w:before="0" w:after="120"/>
      </w:pPr>
      <w:r>
        <w:rPr>
          <w:b/>
        </w:rPr>
        <w:t xml:space="preserve">Source: </w:t>
      </w:r>
      <w:r>
        <w:t>Wiley: Angewandte Chemie International Edition: Table of Contents</w:t>
      </w:r>
      <w:r>
        <w:t xml:space="preserve">    </w:t>
      </w:r>
      <w:r>
        <w:rPr>
          <w:b/>
        </w:rPr>
        <w:t xml:space="preserve">Pub date: </w:t>
      </w:r>
      <w:r>
        <w:t>2026-05-05 10:36:06+00:00</w:t>
      </w:r>
      <w:r>
        <w:t xml:space="preserve">    </w:t>
      </w:r>
      <w:r>
        <w:rPr>
          <w:b/>
        </w:rPr>
        <w:t xml:space="preserve">DOI: </w:t>
      </w:r>
      <w:hyperlink r:id="rId564">
        <w:r>
          <w:rPr>
            <w:color w:val="1155CC"/>
            <w:u w:val="single"/>
          </w:rPr>
          <w:t>10.1002/anie.202525250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CH4）在温和条件下选择性氧化为增值氧化物（如甲醇、乙酸）仍然是催化领域的一个关键但艰巨的挑战。在此，我们设计了负载在沸石（MOR）纳米片上的钠修饰的金纳米颗粒，利用电子金属-支持相互作用动态调节活性位点的电子状态和局部微环境，以在CH4/CO/O2/H2O下实现定向C─H活化，温度为150°C。该催化剂对源自CH4的羟基化氧化物表现出接近100%的选择性，生产率达到2.02 mmol·gcat−1·h−1，优于大多数在相似条件下报道的催化剂。原位光谱研究和密度泛函理论（DFT）计算表明，钠诱导的电子调制创造了一个独特的Na-Auδ−界面结构，使金物种进入电子缺乏状态，从而将氧化物形成速率提高了一个数量级以上，相较于原始的Auδ−位点。Na-Auδ−界面通过加速反应增强了催化作用。</w:t>
      </w:r>
    </w:p>
    <w:p>
      <w:pPr>
        <w:spacing w:before="0" w:after="200" w:lineRule="auto" w:line="276"/>
      </w:pPr>
      <w:r>
        <w:rPr>
          <w:b/>
        </w:rPr>
        <w:t xml:space="preserve">Abstract (EN): </w:t>
      </w:r>
      <w:r>
        <w:t>The selective oxidation of methane (CH</w:t>
      </w:r>
      <w:r>
        <w:rPr>
          <w:vertAlign w:val="subscript"/>
        </w:rPr>
        <w:t>4</w:t>
      </w:r>
      <w:r>
        <w:t>) to value‐added oxygenates (e.g., methanol, acetic acid) under mild conditions remains a pivotal yet formidable challenge in catalysis. Herein, we design Na‐decorated Au nanoparticles supported on mordenite (MOR) nanosheets, which leverage electronic metal‐support interactions to dynamically tune the electronic state and local microenvironment of the active sites for directional C─H activation under CH</w:t>
      </w:r>
      <w:r>
        <w:rPr>
          <w:vertAlign w:val="subscript"/>
        </w:rPr>
        <w:t>4</w:t>
      </w:r>
      <w:r>
        <w:t>/CO/O</w:t>
      </w:r>
      <w:r>
        <w:rPr>
          <w:vertAlign w:val="subscript"/>
        </w:rPr>
        <w:t>2</w:t>
      </w:r>
      <w:r>
        <w:t>/H</w:t>
      </w:r>
      <w:r>
        <w:rPr>
          <w:vertAlign w:val="subscript"/>
        </w:rPr>
        <w:t>2</w:t>
      </w:r>
      <w:r>
        <w:t>O at 150° C. This catalyst affords near‐100% selectivity toward hydroxylated oxygenates derived from CH</w:t>
      </w:r>
      <w:r>
        <w:rPr>
          <w:vertAlign w:val="subscript"/>
        </w:rPr>
        <w:t>4</w:t>
      </w:r>
      <w:r>
        <w:t>with a remarkable productivity of 2.02 mmol·g</w:t>
      </w:r>
      <w:r>
        <w:t xml:space="preserve"> </w:t>
      </w:r>
      <w:r>
        <w:t>cat</w:t>
      </w:r>
      <w:r>
        <w:t xml:space="preserve"> </w:t>
      </w:r>
      <w:r>
        <w:t>−1</w:t>
      </w:r>
      <w:r>
        <w:t xml:space="preserve"> </w:t>
      </w:r>
      <w:r>
        <w:t>·h</w:t>
      </w:r>
      <w:r>
        <w:t xml:space="preserve"> </w:t>
      </w:r>
      <w:r>
        <w:t>−1</w:t>
      </w:r>
      <w:r>
        <w:t xml:space="preserve"> </w:t>
      </w:r>
      <w:r>
        <w:t>, outperforming most reported catalysts under comparable conditions. In situ spectroscopic studies and density functional theory (DFT) calculations reveal that Na‐induced electronic modulation creates a unique Na‐Au</w:t>
      </w:r>
      <w:r>
        <w:t xml:space="preserve"> </w:t>
      </w:r>
      <w:r>
        <w:t>δ</w:t>
      </w:r>
      <w:r>
        <w:t xml:space="preserve"> </w:t>
      </w:r>
      <w:r>
        <w:t>−</w:t>
      </w:r>
      <w:r>
        <w:t>interfacial structure, driving the Au species into an electron‐deficient state that boosts the oxygenate formation rate by more than an order of magnitude compared to the pristine Au</w:t>
      </w:r>
      <w:r>
        <w:t xml:space="preserve"> </w:t>
      </w:r>
      <w:r>
        <w:t>δ−</w:t>
      </w:r>
      <w:r>
        <w:t>sites. The Na‐Au</w:t>
      </w:r>
      <w:r>
        <w:t xml:space="preserve"> </w:t>
      </w:r>
      <w:r>
        <w:t>δ−</w:t>
      </w:r>
      <w:r>
        <w:t>interface enhances catalysis by enabling accelerated in ‐situ H</w:t>
      </w:r>
      <w:r>
        <w:rPr>
          <w:vertAlign w:val="subscript"/>
        </w:rPr>
        <w:t>2</w:t>
      </w:r>
      <w:r>
        <w:t>O</w:t>
      </w:r>
      <w:r>
        <w:rPr>
          <w:vertAlign w:val="subscript"/>
        </w:rPr>
        <w:t>2</w:t>
      </w:r>
      <w:r>
        <w:t>generation and concurrent C─H bond activation, while avoiding methanol overoxidation, thereby boosting overall catalytic performance. This work deciphers the dynamic role of in situ generated H</w:t>
      </w:r>
      <w:r>
        <w:rPr>
          <w:vertAlign w:val="subscript"/>
        </w:rPr>
        <w:t>2</w:t>
      </w:r>
      <w:r>
        <w:t>O</w:t>
      </w:r>
      <w:r>
        <w:rPr>
          <w:vertAlign w:val="subscript"/>
        </w:rPr>
        <w:t>2</w:t>
      </w:r>
      <w:r>
        <w:t>in methane activation under mild conditions, and establishes electronic microenvironment engineering as a powerful strategy for the selective and controllable oxidation valorization of methane.</w:t>
      </w:r>
    </w:p>
    <w:p>
      <w:pPr>
        <w:spacing w:before="120" w:after="120"/>
      </w:pPr>
      <w:r>
        <w:rPr>
          <w:sz w:val="18"/>
        </w:rPr>
        <w:t>——————————————————————————————————————————————————————————————————————</w:t>
      </w:r>
    </w:p>
    <w:p>
      <w:pPr>
        <w:spacing w:before="160" w:after="40" w:line="240" w:lineRule="auto"/>
      </w:pPr>
      <w:r>
        <w:rPr>
          <w:b/>
        </w:rPr>
        <w:t xml:space="preserve">[222] </w:t>
      </w:r>
      <w:hyperlink r:id="rId565">
        <w:r>
          <w:rPr>
            <w:color w:val="1155CC"/>
            <w:u w:val="single"/>
          </w:rPr>
          <w:t>通过氧化还原中性自由基交叉偶联实现对sp3富集靶向蛋白降解剂的获取</w:t>
        </w:r>
      </w:hyperlink>
    </w:p>
    <w:p>
      <w:pPr>
        <w:spacing w:before="0" w:after="80"/>
      </w:pPr>
      <w:r>
        <w:rPr>
          <w:i/>
          <w:sz w:val="20"/>
        </w:rPr>
        <w:t>EN: Enabling Access to sp3‐Enriched Targeted Protein Degraders via Redox‐Neutral Radical Cross‐Coupling</w:t>
      </w:r>
    </w:p>
    <w:p>
      <w:pPr>
        <w:spacing w:before="0" w:after="120"/>
      </w:pPr>
      <w:r>
        <w:rPr>
          <w:b/>
        </w:rPr>
        <w:t xml:space="preserve">Source: </w:t>
      </w:r>
      <w:r>
        <w:t>Wiley: Angewandte Chemie International Edition: Table of Contents</w:t>
      </w:r>
      <w:r>
        <w:t xml:space="preserve">    </w:t>
      </w:r>
      <w:r>
        <w:rPr>
          <w:b/>
        </w:rPr>
        <w:t xml:space="preserve">Pub date: </w:t>
      </w:r>
      <w:r>
        <w:t>2026-05-05 10:37:20+00:00</w:t>
      </w:r>
      <w:r>
        <w:t xml:space="preserve">    </w:t>
      </w:r>
      <w:r>
        <w:rPr>
          <w:b/>
        </w:rPr>
        <w:t xml:space="preserve">DOI: </w:t>
      </w:r>
      <w:hyperlink r:id="rId566">
        <w:r>
          <w:rPr>
            <w:color w:val="1155CC"/>
            <w:u w:val="single"/>
          </w:rPr>
          <w:t>10.1002/anie.3989307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Cullin-RING Ligase 4 Cereblon（CRL4CRBN）介导的通过cereblon（CRBN）E3连接酶调节药物（CELMoDs）或配体导向降解剂（LDDs）进行的靶向蛋白降解（TPD）代表了现代药物发现中的一种新模式。然而，这些降解剂的CRBN结合部分一直局限于传统的戊二酰亚胺骨架的平面、刚性结构。本研究提出了一种通过氧化还原中性交叉偶联/钯催化氢化序列合成C3(sp3)–C(sp3)连接的戊二酰亚胺的模块化路线。该两步方案操作简单，化学选择性强，对多种官能团具有广泛的耐受性。它提供了sp3丰富的三维骨架，进入了以前未开发的化学空间。所得的构建块可立即用于CELMoD和LDD领域，并为下一代TPD设计提供了一个多功能平台。初步研究表明，从C3(sp3)–C(sp3)连接的戊二酰亚胺衍生的BRD4靶向LDDs展示了CRBN依赖的BRD4降解，强调了它们的转化潜力。</w:t>
      </w:r>
    </w:p>
    <w:p>
      <w:pPr>
        <w:spacing w:before="0" w:after="200" w:lineRule="auto" w:line="276"/>
      </w:pPr>
      <w:r>
        <w:rPr>
          <w:b/>
        </w:rPr>
        <w:t xml:space="preserve">Abstract (EN): </w:t>
      </w:r>
      <w:r>
        <w:t>Cullin‐RING Ligase 4 Cereblon (CRL4</w:t>
      </w:r>
      <w:r>
        <w:t xml:space="preserve"> </w:t>
      </w:r>
      <w:r>
        <w:t>CRBN</w:t>
      </w:r>
      <w:r>
        <w:t xml:space="preserve"> </w:t>
      </w:r>
      <w:r>
        <w:t>)‐mediated targeted protein degradation (TPD) via cereblon (CRBN) E3 ligase modulatory drugs (CELMoDs) or ligand‐directed degraders (LDDs) represents a new modality in modern drug discovery. However, the CRBN‐binding portion of these degraders has been limited to flat, rigid architectures of conventional glutarimide scaffolds. This study presents a modular route to C3(sp</w:t>
      </w:r>
      <w:r>
        <w:rPr>
          <w:vertAlign w:val="subscript"/>
        </w:rPr>
        <w:t>3</w:t>
      </w:r>
      <w:r>
        <w:t>)–C(sp</w:t>
      </w:r>
      <w:r>
        <w:rPr>
          <w:vertAlign w:val="subscript"/>
        </w:rPr>
        <w:t>3</w:t>
      </w:r>
      <w:r>
        <w:t>) linked glutarimides via a redox‐neutral cross‐coupling/palladium‐catalyzed hydrogenation sequence. This two‐step protocol is operationally simple, chemoselective, and broadly tolerant of diverse functional groups. It delivers sp</w:t>
      </w:r>
      <w:r>
        <w:rPr>
          <w:vertAlign w:val="subscript"/>
        </w:rPr>
        <w:t>3</w:t>
      </w:r>
      <w:r>
        <w:t>‐rich, three‐dimensional scaffolds that access previously untapped chemical space. The resulting building blocks are ready for immediate use in the CELMoD and LDD arena and provide a versatile platform for next‐generation TPD design. Preliminary studies of BRD4‐targeting LDDs derived from C3(sp</w:t>
      </w:r>
      <w:r>
        <w:rPr>
          <w:vertAlign w:val="subscript"/>
        </w:rPr>
        <w:t>3</w:t>
      </w:r>
      <w:r>
        <w:t>)–C(sp</w:t>
      </w:r>
      <w:r>
        <w:rPr>
          <w:vertAlign w:val="subscript"/>
        </w:rPr>
        <w:t>3</w:t>
      </w:r>
      <w:r>
        <w:t>) linked glutarimides demonstrate CRBN‐dependent degradation of BRD4, underscoring their translational potential.</w:t>
      </w:r>
    </w:p>
    <w:p>
      <w:pPr>
        <w:spacing w:before="120" w:after="120"/>
      </w:pPr>
      <w:r>
        <w:rPr>
          <w:sz w:val="18"/>
        </w:rPr>
        <w:t>——————————————————————————————————————————————————————————————————————</w:t>
      </w:r>
    </w:p>
    <w:p>
      <w:pPr>
        <w:spacing w:before="160" w:after="40" w:line="240" w:lineRule="auto"/>
      </w:pPr>
      <w:r>
        <w:rPr>
          <w:b/>
        </w:rPr>
        <w:t xml:space="preserve">[223] </w:t>
      </w:r>
      <w:hyperlink r:id="rId567">
        <w:r>
          <w:rPr>
            <w:color w:val="1155CC"/>
            <w:u w:val="single"/>
          </w:rPr>
          <w:t>碳中心NHC衍生双自由基的主链工程：从电子态调谐到高性能有机场效应晶体管</w:t>
        </w:r>
      </w:hyperlink>
    </w:p>
    <w:p>
      <w:pPr>
        <w:spacing w:before="0" w:after="80"/>
      </w:pPr>
      <w:r>
        <w:rPr>
          <w:i/>
          <w:sz w:val="20"/>
        </w:rPr>
        <w:t>EN: Backbone Engineering of Carbon‐Centered NHC‐Derived Diradicals: From Electronic State Tuning to High‐Performance Organic Field‐Effect Transistors</w:t>
      </w:r>
    </w:p>
    <w:p>
      <w:pPr>
        <w:spacing w:before="0" w:after="120"/>
      </w:pPr>
      <w:r>
        <w:rPr>
          <w:b/>
        </w:rPr>
        <w:t xml:space="preserve">Source: </w:t>
      </w:r>
      <w:r>
        <w:t>Wiley: Advanced Materials: Table of Contents</w:t>
      </w:r>
      <w:r>
        <w:t xml:space="preserve">    </w:t>
      </w:r>
      <w:r>
        <w:rPr>
          <w:b/>
        </w:rPr>
        <w:t xml:space="preserve">Pub date: </w:t>
      </w:r>
      <w:r>
        <w:t>2026-05-05 10:38:05+00:00</w:t>
      </w:r>
      <w:r>
        <w:t xml:space="preserve">    </w:t>
      </w:r>
      <w:r>
        <w:rPr>
          <w:b/>
        </w:rPr>
        <w:t xml:space="preserve">DOI: </w:t>
      </w:r>
      <w:hyperlink r:id="rId568">
        <w:r>
          <w:rPr>
            <w:color w:val="1155CC"/>
            <w:u w:val="single"/>
          </w:rPr>
          <w:t>10.1002/adma.73264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自由基因其独特的电子特性和在有机电子学和半导体中的潜在应用而受到关注。然而，精确操控电子状态和实现令人满意的器件性能仍然具有挑战性。在此，我们报告了四苯乙烯桥接盐及其通过双电子还原获得的中性双自由基的合成和表征。通过扩展的共轭和电子吸引的N-杂环卡宾（NHC）骨架，观察到增强的开壳层特性。通过这项系统研究，建立了一种骨架工程策略，允许对碳中心NHC双自由基的自旋状态和双自由基特性进行精确控制。利用这一策略，化合物2d因扩展的共轭结构和强电子吸引基团引起的中等双自由基特性，被用于旋涂有机场效应晶体管（OFET）器件。该器件实现了4.53 cm2·V−1·s−1的创纪录高空穴迁移率，代表了高性能OFET中开壳层有机半导体的卓越性能。这不仅展示了2d的出色电荷传输能力，还强调了这种方法在开发功能性开壳层有机半导体方面的巨大潜力。</w:t>
      </w:r>
    </w:p>
    <w:p>
      <w:pPr>
        <w:spacing w:before="0" w:after="200" w:lineRule="auto" w:line="276"/>
      </w:pPr>
      <w:r>
        <w:rPr>
          <w:b/>
        </w:rPr>
        <w:t xml:space="preserve">Abstract (EN): </w:t>
      </w:r>
      <w:r>
        <w:t>Diradicals have gained interest for their unique electronic properties and potential applications in organic electronics and semiconductors. However, precise manipulation of electronic states and achieving satisfactory device performance remain challenging. Herein, we report the synthesis and characterization of tetraphenylethylene‐bridged salts and their neutral diradical counterparts obtained via two‐electron reduction. With extended conjugation and electron‐withdrawing N‐heterocyclic carbene (NHC) backbones, enhanced open‐shell character is observed. Through this systematic study, a backbone engineering strategy is established that allows precise control over spin states and diradical character in carbon‐centered NHC diradicals. Leveraging this strategy, compound</w:t>
      </w:r>
      <w:r>
        <w:t xml:space="preserve"> </w:t>
      </w:r>
      <w:r>
        <w:t>2d</w:t>
      </w:r>
      <w:r>
        <w:t xml:space="preserve"> </w:t>
      </w:r>
      <w:r>
        <w:t>, with moderate diradical character induced by extended conjugated structures and strong electron‐withdrawing groups, was employed in a spin‐coated organic field‐effect transistor (OFET) device. The device achieved a record‐high hole mobility of 4.53 cm</w:t>
      </w:r>
      <w:r>
        <w:rPr>
          <w:vertAlign w:val="subscript"/>
        </w:rPr>
        <w:t>2</w:t>
      </w:r>
      <w:r>
        <w:t>·V</w:t>
      </w:r>
      <w:r>
        <w:t xml:space="preserve"> </w:t>
      </w:r>
      <w:r>
        <w:t>−1</w:t>
      </w:r>
      <w:r>
        <w:t xml:space="preserve"> </w:t>
      </w:r>
      <w:r>
        <w:t>·s</w:t>
      </w:r>
      <w:r>
        <w:t xml:space="preserve"> </w:t>
      </w:r>
      <w:r>
        <w:t>−1</w:t>
      </w:r>
      <w:r>
        <w:t xml:space="preserve"> </w:t>
      </w:r>
      <w:r>
        <w:t>, representing exceptional performance among open‐shell organic semiconductors for high‐performance OFETs. This not only demonstrates the outstanding charge‐transport capability of</w:t>
      </w:r>
      <w:r>
        <w:t xml:space="preserve"> </w:t>
      </w:r>
      <w:r>
        <w:t>2d</w:t>
      </w:r>
      <w:r>
        <w:t xml:space="preserve"> </w:t>
      </w:r>
      <w:r>
        <w:t>but also underscores the significant potential of this approach for developing functional open‐shell organic semiconductors.</w:t>
      </w:r>
    </w:p>
    <w:p>
      <w:pPr>
        <w:spacing w:before="120" w:after="120"/>
      </w:pPr>
      <w:r>
        <w:rPr>
          <w:sz w:val="18"/>
        </w:rPr>
        <w:t>——————————————————————————————————————————————————————————————————————</w:t>
      </w:r>
    </w:p>
    <w:p>
      <w:pPr>
        <w:spacing w:before="160" w:after="40" w:line="240" w:lineRule="auto"/>
      </w:pPr>
      <w:r>
        <w:rPr>
          <w:b/>
        </w:rPr>
        <w:t xml:space="preserve">[224] </w:t>
      </w:r>
      <w:hyperlink r:id="rId569">
        <w:r>
          <w:rPr>
            <w:color w:val="1155CC"/>
            <w:u w:val="single"/>
          </w:rPr>
          <w:t>基质粘弹性调节树突状细胞迁移和免疫启动</w:t>
        </w:r>
      </w:hyperlink>
    </w:p>
    <w:p>
      <w:pPr>
        <w:spacing w:before="0" w:after="80"/>
      </w:pPr>
      <w:r>
        <w:rPr>
          <w:i/>
          <w:sz w:val="20"/>
        </w:rPr>
        <w:t>EN: Matrix Viscoelasticity Regulates Dendritic Cell Migration and Immune Priming</w:t>
      </w:r>
    </w:p>
    <w:p>
      <w:pPr>
        <w:spacing w:before="0" w:after="120"/>
      </w:pPr>
      <w:r>
        <w:rPr>
          <w:b/>
        </w:rPr>
        <w:t xml:space="preserve">Source: </w:t>
      </w:r>
      <w:r>
        <w:t>Wiley: Advanced Materials: Table of Contents</w:t>
      </w:r>
      <w:r>
        <w:t xml:space="preserve">    </w:t>
      </w:r>
      <w:r>
        <w:rPr>
          <w:b/>
        </w:rPr>
        <w:t xml:space="preserve">Pub date: </w:t>
      </w:r>
      <w:r>
        <w:t>2026-05-05 10:38:56+00:00</w:t>
      </w:r>
      <w:r>
        <w:t xml:space="preserve">    </w:t>
      </w:r>
      <w:r>
        <w:rPr>
          <w:b/>
        </w:rPr>
        <w:t xml:space="preserve">DOI: </w:t>
      </w:r>
      <w:hyperlink r:id="rId570">
        <w:r>
          <w:rPr>
            <w:color w:val="1155CC"/>
            <w:u w:val="single"/>
          </w:rPr>
          <w:t>10.1002/adma.202523274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肿瘤微环境通过其机械特性塑造免疫监视，但基质粘弹性的作用尚不清楚。在此，我们使用可调节的胶原系统模拟人类组织粘弹性，以定义基质松弛如何指导树突状细胞（DC）的行为。缓慢松弛的弹性网络限制了肌动蛋白-肌球蛋白驱动的重塑，限制了DC的运动性，减少了DC-T细胞的相遇和激活。在快速松弛的基质中阻止DC迁移，重现了在弹性网络中观察到的受损T细胞启动的关键方面，确定迁移是免疫激活的机械检查点。在弹性基质中长期限制诱导了一种机械记忆状态，将DC锁定在运动性降低和染色质可及性改变的状态。使用患者衍生的室管膜瘤样本的研究证实了这些发现，确立了粘弹性松弛作为免疫启动的关键物理调节器。总之，这种可调节的粘弹性平台提供了一个定义明确的、与人类相关的模型，用于解剖和模拟免疫的机械控制，以进行治疗设计。</w:t>
      </w:r>
    </w:p>
    <w:p>
      <w:pPr>
        <w:spacing w:before="0" w:after="200" w:lineRule="auto" w:line="276"/>
      </w:pPr>
      <w:r>
        <w:rPr>
          <w:b/>
        </w:rPr>
        <w:t xml:space="preserve">Abstract (EN): </w:t>
      </w:r>
      <w:r>
        <w:t>The tumor microenvironment shapes immune surveillance through its mechanical properties, yet the role of matrix viscoelasticity remains unclear. Here, we used a tunable collagen system that models human tissue viscoelasticity to define how matrix relaxation directs dendritic cell (DC) behavior. Slow‐relaxing, elastic networks restrict actomyosin‐driven remodeling, limiting DC motility and reducing DC‐T cell encounters and activation. Blocking DC migration in fast‐relaxing matrices recapitulated key aspects of the impaired T cell priming seen in elastic networks, identifying migration as a mechanical checkpoint for immune activation. Prolonged confinement in elastic matrices induced a mechanomemory state, locking DCs into a state of reduced motility and altered chromatin accessibility. Studies using patient‐derived ependymoma samples confirmed these findings, establishing viscoelastic relaxation as a key physical regulator of immune priming. Together, this tunable viscoelastic platform provides a defined, human‐relevant model to dissect and model mechanical control of immunity for therapeutic design.</w:t>
      </w:r>
    </w:p>
    <w:p>
      <w:pPr>
        <w:spacing w:before="120" w:after="120"/>
      </w:pPr>
      <w:r>
        <w:rPr>
          <w:sz w:val="18"/>
        </w:rPr>
        <w:t>——————————————————————————————————————————————————————————————————————</w:t>
      </w:r>
    </w:p>
    <w:p>
      <w:pPr>
        <w:spacing w:before="160" w:after="40" w:line="240" w:lineRule="auto"/>
      </w:pPr>
      <w:r>
        <w:rPr>
          <w:b/>
        </w:rPr>
        <w:t xml:space="preserve">[225] </w:t>
      </w:r>
      <w:hyperlink r:id="rId571">
        <w:r>
          <w:rPr>
            <w:color w:val="1155CC"/>
            <w:u w:val="single"/>
          </w:rPr>
          <w:t>盐模板结晶产生定向互连大孔聚合物凝胶，用于超快速和高容量的大气水收集</w:t>
        </w:r>
      </w:hyperlink>
    </w:p>
    <w:p>
      <w:pPr>
        <w:spacing w:before="0" w:after="80"/>
      </w:pPr>
      <w:r>
        <w:rPr>
          <w:i/>
          <w:sz w:val="20"/>
        </w:rPr>
        <w:t>EN: Salt‐Templated Crystallization Yields Oriented Interconnected Macroporous Polymer Gels for Ultrafast and High‐Capacity Atmospheric Water Harvesting</w:t>
      </w:r>
    </w:p>
    <w:p>
      <w:pPr>
        <w:spacing w:before="0" w:after="120"/>
      </w:pPr>
      <w:r>
        <w:rPr>
          <w:b/>
        </w:rPr>
        <w:t xml:space="preserve">Source: </w:t>
      </w:r>
      <w:r>
        <w:t>Wiley: Advanced Materials: Table of Contents</w:t>
      </w:r>
      <w:r>
        <w:t xml:space="preserve">    </w:t>
      </w:r>
      <w:r>
        <w:rPr>
          <w:b/>
        </w:rPr>
        <w:t xml:space="preserve">Pub date: </w:t>
      </w:r>
      <w:r>
        <w:t>2026-05-05 10:40:11+00:00</w:t>
      </w:r>
      <w:r>
        <w:t xml:space="preserve">    </w:t>
      </w:r>
      <w:r>
        <w:rPr>
          <w:b/>
        </w:rPr>
        <w:t xml:space="preserve">DOI: </w:t>
      </w:r>
      <w:hyperlink r:id="rId572">
        <w:r>
          <w:rPr>
            <w:color w:val="1155CC"/>
            <w:u w:val="single"/>
          </w:rPr>
          <w:t>10.1002/adma.73291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吸附的空气水收集（SAWH）是一种有前途的淡水生产策略。虽然基于盐的复合材料被广泛用作SAWH吸附剂，但由于扩散障碍，它们通常受到低吸附容量和缓慢的吸附/解吸动力学的限制。在此，提出了一种新策略，通过盐模板结晶诱导的受限聚合制备定向互连的大孔聚合物凝胶，以增强水分传输和存储空间。得益于这种优化的互连分层结构以及PAMPS和LiCl之间的协同效应，盐模板结晶凝胶（STC/TiN-gel@LiCl）表现出创纪录的水分吸收量7.19 g g−1，超快的吸附动力学1.96 g g−1 h−1，以及在1.0太阳光照下每小时96.8%的快速解吸率。在高湿度条件下（25°C，90% RH）经过20个循环后，凝胶保持其初始吸水能力的90.4%以上而无泄漏，证实了其长期耐久性。此外，即使在低温和中等湿度条件下（14.5°C，55.6% RH），它也能提供3.29 kg kg−1 day−1的出色水生产率。这项工作开创了</w:t>
      </w:r>
    </w:p>
    <w:p>
      <w:pPr>
        <w:spacing w:before="0" w:after="200" w:lineRule="auto" w:line="276"/>
      </w:pPr>
      <w:r>
        <w:rPr>
          <w:b/>
        </w:rPr>
        <w:t xml:space="preserve">Abstract (EN): </w:t>
      </w:r>
      <w:r>
        <w:t>Sorption‐based atmospheric water harvesting (SAWH) is a promising strategy for freshwater production. While salt‐based composites are widely employed as SAWH sorbents, they are often constrained by limited water yield from low sorption capacity and slow sorption/desorption kinetics due to diffusion barriers. Here, a new strategy is proposed to enhance moisture transport and storage space by fabricating oriented interconnected macroporous polymer gels via salt‐templated crystallization‐induced confined polymerization. Benefiting from this optimized interconnected hierarchical structure and the synergistic effect between PAMPS and LiCl, the salt‐templated crystallization gel (STC/TiN‐gel@LiCl) exhibits a record‐breaking moisture uptake of 7.19 g g</w:t>
      </w:r>
      <w:r>
        <w:t xml:space="preserve"> </w:t>
      </w:r>
      <w:r>
        <w:t>−</w:t>
      </w:r>
      <w:r>
        <w:rPr>
          <w:vertAlign w:val="subscript"/>
        </w:rPr>
        <w:t>1</w:t>
      </w:r>
      <w:r>
        <w:t>, ultrafast sorption kinetics of 1.96 g g</w:t>
      </w:r>
      <w:r>
        <w:t xml:space="preserve"> </w:t>
      </w:r>
      <w:r>
        <w:t>−</w:t>
      </w:r>
      <w:r>
        <w:rPr>
          <w:vertAlign w:val="subscript"/>
        </w:rPr>
        <w:t>1</w:t>
      </w:r>
      <w:r>
        <w:t>h</w:t>
      </w:r>
      <w:r>
        <w:t xml:space="preserve"> </w:t>
      </w:r>
      <w:r>
        <w:t>−</w:t>
      </w:r>
      <w:r>
        <w:rPr>
          <w:vertAlign w:val="subscript"/>
        </w:rPr>
        <w:t>1</w:t>
      </w:r>
      <w:r>
        <w:t>, and rapid desorption rate of 96.8% per hour under 1.0 sun illumination. After 20 cycles under high‐humidity conditions (25°C, 90% RH), the gel retains over 90.4% of its initial water uptake capacity without leakage, confirming its long‐term durability. Moreover, it delivers an outstanding water production rate of 3.29 kg kg</w:t>
      </w:r>
      <w:r>
        <w:t xml:space="preserve"> </w:t>
      </w:r>
      <w:r>
        <w:t>−</w:t>
      </w:r>
      <w:r>
        <w:rPr>
          <w:vertAlign w:val="subscript"/>
        </w:rPr>
        <w:t>1</w:t>
      </w:r>
      <w:r>
        <w:t>day</w:t>
      </w:r>
      <w:r>
        <w:t xml:space="preserve"> </w:t>
      </w:r>
      <w:r>
        <w:t>−</w:t>
      </w:r>
      <w:r>
        <w:rPr>
          <w:vertAlign w:val="subscript"/>
        </w:rPr>
        <w:t>1</w:t>
      </w:r>
      <w:r>
        <w:t>even under low‐temperature and moderate humidity conditions (14.5°C, 55.6% RH). This work pioneers an oriented interconnected macroporous architecture engineering strategy to concurrently unlock rapid transport and high‐capacity storage in hygroscopic gels, establishing a new paradigm for atmospheric water harvesting.</w:t>
      </w:r>
    </w:p>
    <w:p>
      <w:pPr>
        <w:spacing w:before="120" w:after="120"/>
      </w:pPr>
      <w:r>
        <w:rPr>
          <w:sz w:val="18"/>
        </w:rPr>
        <w:t>——————————————————————————————————————————————————————————————————————</w:t>
      </w:r>
    </w:p>
    <w:p>
      <w:pPr>
        <w:spacing w:before="160" w:after="40" w:line="240" w:lineRule="auto"/>
      </w:pPr>
      <w:r>
        <w:rPr>
          <w:b/>
        </w:rPr>
        <w:t xml:space="preserve">[226] </w:t>
      </w:r>
      <w:hyperlink r:id="rId573">
        <w:r>
          <w:rPr>
            <w:color w:val="1155CC"/>
            <w:u w:val="single"/>
          </w:rPr>
          <w:t>在纳米级共价有机框架中协同质量传递和激子解离以实现高效H2O2光合成</w:t>
        </w:r>
      </w:hyperlink>
    </w:p>
    <w:p>
      <w:pPr>
        <w:spacing w:before="0" w:after="80"/>
      </w:pPr>
      <w:r>
        <w:rPr>
          <w:i/>
          <w:sz w:val="20"/>
        </w:rPr>
        <w:t>EN: Synergizing Mass Transfer and Exciton Dissociation in Nanoscale COFs for Efficient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2026-05-05 10:42:42+00:00</w:t>
      </w:r>
      <w:r>
        <w:t xml:space="preserve">    </w:t>
      </w:r>
      <w:r>
        <w:rPr>
          <w:b/>
        </w:rPr>
        <w:t xml:space="preserve">DOI: </w:t>
      </w:r>
      <w:hyperlink r:id="rId574">
        <w:r>
          <w:rPr>
            <w:color w:val="1155CC"/>
            <w:u w:val="single"/>
          </w:rPr>
          <w:t>10.1002/anie.6474422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共价有机框架（COFs）是太阳能H2O2生产的有前途的光催化剂，但其效率仍不足以实际应用。主要限制来自于两电子氧还原反应（2e− ORR）中的耦合质子-电子转移，这需要光诱导的电荷生成和快速质子传递——这些特征在现有COF结构中很少同时优化。在此，我们通过结合纳米级形态控制和孔壁功能化来解决这些瓶颈。自下而上的胶体合成产生高度结晶的COF纳米球，与块状COF相比，减少了激子扩散损失并增强了光收集和电荷生成。同时，羧酸基团被引入到一维纳米孔中，以调节微环境以促进质子传递。这种统一设计提供了11246 µmol g−1 h−1的卓越H2O2演化速率（比原始块状COF提高了七倍以上），以及在空气中纯水下的2.18%的太阳能到化学能转换效率（AM 1.5G，100 mW cm−2），是COF基光催化剂中报告的最高之一。实验研究和理论计算揭示了羧化</w:t>
      </w:r>
    </w:p>
    <w:p>
      <w:pPr>
        <w:spacing w:before="0" w:after="200" w:lineRule="auto" w:line="276"/>
      </w:pPr>
      <w:r>
        <w:rPr>
          <w:b/>
        </w:rPr>
        <w:t xml:space="preserve">Abstract (EN): </w:t>
      </w:r>
      <w:r>
        <w:t>Covalent organic frameworks (COFs) are promising photocatalysts for solar H</w:t>
      </w:r>
      <w:r>
        <w:rPr>
          <w:vertAlign w:val="subscript"/>
        </w:rPr>
        <w:t>2</w:t>
      </w:r>
      <w:r>
        <w:t>O</w:t>
      </w:r>
      <w:r>
        <w:rPr>
          <w:vertAlign w:val="subscript"/>
        </w:rPr>
        <w:t>2</w:t>
      </w:r>
      <w:r>
        <w:t>production, but their efficiencies remain insufficient for practical application. A primary limitation stems from the coupled proton–electron transfer in the two‐electron oxygen reduction reaction (2e</w:t>
      </w:r>
      <w:r>
        <w:t xml:space="preserve"> </w:t>
      </w:r>
      <w:r>
        <w:t>−</w:t>
      </w:r>
      <w:r>
        <w:t>ORR), which demands photoinduced charge generation and rapid proton delivery—features rarely optimized simultaneously in existing COF architectures. Here we address these bottlenecks by combining nanoscale morphological control with pore‐wall functionalization. Bottom‐up colloidal synthesis produces highly crystalline COF nanospheres that reduce exciton‐diffusion losses and enhance light harvesting and charge generation versus bulk COFs. Meanwhile, carboxylic acid groups incorporated into 1D nanopores tune the microenvironment to promote proton delivery. This unified design delivers an exceptional H</w:t>
      </w:r>
      <w:r>
        <w:rPr>
          <w:vertAlign w:val="subscript"/>
        </w:rPr>
        <w:t>2</w:t>
      </w:r>
      <w:r>
        <w:t>O</w:t>
      </w:r>
      <w:r>
        <w:rPr>
          <w:vertAlign w:val="subscript"/>
        </w:rPr>
        <w:t>2</w:t>
      </w:r>
      <w:r>
        <w:t>evolution rate of 11246 µmol g</w:t>
      </w:r>
      <w:r>
        <w:t xml:space="preserve"> </w:t>
      </w:r>
      <w:r>
        <w:t>−1</w:t>
      </w:r>
      <w:r>
        <w:t xml:space="preserve"> </w:t>
      </w:r>
      <w:r>
        <w:t>h</w:t>
      </w:r>
      <w:r>
        <w:t xml:space="preserve"> </w:t>
      </w:r>
      <w:r>
        <w:t>−1</w:t>
      </w:r>
      <w:r>
        <w:t xml:space="preserve"> </w:t>
      </w:r>
      <w:r>
        <w:t>(&amp;gt;sevenfold enhancement over pristine bulk COF), and a solar‐to‐chemical conversion efficiency of 2.18% in pure water under air (AM 1.5G, 100 mW cm</w:t>
      </w:r>
      <w:r>
        <w:t xml:space="preserve"> </w:t>
      </w:r>
      <w:r>
        <w:t>−2</w:t>
      </w:r>
      <w:r>
        <w:t xml:space="preserve"> </w:t>
      </w:r>
      <w:r>
        <w:t>), among the highest reported for COF‐based photocatalysts. Experimental investigations and theoretical calculations reveal the carboxylated pore walls template continuous, oriented hydrogen‐bond chains in confined water, lowering the kinetic barrier for the 2e</w:t>
      </w:r>
      <w:r>
        <w:t xml:space="preserve"> </w:t>
      </w:r>
      <w:r>
        <w:t>−</w:t>
      </w:r>
      <w:r>
        <w:t>ORR pathway. This work establishes a generalizable paradigm for orchestrating coupled proton–electron transfer in porous photocatalysts for efficient solar energy conversion.</w:t>
      </w:r>
    </w:p>
    <w:p>
      <w:pPr>
        <w:spacing w:before="120" w:after="120"/>
      </w:pPr>
      <w:r>
        <w:rPr>
          <w:sz w:val="18"/>
        </w:rPr>
        <w:t>——————————————————————————————————————————————————————————————————————</w:t>
      </w:r>
    </w:p>
    <w:p>
      <w:pPr>
        <w:spacing w:before="160" w:after="40" w:line="240" w:lineRule="auto"/>
      </w:pPr>
      <w:r>
        <w:rPr>
          <w:b/>
        </w:rPr>
        <w:t xml:space="preserve">[227] </w:t>
      </w:r>
      <w:hyperlink r:id="rId575">
        <w:r>
          <w:rPr>
            <w:color w:val="1155CC"/>
            <w:u w:val="single"/>
          </w:rPr>
          <w:t>硼锁定的二氮八边形策略用于构建多共振发射体，实现高效低效率滚降的抗淬灭窄带OLEDs</w:t>
        </w:r>
      </w:hyperlink>
    </w:p>
    <w:p>
      <w:pPr>
        <w:spacing w:before="0" w:after="80"/>
      </w:pPr>
      <w:r>
        <w:rPr>
          <w:i/>
          <w:sz w:val="20"/>
        </w:rPr>
        <w:t>EN: Boron‐Locked Diaza‐Octagon Strategy for Constructing Multi‐Resonance Emitters Enabling Anti‐Quenching Narrowband OLEDs With High Efficiency and Low Efficiency Roll‐Off</w:t>
      </w:r>
    </w:p>
    <w:p>
      <w:pPr>
        <w:spacing w:before="0" w:after="120"/>
      </w:pPr>
      <w:r>
        <w:rPr>
          <w:b/>
        </w:rPr>
        <w:t xml:space="preserve">Source: </w:t>
      </w:r>
      <w:r>
        <w:t>Wiley: Angewandte Chemie International Edition: Table of Contents</w:t>
      </w:r>
      <w:r>
        <w:t xml:space="preserve">    </w:t>
      </w:r>
      <w:r>
        <w:rPr>
          <w:b/>
        </w:rPr>
        <w:t xml:space="preserve">Pub date: </w:t>
      </w:r>
      <w:r>
        <w:t>2026-05-05 10:42:54+00:00</w:t>
      </w:r>
      <w:r>
        <w:t xml:space="preserve">    </w:t>
      </w:r>
      <w:r>
        <w:rPr>
          <w:b/>
        </w:rPr>
        <w:t xml:space="preserve">DOI: </w:t>
      </w:r>
      <w:hyperlink r:id="rId576">
        <w:r>
          <w:rPr>
            <w:color w:val="1155CC"/>
            <w:u w:val="single"/>
          </w:rPr>
          <w:t>10.1002/anie.3011418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多共振（MR）发射体以同时实现高外部量子效率（EQE）、低效率滚降以及抑制聚集引起的猝灭和光谱展宽，对于推进窄带有机发光二极管至关重要且具有挑战性。在此，基于含有二氮八边形发光核心（8NN）通过引入多个硼/氮（B/N）单元，开发了两种发射体8NN-1B和8NN-2B。基于8NN基质固有的MR特性和鞍形构型，硼锁定衍生物表现出显著增强的MR效应以及诱导聚集发光和聚集窄化发光特性。通过合理调节电子效应，其单重态-三重态能量分裂值显著降低，而二氮八边形杂环的空间扭曲构型增强了自旋-轨道耦合。因此，8NN-2B的反向系间交叉速率提高到7.7 × 10^5 s^−1，其无敏化剂器件在1000 cd m^−2亮度下实现了32.20%的高最大EQE，几乎没有效率滚降。值得注意的是，由于8NN基质抑制的分子堆积，即使在10 wt%的高掺杂浓度下，这种高效率也能很好地保持。这些结果突出了利用互补</w:t>
      </w:r>
    </w:p>
    <w:p>
      <w:pPr>
        <w:spacing w:before="0" w:after="200" w:lineRule="auto" w:line="276"/>
      </w:pPr>
      <w:r>
        <w:rPr>
          <w:b/>
        </w:rPr>
        <w:t xml:space="preserve">Abstract (EN): </w:t>
      </w:r>
      <w:r>
        <w:t>Developing multi‐resonance (MR) emitters to simultaneously achieve high external quantum efficiency (EQE), low efficiency roll‐off, and suppressed aggregation‐caused quenching and spectral broadening is critically important and challenging for advancing narrowband organic light‐emitting diodes. Herein, two emitters, 8NN‐1B and 8NN‐2B, are developed based on diaza‐octagon–containing emitting core (8NN) through the incorporation of multiple boron/nitrogen (B/N) units. Building upon the inherent MR characteristics and saddle‐shaped configuration of the 8NN matrix, the boron‐locked derivatives exhibit a markedly enhanced MR effect along with attractive aggregation‐induced emission and aggregation‐narrowed emission properties. Through rational regulation of electronic effects, their singlet‐triplet energy splitting values are significantly reduced, while the spatially twisted conformation for the diaza‐octagon heterocycle enhances spin–orbit coupling. Consequently, the reverse intersystem crossing rate in 8NN‐2B is boosted up to 7.7 × 10</w:t>
      </w:r>
      <w:r>
        <w:rPr>
          <w:vertAlign w:val="subscript"/>
        </w:rPr>
        <w:t>5</w:t>
      </w:r>
      <w:r>
        <w:t>s</w:t>
      </w:r>
      <w:r>
        <w:t xml:space="preserve"> </w:t>
      </w:r>
      <w:r>
        <w:t>−1</w:t>
      </w:r>
      <w:r>
        <w:t xml:space="preserve"> </w:t>
      </w:r>
      <w:r>
        <w:t>, and its sensitizer‐free device achieves a high maximum EQE of 32.20% with negligible efficiency roll‐off at 1000 cd m</w:t>
      </w:r>
      <w:r>
        <w:t xml:space="preserve"> </w:t>
      </w:r>
      <w:r>
        <w:t>−2</w:t>
      </w:r>
      <w:r>
        <w:t xml:space="preserve"> </w:t>
      </w:r>
      <w:r>
        <w:t>luminance. Notably, such high efficiency is well maintained even at a high doping concentration of 10 wt%, owing to suppressed molecular packing induced by the 8NN matrix. These results highlight a mutual modification strategy that exploits the complementary strengths of the diaza‐octagon core and BN framework for high‐performance narrowband emitters.</w:t>
      </w:r>
    </w:p>
    <w:p>
      <w:pPr>
        <w:spacing w:before="120" w:after="120"/>
      </w:pPr>
      <w:r>
        <w:rPr>
          <w:sz w:val="18"/>
        </w:rPr>
        <w:t>——————————————————————————————————————————————————————————————————————</w:t>
      </w:r>
    </w:p>
    <w:p>
      <w:pPr>
        <w:spacing w:before="160" w:after="40" w:line="240" w:lineRule="auto"/>
      </w:pPr>
      <w:r>
        <w:rPr>
          <w:b/>
        </w:rPr>
        <w:t xml:space="preserve">[228] </w:t>
      </w:r>
      <w:hyperlink r:id="rId577">
        <w:r>
          <w:rPr>
            <w:color w:val="1155CC"/>
            <w:u w:val="single"/>
          </w:rPr>
          <w:t>通过碱金属阳离子引导中间体耦合以实现高效硝酸盐电还原为氨</w:t>
        </w:r>
      </w:hyperlink>
    </w:p>
    <w:p>
      <w:pPr>
        <w:spacing w:before="0" w:after="80"/>
      </w:pPr>
      <w:r>
        <w:rPr>
          <w:i/>
          <w:sz w:val="20"/>
        </w:rPr>
        <w:t>EN: Steering Intermediate Coupling by Alkali‐Metal Cations for Efficient Nitrate Electroreduction to Ammonia</w:t>
      </w:r>
    </w:p>
    <w:p>
      <w:pPr>
        <w:spacing w:before="0" w:after="120"/>
      </w:pPr>
      <w:r>
        <w:rPr>
          <w:b/>
        </w:rPr>
        <w:t xml:space="preserve">Source: </w:t>
      </w:r>
      <w:r>
        <w:t>Wiley: Angewandte Chemie International Edition: Table of Contents</w:t>
      </w:r>
      <w:r>
        <w:t xml:space="preserve">    </w:t>
      </w:r>
      <w:r>
        <w:rPr>
          <w:b/>
        </w:rPr>
        <w:t xml:space="preserve">Pub date: </w:t>
      </w:r>
      <w:r>
        <w:t>2026-05-05 10:42:56+00:00</w:t>
      </w:r>
      <w:r>
        <w:t xml:space="preserve">    </w:t>
      </w:r>
      <w:r>
        <w:rPr>
          <w:b/>
        </w:rPr>
        <w:t xml:space="preserve">DOI: </w:t>
      </w:r>
      <w:hyperlink r:id="rId578">
        <w:r>
          <w:rPr>
            <w:color w:val="1155CC"/>
            <w:u w:val="single"/>
          </w:rPr>
          <w:t>10.1002/anie.3670039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还原反应（eNO3−RR）为氨合成和硝酸盐废水修复提供了一条可持续的途径，但其效率受到多步转化过程缓慢动力学的根本限制。在此，我们阐明了碱金属阳离子如何调节界面微环境以提升eNO3−RR的氨生产性能。使用翼状碳同轴纳米电缆作为模型催化剂，在所研究的碱金属阳离子中，Cs+增强了局部电场，从而加强了*NOx中间体的吸附，而Li+更有效地促进了界面水的重组以促进吸附氢原子（*H）的形成。关键是，Na+在这两个互补过程之间实现了最有利的平衡，从而在整个硝酸盐还原路径中实现了*NOx中间体和*H之间的高效耦合。这种平衡的相互作用在Na+中提供了94.9 g h−1 gcat.−1的NH3产率</w:t>
      </w:r>
    </w:p>
    <w:p>
      <w:pPr>
        <w:spacing w:before="0" w:after="200" w:lineRule="auto" w:line="276"/>
      </w:pPr>
      <w:r>
        <w:rPr>
          <w:b/>
        </w:rPr>
        <w:t xml:space="preserve">Abstract (EN): </w:t>
      </w:r>
      <w:r>
        <w:t>The electrocatalytic nitrate reduction reaction (eNO</w:t>
      </w:r>
      <w:r>
        <w:rPr>
          <w:vertAlign w:val="subscript"/>
        </w:rPr>
        <w:t>3</w:t>
      </w:r>
      <w:r>
        <w:t>−</w:t>
      </w:r>
      <w:r>
        <w:t>RR) provides a sustainable pathway for ammonia synthesis and nitrate wastewater remediation, yet its efficiency is fundamentally limited by the sluggish kinetics of the multistep conversion process. Herein, we elucidate how alkali‐metal cations regulate the interfacial microenvironment to boost the ammonia production performance of eNO</w:t>
      </w:r>
      <w:r>
        <w:rPr>
          <w:vertAlign w:val="subscript"/>
        </w:rPr>
        <w:t>3</w:t>
      </w:r>
      <w:r>
        <w:t>−</w:t>
      </w:r>
      <w:r>
        <w:t>RR. Using winged carbon coaxial nanocables as model catalysts, among the alkali‐metal cations investigated, Cs</w:t>
      </w:r>
      <w:r>
        <w:t xml:space="preserve"> </w:t>
      </w:r>
      <w:r>
        <w:t>+</w:t>
      </w:r>
      <w:r>
        <w:t xml:space="preserve"> </w:t>
      </w:r>
      <w:r>
        <w:t>enhances the local electric field that strengthens the adsorption of *NO</w:t>
      </w:r>
      <w:r>
        <w:t xml:space="preserve"> </w:t>
      </w:r>
      <w:r>
        <w:t>x</w:t>
      </w:r>
      <w:r>
        <w:t xml:space="preserve"> </w:t>
      </w:r>
      <w:r>
        <w:t>intermediates, whereas Li</w:t>
      </w:r>
      <w:r>
        <w:t xml:space="preserve"> </w:t>
      </w:r>
      <w:r>
        <w:t>+</w:t>
      </w:r>
      <w:r>
        <w:t xml:space="preserve"> </w:t>
      </w:r>
      <w:r>
        <w:t>more effectively promotes the interfacial water reorganization to facilitate adsorbed hydrogen atom (</w:t>
      </w:r>
      <w:r>
        <w:t xml:space="preserve"> </w:t>
      </w:r>
      <w:r>
        <w:t>*</w:t>
      </w:r>
      <w:r>
        <w:t xml:space="preserve"> </w:t>
      </w:r>
      <w:r>
        <w:t>H) formation. Crucially, Na</w:t>
      </w:r>
      <w:r>
        <w:t xml:space="preserve"> </w:t>
      </w:r>
      <w:r>
        <w:t>+</w:t>
      </w:r>
      <w:r>
        <w:t xml:space="preserve"> </w:t>
      </w:r>
      <w:r>
        <w:t>achieves the most favorable balance between these two complementary processes, thereby enabling efficient coupling between *NO</w:t>
      </w:r>
      <w:r>
        <w:t xml:space="preserve"> </w:t>
      </w:r>
      <w:r>
        <w:t>x</w:t>
      </w:r>
      <w:r>
        <w:t xml:space="preserve"> </w:t>
      </w:r>
      <w:r>
        <w:t>intermediates and *H throughout the nitrate reduction pathway. This balanced interplay delivers an NH</w:t>
      </w:r>
      <w:r>
        <w:rPr>
          <w:vertAlign w:val="subscript"/>
        </w:rPr>
        <w:t>3</w:t>
      </w:r>
      <w:r>
        <w:t>yield rate of 94.9 g h</w:t>
      </w:r>
      <w:r>
        <w:t xml:space="preserve"> </w:t>
      </w:r>
      <w:r>
        <w:t>−1</w:t>
      </w:r>
      <w:r>
        <w:t xml:space="preserve"> </w:t>
      </w:r>
      <w:r>
        <w:t>g</w:t>
      </w:r>
      <w:r>
        <w:t xml:space="preserve"> </w:t>
      </w:r>
      <w:r>
        <w:t>cat.</w:t>
      </w:r>
      <w:r>
        <w:t xml:space="preserve"> </w:t>
      </w:r>
      <w:r>
        <w:t>−1</w:t>
      </w:r>
      <w:r>
        <w:t xml:space="preserve"> </w:t>
      </w:r>
      <w:r>
        <w:t>in a Na</w:t>
      </w:r>
      <w:r>
        <w:t xml:space="preserve"> </w:t>
      </w:r>
      <w:r>
        <w:t>+</w:t>
      </w:r>
      <w:r>
        <w:t xml:space="preserve"> </w:t>
      </w:r>
      <w:r>
        <w:t>‐mediated neutral electrolyte. The strategy exhibits broad applicability across diverse electrolytes and catalyst systems, offering a general design principle for steering complex hydrogenation‐related catalytic transformations via rational electrolyte engineering.</w:t>
      </w:r>
    </w:p>
    <w:p>
      <w:pPr>
        <w:spacing w:before="120" w:after="120"/>
      </w:pPr>
      <w:r>
        <w:rPr>
          <w:sz w:val="18"/>
        </w:rPr>
        <w:t>——————————————————————————————————————————————————————————————————————</w:t>
      </w:r>
    </w:p>
    <w:p>
      <w:pPr>
        <w:spacing w:before="160" w:after="40" w:line="240" w:lineRule="auto"/>
      </w:pPr>
      <w:r>
        <w:rPr>
          <w:b/>
        </w:rPr>
        <w:t xml:space="preserve">[229] </w:t>
      </w:r>
      <w:hyperlink r:id="rId579">
        <w:r>
          <w:rPr>
            <w:color w:val="1155CC"/>
            <w:u w:val="single"/>
          </w:rPr>
          <w:t>纳米材料的相工程（PEN）：演变、当前挑战和未来机遇</w:t>
        </w:r>
      </w:hyperlink>
    </w:p>
    <w:p>
      <w:pPr>
        <w:spacing w:before="0" w:after="80"/>
      </w:pPr>
      <w:r>
        <w:rPr>
          <w:i/>
          <w:sz w:val="20"/>
        </w:rPr>
        <w:t>EN: Phase Engineering of Nanomaterials (PEN): Evolution, Current Challenges, and Future Opportunities</w:t>
      </w:r>
    </w:p>
    <w:p>
      <w:pPr>
        <w:spacing w:before="0" w:after="120"/>
      </w:pPr>
      <w:r>
        <w:rPr>
          <w:b/>
        </w:rPr>
        <w:t xml:space="preserve">Source: </w:t>
      </w:r>
      <w:r>
        <w:t>Wiley: Advanced Materials: Table of Contents</w:t>
      </w:r>
      <w:r>
        <w:t xml:space="preserve">    </w:t>
      </w:r>
      <w:r>
        <w:rPr>
          <w:b/>
        </w:rPr>
        <w:t xml:space="preserve">Pub date: </w:t>
      </w:r>
      <w:r>
        <w:t>2026-05-05 10:43:14+00:00</w:t>
      </w:r>
      <w:r>
        <w:t xml:space="preserve">    </w:t>
      </w:r>
      <w:r>
        <w:rPr>
          <w:b/>
        </w:rPr>
        <w:t xml:space="preserve">DOI: </w:t>
      </w:r>
      <w:hyperlink r:id="rId580">
        <w:r>
          <w:rPr>
            <w:color w:val="1155CC"/>
            <w:u w:val="single"/>
          </w:rPr>
          <w:t>10.1002/adma.73260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材料的相工程（PEN）通过在纳米尺度上实现晶体相的精确控制，已成为一个新的研究领域。稳定非常规相的能力解锁了传统热力学稳定晶体无法获得的大量物理化学性质。本综述提供了一个全面的框架来描绘PEN的过去、现在和未来。我们首先简要介绍PEN的概念。然后，我们总结了合成方法，包括直接相控合成和相转变。讨论还强调了先进表征的关键作用，特别是从离位到原位和操作技术的过渡，以探测现实条件下的动态相行为。我们展示了在（电）催化、能量转换和存储、功能设备和生物医学中的关键应用，以说明PEN的广泛影响。展望未来，我们确定了关键挑战和未来方向，强调稳健的相稳定、结构控制和人工智能集成相设计。该领域最终正朝着人工原子组装结构（AAASs）发展，实现原子的确定性组装，具有精确控制的相和结构，以实现目标功能和应用。</w:t>
      </w:r>
    </w:p>
    <w:p>
      <w:pPr>
        <w:spacing w:before="0" w:after="200" w:lineRule="auto" w:line="276"/>
      </w:pPr>
      <w:r>
        <w:rPr>
          <w:b/>
        </w:rPr>
        <w:t xml:space="preserve">Abstract (EN): </w:t>
      </w:r>
      <w:r>
        <w:t>Phase engineering of nanomaterials (PEN) has emerged as a new research field by enabling precise control of crystallographic phases at the nanometer scale. The capability of stabilizing unconventional phases unlocks a vast library of physiochemical properties inaccessible to the conventional, thermodynamically stable crystals. This review provides a comprehensive framework to map the past, present, and future of PEN. We first briefly introduce the concept of PEN. Then, we summarize synthetic methodologies, including direct phase‐controlled synthesis and phase transition. The discussion also underscores the pivotal role of advanced characterization, particularly the transition from ex situ to in situ and</w:t>
      </w:r>
      <w:r>
        <w:t xml:space="preserve"> </w:t>
      </w:r>
      <w:r>
        <w:t>operando</w:t>
      </w:r>
      <w:r>
        <w:t xml:space="preserve"> </w:t>
      </w:r>
      <w:r>
        <w:t>techniques, in probing dynamic phase behaviors under realistic conditions. We present key applications in (electro)catalysis, energy conversion and storage, functional devices, and biomedicine to illustrate the PEN's broad impact. Looking ahead, we identify key challenges and future directions, emphasizing robust phase stabilization, architecture control, and artificial intelligence‐integrated phase design. The field is ultimately advancing toward the artificial atomically‐assembled structures (AAASs), enabling the deterministic assembly of atoms with precisely controlled phase and architecture to achieve targeted functions and applications.</w:t>
      </w:r>
    </w:p>
    <w:p>
      <w:pPr>
        <w:spacing w:before="120" w:after="120"/>
      </w:pPr>
      <w:r>
        <w:rPr>
          <w:sz w:val="18"/>
        </w:rPr>
        <w:t>——————————————————————————————————————————————————————————————————————</w:t>
      </w:r>
    </w:p>
    <w:p>
      <w:pPr>
        <w:spacing w:before="160" w:after="40" w:line="240" w:lineRule="auto"/>
      </w:pPr>
      <w:r>
        <w:rPr>
          <w:b/>
        </w:rPr>
        <w:t xml:space="preserve">[230] </w:t>
      </w:r>
      <w:hyperlink r:id="rId581">
        <w:r>
          <w:rPr>
            <w:color w:val="1155CC"/>
            <w:u w:val="single"/>
          </w:rPr>
          <w:t>成分恢复使混合阳离子、混合卤化物钙钛矿的太阳能电池回收成为可能</w:t>
        </w:r>
      </w:hyperlink>
    </w:p>
    <w:p>
      <w:pPr>
        <w:spacing w:before="0" w:after="80"/>
      </w:pPr>
      <w:r>
        <w:rPr>
          <w:i/>
          <w:sz w:val="20"/>
        </w:rPr>
        <w:t>EN: Composition Restoration Enables Recycling of Mixed‐Cation, Mixed‐Halide Perovskites for Solar Cells</w:t>
      </w:r>
    </w:p>
    <w:p>
      <w:pPr>
        <w:spacing w:before="0" w:after="120"/>
      </w:pPr>
      <w:r>
        <w:rPr>
          <w:b/>
        </w:rPr>
        <w:t xml:space="preserve">Source: </w:t>
      </w:r>
      <w:r>
        <w:t>Wiley: Advanced Materials: Table of Contents</w:t>
      </w:r>
      <w:r>
        <w:t xml:space="preserve">    </w:t>
      </w:r>
      <w:r>
        <w:rPr>
          <w:b/>
        </w:rPr>
        <w:t xml:space="preserve">Pub date: </w:t>
      </w:r>
      <w:r>
        <w:t>2026-05-05 10:46:32+00:00</w:t>
      </w:r>
      <w:r>
        <w:t xml:space="preserve">    </w:t>
      </w:r>
      <w:r>
        <w:rPr>
          <w:b/>
        </w:rPr>
        <w:t xml:space="preserve">DOI: </w:t>
      </w:r>
      <w:hyperlink r:id="rId582">
        <w:r>
          <w:rPr>
            <w:color w:val="1155CC"/>
            <w:u w:val="single"/>
          </w:rPr>
          <w:t>10.1002/adma.73266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光伏（PV）的快速工业化兴起突显了其在满足全球太阳能需求增长方面补充硅光伏的潜力。随着部署规模的扩大，钙钛矿光伏的闭环回收将有助于节约关键资源并减轻与铅相关的环境风险。然而，混合阳离子、混合卤化物钙钛矿——在创纪录效率设备中常见——在设备制造过程中经历系统的成分漂移。因此，从寿命终结模块中回收的材料继承了这些偏差，如果不进行调整而重复使用，会降低电池性能。为了克服循环制造中的这一基本瓶颈，我们开发了一个全面的量化框架来审计和恢复钙钛矿成分。通过结合核磁共振（NMR）、电感耦合等离子体光学发射光谱（ICP-OES）和离子色谱（IC），我们获得了从加工过的太阳能电池堆栈中回收的混合钙钛矿的完整成分指纹，使我们能够解决其改变的成分并恢复材料以匹配原始前体配方。成分恢复有效地弥合了性能差距，产生了效率可与原始设备媲美的回收钙钛矿电池。成本分析表明，这种方法可以实现69.1%的成本降低，同时保留了供应受限的元素如Cs和I。这些结果展示了一条实用的、成分知情的可持续闭环制造路径。</w:t>
      </w:r>
    </w:p>
    <w:p>
      <w:pPr>
        <w:spacing w:before="0" w:after="200" w:lineRule="auto" w:line="276"/>
      </w:pPr>
      <w:r>
        <w:rPr>
          <w:b/>
        </w:rPr>
        <w:t xml:space="preserve">Abstract (EN): </w:t>
      </w:r>
      <w:r>
        <w:t>The rapid industrial emergence of perovskite photovoltaics (PV) highlights their potential to complement silicon PV in meeting the growing global solar demand. As deployment scales, closed‐loop recycling of perovskite PV will be beneficial to conserve critical resources and mitigate environmental risks associated with lead. However, mixed‐cation, mixed‐halide perovskites—typical in record‐efficiency devices—undergo systematic composition drift during device fabrication. Consequently, material recovered from end‐of‐life modules inherits these deviations, degrading cell performance if reused without adjustment. To overcome this fundamental bottleneck in circular manufacturing, we developed a comprehensive quantification framework to audit and restore perovskite composition. By combining nuclear magnetic resonance (NMR), inductively coupled plasma‐optical emission spectroscopy (ICP‐OES), and ion chromatography (IC), we obtained full compositional fingerprints of the hybrid perovskite recovered from processed solar‐cell stacks, allowing us to resolve their altered composition and restore the material to match the original precursor formulation. Composition restoration effectively closed the performance gap, yielding recycled perovskite cells with efficiencies comparable to pristine devices. A cost analysis demonstrates this approach can achieve a 69.1% cost reduction, while preserving supply‐constrained elements like Cs and I. These results demonstrate a practical, compositionally informed pathway for the sustainable, closed‐loop manufacturing of complex perovskite absorbers.</w:t>
      </w:r>
    </w:p>
    <w:p>
      <w:pPr>
        <w:spacing w:before="120" w:after="120"/>
      </w:pPr>
      <w:r>
        <w:rPr>
          <w:sz w:val="18"/>
        </w:rPr>
        <w:t>——————————————————————————————————————————————————————————————————————</w:t>
      </w:r>
    </w:p>
    <w:p>
      <w:pPr>
        <w:spacing w:before="160" w:after="40" w:line="240" w:lineRule="auto"/>
      </w:pPr>
      <w:r>
        <w:rPr>
          <w:b/>
        </w:rPr>
        <w:t xml:space="preserve">[231] </w:t>
      </w:r>
      <w:hyperlink r:id="rId583">
        <w:r>
          <w:rPr>
            <w:color w:val="1155CC"/>
            <w:u w:val="single"/>
          </w:rPr>
          <w:t>序列控制共轭聚合物的离子精确电合成和忆阻器</w:t>
        </w:r>
      </w:hyperlink>
    </w:p>
    <w:p>
      <w:pPr>
        <w:spacing w:before="0" w:after="80"/>
      </w:pPr>
      <w:r>
        <w:rPr>
          <w:i/>
          <w:sz w:val="20"/>
        </w:rPr>
        <w:t>EN: Ion‐Precise Electrosynthesis and Memristors of Sequence‐Controlled Conjugated Polymers</w:t>
      </w:r>
    </w:p>
    <w:p>
      <w:pPr>
        <w:spacing w:before="0" w:after="120"/>
      </w:pPr>
      <w:r>
        <w:rPr>
          <w:b/>
        </w:rPr>
        <w:t xml:space="preserve">Source: </w:t>
      </w:r>
      <w:r>
        <w:t>Wiley: Angewandte Chemie International Edition: Table of Contents</w:t>
      </w:r>
      <w:r>
        <w:t xml:space="preserve">    </w:t>
      </w:r>
      <w:r>
        <w:rPr>
          <w:b/>
        </w:rPr>
        <w:t xml:space="preserve">Pub date: </w:t>
      </w:r>
      <w:r>
        <w:t>2026-05-05 10:47:05+00:00</w:t>
      </w:r>
      <w:r>
        <w:t xml:space="preserve">    </w:t>
      </w:r>
      <w:r>
        <w:rPr>
          <w:b/>
        </w:rPr>
        <w:t xml:space="preserve">DOI: </w:t>
      </w:r>
      <w:hyperlink r:id="rId584">
        <w:r>
          <w:rPr>
            <w:color w:val="1155CC"/>
            <w:u w:val="single"/>
          </w:rPr>
          <w:t>10.1002/anie.8580241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材料的离子精确合成仍然是一个挑战，因为在溶液加工合成和加工过程中会发生反离子交换。在此，我们展示了基于共轭聚合物的离子精确电合成和忆阻器，其中主链阳离子和反阴离子首次实现了序列控制。在表面启动的结晶聚合物单层生长过程中，分子间和分子内的反离子交换被有效阻止，使我们能够区分序列控制的阳离子共轭聚合物库及其反阴离子之间的相关性，以及它们的内在负微分电阻（NDR）。我们发现，受控的阴离子迁移是实现基于氧化还原的忆阻器中超低NDR偏压的关键因素，将其从1.75 V显著降低到创纪录的0.13 V。峰谷电流比（PVCR）在0.55 V时达到117，展示了一种在保持低NDR偏压的同时实现巨大PVCR的策略。与先前报道的通常单个或很少双重NDR峰不同，我们观察到了三个NDR峰，这在理论上对于多值逻辑计算更有利。我们的工作代表了一种向高维控制聚合物结构的范式转变，适用于二维分子系统中的离子精确忆阻器，同时展示了在超越现有方法或材料的内在NDR定制方面的优势。</w:t>
      </w:r>
    </w:p>
    <w:p>
      <w:pPr>
        <w:spacing w:before="0" w:after="200" w:lineRule="auto" w:line="276"/>
      </w:pPr>
      <w:r>
        <w:rPr>
          <w:b/>
        </w:rPr>
        <w:t xml:space="preserve">Abstract (EN): </w:t>
      </w:r>
      <w:r>
        <w:t>The ion‐precise synthesis of polymer materials remains a challenge because of the counterion exchange during solution‐processed synthesis and processing. Here, we demonstrate ion‐precise electrosynthesis and memristors based on conjugated polymers, in which both backbone cations and counteranions are sequence‐controlled for the first time. Inter‐ and intramolecular counterion exchanges are effectively blocked during surface‐initiated growth of crystalline polymer monolayers, enabling us to distinguish a correlation between a library of sequence‐controlled cationic conjugated polymers and their counteranions, as well as their intrinsic negative differential resistance (NDR). We find that controlled anion migration is a key factor in achieving ultralow NDR bias in redox‐based memristors, dramatically reducing it from 1.75 V to a record low of 0.13 V. The peak‐to‐valley current ratio (PVCR) reaches 117 at 0.55 V, demonstrating a strategy that achieves a giant PVCR while simultaneously maintaining a low NDR bias. Unlike previously reported usual single or rarely double NDR peaks, we observe triple NDR peaks, which are theoretically more advantageous for multivalued logic computing. Our work represents a paradigm shift toward high‐dimensional control of polymer structures within a two‐dimensional molecular system for ion‐precise memristors, while demonstrating advantages in tailoring intrinsic NDR beyond existing methods or materials.</w:t>
      </w:r>
    </w:p>
    <w:p>
      <w:pPr>
        <w:spacing w:before="120" w:after="120"/>
      </w:pPr>
      <w:r>
        <w:rPr>
          <w:sz w:val="18"/>
        </w:rPr>
        <w:t>——————————————————————————————————————————————————————————————————————</w:t>
      </w:r>
    </w:p>
    <w:p>
      <w:pPr>
        <w:spacing w:before="160" w:after="40" w:line="240" w:lineRule="auto"/>
      </w:pPr>
      <w:r>
        <w:rPr>
          <w:b/>
        </w:rPr>
        <w:t xml:space="preserve">[232] </w:t>
      </w:r>
      <w:hyperlink r:id="rId585">
        <w:r>
          <w:rPr>
            <w:color w:val="1155CC"/>
            <w:u w:val="single"/>
          </w:rPr>
          <w:t>通过催化剂工程调节界面水结构以增强电催化活性和选择性</w:t>
        </w:r>
      </w:hyperlink>
    </w:p>
    <w:p>
      <w:pPr>
        <w:spacing w:before="0" w:after="80"/>
      </w:pPr>
      <w:r>
        <w:rPr>
          <w:i/>
          <w:sz w:val="20"/>
        </w:rPr>
        <w:t>EN: Modulating Interfacial Water Structure via Catalyst Engineering to Enhance Electrocatalytic Activity and Selectivity</w:t>
      </w:r>
    </w:p>
    <w:p>
      <w:pPr>
        <w:spacing w:before="0" w:after="120"/>
      </w:pPr>
      <w:r>
        <w:rPr>
          <w:b/>
        </w:rPr>
        <w:t xml:space="preserve">Source: </w:t>
      </w:r>
      <w:r>
        <w:t>Wiley: Advanced Materials: Table of Contents</w:t>
      </w:r>
      <w:r>
        <w:t xml:space="preserve">    </w:t>
      </w:r>
      <w:r>
        <w:rPr>
          <w:b/>
        </w:rPr>
        <w:t xml:space="preserve">Pub date: </w:t>
      </w:r>
      <w:r>
        <w:t>2026-05-05 10:48:14+00:00</w:t>
      </w:r>
      <w:r>
        <w:t xml:space="preserve">    </w:t>
      </w:r>
      <w:r>
        <w:rPr>
          <w:b/>
        </w:rPr>
        <w:t xml:space="preserve">DOI: </w:t>
      </w:r>
      <w:hyperlink r:id="rId586">
        <w:r>
          <w:rPr>
            <w:color w:val="1155CC"/>
            <w:u w:val="single"/>
          </w:rPr>
          <w:t>10.1002/adma.73270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电力驱动的电催化技术在清洁能源转换和实现净零碳排放未来中发挥着关键作用。先前的研究主要集中在通过催化剂工程调节反应中间体的吸附行为以提高电催化性能。这些研究仅集中在固液界面的固相。然而，催化剂结构工程对液相的影响同样重要，并且长期以来未得到充分重视。具有独特结构配置和动态特性的界面水已被证明可以调节电催化反应中的关键步骤。因此，我们撰写了这篇综述，以系统地概述该领域的研究进展和关键挑战。该综述首先介绍了界面水的基本性质，包括结构类型和分子取向。随后，提供了一系列先进的实验表征技术和计算方法来检测界面水，这对于获得准确的结构信息至关重要。更重要的是，我们强调了精确催化剂结构工程的各种调节策略，以优化界面水动力学并提升电催化性能。最后，我们讨论了这一快速发展领域中的挑战和新兴观点，为指导未来研究方向提供了宝贵的见解。</w:t>
      </w:r>
    </w:p>
    <w:p>
      <w:pPr>
        <w:spacing w:before="0" w:after="200" w:lineRule="auto" w:line="276"/>
      </w:pPr>
      <w:r>
        <w:rPr>
          <w:b/>
        </w:rPr>
        <w:t xml:space="preserve">Abstract (EN): </w:t>
      </w:r>
      <w:r>
        <w:t>Renewable electricity‐driven electrocatalytic technology plays a crucial role in clean energy conversion and the realization of a net‐zero carbon emission future. Previous research has predominantly focused on regulating the adsorption behavior of reaction intermediates via catalyst engineering to enhance electrocatalytic performance. Such studies have only been centered on the solid phase at the solid–liquid interface. However, the effect of catalyst structural engineering on the liquid phase is equally crucial and has long been insufficiently emphasized. Interfacial water with unique structural configurations and dynamic properties has been shown to regulate critical steps in electrocatalytic reaction. Therefore, we are motivated to write this review, in order to systematically overview the research progress and key challenges in this area. This review first introduces the fundamental properties for interfacial water, including structural types and molecular orientation. Subsequently, a series of advanced experimental characterization techniques and computational methods are provided to detect interfacial water, which is crucial for obtaining accurate structural information. More importantly, we highlight various modulation strategies of the precise catalyst structure engineering to optimize interfacial water dynamics and boost electrocatalytic performance. Finally, we discuss the challenges and emerging perspectives in this fast‐developing field, providing valuable insights for guide future research directions.</w:t>
      </w:r>
    </w:p>
    <w:p>
      <w:pPr>
        <w:spacing w:before="120" w:after="120"/>
      </w:pPr>
      <w:r>
        <w:rPr>
          <w:sz w:val="18"/>
        </w:rPr>
        <w:t>——————————————————————————————————————————————————————————————————————</w:t>
      </w:r>
    </w:p>
    <w:p>
      <w:pPr>
        <w:spacing w:before="160" w:after="40" w:line="240" w:lineRule="auto"/>
      </w:pPr>
      <w:r>
        <w:rPr>
          <w:b/>
        </w:rPr>
        <w:t xml:space="preserve">[233] </w:t>
      </w:r>
      <w:hyperlink r:id="rId587">
        <w:r>
          <w:rPr>
            <w:color w:val="1155CC"/>
            <w:u w:val="single"/>
          </w:rPr>
          <w:t>电纺纳米纤维在摩擦电纳米发电机中的最新进展：性能增强策略和新兴应用</w:t>
        </w:r>
      </w:hyperlink>
    </w:p>
    <w:p>
      <w:pPr>
        <w:spacing w:before="0" w:after="80"/>
      </w:pPr>
      <w:r>
        <w:rPr>
          <w:i/>
          <w:sz w:val="20"/>
        </w:rPr>
        <w:t>EN: Recent Advances in Electrospun Nanofibers for Triboelectric Nanogenerators: Performance Enhancement Strategies and Emerging Applications</w:t>
      </w:r>
    </w:p>
    <w:p>
      <w:pPr>
        <w:spacing w:before="0" w:after="120"/>
      </w:pPr>
      <w:r>
        <w:rPr>
          <w:b/>
        </w:rPr>
        <w:t xml:space="preserve">Source: </w:t>
      </w:r>
      <w:r>
        <w:t>Wiley: Advanced Materials: Table of Contents</w:t>
      </w:r>
      <w:r>
        <w:t xml:space="preserve">    </w:t>
      </w:r>
      <w:r>
        <w:rPr>
          <w:b/>
        </w:rPr>
        <w:t xml:space="preserve">Pub date: </w:t>
      </w:r>
      <w:r>
        <w:t>2026-05-05 10:50:09+00:00</w:t>
      </w:r>
      <w:r>
        <w:t xml:space="preserve">    </w:t>
      </w:r>
      <w:r>
        <w:rPr>
          <w:b/>
        </w:rPr>
        <w:t xml:space="preserve">DOI: </w:t>
      </w:r>
      <w:hyperlink r:id="rId588">
        <w:r>
          <w:rPr>
            <w:color w:val="1155CC"/>
            <w:u w:val="single"/>
          </w:rPr>
          <w:t>10.1002/adma.202522834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追求下一代可持续能源系统的过程中，摩擦电纳米发电机（TENGs）作为一种关键技术出现，用于将机械能转化为电能，特别是在微观和纳米尺度上。在各种结构平台中，纤维材料，尤其是通过静电纺丝生产的纤维材料，由于其可调节的形态、轻质特性、机械柔韧性和大的表面积体积比，展示了TENG开发的巨大潜力。这些特性对于增强摩擦电性能所依赖的界面电荷生成和转移至关重要。本综述全面审查了用于TENGs的纤维材料的最新进展，特别关注材料创新、结构设计策略和性能优化技术。重点放在混合纳米复合材料、核壳结构、表面功能化和对齐控制在最大化电输出和操作耐久性中的作用。此外，本文还调查了新兴应用领域，如可穿戴电子设备、自供电传感器、智能纺织品、生物医学监测和人机交互系统。通过将基础材料科学与实际设计范式相结合，本综述识别了关键瓶颈，并为实现可扩展、高效和环保的纤维TENG技术的未来研究方向铺平了道路。</w:t>
      </w:r>
    </w:p>
    <w:p>
      <w:pPr>
        <w:spacing w:before="0" w:after="200" w:lineRule="auto" w:line="276"/>
      </w:pPr>
      <w:r>
        <w:rPr>
          <w:b/>
        </w:rPr>
        <w:t xml:space="preserve">Abstract (EN): </w:t>
      </w:r>
      <w:r>
        <w:t>In the quest for next‐generation sustainable energy systems, triboelectric nanogenerators (TENGs) have emerged as a pivotal technology for converting mechanical energy into electrical power, especially at the micro and nanoscale. Among various structural platforms, fibrous materials, particularly those produced via electrospinning, have demonstrated exceptional potential for TENG development due to their tunable morphology, lightweight nature, mechanical flexibility, and large surface‐to‐volume ratio. These characteristics are critical for enhancing the interfacial charge generation and transfer that underpin triboelectric performance. This review offers a comprehensive examination of the latest advances in fibrous materials for TENGs, with a particular focus on material innovations, structural design strategies, and performance optimization techniques. Emphasis is placed on the role of hybrid nanocomposites, core–shell configurations, surface functionalization, and alignment control in maximizing electrical output and operational durability. Additionally, the paper surveys emerging application areas such as wearable electronics, self‐powered sensors, smart textiles, biomedical monitoring, and human‐machine interaction systems. By bridging fundamental material science with practical design paradigms, this review identifies critical bottlenecks and lays out future research directions toward scalable, efficient, and environmentally friendly fibrous TENG technologies.</w:t>
      </w:r>
    </w:p>
    <w:p>
      <w:pPr>
        <w:spacing w:before="120" w:after="120"/>
      </w:pPr>
      <w:r>
        <w:rPr>
          <w:sz w:val="18"/>
        </w:rPr>
        <w:t>——————————————————————————————————————————————————————————————————————</w:t>
      </w:r>
    </w:p>
    <w:p>
      <w:pPr>
        <w:spacing w:before="160" w:after="40" w:line="240" w:lineRule="auto"/>
      </w:pPr>
      <w:r>
        <w:rPr>
          <w:b/>
        </w:rPr>
        <w:t xml:space="preserve">[234] </w:t>
      </w:r>
      <w:hyperlink r:id="rId589">
        <w:r>
          <w:rPr>
            <w:color w:val="1155CC"/>
            <w:u w:val="single"/>
          </w:rPr>
          <w:t>离子分子转子中的N-烷基扩展：专辑素基主客体荧光传感器的感应模式的简便调节</w:t>
        </w:r>
      </w:hyperlink>
    </w:p>
    <w:p>
      <w:pPr>
        <w:spacing w:before="0" w:after="80"/>
      </w:pPr>
      <w:r>
        <w:rPr>
          <w:i/>
          <w:sz w:val="20"/>
        </w:rPr>
        <w:t>EN: N‐Alkyl Extension in Ionic Molecular Rotors: Facile Tuning of Sensing Modes for Albumin‐Based Host‐Guest Fluorescent Sensors</w:t>
      </w:r>
    </w:p>
    <w:p>
      <w:pPr>
        <w:spacing w:before="0" w:after="120"/>
      </w:pPr>
      <w:r>
        <w:rPr>
          <w:b/>
        </w:rPr>
        <w:t xml:space="preserve">Source: </w:t>
      </w:r>
      <w:r>
        <w:t>Wiley: Angewandte Chemie International Edition: Table of Contents</w:t>
      </w:r>
      <w:r>
        <w:t xml:space="preserve">    </w:t>
      </w:r>
      <w:r>
        <w:rPr>
          <w:b/>
        </w:rPr>
        <w:t xml:space="preserve">Pub date: </w:t>
      </w:r>
      <w:r>
        <w:t>2026-05-05 10:50:17+00:00</w:t>
      </w:r>
      <w:r>
        <w:t xml:space="preserve">    </w:t>
      </w:r>
      <w:r>
        <w:rPr>
          <w:b/>
        </w:rPr>
        <w:t xml:space="preserve">DOI: </w:t>
      </w:r>
      <w:hyperlink r:id="rId590">
        <w:r>
          <w:rPr>
            <w:color w:val="1155CC"/>
            <w:u w:val="single"/>
          </w:rPr>
          <w:t>10.1002/anie.1330357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建立一种策略来微调荧光传感模式（例如，关↔开、比率、荧光比色法）在人血清白蛋白（HSA）-染料参与的超分子系统中，以解决在特定实际应用中开发功能性荧光传感器和传感器阵列的瓶颈。在此，我们提出了一种简单的策略，通过在三苯胺二芳乙烯（TPA-Ps）的吡啶鎓上延伸N-烷基，这是一种经典的离子分子转子骨架，用于蛋白质结合和荧光传感，以实现TPA-P@HSA传感模式的调节。对影响传感模式的两个因素，即初始荧光（TPA-Ps分散体）和最终荧光（TPA-P@HSA）的结构效应进行了全面研究。该策略的实用性在尿白蛋白的荧光分析、染料@HSA指示剂置换测定第三分析物、荧光成像和构建传感器阵列进行分类的应用中得到了检验。最后，我们证明了该策略可以推广到其他基于TPA-P骨架的染料，从而在响应HSA时实现显著可调的传感模式。</w:t>
      </w:r>
    </w:p>
    <w:p>
      <w:pPr>
        <w:spacing w:before="0" w:after="200" w:lineRule="auto" w:line="276"/>
      </w:pPr>
      <w:r>
        <w:rPr>
          <w:b/>
        </w:rPr>
        <w:t xml:space="preserve">Abstract (EN): </w:t>
      </w:r>
      <w:r>
        <w:t>Establishing a strategy for fine‐tuning of fluorescent sensing modes (e.g., off ↔ on, ratiometric, fluorocolorimetric) in human serum albumin (HSA)‐dye involved supramolecular systems that can tackle the bottleneck for the development of functional fluorescent sensors and sensor arrays in specific practical applications. Here, we propose a simple strategy by extending the N‐alkyl on the pyridinium of triphenylamine diarylethene (TPA‐Ps), a classic ionic molecular rotor skeleton for protein binding and fluorescent sensing, to fulfill the modulation of sensing modes of TPA‐P@HSA. The structural effects on two factors corresponding to sensing modes, the initial fluorescence (TPA‐Ps dispersions) and the final fluorescence (TPA‐P@HSA), have been comprehensively investigated. The utility of the strategy was examined in the applications of fluorescent analysis of urinary albumin, construction of dye@HSA indicator‐displacement assays for the third analytes, fluorescent imaging, and building sensor arrays for classification. Finally, we demonstrated that this strategy can be generalized to other TPA‐P skeleton‐based dyes, resulting in substantially tunable sensing modes in response to HSA.</w:t>
      </w:r>
    </w:p>
    <w:p>
      <w:pPr>
        <w:spacing w:before="120" w:after="120"/>
      </w:pPr>
      <w:r>
        <w:rPr>
          <w:sz w:val="18"/>
        </w:rPr>
        <w:t>——————————————————————————————————————————————————————————————————————</w:t>
      </w:r>
    </w:p>
    <w:p>
      <w:pPr>
        <w:spacing w:before="160" w:after="40" w:line="240" w:lineRule="auto"/>
      </w:pPr>
      <w:r>
        <w:rPr>
          <w:b/>
        </w:rPr>
        <w:t xml:space="preserve">[235] </w:t>
      </w:r>
      <w:hyperlink r:id="rId591">
        <w:r>
          <w:rPr>
            <w:color w:val="1155CC"/>
            <w:u w:val="single"/>
          </w:rPr>
          <w:t>用于易腐食品的多功能生物基包装：结构设计、可扩展制造和多样化应用</w:t>
        </w:r>
      </w:hyperlink>
    </w:p>
    <w:p>
      <w:pPr>
        <w:spacing w:before="0" w:after="80"/>
      </w:pPr>
      <w:r>
        <w:rPr>
          <w:i/>
          <w:sz w:val="20"/>
        </w:rPr>
        <w:t>EN: Multifunctional Bio‐Based Packaging for Perishable Foods: Structural Design, Scalable Fabrication, and Versatile Applications</w:t>
      </w:r>
    </w:p>
    <w:p>
      <w:pPr>
        <w:spacing w:before="0" w:after="120"/>
      </w:pPr>
      <w:r>
        <w:rPr>
          <w:b/>
        </w:rPr>
        <w:t xml:space="preserve">Source: </w:t>
      </w:r>
      <w:r>
        <w:t>Wiley: Advanced Materials: Table of Contents</w:t>
      </w:r>
      <w:r>
        <w:t xml:space="preserve">    </w:t>
      </w:r>
      <w:r>
        <w:rPr>
          <w:b/>
        </w:rPr>
        <w:t xml:space="preserve">Pub date: </w:t>
      </w:r>
      <w:r>
        <w:t>2026-05-05 10:53:40+00:00</w:t>
      </w:r>
      <w:r>
        <w:t xml:space="preserve">    </w:t>
      </w:r>
      <w:r>
        <w:rPr>
          <w:b/>
        </w:rPr>
        <w:t xml:space="preserve">DOI: </w:t>
      </w:r>
      <w:hyperlink r:id="rId592">
        <w:r>
          <w:rPr>
            <w:color w:val="1155CC"/>
            <w:u w:val="single"/>
          </w:rPr>
          <w:t>10.1002/adma.202521880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食品损失和食品安全仍然是全球紧迫的挑战，每年约有三分之一的食品被损失或浪费，约有42万人死于食源性疾病。传统的保存和检测方法——如冷藏和集中实验室检测——虽然有效，但往往耗能和基础设施密集，并提供延迟反馈。作为系统级替代方案，多功能生物基包装在保存和质量监测中集成了两个或多个功能，从被动屏障演变为结合材料化学、分层结构和传输调节的结构知情平台。本综述总结了2020-2025年间在辐射冷却系统、改良气调包装、主动平台、智能传感标签和超疏水表面方面的进展。我们通过结构-传输-功能视角综合设计原则，并强调将生理与渗透性/选择性、释放动力学和传感可靠性联系起来的商品特定操作窗口。为了实现跨研究比较，我们定义了集成范式（叠加、耦合和定量验证的协同作用）并采用基于保质期倍增器的标准化基准。通过可扩展制造、迁移和生物安全、ISO对齐的LCA、TEA和消费者接受度评估翻译准备度。最后，我们提出了一个食品矩阵知情框架，用于下一代生物基包装，结合动态保存和传感。</w:t>
      </w:r>
    </w:p>
    <w:p>
      <w:pPr>
        <w:spacing w:before="0" w:after="200" w:lineRule="auto" w:line="276"/>
      </w:pPr>
      <w:r>
        <w:rPr>
          <w:b/>
        </w:rPr>
        <w:t xml:space="preserve">Abstract (EN): </w:t>
      </w:r>
      <w:r>
        <w:t>Food loss and food safety remain pressing global challenges, with roughly one‐third of food lost or wasted annually and approximately 420 000 deaths attributed to foodborne diseases. Conventional preservation and detection methods—such as refrigeration and centralized laboratory testing—are effective but often are energy‐ and infrastructure‐intensive, and provide delayed feedback. As a systems‐level alternative, multifunctional bio‐based packaging integrates two or more functions within and/or across preservation and quality monitoring, evolving from passive barriers into structure‐informed platforms that couple material chemistry, hierarchical architecture, and transport regulation. This review summarizes advances from 2020–2025 across radiative cooling systems, modified atmosphere packaging, active platforms, intelligent sensing labels, and superhydrophobic surfaces. We synthesize design principles through a structure–transport–function lens and emphasize commodity‐specific operating windows linking physiology to permeability/selectivity, release kinetics, and sensing reliability. To enable cross‐study comparison, we define integration paradigms (superposition, coupling, and quantitatively validated synergy) and adopt standardized benchmarking based on the shelf life multiplier. Translation readiness is assessed via scalable manufacturing, migration and biosafety, ISO‐aligned LCA, TEA, and consumer acceptance. Finally, we propose a food‐matrix‐informed framework for next‐generation bio‐based packaging that unites dynamic preservation and sensing with standardized validation and scalable green manufacturing, guiding rational development toward safer, more sustainable, and waste‐minimized food systems.</w:t>
      </w:r>
    </w:p>
    <w:p>
      <w:pPr>
        <w:spacing w:before="120" w:after="120"/>
      </w:pPr>
      <w:r>
        <w:rPr>
          <w:sz w:val="18"/>
        </w:rPr>
        <w:t>——————————————————————————————————————————————————————————————————————</w:t>
      </w:r>
    </w:p>
    <w:p>
      <w:pPr>
        <w:spacing w:before="160" w:after="40" w:line="240" w:lineRule="auto"/>
      </w:pPr>
      <w:r>
        <w:rPr>
          <w:b/>
        </w:rPr>
        <w:t xml:space="preserve">[236] </w:t>
      </w:r>
      <w:hyperlink r:id="rId593">
        <w:r>
          <w:rPr>
            <w:color w:val="1155CC"/>
            <w:u w:val="single"/>
          </w:rPr>
          <w:t>[ASAP] 供体-受体聚合物中的凝聚中心调节使动态质子储库能够实现高效H2O2光合成</w:t>
        </w:r>
      </w:hyperlink>
    </w:p>
    <w:p>
      <w:pPr>
        <w:spacing w:before="0" w:after="80"/>
      </w:pPr>
      <w:r>
        <w:rPr>
          <w:i/>
          <w:sz w:val="20"/>
        </w:rPr>
        <w:t>EN: [ASAP] Condensation Center Regulation in Donor–Acceptor Polymers Enables Dynamic Proton Reservoirs for Efficient H2O2 Photosynthesis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2026-05-05 11:39:38+00:00</w:t>
      </w:r>
      <w:r>
        <w:t xml:space="preserve">    </w:t>
      </w:r>
      <w:r>
        <w:rPr>
          <w:b/>
        </w:rPr>
        <w:t xml:space="preserve">DOI: </w:t>
      </w:r>
      <w:hyperlink r:id="rId594">
        <w:r>
          <w:rPr>
            <w:color w:val="1155CC"/>
            <w:u w:val="single"/>
          </w:rPr>
          <w:t>10.1021/jacs.6c00799</w:t>
        </w:r>
      </w:hyperlink>
    </w:p>
    <w:p>
      <w:pPr>
        <w:spacing w:before="0" w:after="120"/>
      </w:pPr>
      <w:r>
        <w:rPr>
          <w:b/>
        </w:rPr>
        <w:t xml:space="preserve">Notes: </w:t>
      </w:r>
      <w:r>
        <w:t>abstract_source=pubmed</w:t>
      </w:r>
    </w:p>
    <w:p>
      <w:pPr>
        <w:spacing w:before="0" w:after="80" w:lineRule="auto" w:line="276"/>
      </w:pPr>
      <w:r>
        <w:rPr>
          <w:b/>
        </w:rPr>
        <w:t xml:space="preserve">摘要（ZH）: </w:t>
      </w:r>
      <w:r>
        <w:t>光催化过氧化氢生产为太阳能到化学能的转换提供了一条可持续的途径，但对有机光催化剂中结构-反应性关系的精确控制仍然有限。在此，我们报告了一种基于二嗪的供体-受体（D-A）亚胺键合共价有机聚合物（COPs），其设计用于高效的H2O2生成。通过调节缩合中心（对位、间位和邻位），我们发现对位调节的聚合物表现出最高的结构稳定性和光催化反应性。机制和理论分析表明，H2O2光合成主要由间接2e-氧还原反应（ORR）主导，并由4e-水氧化反应（WOR）补充，减轻了对富氧环境的依赖。重要的是，局部质子化被证明对O2吸附和活化至关重要，Pauling型端对端结合有利于选择性2e-ORR。此外，-CN的引入和对位调节有效降低了速率限制能垒，加强了界面电子转移。动态质子储存行为进一步赋予系统广泛的pH适应性，在整个反应过程中保持稳定的局部质子水平。这项工作强调了缩合中心调节在编程反应物活化和电荷转移行为中的重要性，为人工光合作用中先进COPs的设计提供了原则。</w:t>
      </w:r>
    </w:p>
    <w:p>
      <w:pPr>
        <w:spacing w:before="0" w:after="200" w:lineRule="auto" w:line="276"/>
      </w:pPr>
      <w:r>
        <w:rPr>
          <w:b/>
        </w:rPr>
        <w:t xml:space="preserve">Abstract (EN): </w:t>
      </w:r>
      <w:r>
        <w:t>Photocatalytic hydrogen peroxide production offers a sustainable route for solar-to-chemical energy conversion, yet precise control over structure-reactivity relationships in organic photocatalysts remains limited. Here, we report diazine-based donor-acceptor (D-A) imine-linked covalent organic polymers (COPs) designed for efficient H2O2 generation. By regulating the condensation centers (para, meta, and ortho), we find that para-regulated polymers exhibit the highest structural stability and photocatalytic reactivity. Mechanistic and theoretical analyses reveal that H2O2 photosynthesis is dominated by indirect 2e- oxygen reduction reaction (ORR) and complemented by a 4e- water oxidation reaction (WOR), alleviating the dependence on O2-rich environments. Importantly, localized protonation is shown to be essential for O2 adsorption and activation, with Pauling-type end-on binding favoring selective 2e- ORR. In addition, -CN incorporation and para-regulation effectively lower the rate-limiting energy barriers, strengthening interfacial electron transfer. Dynamic proton reservoir behavior further endows the system with broad pH adaptability, maintaining stable local proton levels throughout the reaction. This work highlights the importance of condensation center regulation in programming reactant activation and charge transfer behavior, providing a design principle for advanced COPs in artificial photosynthesis.</w:t>
      </w:r>
    </w:p>
    <w:p>
      <w:pPr>
        <w:spacing w:before="120" w:after="120"/>
      </w:pPr>
      <w:r>
        <w:rPr>
          <w:sz w:val="18"/>
        </w:rPr>
        <w:t>——————————————————————————————————————————————————————————————————————</w:t>
      </w:r>
    </w:p>
    <w:p>
      <w:pPr>
        <w:spacing w:before="160" w:after="40" w:line="240" w:lineRule="auto"/>
      </w:pPr>
      <w:r>
        <w:rPr>
          <w:b/>
        </w:rPr>
        <w:t xml:space="preserve">[237] </w:t>
      </w:r>
      <w:hyperlink r:id="rId595">
        <w:r>
          <w:rPr>
            <w:color w:val="1155CC"/>
            <w:u w:val="single"/>
          </w:rPr>
          <w:t>[ASAP] 三苯甲基基双自由基中寡聚（对苯撑）的自旋导电性</w:t>
        </w:r>
      </w:hyperlink>
    </w:p>
    <w:p>
      <w:pPr>
        <w:spacing w:before="0" w:after="80"/>
      </w:pPr>
      <w:r>
        <w:rPr>
          <w:i/>
          <w:sz w:val="20"/>
        </w:rPr>
        <w:t>EN: [ASAP] How Spin Conductive are Oligo(p-phenylenes) in Trityl-Based Biradicals</w:t>
      </w:r>
    </w:p>
    <w:p>
      <w:pPr>
        <w:spacing w:before="0" w:after="120"/>
      </w:pPr>
      <w:r>
        <w:rPr>
          <w:b/>
        </w:rPr>
        <w:t xml:space="preserve">Source: </w:t>
      </w:r>
      <w:r>
        <w:t>Journal of the American Chemical Society: Latest Articles (ACS Publications)</w:t>
      </w:r>
      <w:r>
        <w:t xml:space="preserve">    </w:t>
      </w:r>
      <w:r>
        <w:rPr>
          <w:b/>
        </w:rPr>
        <w:t xml:space="preserve">Pub date: </w:t>
      </w:r>
      <w:r>
        <w:t>2026-05-05 11:40:38+00:00</w:t>
      </w:r>
      <w:r>
        <w:t xml:space="preserve">    </w:t>
      </w:r>
      <w:r>
        <w:rPr>
          <w:b/>
        </w:rPr>
        <w:t xml:space="preserve">DOI: </w:t>
      </w:r>
      <w:hyperlink r:id="rId596">
        <w:r>
          <w:rPr>
            <w:color w:val="1155CC"/>
            <w:u w:val="single"/>
          </w:rPr>
          <w:t>10.1021/jacs.6c03022</w:t>
        </w:r>
      </w:hyperlink>
    </w:p>
    <w:p>
      <w:pPr>
        <w:spacing w:before="0" w:after="120"/>
      </w:pPr>
      <w:r>
        <w:rPr>
          <w:b/>
        </w:rPr>
        <w:t xml:space="preserve">Notes: </w:t>
      </w:r>
      <w:r>
        <w:t>abstract_source=pubmed</w:t>
      </w:r>
    </w:p>
    <w:p>
      <w:pPr>
        <w:spacing w:before="0" w:after="80" w:lineRule="auto" w:line="276"/>
      </w:pPr>
      <w:r>
        <w:rPr>
          <w:b/>
        </w:rPr>
        <w:t xml:space="preserve">摘要（ZH）: </w:t>
      </w:r>
      <w:r>
        <w:t>在分子磁性、动态核极化和量子信息科学的背景下，结构与交换耦合常数J之间的关系对于分子开壳系统的合理设计具有重要意义。然而，即使是对于J与两个自旋中心之间距离r的基本关系，对于典型的寡（p-苯撑）桥，也只有少量且相互矛盾的实验和理论数据。因此，我们合成了一系列六个三苯甲基-[(p-苯撑)n=1-5]-三苯甲基双自由基，并使用电子顺磁共振方法提取了J值，范围从17.5 MHz到235 GHz。我们发现未取代的寡（p-苯撑）桥的距离依赖参数β为0.11 Å-1，而取代的为0.67 Å-1。这将未取代的寡（p-苯撑）桥置于自旋导体范畴，并强调了通过取代调节导电性的可调性，即增加苯撑单元之间的二面角。使用低Fock交换分数泛函的DFT计算在再现实验J值方面表现出一些局限性，特别是在弱耦合区域。此外，n = 3 - 5的双自由基在溶液状态下室温下表现出1.2 μs的自旋相干性。这些长相干时间，加上模块化桥设计，使双三苯甲基系统成为量子信息技术应用的有前途的候选者。</w:t>
      </w:r>
    </w:p>
    <w:p>
      <w:pPr>
        <w:spacing w:before="0" w:after="200" w:lineRule="auto" w:line="276"/>
      </w:pPr>
      <w:r>
        <w:rPr>
          <w:b/>
        </w:rPr>
        <w:t xml:space="preserve">Abstract (EN): </w:t>
      </w:r>
      <w:r>
        <w:t>The relationship between structure and exchange coupling constant J is of interest for the rational design of molecular open-shell systems in the context of molecular magnetism, dynamic nuclear polarization, and quantum information science. However, even for the basic relationship between J and the distance r between two spin centers for the archetypal oligo(p-phenylene) bridge, there are only a few and contradicting experimental and theoretical data. We therefore synthesized a series of six trityl-[(p-phenylene)n=1-5]-trityl biradicals and used Electron Paramagnetic Resonance methods to extract J values in the range from 17.5 MHz to 235 GHz. We find a distance dependence parameter β of 0.11 Å-1 for unsubstituted and 0.67 Å-1 for substituted oligo(p-phenylene) bridges. This places unsubstituted oligo(p-phenylene)-bridges into the spin-conductor regime and highlights the tunability of conductance by substitution, i.e., increase of the dihedral angle between the phenylene units. DFT calculations employing low Fock-exchange fraction functionals exhibit some limitations in reproducing the experimental J value, particularly in the weak coupling regime. Furthermore, biradicals with n = 3 - 5 exhibit spin coherence of 1.2 μs at room temperature in the solution state. These long coherence times, combined with the modular bridge design, position bistrityl systems as promising candidates for applications in quantum information technology.</w:t>
      </w:r>
    </w:p>
    <w:p>
      <w:pPr>
        <w:spacing w:before="120" w:after="120"/>
      </w:pPr>
      <w:r>
        <w:rPr>
          <w:sz w:val="18"/>
        </w:rPr>
        <w:t>——————————————————————————————————————————————————————————————————————</w:t>
      </w:r>
    </w:p>
    <w:p>
      <w:pPr>
        <w:spacing w:before="160" w:after="40" w:line="240" w:lineRule="auto"/>
      </w:pPr>
      <w:r>
        <w:rPr>
          <w:b/>
        </w:rPr>
        <w:t xml:space="preserve">[238] </w:t>
      </w:r>
      <w:hyperlink r:id="rId597">
        <w:r>
          <w:rPr>
            <w:color w:val="1155CC"/>
            <w:u w:val="single"/>
          </w:rPr>
          <w:t>[ASAP] 近红外手性配体硅量子点的圆偏振发光</w:t>
        </w:r>
      </w:hyperlink>
    </w:p>
    <w:p>
      <w:pPr>
        <w:spacing w:before="0" w:after="80"/>
      </w:pPr>
      <w:r>
        <w:rPr>
          <w:i/>
          <w:sz w:val="20"/>
        </w:rPr>
        <w:t>EN: [ASAP] Circularly Polarized Luminescence from Silicon QDs in the Near-Infrared with Chiral Ligands</w:t>
      </w:r>
    </w:p>
    <w:p>
      <w:pPr>
        <w:spacing w:before="0" w:after="120"/>
      </w:pPr>
      <w:r>
        <w:rPr>
          <w:b/>
        </w:rPr>
        <w:t xml:space="preserve">Source: </w:t>
      </w:r>
      <w:r>
        <w:t>Journal of the American Chemical Society: Latest Articles (ACS Publications)</w:t>
      </w:r>
      <w:r>
        <w:t xml:space="preserve">    </w:t>
      </w:r>
      <w:r>
        <w:rPr>
          <w:b/>
        </w:rPr>
        <w:t xml:space="preserve">Pub date: </w:t>
      </w:r>
      <w:r>
        <w:t>2026-05-05 12:13:27+00:00</w:t>
      </w:r>
      <w:r>
        <w:t xml:space="preserve">    </w:t>
      </w:r>
      <w:r>
        <w:rPr>
          <w:b/>
        </w:rPr>
        <w:t xml:space="preserve">DOI: </w:t>
      </w:r>
      <w:hyperlink r:id="rId598">
        <w:r>
          <w:rPr>
            <w:color w:val="1155CC"/>
            <w:u w:val="single"/>
          </w:rPr>
          <w:t>10.1021/jacs.6c05614</w:t>
        </w:r>
      </w:hyperlink>
    </w:p>
    <w:p>
      <w:pPr>
        <w:spacing w:before="0" w:after="120"/>
      </w:pPr>
      <w:r>
        <w:rPr>
          <w:b/>
        </w:rPr>
        <w:t xml:space="preserve">Notes: </w:t>
      </w:r>
      <w:r>
        <w:t>abstract_source=pubmed</w:t>
      </w:r>
    </w:p>
    <w:p>
      <w:pPr>
        <w:spacing w:before="0" w:after="80" w:lineRule="auto" w:line="276"/>
      </w:pPr>
      <w:r>
        <w:rPr>
          <w:b/>
        </w:rPr>
        <w:t xml:space="preserve">摘要（ZH）: </w:t>
      </w:r>
      <w:r>
        <w:t>量子点（QDs）的圆偏振发光（CPL）在量子光学、自旋电子学和手性光子学中具有吸引力。我们报告了通过乙烯或乙炔连接器共价功能化的Si QDs的CPL，使用结构上手性的联萘基配体，研究结合几何、表面结构和手性光学响应之间的相互作用。圆二色性（CD）光谱表明，单齿配体不会引发与QD相关的手性跃迁，表明手性转移无效。相反，双齿乙烯桥接配体引发了与QD电子跃迁相关的清晰的镜像CD和CPL信号，确认了成功的手性转移。ATR-IR光谱显示，这些手性联萘基配体随着表面覆盖率的增加从双齿结合转变为单齿结合，与电子吸收和带边发射不对称因子gabs和glum的非单调趋势相关，最大值分别为2.34 × 10-3和8.87 × 10-4，峰值约为每个QD 3个配体。高分辨率透射电子显微镜显示，配体结合引起了QD的晶格压缩，可能与手性有关。这些发现强调了配体结合几何和表面诱导结构畸变在生成Si QDs手性光学活性中的关键作用，为下一代手性纳米材料提供了指导。</w:t>
      </w:r>
    </w:p>
    <w:p>
      <w:pPr>
        <w:spacing w:before="0" w:after="200" w:lineRule="auto" w:line="276"/>
      </w:pPr>
      <w:r>
        <w:rPr>
          <w:b/>
        </w:rPr>
        <w:t xml:space="preserve">Abstract (EN): </w:t>
      </w:r>
      <w:r>
        <w:t>Circularly polarized luminescence (CPL) from quantum dots (QDs) is interesting for quantum optics, spintronics, and chiral photonics. We report CPL from Si QDs covalently functionalized via vinyl or acetylene linkers with structurally chiral binaphthyl-based ligands, investigating the interplay between binding geometry, surface structure, and chiroptical response. Circular dichroism (CD) spectroscopy reveals that monodentate ligands do not induce chiral transitions associated with the QD, indicating ineffective chirality transfer. In contrast, bidentate vinyl-bridged ligands induce clear, mirror-image CD and circularly polarized luminescence (CPL) signals associated with electronic transitions from the QD, confirming successful chirality transfer. ATR-IR spectroscopy shows that these chiral binaphthyl ligands transition from bidentate to monodentate binding with increasing surface coverage, correlating with a nonmonotonic trend in electronic absorption and bandedge emission dissymmetry factors, gabs and glum with maxima at 2.34 × 10-3 and 8.87 × 10-4 respectively which peak at ∼3 ligands per QD. High-resolution transmission electron microscopy reveals that ligand binding induces lattice compression in the QDs, likely associated with chirality. These findings highlight the crucial role of ligand binding geometry and surface-induced structural distortion in generating chiroptical activity in Si QDs for next-generation chiral nanomaterials.</w:t>
      </w:r>
    </w:p>
    <w:p>
      <w:pPr>
        <w:spacing w:before="120" w:after="120"/>
      </w:pPr>
      <w:r>
        <w:rPr>
          <w:sz w:val="18"/>
        </w:rPr>
        <w:t>——————————————————————————————————————————————————————————————————————</w:t>
      </w:r>
    </w:p>
    <w:p>
      <w:pPr>
        <w:spacing w:before="160" w:after="40" w:line="240" w:lineRule="auto"/>
      </w:pPr>
      <w:r>
        <w:rPr>
          <w:b/>
        </w:rPr>
        <w:t xml:space="preserve">[239] </w:t>
      </w:r>
      <w:hyperlink r:id="rId599">
        <w:r>
          <w:rPr>
            <w:color w:val="1155CC"/>
            <w:u w:val="single"/>
          </w:rPr>
          <w:t>[ASAP] 与C(sp3)–N键形成相关的钯(IV)氨基烷基体系</w:t>
        </w:r>
      </w:hyperlink>
    </w:p>
    <w:p>
      <w:pPr>
        <w:spacing w:before="0" w:after="80"/>
      </w:pPr>
      <w:r>
        <w:rPr>
          <w:i/>
          <w:sz w:val="20"/>
        </w:rPr>
        <w:t>EN: [ASAP] A Palladium(IV) Amido Alkyl System Relevant to C(sp3)–N Bond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2026-05-05 12:44:02+00:00</w:t>
      </w:r>
      <w:r>
        <w:t xml:space="preserve">    </w:t>
      </w:r>
      <w:r>
        <w:rPr>
          <w:b/>
        </w:rPr>
        <w:t xml:space="preserve">DOI: </w:t>
      </w:r>
      <w:hyperlink r:id="rId600">
        <w:r>
          <w:rPr>
            <w:color w:val="1155CC"/>
            <w:u w:val="single"/>
          </w:rPr>
          <w:t>10.1021/jacs.6c03112</w:t>
        </w:r>
      </w:hyperlink>
    </w:p>
    <w:p>
      <w:pPr>
        <w:spacing w:before="0" w:after="120"/>
      </w:pPr>
      <w:r>
        <w:rPr>
          <w:b/>
        </w:rPr>
        <w:t xml:space="preserve">Notes: </w:t>
      </w:r>
      <w:r>
        <w:t>abstract_source=pubmed</w:t>
      </w:r>
    </w:p>
    <w:p>
      <w:pPr>
        <w:spacing w:before="0" w:after="80" w:lineRule="auto" w:line="276"/>
      </w:pPr>
      <w:r>
        <w:rPr>
          <w:b/>
        </w:rPr>
        <w:t xml:space="preserve">摘要（ZH）: </w:t>
      </w:r>
      <w:r>
        <w:t>尽管在钯催化的含氮分子合成方面取得了显著进展，但与C(sp3)-N键形成高度相关的明确的Pd(IV)酰胺烷基物种仍然稀缺。在本研究中，我们展示了一系列可表征的钯(IV)酰胺烷基配合物的设计和合成。这些高价配合物在C(sp3)-N和C(sp3)-C(卡宾)偶联中表现出不同的反应性和选择性。通过对Pd(IV)物种的表征、控制实验和DFT计算，本研究提供了从Pd(IV)酰胺-烷基系统形成C(sp3)-N键的详细分析。</w:t>
      </w:r>
    </w:p>
    <w:p>
      <w:pPr>
        <w:spacing w:before="0" w:after="200" w:lineRule="auto" w:line="276"/>
      </w:pPr>
      <w:r>
        <w:rPr>
          <w:b/>
        </w:rPr>
        <w:t xml:space="preserve">Abstract (EN): </w:t>
      </w:r>
      <w:r>
        <w:t>Despite remarkable progress in Pd-catalyzed synthesis of N-containing molecules, well-defined Pd(IV) amido alkyl species, which are highly relevant to C(sp3)-N bond formation, remain scarce. In this study, we present the design and synthesis of a series of characterizable palladium(IV) amido alkyl complexes. These high-valent complexes exhibit different reactivities and selectivities in C(sp3)-N and C(sp3)-C(carbene) couplings. Through the characterization of Pd(IV) species, controlled experiments, and DFT calculations, this study provides a detailed analysis of C(sp3)-N bond formation from a Pd(IV) amido-alkyl system.</w:t>
      </w:r>
    </w:p>
    <w:p>
      <w:pPr>
        <w:spacing w:before="120" w:after="120"/>
      </w:pPr>
      <w:r>
        <w:rPr>
          <w:sz w:val="18"/>
        </w:rPr>
        <w:t>——————————————————————————————————————————————————————————————————————</w:t>
      </w:r>
    </w:p>
    <w:p>
      <w:pPr>
        <w:spacing w:before="160" w:after="40" w:line="240" w:lineRule="auto"/>
      </w:pPr>
      <w:r>
        <w:rPr>
          <w:b/>
        </w:rPr>
        <w:t xml:space="preserve">[240] </w:t>
      </w:r>
      <w:hyperlink r:id="rId601">
        <w:r>
          <w:rPr>
            <w:color w:val="1155CC"/>
            <w:u w:val="single"/>
          </w:rPr>
          <w:t>[ASAP] “通过多组分离子调节离子液体的方向性溶解性以实现低温脱盐”的更正</w:t>
        </w:r>
      </w:hyperlink>
    </w:p>
    <w:p>
      <w:pPr>
        <w:spacing w:before="0" w:after="80"/>
      </w:pPr>
      <w:r>
        <w:rPr>
          <w:i/>
          <w:sz w:val="20"/>
        </w:rPr>
        <w:t>EN: [ASAP] Correction to “Tuning the Directional Solubility of Ionic Liquids through Multicomponent Ions for Low-Temperature Desalination”</w:t>
      </w:r>
    </w:p>
    <w:p>
      <w:pPr>
        <w:spacing w:before="0" w:after="120"/>
      </w:pPr>
      <w:r>
        <w:rPr>
          <w:b/>
        </w:rPr>
        <w:t xml:space="preserve">Source: </w:t>
      </w:r>
      <w:r>
        <w:t>Journal of the American Chemical Society: Latest Articles (ACS Publications)</w:t>
      </w:r>
      <w:r>
        <w:t xml:space="preserve">    </w:t>
      </w:r>
      <w:r>
        <w:rPr>
          <w:b/>
        </w:rPr>
        <w:t xml:space="preserve">Pub date: </w:t>
      </w:r>
      <w:r>
        <w:t>2026-05-05 14:04:32+00:00</w:t>
      </w:r>
      <w:r>
        <w:t xml:space="preserve">    </w:t>
      </w:r>
      <w:r>
        <w:rPr>
          <w:b/>
        </w:rPr>
        <w:t xml:space="preserve">DOI: </w:t>
      </w:r>
      <w:hyperlink r:id="rId602">
        <w:r>
          <w:rPr>
            <w:color w:val="1155CC"/>
            <w:u w:val="single"/>
          </w:rPr>
          <w:t>10.1021/jacs.6c04681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603">
        <w:r>
          <w:rPr>
            <w:color w:val="1155CC"/>
            <w:u w:val="single"/>
          </w:rPr>
          <w:t>[ASAP] 可编程单链DNA层作为电催化界面纳米尺度pH的调节器</w:t>
        </w:r>
      </w:hyperlink>
    </w:p>
    <w:p>
      <w:pPr>
        <w:spacing w:before="0" w:after="80"/>
      </w:pPr>
      <w:r>
        <w:rPr>
          <w:i/>
          <w:sz w:val="20"/>
        </w:rPr>
        <w:t>EN: [ASAP] Programmable Single-Stranded DNA Layers as Modulators of Nanoscale pH at Electrocatalytic Interfaces</w:t>
      </w:r>
    </w:p>
    <w:p>
      <w:pPr>
        <w:spacing w:before="0" w:after="120"/>
      </w:pPr>
      <w:r>
        <w:rPr>
          <w:b/>
        </w:rPr>
        <w:t xml:space="preserve">Source: </w:t>
      </w:r>
      <w:r>
        <w:t>Journal of the American Chemical Society: Latest Articles (ACS Publications)</w:t>
      </w:r>
      <w:r>
        <w:t xml:space="preserve">    </w:t>
      </w:r>
      <w:r>
        <w:rPr>
          <w:b/>
        </w:rPr>
        <w:t xml:space="preserve">Pub date: </w:t>
      </w:r>
      <w:r>
        <w:t>2026-05-05 14:18:12+00:00</w:t>
      </w:r>
      <w:r>
        <w:t xml:space="preserve">    </w:t>
      </w:r>
      <w:r>
        <w:rPr>
          <w:b/>
        </w:rPr>
        <w:t xml:space="preserve">DOI: </w:t>
      </w:r>
      <w:hyperlink r:id="rId604">
        <w:r>
          <w:rPr>
            <w:color w:val="1155CC"/>
            <w:u w:val="single"/>
          </w:rPr>
          <w:t>10.1021/jacs.6c02995</w:t>
        </w:r>
      </w:hyperlink>
    </w:p>
    <w:p>
      <w:pPr>
        <w:spacing w:before="0" w:after="120"/>
      </w:pPr>
      <w:r>
        <w:rPr>
          <w:b/>
        </w:rPr>
        <w:t xml:space="preserve">Notes: </w:t>
      </w:r>
      <w:r>
        <w:t>abstract_source=openalex</w:t>
      </w:r>
    </w:p>
    <w:p>
      <w:pPr>
        <w:spacing w:before="0" w:after="80" w:lineRule="auto" w:line="276"/>
      </w:pPr>
      <w:r>
        <w:rPr>
          <w:b/>
        </w:rPr>
        <w:t xml:space="preserve">摘要（ZH）: </w:t>
      </w:r>
      <w:r>
        <w:t>积累或补充强烈依赖于碱基配对相互作用。我们的结果表明，ssDNA作为工程纳米级反应环境的可编程平台，并提出了电催化中离聚物样架构的设计原则。</w:t>
      </w:r>
    </w:p>
    <w:p>
      <w:pPr>
        <w:spacing w:before="0" w:after="200" w:lineRule="auto" w:line="276"/>
      </w:pPr>
      <w:r>
        <w:rPr>
          <w:b/>
        </w:rPr>
        <w:t xml:space="preserve">Abstract (EN): </w:t>
      </w:r>
      <w:r>
        <w:t>buildup or replenishment strongly dependent on base-pairing interactions. Our results suggest ssDNA as a programmable platform for engineering nanoscale reaction environments and propose design principles for ionomer-like architectures in electrocatalysis.</w:t>
      </w:r>
    </w:p>
    <w:p>
      <w:pPr>
        <w:spacing w:before="120" w:after="120"/>
      </w:pPr>
      <w:r>
        <w:rPr>
          <w:sz w:val="18"/>
        </w:rPr>
        <w:t>——————————————————————————————————————————————————————————————————————</w:t>
      </w:r>
    </w:p>
    <w:p>
      <w:pPr>
        <w:spacing w:before="160" w:after="40" w:line="240" w:lineRule="auto"/>
      </w:pPr>
      <w:r>
        <w:rPr>
          <w:b/>
        </w:rPr>
        <w:t xml:space="preserve">[242] </w:t>
      </w:r>
      <w:hyperlink r:id="rId605">
        <w:r>
          <w:rPr>
            <w:color w:val="1155CC"/>
            <w:u w:val="single"/>
          </w:rPr>
          <w:t>[ASAP] 用于检测和区分全氟辛酸前体的印迹和报告传感器阵列的开发</w:t>
        </w:r>
      </w:hyperlink>
    </w:p>
    <w:p>
      <w:pPr>
        <w:spacing w:before="0" w:after="80"/>
      </w:pPr>
      <w:r>
        <w:rPr>
          <w:i/>
          <w:sz w:val="20"/>
        </w:rPr>
        <w:t>EN: [ASAP] Development of an Imprint-and-Report Sensor Array for Detection and Differentiation of Perfluorooctanoic Acid Precursors</w:t>
      </w:r>
    </w:p>
    <w:p>
      <w:pPr>
        <w:spacing w:before="0" w:after="120"/>
      </w:pPr>
      <w:r>
        <w:rPr>
          <w:b/>
        </w:rPr>
        <w:t xml:space="preserve">Source: </w:t>
      </w:r>
      <w:r>
        <w:t>Journal of the American Chemical Society: Latest Articles (ACS Publications)</w:t>
      </w:r>
      <w:r>
        <w:t xml:space="preserve">    </w:t>
      </w:r>
      <w:r>
        <w:rPr>
          <w:b/>
        </w:rPr>
        <w:t xml:space="preserve">Pub date: </w:t>
      </w:r>
      <w:r>
        <w:t>2026-05-05 14:58:40+00:00</w:t>
      </w:r>
      <w:r>
        <w:t xml:space="preserve">    </w:t>
      </w:r>
      <w:r>
        <w:rPr>
          <w:b/>
        </w:rPr>
        <w:t xml:space="preserve">DOI: </w:t>
      </w:r>
      <w:hyperlink r:id="rId606">
        <w:r>
          <w:rPr>
            <w:color w:val="1155CC"/>
            <w:u w:val="single"/>
          </w:rPr>
          <w:t>10.1021/jacs.5c22669</w:t>
        </w:r>
      </w:hyperlink>
    </w:p>
    <w:p>
      <w:pPr>
        <w:spacing w:before="0" w:after="120"/>
      </w:pPr>
      <w:r>
        <w:rPr>
          <w:b/>
        </w:rPr>
        <w:t xml:space="preserve">Notes: </w:t>
      </w:r>
      <w:r>
        <w:t>abstract_source=pubmed</w:t>
      </w:r>
    </w:p>
    <w:p>
      <w:pPr>
        <w:spacing w:before="0" w:after="80" w:lineRule="auto" w:line="276"/>
      </w:pPr>
      <w:r>
        <w:rPr>
          <w:b/>
        </w:rPr>
        <w:t xml:space="preserve">摘要（ZH）: </w:t>
      </w:r>
      <w:r>
        <w:t>全氟辛酸（PFOA）前体是一类化合物，通常通过水成膜泡沫（AFFFs）释放到环境中，并已知会分解成PFOA。PFOA是使用最广泛的全氟和多氟烷基物质（PFAS）之一，这是一类高度持久的合成化学品。通过环境污染接触PFOA已与多种健康问题相关联，而来自AFFFs的前体是PFOA污染的来源。尽管PFOA前体通常不被考虑，但研究表明它们对PFOA污染的总体水平有贡献，这意味着检测它们的能力对于从环境中去除PFOA很重要。然而，PFOA前体的检测仅限于质谱方法，这些方法昂贵且耗时。虽然已经为PFOA开发了更高通量的方法，但尚未报道用于PFOA前体的高通量传感平台。为了解决这个问题，我们开发了一种荧光传感器平台，用于检测和区分三种特定的PFOA前体，既能相互区分，也能与PFOA本身区分。我们证明，由二硫醇单体组成并以溶剂变色荧光团为模板的动态组合库（DCLs）可以用于形成传感器阵列，在低纳摩尔、环境相关浓度下实现这种检测和区分。我们可以区分各个PFOA前体以及不同链长的全氟烷基羧酸、不同比例的混合物。</w:t>
      </w:r>
    </w:p>
    <w:p>
      <w:pPr>
        <w:spacing w:before="0" w:after="200" w:lineRule="auto" w:line="276"/>
      </w:pPr>
      <w:r>
        <w:rPr>
          <w:b/>
        </w:rPr>
        <w:t xml:space="preserve">Abstract (EN): </w:t>
      </w:r>
      <w:r>
        <w:t>Perfluorooctanoic acid (PFOA) precursors are a class of compounds that are commonly released into the environment through aqueous film-forming foams (AFFFs) and are known to decompose into PFOA. PFOA is one of the most used per- and polyfluoroalkyl substances (PFAS), a class of highly persistent synthetic chemicals. Exposure to PFOA through environmental contamination has been linked to a variety of health concerns, and precursors from AFFFs are sources of PFOA contamination. Although PFOA precursors are often not considered, studies have demonstrated that they contribute to the overall levels of PFOA contamination, meaning that the ability to detect them is important for removing PFOA from the environment. However, the detection of PFOA precursors is limited to mass spectrometry methods, which are expensive and time-consuming. While higher-throughput methods have been developed for PFOA, no high-throughput sensing platforms have been reported for PFOA precursors. To address this problem, we developed a fluorescent sensor platform for detection and differentiation of three specific PFOA precursors, both from each other and from PFOA itself. We demonstrate that dynamic combinatorial libraries (DCLs) made up of dithiol monomers and templated with a solvatochromic fluorophore can be used to form a sensor array that achieves this detection and differentiation at low nanomolar, environmentally relevant concentrations. We can discriminate individual PFOA precursors from each other and perfluoroalkyl carboxylic acids of varying chain lengths, mixtures of varying ratios of the precursor to PFOA, and use our system in complex samples extracted from soil spiked with the precursors. To our knowledge, this is the first report of a fluorescence-based method for the detection and differentiation of PFOA precursors.</w:t>
      </w:r>
    </w:p>
    <w:p>
      <w:pPr>
        <w:spacing w:before="120" w:after="120"/>
      </w:pPr>
      <w:r>
        <w:rPr>
          <w:sz w:val="18"/>
        </w:rPr>
        <w:t>——————————————————————————————————————————————————————————————————————</w:t>
      </w:r>
    </w:p>
    <w:p>
      <w:pPr>
        <w:spacing w:before="160" w:after="40" w:line="240" w:lineRule="auto"/>
      </w:pPr>
      <w:r>
        <w:rPr>
          <w:b/>
        </w:rPr>
        <w:t xml:space="preserve">[243] </w:t>
      </w:r>
      <w:hyperlink r:id="rId607">
        <w:r>
          <w:rPr>
            <w:color w:val="1155CC"/>
            <w:u w:val="single"/>
          </w:rPr>
          <w:t>Zn-Salen COFs中供体-受体纳米域的工程增强了氧和吲哚啉的高效耦合光氧化还原</w:t>
        </w:r>
      </w:hyperlink>
    </w:p>
    <w:p>
      <w:pPr>
        <w:spacing w:before="0" w:after="80"/>
      </w:pPr>
      <w:r>
        <w:rPr>
          <w:i/>
          <w:sz w:val="20"/>
        </w:rPr>
        <w:t>EN: Engineering of Donor‐Acceptor Nanodomains in Zn‐Salen COFs Enhances Efficient Coupling Photoredox of Oxygen and Indoline</w:t>
      </w:r>
    </w:p>
    <w:p>
      <w:pPr>
        <w:spacing w:before="0" w:after="120"/>
      </w:pPr>
      <w:r>
        <w:rPr>
          <w:b/>
        </w:rPr>
        <w:t xml:space="preserve">Source: </w:t>
      </w:r>
      <w:r>
        <w:t>Wiley: Angewandte Chemie International Edition: Table of Contents</w:t>
      </w:r>
      <w:r>
        <w:t xml:space="preserve">    </w:t>
      </w:r>
      <w:r>
        <w:rPr>
          <w:b/>
        </w:rPr>
        <w:t xml:space="preserve">Pub date: </w:t>
      </w:r>
      <w:r>
        <w:t>2026-05-05 16:35:54+00:00</w:t>
      </w:r>
      <w:r>
        <w:t xml:space="preserve">    </w:t>
      </w:r>
      <w:r>
        <w:rPr>
          <w:b/>
        </w:rPr>
        <w:t xml:space="preserve">DOI: </w:t>
      </w:r>
      <w:hyperlink r:id="rId608">
        <w:r>
          <w:rPr>
            <w:color w:val="1155CC"/>
            <w:u w:val="single"/>
          </w:rPr>
          <w:t>10.1002/anie.6114787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氧与有机底物（如吲哚啉）的光催化偶联代表了一种可持续的太阳能转化为化学能的策略。然而，设计高效的有机光催化剂仍然是一个重大挑战。在此，通过将相同的Zn-Salen受体单元与不同的电子供体连接器（包括乙二胺（EN）、1,2-苯二胺（PD）和2,3,6,7,10,11-六氨基三苯并吡啶（HATP））结合，合成了三个具有可调供体-受体（D-A）纳米域的Zn-Salen共价有机框架（COFs，Zn-Salen-EN、-PD和-HATP）。其中，Zn-Salen-PD在O</w:t>
      </w:r>
      <w:r>
        <w:rPr>
          <w:vertAlign w:val="subscript"/>
        </w:rPr>
        <w:t>2</w:t>
      </w:r>
      <w:r>
        <w:t>的两电子光还原（2e</w:t>
      </w:r>
      <w:r>
        <w:t xml:space="preserve"> </w:t>
      </w:r>
      <w:r>
        <w:t>−</w:t>
      </w:r>
      <w:r>
        <w:t>ORR）中表现出最佳活性，以26 700 µmol g</w:t>
      </w:r>
      <w:r>
        <w:t xml:space="preserve"> </w:t>
      </w:r>
      <w:r>
        <w:t>cat</w:t>
      </w:r>
      <w:r>
        <w:t xml:space="preserve"> </w:t>
      </w:r>
      <w:r>
        <w:t>−1</w:t>
      </w:r>
      <w:r>
        <w:t xml:space="preserve"> </w:t>
      </w:r>
      <w:r>
        <w:t>h</w:t>
      </w:r>
      <w:r>
        <w:t xml:space="preserve"> </w:t>
      </w:r>
      <w:r>
        <w:t>−1</w:t>
      </w:r>
      <w:r>
        <w:t xml:space="preserve"> </w:t>
      </w:r>
      <w:r>
        <w:t>的速率生成过氧化氢（H</w:t>
      </w:r>
      <w:r>
        <w:rPr>
          <w:vertAlign w:val="subscript"/>
        </w:rPr>
        <w:t>2</w:t>
      </w:r>
      <w:r>
        <w:t>O</w:t>
      </w:r>
      <w:r>
        <w:rPr>
          <w:vertAlign w:val="subscript"/>
        </w:rPr>
        <w:t>2</w:t>
      </w:r>
      <w:r>
        <w:t>），同时实现高效的光催化吲哚啉脱氢生成吲哚（2e</w:t>
      </w:r>
      <w:r>
        <w:t xml:space="preserve"> </w:t>
      </w:r>
      <w:r>
        <w:t>−</w:t>
      </w:r>
      <w:r>
        <w:t>IND-DR）。Zn-Salen-PD的性能增强源于其最佳的D-A空间排列和定制的能带结构，实现了激子解离、载流子寿命和电子还原能力之间的平衡协同。此外，来自原位光谱和理论计算的机制洞察揭示了ZnN</w:t>
      </w:r>
      <w:r>
        <w:rPr>
          <w:vertAlign w:val="subscript"/>
        </w:rPr>
        <w:t>2</w:t>
      </w:r>
    </w:p>
    <w:p>
      <w:pPr>
        <w:spacing w:before="0" w:after="200" w:lineRule="auto" w:line="276"/>
      </w:pPr>
      <w:r>
        <w:rPr>
          <w:b/>
        </w:rPr>
        <w:t xml:space="preserve">Abstract (EN): </w:t>
      </w:r>
      <w:r>
        <w:t>The photocatalytic coupling of molecular oxygen with organic substrates, such as indoline represents a sustainable solar‐to‐chemical strategy. However, designing highly‐efficient organic photocatalysts still remains a significant challenge. Herein, three Zn‐Salen covalent organic frameworks (COFs, Zn‐Salen‐EN, ‐PD, and ‐HATP) with tunable donor‐acceptor (D‐A) nanodomains were synthesized through combining the same Zn‐Salen acceptor units with different electron‐donating linkers including ethylenediamine (EN), 1,2‐phenylenediamine (PD), and 2,3,6,7,10,11‐hexaaminotriphenylene (HATP). Among them, Zn‐Salen‐PD exhibits best activity for the two‐electron photoreduction of O</w:t>
      </w:r>
      <w:r>
        <w:rPr>
          <w:vertAlign w:val="subscript"/>
        </w:rPr>
        <w:t>2</w:t>
      </w:r>
      <w:r>
        <w:t>(2e</w:t>
      </w:r>
      <w:r>
        <w:t xml:space="preserve"> </w:t>
      </w:r>
      <w:r>
        <w:t>−</w:t>
      </w:r>
      <w:r>
        <w:t>ORR) to produce hydrogen peroxide (H</w:t>
      </w:r>
      <w:r>
        <w:rPr>
          <w:vertAlign w:val="subscript"/>
        </w:rPr>
        <w:t>2</w:t>
      </w:r>
      <w:r>
        <w:t>O</w:t>
      </w:r>
      <w:r>
        <w:rPr>
          <w:vertAlign w:val="subscript"/>
        </w:rPr>
        <w:t>2</w:t>
      </w:r>
      <w:r>
        <w:t>) with a rate of 26 700 µmol g</w:t>
      </w:r>
      <w:r>
        <w:t xml:space="preserve"> </w:t>
      </w:r>
      <w:r>
        <w:t>cat</w:t>
      </w:r>
      <w:r>
        <w:t xml:space="preserve"> </w:t>
      </w:r>
      <w:r>
        <w:t>−1</w:t>
      </w:r>
      <w:r>
        <w:t xml:space="preserve"> </w:t>
      </w:r>
      <w:r>
        <w:t>h</w:t>
      </w:r>
      <w:r>
        <w:t xml:space="preserve"> </w:t>
      </w:r>
      <w:r>
        <w:t>−1</w:t>
      </w:r>
      <w:r>
        <w:t xml:space="preserve"> </w:t>
      </w:r>
      <w:r>
        <w:t>, while simultaneously enabling efficient photocatalytic indoline dehydrogenation to generate indole (2e</w:t>
      </w:r>
      <w:r>
        <w:t xml:space="preserve"> </w:t>
      </w:r>
      <w:r>
        <w:t>−</w:t>
      </w:r>
      <w:r>
        <w:t>IND‐DR). The enhanced performance of Zn‐Salen‐PD stems from its optimal D‐A spatial alignment and a tailored band structure, which achieve a balanced synergy among exciton dissociation, charge carrier lifetime, and electron reduction capability. Moreover, mechanistic insights from in situ spectroscopy and theoretical calculations revealed that ZnN</w:t>
      </w:r>
      <w:r>
        <w:rPr>
          <w:vertAlign w:val="subscript"/>
        </w:rPr>
        <w:t>2</w:t>
      </w:r>
      <w:r>
        <w:t>O</w:t>
      </w:r>
      <w:r>
        <w:rPr>
          <w:vertAlign w:val="subscript"/>
        </w:rPr>
        <w:t>2</w:t>
      </w:r>
      <w:r>
        <w:t>motifs served as efficient Griffith‐type 2e</w:t>
      </w:r>
      <w:r>
        <w:t xml:space="preserve"> </w:t>
      </w:r>
      <w:r>
        <w:t>−</w:t>
      </w:r>
      <w:r>
        <w:t>ORR active centers, while photoinduced holes accumulated on the donor units to drive 2e</w:t>
      </w:r>
      <w:r>
        <w:t xml:space="preserve"> </w:t>
      </w:r>
      <w:r>
        <w:t>−</w:t>
      </w:r>
      <w:r>
        <w:t>IND‐DR. This work demonstrates that the nanoscale engineering of D‐A structures within metal‐COFs offers a powerful strategy for enabling coupled photoredox transformations.</w:t>
      </w:r>
    </w:p>
    <w:p>
      <w:pPr>
        <w:spacing w:before="120" w:after="120"/>
      </w:pPr>
      <w:r>
        <w:rPr>
          <w:sz w:val="18"/>
        </w:rPr>
        <w:t>——————————————————————————————————————————————————————————————————————</w:t>
      </w:r>
    </w:p>
    <w:p>
      <w:pPr>
        <w:spacing w:before="160" w:after="40" w:line="240" w:lineRule="auto"/>
      </w:pPr>
      <w:r>
        <w:rPr>
          <w:b/>
        </w:rPr>
        <w:t xml:space="preserve">[244] </w:t>
      </w:r>
      <w:hyperlink r:id="rId609">
        <w:r>
          <w:rPr>
            <w:color w:val="1155CC"/>
            <w:u w:val="single"/>
          </w:rPr>
          <w:t>[ASAP] 电化学对映选择性钌(II)催化的C–H活化生成对映稳定的吲哚和手性螺吡唑酮</w:t>
        </w:r>
      </w:hyperlink>
    </w:p>
    <w:p>
      <w:pPr>
        <w:spacing w:before="0" w:after="80"/>
      </w:pPr>
      <w:r>
        <w:rPr>
          <w:i/>
          <w:sz w:val="20"/>
        </w:rPr>
        <w:t>EN: [ASAP] Electrochemical Enantioselective Ruthenium(II)-Catalyzed C–H Activations to Atropostable Indoles and Chiral Spiropyrazolones</w:t>
      </w:r>
    </w:p>
    <w:p>
      <w:pPr>
        <w:spacing w:before="0" w:after="120"/>
      </w:pPr>
      <w:r>
        <w:rPr>
          <w:b/>
        </w:rPr>
        <w:t xml:space="preserve">Source: </w:t>
      </w:r>
      <w:r>
        <w:t>Journal of the American Chemical Society: Latest Articles (ACS Publications)</w:t>
      </w:r>
      <w:r>
        <w:t xml:space="preserve">    </w:t>
      </w:r>
      <w:r>
        <w:rPr>
          <w:b/>
        </w:rPr>
        <w:t xml:space="preserve">Pub date: </w:t>
      </w:r>
      <w:r>
        <w:t>2026-05-05 16:44:58+00:00</w:t>
      </w:r>
      <w:r>
        <w:t xml:space="preserve">    </w:t>
      </w:r>
      <w:r>
        <w:rPr>
          <w:b/>
        </w:rPr>
        <w:t xml:space="preserve">DOI: </w:t>
      </w:r>
      <w:hyperlink r:id="rId610">
        <w:r>
          <w:rPr>
            <w:color w:val="1155CC"/>
            <w:u w:val="single"/>
          </w:rPr>
          <w:t>10.1021/jacs.6c01678</w:t>
        </w:r>
      </w:hyperlink>
    </w:p>
    <w:p>
      <w:pPr>
        <w:spacing w:before="0" w:after="120"/>
      </w:pPr>
      <w:r>
        <w:rPr>
          <w:b/>
        </w:rPr>
        <w:t xml:space="preserve">Notes: </w:t>
      </w:r>
      <w:r>
        <w:t>abstract_source=pubmed</w:t>
      </w:r>
    </w:p>
    <w:p>
      <w:pPr>
        <w:spacing w:before="0" w:after="80" w:lineRule="auto" w:line="276"/>
      </w:pPr>
      <w:r>
        <w:rPr>
          <w:b/>
        </w:rPr>
        <w:t xml:space="preserve">摘要（ZH）: </w:t>
      </w:r>
      <w:r>
        <w:t>钌(II)催化以C-H活化的显著多样性为特征；然而，与其他过渡金属相比，对映选择性C-H活化仍然发展不足。同时，有机电合成近年来作为传统氧化还原方法的可持续替代方案引起了相当大的关注。在此，我们披露了一种前所未有的电化学启用的钌(II)催化对映选择性C-H活化策略，以提供对映选择性吲哚以及手性螺唑的多功能途径。该方法结合了钌的氧化还原灵活性与分子电合成的可持续性，以高化学产率和优异的对映选择性交付所需产品，从而为可持续的不对称合成铺平了道路。</w:t>
      </w:r>
    </w:p>
    <w:p>
      <w:pPr>
        <w:spacing w:before="0" w:after="200" w:lineRule="auto" w:line="276"/>
      </w:pPr>
      <w:r>
        <w:rPr>
          <w:b/>
        </w:rPr>
        <w:t xml:space="preserve">Abstract (EN): </w:t>
      </w:r>
      <w:r>
        <w:t>Ruthenium(II) catalysis is characterized by a remarkable diversity in C-H activation; however, compared to other transition metals, enantioselective C-H activations continue to be underdeveloped. Meanwhile, organic electrosynthesis has attracted considerable attention in recent years as a sustainable alternative to traditional redox approaches. Herein, we disclose an unprecedented electrochemistry-enabled ruthenium(II)-catalyzed enantioselective C-H activation strategy to provide versatile access to atroposelective indoles as well as chiral spiroazoles. This approach combines the redox flexibility of ruthenium with the sustainable nature of molecular electrosynthesis, delivering the desired products in high chemical yields with excellent enantioselectivities, thereby paving the way for sustainable asymmetric syntheses.</w:t>
      </w:r>
    </w:p>
    <w:p>
      <w:pPr>
        <w:spacing w:before="120" w:after="120"/>
      </w:pPr>
      <w:r>
        <w:rPr>
          <w:sz w:val="18"/>
        </w:rPr>
        <w:t>——————————————————————————————————————————————————————————————————————</w:t>
      </w:r>
    </w:p>
    <w:p>
      <w:pPr>
        <w:spacing w:before="160" w:after="40" w:line="240" w:lineRule="auto"/>
      </w:pPr>
      <w:r>
        <w:rPr>
          <w:b/>
        </w:rPr>
        <w:t xml:space="preserve">[245] </w:t>
      </w:r>
      <w:hyperlink r:id="rId611">
        <w:r>
          <w:rPr>
            <w:color w:val="1155CC"/>
            <w:u w:val="single"/>
          </w:rPr>
          <w:t>[ASAP] 手性磷酸催化的Mannich型反应中2-羟基亚胺的作用：通过二聚增强反应性和选择性</w:t>
        </w:r>
      </w:hyperlink>
    </w:p>
    <w:p>
      <w:pPr>
        <w:spacing w:before="0" w:after="80"/>
      </w:pPr>
      <w:r>
        <w:rPr>
          <w:i/>
          <w:sz w:val="20"/>
        </w:rPr>
        <w:t>EN: [ASAP] Role of 2-Hydroxyimines in Chiral Phosphoric Acid-Catalyzed Mannich-Type Reactions: Enhancing Reactivity and Selectivity via Dimerization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2026-05-05 16:46:14+00:00</w:t>
      </w:r>
      <w:r>
        <w:t xml:space="preserve">    </w:t>
      </w:r>
      <w:r>
        <w:rPr>
          <w:b/>
        </w:rPr>
        <w:t xml:space="preserve">DOI: </w:t>
      </w:r>
      <w:hyperlink r:id="rId612">
        <w:r>
          <w:rPr>
            <w:color w:val="1155CC"/>
            <w:u w:val="single"/>
          </w:rPr>
          <w:t>10.1021/jacs.5c22497</w:t>
        </w:r>
      </w:hyperlink>
    </w:p>
    <w:p>
      <w:pPr>
        <w:spacing w:before="0" w:after="120"/>
      </w:pPr>
      <w:r>
        <w:rPr>
          <w:b/>
        </w:rPr>
        <w:t xml:space="preserve">Notes: </w:t>
      </w:r>
      <w:r>
        <w:t>abstract_source=pubmed</w:t>
      </w:r>
    </w:p>
    <w:p>
      <w:pPr>
        <w:spacing w:before="0" w:after="80" w:lineRule="auto" w:line="276"/>
      </w:pPr>
      <w:r>
        <w:rPr>
          <w:b/>
        </w:rPr>
        <w:t xml:space="preserve">摘要（ZH）: </w:t>
      </w:r>
      <w:r>
        <w:t>手性磷酸（CPAs）已成为不对称催化的多功能催化剂，能够以高立体选择性转化多种底物。然而，CPA催化反应中较高聚集体的机制作用仍然知之甚少，尽管越来越多的证据表明二聚体和三聚体CPA物种可以促进具有挑战性的转化。该工作提供了全面的实验证据，证明特殊的[CPA/亚胺]2物种在CPA催化的Mannich型反应中显著增强了具有N-2-羟基苯基基团的亚胺的反应性和选择性。通过低温NMR光谱、扩散排序光谱（DOSY）和分子动力学（MD）模拟，我们揭示了具有N-2-羟基苯基基团的亚胺促进了二聚体[CPA/亚胺]2聚集体的形成，而缺乏该基团的亚胺则以单体CPA/亚胺复合物为主。[CPA/亚胺]2的形成在低温和高浓度条件下更为有利。具有足够结构灵活性的二聚体提供了增强的反应性、酸性和选择性。相反，在较高温度下，没有形成[CPA/亚胺]2聚集体，Mannich型反应效率低下。非线性效应分析提供了当前Mannich型反应中不对称放大的证据，证明了聚集物种在反应路径中的参与。总之，这些结果强调了控制催化剂聚集作为优化反应性和选择性的策略的重要性。</w:t>
      </w:r>
    </w:p>
    <w:p>
      <w:pPr>
        <w:spacing w:before="0" w:after="200" w:lineRule="auto" w:line="276"/>
      </w:pPr>
      <w:r>
        <w:rPr>
          <w:b/>
        </w:rPr>
        <w:t xml:space="preserve">Abstract (EN): </w:t>
      </w:r>
      <w:r>
        <w:t>Chiral phosphoric acids (CPAs) have emerged as versatile catalysts for asymmetric catalysis, capable of transforming a wide selection of substrates with high stereoselectivities. However, the mechanistic role of higher aggregates in CPA-catalyzed reactions remains poorly understood, although increasing evidence suggests that dimeric and trimeric CPA species can promote challenging transformations. This work provides comprehensive experimental evidence demonstrating that special [CPA/imine]2 species critically enhance the reactivity and selectivity in CPA-catalyzed Mannich-type reactions with imines bearing an N-2-hydroxyphenyl moiety. Using low-temperature NMR spectroscopy, diffusion-ordered spectroscopy (DOSY), and molecular dynamics (MD) simulations, we revealed that imines with a N-2-hydroxyphenyl moiety promote the formation of dimeric [CPA/imine]2 aggregates, while monomeric CPA/imine complexes dominate, with imines lacking this moiety. [CPA/imine]2 formation is favored under low-temperature and high-concentration conditions. Dimers with sufficient structural flexibility provide enhanced reactivity, acidity, and selectivity. In contrast, at higher temperatures, where no [CPA/imine]2 aggregates are formed, the Mannich-type reaction proceeds inefficiently. A nonlinear effect analysis provided evidence of asymmetric amplification in the present Mannich-type reaction, proving the participation of aggregated species in the reaction pathway. Together, these results highlight the importance of controlling catalyst aggregation as a strategy to optimize the reactivity and selectivity in asymmetric organocatalysis.</w:t>
      </w:r>
    </w:p>
    <w:p>
      <w:pPr>
        <w:spacing w:before="120" w:after="120"/>
      </w:pPr>
      <w:r>
        <w:rPr>
          <w:sz w:val="18"/>
        </w:rPr>
        <w:t>——————————————————————————————————————————————————————————————————————</w:t>
      </w:r>
    </w:p>
    <w:p>
      <w:pPr>
        <w:spacing w:before="160" w:after="40" w:line="240" w:lineRule="auto"/>
      </w:pPr>
      <w:r>
        <w:rPr>
          <w:b/>
        </w:rPr>
        <w:t xml:space="preserve">[246] </w:t>
      </w:r>
      <w:hyperlink r:id="rId613">
        <w:r>
          <w:rPr>
            <w:color w:val="1155CC"/>
            <w:u w:val="single"/>
          </w:rPr>
          <w:t>[ASAP] 共价有机聚合物驱动的Fe–Ni构象自优化用于工业电流密度下的优越氧电催化剂</w:t>
        </w:r>
      </w:hyperlink>
    </w:p>
    <w:p>
      <w:pPr>
        <w:spacing w:before="0" w:after="80"/>
      </w:pPr>
      <w:r>
        <w:rPr>
          <w:i/>
          <w:sz w:val="20"/>
        </w:rPr>
        <w:t>EN: [ASAP] Fe–Ni Conformational Self-Optimization Driven by Covalent Organic Polyemers for Superior Oxygen Electrocatalyts under Industrial-Level Current Densities</w:t>
      </w:r>
    </w:p>
    <w:p>
      <w:pPr>
        <w:spacing w:before="0" w:after="120"/>
      </w:pPr>
      <w:r>
        <w:rPr>
          <w:b/>
        </w:rPr>
        <w:t xml:space="preserve">Source: </w:t>
      </w:r>
      <w:r>
        <w:t>Journal of the American Chemical Society: Latest Articles (ACS Publications)</w:t>
      </w:r>
      <w:r>
        <w:t xml:space="preserve">    </w:t>
      </w:r>
      <w:r>
        <w:rPr>
          <w:b/>
        </w:rPr>
        <w:t xml:space="preserve">Pub date: </w:t>
      </w:r>
      <w:r>
        <w:t>2026-05-05 17:10:27+00:00</w:t>
      </w:r>
      <w:r>
        <w:t xml:space="preserve">    </w:t>
      </w:r>
      <w:r>
        <w:rPr>
          <w:b/>
        </w:rPr>
        <w:t xml:space="preserve">DOI: </w:t>
      </w:r>
      <w:hyperlink r:id="rId614">
        <w:r>
          <w:rPr>
            <w:color w:val="1155CC"/>
            <w:u w:val="single"/>
          </w:rPr>
          <w:t>10.1021/jacs.5c20332</w:t>
        </w:r>
      </w:hyperlink>
    </w:p>
    <w:p>
      <w:pPr>
        <w:spacing w:before="0" w:after="120"/>
      </w:pPr>
      <w:r>
        <w:rPr>
          <w:b/>
        </w:rPr>
        <w:t xml:space="preserve">Notes: </w:t>
      </w:r>
      <w:r>
        <w:t>abstract_source=pubmed</w:t>
      </w:r>
    </w:p>
    <w:p>
      <w:pPr>
        <w:spacing w:before="0" w:after="80" w:lineRule="auto" w:line="276"/>
      </w:pPr>
      <w:r>
        <w:rPr>
          <w:b/>
        </w:rPr>
        <w:t xml:space="preserve">摘要（ZH）: </w:t>
      </w:r>
      <w:r>
        <w:t>具有空间分离的氧还原反应（ORR）和氧析出反应（OER）位点的优良双相催化剂为高效锌空气电池（ZABs）提供了巨大潜力。然而，界面之间的弱相互作用和差的电子传输严重降低了其在工业电流密度下的活性和稳定性。在此，我们通过将Ni-OH锚定在COPBTC(Fe)的第二壳层的吡啶N4原子上，设计了一个独特的Fe-Ni双功能中心，并进一步揭示了Fe-N4+4/Ni-OH界面结构的自重构机制。理论揭示，当Fe-N键被拉伸1.57%和Ni-O键被压缩3.83%时，Fe-Ni活性位点的状态电子密度增加，降低了ORR/OER速率决定步骤的能量障碍。此外，锚定的双相位点稳定了金属中心并抑制了金属溶解。自优化的COPBTC(Fe-Ni)strainOH提供了极低的电压差ΔE = 0.547 V。在20,000次ORR循环和40小时的OER操作后，仍然优于基准Pt/C-IrO2。此外，在工业电流密度（100 mA cm-2）下，其ZABs的循环稳定性比原始结构高出4倍，为ZABs的实际应用提供了新的可能性。</w:t>
      </w:r>
    </w:p>
    <w:p>
      <w:pPr>
        <w:spacing w:before="0" w:after="200" w:lineRule="auto" w:line="276"/>
      </w:pPr>
      <w:r>
        <w:rPr>
          <w:b/>
        </w:rPr>
        <w:t xml:space="preserve">Abstract (EN): </w:t>
      </w:r>
      <w:r>
        <w:t>Excellent dual-phase catalysts with spatially separated oxygen reduction reaction (ORR) and oxygen evolution reaction (OER) sites offer great potential for high-efficiency zinc-air batteries (ZABs). However, weak interactions between interfaces and poor electron transfer severely degrade their activity and stability at industrial current densities. Here, we engineer a unique Fe-Ni bifunctional center by anchoring Ni-OH onto the pyridine N4 atoms of the second shell of COPBTC(Fe) and further reveal the self-reconstruction mechanism of the Fe-N4+4/Ni-OH interfacial structure. Theories reveal that when the Fe-N bond is stretched by 1.57% and the Ni-O bond is compressed by 3.83%, the increase in the state electron density of the Fe-Ni active site reduces the ORR/OER rate-determining step energy barrier. Furthermore, the anchoring dual-phase sites stabilize the metal center and suppress metal dissolution. The self-optimized COPBTC(Fe-Ni)strainOH provides an extremely low voltage gap ΔE = 0.547 V. After 20,000 ORR cycles and 40 h of OER operation at 100 mA cm-2, it still outperforms the benchmark Pt/C-IrO2. Furthermore, at an industrial current density (100 mA cm-2), its ZABs exhibit a 4-fold higher cycling stability than the original structure, providing a new possibility for the practical application of ZABs.</w:t>
      </w:r>
    </w:p>
    <w:p>
      <w:pPr>
        <w:spacing w:before="120" w:after="120"/>
      </w:pPr>
      <w:r>
        <w:rPr>
          <w:sz w:val="18"/>
        </w:rPr>
        <w:t>——————————————————————————————————————————————————————————————————————</w:t>
      </w:r>
    </w:p>
    <w:p>
      <w:pPr>
        <w:spacing w:before="160" w:after="40" w:line="240" w:lineRule="auto"/>
      </w:pPr>
      <w:r>
        <w:rPr>
          <w:b/>
        </w:rPr>
        <w:t xml:space="preserve">[247] </w:t>
      </w:r>
      <w:hyperlink r:id="rId615">
        <w:r>
          <w:rPr>
            <w:color w:val="1155CC"/>
            <w:u w:val="single"/>
          </w:rPr>
          <w:t>[ASAP] 通过次相工程平衡镁合金阳极中的反应性和离子传输</w:t>
        </w:r>
      </w:hyperlink>
    </w:p>
    <w:p>
      <w:pPr>
        <w:spacing w:before="0" w:after="80"/>
      </w:pPr>
      <w:r>
        <w:rPr>
          <w:i/>
          <w:sz w:val="20"/>
        </w:rPr>
        <w:t>EN: [ASAP] Balancing Reactivity and Ion Transport in Mg Alloy Anodes via Secondary-Phase Engineering</w:t>
      </w:r>
    </w:p>
    <w:p>
      <w:pPr>
        <w:spacing w:before="0" w:after="120"/>
      </w:pPr>
      <w:r>
        <w:rPr>
          <w:b/>
        </w:rPr>
        <w:t xml:space="preserve">Source: </w:t>
      </w:r>
      <w:r>
        <w:t>ACS Energy Letters: Latest Articles (ACS Publications)</w:t>
      </w:r>
      <w:r>
        <w:t xml:space="preserve">    </w:t>
      </w:r>
      <w:r>
        <w:rPr>
          <w:b/>
        </w:rPr>
        <w:t xml:space="preserve">Pub date: </w:t>
      </w:r>
      <w:r>
        <w:t>2026-05-05 17:11:02+00:00</w:t>
      </w:r>
      <w:r>
        <w:t xml:space="preserve">    </w:t>
      </w:r>
      <w:r>
        <w:rPr>
          <w:b/>
        </w:rPr>
        <w:t xml:space="preserve">DOI: </w:t>
      </w:r>
      <w:hyperlink r:id="rId616">
        <w:r>
          <w:rPr>
            <w:color w:val="1155CC"/>
            <w:u w:val="single"/>
          </w:rPr>
          <w:t>10.1021/acsenergylett.6c00909</w:t>
        </w:r>
      </w:hyperlink>
    </w:p>
    <w:p>
      <w:pPr>
        <w:spacing w:before="0" w:after="120"/>
      </w:pPr>
      <w:r>
        <w:rPr>
          <w:b/>
        </w:rPr>
        <w:t xml:space="preserve">Notes: </w:t>
      </w:r>
      <w:r>
        <w:t>abstract_source=openalex</w:t>
      </w:r>
    </w:p>
    <w:p>
      <w:pPr>
        <w:spacing w:before="0" w:after="80" w:lineRule="auto" w:line="276"/>
      </w:pPr>
      <w:r>
        <w:rPr>
          <w:b/>
        </w:rPr>
        <w:t xml:space="preserve">摘要（ZH）: </w:t>
      </w:r>
      <w:r>
        <w:t>固态电池受到界面权衡的限制：界面反应是建立离子传输路径所必需的，但过度反应会导致钝化和极化。在此，我们通过整合界面能、相对相电势差和微观结构渗透，建立了一个用于异质金属阳极的描述符引导框架。该框架识别出Mg2Sn为最佳的二次相，具有−0.55 J m–2的界面形成能和适度正的相对相电势差，这两者共同实现了可控的界面反应性。一个渗透的Mg2Sn网络与连续的α-Mg路径一起提供了比纯Mg高出400倍的剥离电流，并在0.1 mA cm–2下稳定剥离/电镀超过1300小时，代表了固态Mg金属阳极的记录循环性能。该描述符集为固态电池中的二次相工程提供了一个通用框架。</w:t>
      </w:r>
    </w:p>
    <w:p>
      <w:pPr>
        <w:spacing w:before="0" w:after="200" w:lineRule="auto" w:line="276"/>
      </w:pPr>
      <w:r>
        <w:rPr>
          <w:b/>
        </w:rPr>
        <w:t xml:space="preserve">Abstract (EN): </w:t>
      </w:r>
      <w:r>
        <w:t>Solid-state batteries are limited by an interfacial trade-off: interfacial reactions are necessary to establish ion-transport pathways, yet excessive reactions lead to passivation and polarization. Here, we establish a descriptor-guided framework for heterogeneous metal anodes by integrating interfacial energy, phase-to-phase Volta potential difference, and microstructural percolation. This framework identifies Mg2Sn as the optimal secondary phase, with an interfacial formation energy of −0.55 J m–2 and a moderately positive phase-to-phase Volta potential difference that together enable controlled interfacial reactivity. A percolated Mg2Sn network together with continuous α-Mg pathways delivers a stripping current more than 400 times that of pure Mg and stable stripping/plating for over 1300 h at 0.1 mA cm–2, representing a record cycling performance for solid-state Mg metal anodes. This descriptor set provides a general framework for secondary-phase engineering in solid-state batteries.</w:t>
      </w:r>
    </w:p>
    <w:p>
      <w:pPr>
        <w:spacing w:before="120" w:after="120"/>
      </w:pPr>
      <w:r>
        <w:rPr>
          <w:sz w:val="18"/>
        </w:rPr>
        <w:t>——————————————————————————————————————————————————————————————————————</w:t>
      </w:r>
    </w:p>
    <w:p>
      <w:pPr>
        <w:spacing w:before="160" w:after="40" w:line="240" w:lineRule="auto"/>
      </w:pPr>
      <w:r>
        <w:rPr>
          <w:b/>
        </w:rPr>
        <w:t xml:space="preserve">[248] </w:t>
      </w:r>
      <w:hyperlink r:id="rId617">
        <w:r>
          <w:rPr>
            <w:color w:val="1155CC"/>
            <w:u w:val="single"/>
          </w:rPr>
          <w:t>[ASAP] 铱催化的碳正离子前体的不对称加氢通过Wagner–Meerwein重排</w:t>
        </w:r>
      </w:hyperlink>
    </w:p>
    <w:p>
      <w:pPr>
        <w:spacing w:before="0" w:after="80"/>
      </w:pPr>
      <w:r>
        <w:rPr>
          <w:i/>
          <w:sz w:val="20"/>
        </w:rPr>
        <w:t>EN: [ASAP] Iridium-Catalyzed Asymmetric Hydrogenation of Carbocation Precursors via Wagner–Meerwein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2026-05-05 17:19:21+00:00</w:t>
      </w:r>
      <w:r>
        <w:t xml:space="preserve">    </w:t>
      </w:r>
      <w:r>
        <w:rPr>
          <w:b/>
        </w:rPr>
        <w:t xml:space="preserve">DOI: </w:t>
      </w:r>
      <w:hyperlink r:id="rId618">
        <w:r>
          <w:rPr>
            <w:color w:val="1155CC"/>
            <w:u w:val="single"/>
          </w:rPr>
          <w:t>10.1021/jacs.6c01858</w:t>
        </w:r>
      </w:hyperlink>
    </w:p>
    <w:p>
      <w:pPr>
        <w:spacing w:before="0" w:after="120"/>
      </w:pPr>
      <w:r>
        <w:rPr>
          <w:b/>
        </w:rPr>
        <w:t xml:space="preserve">Notes: </w:t>
      </w:r>
      <w:r>
        <w:t>abstract_source=pubmed</w:t>
      </w:r>
    </w:p>
    <w:p>
      <w:pPr>
        <w:spacing w:before="0" w:after="80" w:lineRule="auto" w:line="276"/>
      </w:pPr>
      <w:r>
        <w:rPr>
          <w:b/>
        </w:rPr>
        <w:t xml:space="preserve">摘要（ZH）: </w:t>
      </w:r>
      <w:r>
        <w:t>碳正离子重排是一种将简单前体转化为复杂分子骨架的强大工具。然而，控制涉及碳正离子重排的反应的立体选择性具有挑战性，仍然难以实现。在本研究中，我们展示了一种新颖的铱催化Wagner-Meerwein重排和碳正离子前体（1-(芳基)-1-(1-甲基环丁基/环戊基)乙醇）的不对称氢化，用于合成各种光学活性gem-二甲基环烷烃。因此，光学纯的gem-二甲基化合物是许多天然产物中的重要结构，有些是FDA批准的药物。我们的方法从铱催化的三级醇的形式脱氧开始，生成触发Wagner-Meerwein重排的三级碳正离子，通过环扩展和烷基迁移级联反应生成稳定的三级-苄基碳正离子。顺序烯化和原位不对称氢化提供了获得各种gem-二甲基手性环烷烃的途径，具有优异的产率（&gt; 99%）和对映选择性（ee高达&gt; 99%）。否则，在常规方法下，在一个饱和的环状烃中建立高产率和对映选择性，且邻近一个空间位阻大的gem-二甲基基团是不可能的。</w:t>
      </w:r>
    </w:p>
    <w:p>
      <w:pPr>
        <w:spacing w:before="0" w:after="200" w:lineRule="auto" w:line="276"/>
      </w:pPr>
      <w:r>
        <w:rPr>
          <w:b/>
        </w:rPr>
        <w:t xml:space="preserve">Abstract (EN): </w:t>
      </w:r>
      <w:r>
        <w:t>Carbocation rearrangement is a powerful tool for converting a simple precursor into a complex molecular scaffold. However, controlling the stereoselectivity of a reaction that involves carbocation rearrangement is challenging and remains elusive. In this study, we demonstrate a novel iridium-catalyzed Wagner-Meerwein rearrangement and asymmetric hydrogenation of carbocation precursors (1-(aryl)-1-(1-methylcyclobutyl/cyclopentyl) ethan-1-ol) for the synthesis of various optically active gem-dimethyl cycloalkanes. Hence, enantiopure gem-dimethyl-containing compounds are important motifs found in many natural products, and some are FDA-approved drugs. Our methodology starts with an iridium-catalyzed formal deoxygenation of tertiary alcohols to generate a tertiary carbocation that triggers the Wagner-Meerwein rearrangement via the ring expansion and alkyl migration cascade to furnish a stable tertiary-benzyl carbocation. Sequential olefination and in situ asymmetric hydrogenation provide access to various gem-dimethyl chiral cycloalkanes in excellent yield (&gt; 99%) and enantioselectivity (ee up to &gt; 99%). Otherwise, establishing a high yield and enantioselectivity in a saturated cyclic hydrocarbon next to a sterically hindered gem-dimethyl group would not be possible by conventional methods.</w:t>
      </w:r>
    </w:p>
    <w:p>
      <w:pPr>
        <w:spacing w:before="120" w:after="120"/>
      </w:pPr>
      <w:r>
        <w:rPr>
          <w:sz w:val="18"/>
        </w:rPr>
        <w:t>——————————————————————————————————————————————————————————————————————</w:t>
      </w:r>
    </w:p>
    <w:p>
      <w:pPr>
        <w:spacing w:before="160" w:after="40" w:line="240" w:lineRule="auto"/>
      </w:pPr>
      <w:r>
        <w:rPr>
          <w:b/>
        </w:rPr>
        <w:t xml:space="preserve">[249] </w:t>
      </w:r>
      <w:hyperlink r:id="rId619">
        <w:r>
          <w:rPr>
            <w:color w:val="1155CC"/>
            <w:u w:val="single"/>
          </w:rPr>
          <w:t>[ASAP] MAX相的电化学充电及其储氢机制</w:t>
        </w:r>
      </w:hyperlink>
    </w:p>
    <w:p>
      <w:pPr>
        <w:spacing w:before="0" w:after="80"/>
      </w:pPr>
      <w:r>
        <w:rPr>
          <w:i/>
          <w:sz w:val="20"/>
        </w:rPr>
        <w:t>EN: [ASAP] Electrochemical Charging of MAX Phases and Their Hydrogen Storage Mechanisms</w:t>
      </w:r>
    </w:p>
    <w:p>
      <w:pPr>
        <w:spacing w:before="0" w:after="120"/>
      </w:pPr>
      <w:r>
        <w:rPr>
          <w:b/>
        </w:rPr>
        <w:t xml:space="preserve">Source: </w:t>
      </w:r>
      <w:r>
        <w:t>ACS Energy Letters: Latest Articles (ACS Publications)</w:t>
      </w:r>
      <w:r>
        <w:t xml:space="preserve">    </w:t>
      </w:r>
      <w:r>
        <w:rPr>
          <w:b/>
        </w:rPr>
        <w:t xml:space="preserve">Pub date: </w:t>
      </w:r>
      <w:r>
        <w:t>2026-05-05 17:39:21+00:00</w:t>
      </w:r>
      <w:r>
        <w:t xml:space="preserve">    </w:t>
      </w:r>
      <w:r>
        <w:rPr>
          <w:b/>
        </w:rPr>
        <w:t xml:space="preserve">DOI: </w:t>
      </w:r>
      <w:hyperlink r:id="rId620">
        <w:r>
          <w:rPr>
            <w:color w:val="1155CC"/>
            <w:u w:val="single"/>
          </w:rPr>
          <w:t>10.1021/acsenergylett.6c00594</w:t>
        </w:r>
      </w:hyperlink>
    </w:p>
    <w:p>
      <w:pPr>
        <w:spacing w:before="0" w:after="120"/>
      </w:pPr>
      <w:r>
        <w:rPr>
          <w:b/>
        </w:rPr>
        <w:t xml:space="preserve">Notes: </w:t>
      </w:r>
      <w:r>
        <w:t>abstract_source=openalex</w:t>
      </w:r>
    </w:p>
    <w:p>
      <w:pPr>
        <w:spacing w:before="0" w:after="80" w:lineRule="auto" w:line="276"/>
      </w:pPr>
      <w:r>
        <w:rPr>
          <w:b/>
        </w:rPr>
        <w:t xml:space="preserve">摘要（ZH）: </w:t>
      </w:r>
      <w:r>
        <w:t>MAX相，层状三元过渡金属碳化物/氮化物，被提议作为固态氢储存材料，提供可调的内在捕获位点，得益于其独特的原子层状结构；然而，实验验证仍然有限。在此，我们对Ti2AlC和Ti3AlC2的电化学氢充电进行了系统研究，揭示了氢储存行为与金属/碳化物层的不同比例相关。热脱附光谱（TDS）和循环伏安法（CV）测量揭示了两个不同的氢脱附峰，与中间和深度捕获位点相关。值得注意的是，Ti2AlC在中间捕获中储存了约60%，在深度捕获中储存了约40%，而Ti3AlC2显示出相反的趋势。密度泛函理论（DFT）计算验证了中间和深度捕获位点分别对应于Ti–Al层中的间隙和Ti–C层中的碳空位。这些发现提供了对MAX相中层依赖氢捕获、保留和释放的见解，开辟了通过捕获工程的氢储存在层状材料中的新途径。</w:t>
      </w:r>
    </w:p>
    <w:p>
      <w:pPr>
        <w:spacing w:before="0" w:after="200" w:lineRule="auto" w:line="276"/>
      </w:pPr>
      <w:r>
        <w:rPr>
          <w:b/>
        </w:rPr>
        <w:t xml:space="preserve">Abstract (EN): </w:t>
      </w:r>
      <w:r>
        <w:t>MAX phases, layered ternary transition metal carbides/nitrides, are proposed as solid-state hydrogen storage materials offering tunable intrinsic trapping sites owing to their unique atomically layered structure; however, experimental validation remains limited. Here, we present a systematic investigation of electrochemical hydrogen charging in Ti2AlC and Ti3AlC2, revealing that the hydrogen storage behavior correlates to the different ratios of metal/carbide layers. Thermal desorption spectroscopy (TDS) and cyclic voltammetry (CV) measurements revealed two distinct hydrogen desorption peaks, associated with intermediate and deep trapping sites. Notably, Ti2AlC stored ∼60% in intermediate traps and ∼40% in deep traps, while Ti3AlC2 showed the opposite trend. Density functional theory (DFT) calculations verify that the intermediate and deep trapping sites correspond to interstitials in the Ti–Al layer and carbon vacancies in the Ti–C layer, respectively. These findings provide insight into the layered-dependent hydrogen trapping, retention, and release in MAX phases, opening new pathways toward trap-engineered hydrogen storage in layered materials.</w:t>
      </w:r>
    </w:p>
    <w:p>
      <w:pPr>
        <w:spacing w:before="120" w:after="120"/>
      </w:pPr>
      <w:r>
        <w:rPr>
          <w:sz w:val="18"/>
        </w:rPr>
        <w:t>——————————————————————————————————————————————————————————————————————</w:t>
      </w:r>
    </w:p>
    <w:p>
      <w:pPr>
        <w:spacing w:before="160" w:after="40" w:line="240" w:lineRule="auto"/>
      </w:pPr>
      <w:r>
        <w:rPr>
          <w:b/>
        </w:rPr>
        <w:t xml:space="preserve">[250] </w:t>
      </w:r>
      <w:hyperlink r:id="rId621">
        <w:r>
          <w:rPr>
            <w:color w:val="1155CC"/>
            <w:u w:val="single"/>
          </w:rPr>
          <w:t>[ASAP] 用于19F魔角旋转动态核极化增强NMR光谱的氟化双自由基</w:t>
        </w:r>
      </w:hyperlink>
    </w:p>
    <w:p>
      <w:pPr>
        <w:spacing w:before="0" w:after="80"/>
      </w:pPr>
      <w:r>
        <w:rPr>
          <w:i/>
          <w:sz w:val="20"/>
        </w:rPr>
        <w:t>EN: [ASAP] Fluorinated Biradicals for 19F Magic-Angle Spinning Dynamic Nuclear Polarization-Enhanced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2026-05-05 17:53:38+00:00</w:t>
      </w:r>
      <w:r>
        <w:t xml:space="preserve">    </w:t>
      </w:r>
      <w:r>
        <w:rPr>
          <w:b/>
        </w:rPr>
        <w:t xml:space="preserve">DOI: </w:t>
      </w:r>
      <w:hyperlink r:id="rId622">
        <w:r>
          <w:rPr>
            <w:color w:val="1155CC"/>
            <w:u w:val="single"/>
          </w:rPr>
          <w:t>10.1021/jacs.6c04081</w:t>
        </w:r>
      </w:hyperlink>
    </w:p>
    <w:p>
      <w:pPr>
        <w:spacing w:before="0" w:after="120"/>
      </w:pPr>
      <w:r>
        <w:rPr>
          <w:b/>
        </w:rPr>
        <w:t xml:space="preserve">Notes: </w:t>
      </w:r>
      <w:r>
        <w:t>abstract_source=pubmed</w:t>
      </w:r>
    </w:p>
    <w:p>
      <w:pPr>
        <w:spacing w:before="0" w:after="80" w:lineRule="auto" w:line="276"/>
      </w:pPr>
      <w:r>
        <w:rPr>
          <w:b/>
        </w:rPr>
        <w:t xml:space="preserve">摘要（ZH）: </w:t>
      </w:r>
      <w:r>
        <w:t>动态核极化（DNP）增强固态NMR是一种用于低浓度系统结构研究的强大技术，包括复杂配方和细胞环境中的活性药物成分（API）。当与19F NMR结合时，它提供了一种高度选择性的检测氟原子的方法，氟原子在API中常见，但在赋形剂中通常不存在。然而，19F DNP的更广泛采用受到硬件限制和缺乏优化的极化剂的限制。在本研究中，我们引入了基准双自由基TEKPol和bCTbK的氟化类似物，专门设计用于增强直接19F DNP性能。这些自由基在多种配方中测试了两种模型氟化药物。与其质子化对应物相比，氟化双自由基始终提供更优的增强效果，在溶液中实现高达330倍的信号放大，在商业片剂中实现53倍的放大，并显著减少极化建立时间。这些结果表明，氟化自由基可以显著提高19F DNP NMR的灵敏度和采集速度，使得即使在复杂基质中也能稳健检测API。这项工作为19F DNP在药物分析中的更广泛应用铺平了道路，特别是在探针限制排除通过质子进行间接极化转移的情况下。</w:t>
      </w:r>
    </w:p>
    <w:p>
      <w:pPr>
        <w:spacing w:before="0" w:after="200" w:lineRule="auto" w:line="276"/>
      </w:pPr>
      <w:r>
        <w:rPr>
          <w:b/>
        </w:rPr>
        <w:t xml:space="preserve">Abstract (EN): </w:t>
      </w:r>
      <w:r>
        <w:t>Dynamic nuclear polarization (DNP)-enhanced solid-state NMR is a powerful technique for structural studies of low-concentration systems, including active pharmaceutical ingredients (APIs) in complex formulations and cellular environments. When combined with 19F NMR, it offers a highly selective approach to detect fluorine atoms, which are common in APIs, yet typically absent from excipients. However, the broader adoption of 19F DNP has been limited by hardware constraints and the lack of optimized polarizing agents. In this study, we introduce fluorinated analogs of the benchmark biradicals TEKPol and bCTbK, specifically designed to enhance direct 19F DNP performance. These radicals were tested on two model-fluorinated drugs across multiple formulations. Compared to their protonated counterparts, the fluorinated biradicals consistently yield superior enhancements, achieving up to 330-fold signal amplification in solution and 53-fold in a commercial tablet, along with significantly reduced polarization build-up times. These results demonstrate that fluorinated radicals can substantially improve sensitivity and acquisition speed in 19F DNP NMR, enabling robust detection of APIs even in challenging matrices. This work paves the way for broader use of 19F DNP in pharmaceutical analysis, particularly in settings where probe limitations preclude indirect polarization transfer via protons.</w:t>
      </w:r>
    </w:p>
    <w:p>
      <w:pPr>
        <w:spacing w:before="120" w:after="120"/>
      </w:pPr>
      <w:r>
        <w:rPr>
          <w:sz w:val="18"/>
        </w:rPr>
        <w:t>——————————————————————————————————————————————————————————————————————</w:t>
      </w:r>
    </w:p>
    <w:p>
      <w:pPr>
        <w:spacing w:before="160" w:after="40" w:line="240" w:lineRule="auto"/>
      </w:pPr>
      <w:r>
        <w:rPr>
          <w:b/>
        </w:rPr>
        <w:t xml:space="preserve">[251] </w:t>
      </w:r>
      <w:hyperlink r:id="rId623">
        <w:r>
          <w:rPr>
            <w:color w:val="1155CC"/>
            <w:u w:val="single"/>
          </w:rPr>
          <w:t>[ASAP] 离子迁移在卤化物钙钛矿单晶LED中引发同步局部电致发光闪烁</w:t>
        </w:r>
      </w:hyperlink>
    </w:p>
    <w:p>
      <w:pPr>
        <w:spacing w:before="0" w:after="80"/>
      </w:pPr>
      <w:r>
        <w:rPr>
          <w:i/>
          <w:sz w:val="20"/>
        </w:rPr>
        <w:t>EN: [ASAP] Ion Migration Engenders Synchronous Localized Electroluminescence Blinking in Halide Perovskite Single-Crystal LEDs</w:t>
      </w:r>
    </w:p>
    <w:p>
      <w:pPr>
        <w:spacing w:before="0" w:after="120"/>
      </w:pPr>
      <w:r>
        <w:rPr>
          <w:b/>
        </w:rPr>
        <w:t xml:space="preserve">Source: </w:t>
      </w:r>
      <w:r>
        <w:t>ACS Energy Letters: Latest Articles (ACS Publications)</w:t>
      </w:r>
      <w:r>
        <w:t xml:space="preserve">    </w:t>
      </w:r>
      <w:r>
        <w:rPr>
          <w:b/>
        </w:rPr>
        <w:t xml:space="preserve">Pub date: </w:t>
      </w:r>
      <w:r>
        <w:t>2026-05-05 18:41:02+00:00</w:t>
      </w:r>
      <w:r>
        <w:t xml:space="preserve">    </w:t>
      </w:r>
      <w:r>
        <w:rPr>
          <w:b/>
        </w:rPr>
        <w:t xml:space="preserve">DOI: </w:t>
      </w:r>
      <w:hyperlink r:id="rId624">
        <w:r>
          <w:rPr>
            <w:color w:val="1155CC"/>
            <w:u w:val="single"/>
          </w:rPr>
          <w:t>10.1021/acsenergylett.6c00399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[252] </w:t>
      </w:r>
      <w:hyperlink r:id="rId625">
        <w:r>
          <w:rPr>
            <w:color w:val="1155CC"/>
            <w:u w:val="single"/>
          </w:rPr>
          <w:t>[ASAP] 利用对立体保留ROMP的机制洞察进行精确合成聚(p-苯乙烯)</w:t>
        </w:r>
      </w:hyperlink>
    </w:p>
    <w:p>
      <w:pPr>
        <w:spacing w:before="0" w:after="80"/>
      </w:pPr>
      <w:r>
        <w:rPr>
          <w:i/>
          <w:sz w:val="20"/>
        </w:rPr>
        <w:t>EN: [ASAP] Leveraging Mechanistic Insights into Stereoretentive ROMP for Precision Synthesis of Poly(p-phenylene vinylene)s</w:t>
      </w:r>
    </w:p>
    <w:p>
      <w:pPr>
        <w:spacing w:before="0" w:after="120"/>
      </w:pPr>
      <w:r>
        <w:rPr>
          <w:b/>
        </w:rPr>
        <w:t xml:space="preserve">Source: </w:t>
      </w:r>
      <w:r>
        <w:t>Journal of the American Chemical Society: Latest Articles (ACS Publications)</w:t>
      </w:r>
      <w:r>
        <w:t xml:space="preserve">    </w:t>
      </w:r>
      <w:r>
        <w:rPr>
          <w:b/>
        </w:rPr>
        <w:t xml:space="preserve">Pub date: </w:t>
      </w:r>
      <w:r>
        <w:t>2026-05-05 19:31:19+00:00</w:t>
      </w:r>
      <w:r>
        <w:t xml:space="preserve">    </w:t>
      </w:r>
      <w:r>
        <w:rPr>
          <w:b/>
        </w:rPr>
        <w:t xml:space="preserve">DOI: </w:t>
      </w:r>
      <w:hyperlink r:id="rId626">
        <w:r>
          <w:rPr>
            <w:color w:val="1155CC"/>
            <w:u w:val="single"/>
          </w:rPr>
          <w:t>10.1021/jacs.6c02915</w:t>
        </w:r>
      </w:hyperlink>
    </w:p>
    <w:p>
      <w:pPr>
        <w:spacing w:before="0" w:after="120"/>
      </w:pPr>
      <w:r>
        <w:rPr>
          <w:b/>
        </w:rPr>
        <w:t xml:space="preserve">Notes: </w:t>
      </w:r>
      <w:r>
        <w:t>abstract_source=pubmed</w:t>
      </w:r>
    </w:p>
    <w:p>
      <w:pPr>
        <w:spacing w:before="0" w:after="80" w:lineRule="auto" w:line="276"/>
      </w:pPr>
      <w:r>
        <w:rPr>
          <w:b/>
        </w:rPr>
        <w:t xml:space="preserve">摘要（ZH）: </w:t>
      </w:r>
      <w:r>
        <w:t>聚（对苯撑乙烯）（PPV）是一类重要的共轭聚合物，其性质在很大程度上由结构参数决定，如主链规整性、缺陷含量、烯烃几何结构、侧链结构和重复单元序列。尽管经过数十年的发展和应用，涵盖从光电子设备到生物医学成像，但一种能够对PPV的所有结构属性进行可预测控制的受控、无缺陷聚合方法仍然难以实现。我们在此报告通过立体保留开环复分解聚合（ROMP）合成了各种规整和立体定义的PPV，这些PPV来自电子和立体多样的[2.2]对环戊二烯-1,9-二烯（PCD）。计算研究与实验结果相结合，揭示了受控传播以及区域和立体选择性的结构设计原则。这些发现被利用来获得定义良好的梯度和一次性块状PPV共聚物，以及通过原位光异构化获得的具有顺式和反式块几何形状的前所未有的立体块。还研究了单体组成和烯烃几何结构对合成PPV光学性质的影响。通过PCD的立体保留ROMP实现的卓越结构控制为精确合成具有定制性质的PPV建立了一个独特的平台。</w:t>
      </w:r>
    </w:p>
    <w:p>
      <w:pPr>
        <w:spacing w:before="0" w:after="200" w:lineRule="auto" w:line="276"/>
      </w:pPr>
      <w:r>
        <w:rPr>
          <w:b/>
        </w:rPr>
        <w:t xml:space="preserve">Abstract (EN): </w:t>
      </w:r>
      <w:r>
        <w:t>Poly(p-phenylene vinylene) (PPV) is an important class of conjugated polymers whose properties are largely dictated by structural parameters such as backbone regioregularity, defect content, alkene geometry, side-chain structure, and the sequence of repeat units. Despite decades of development and applications spanning optoelectronic devices to biomedical imaging, a controlled, defect-free polymerization method that affords predictable command over all structural attributes of PPVs has remained elusive. We report herein the synthesis of a variety of regioregular and stereodefined PPVs through stereoretentive ring-opening metathesis polymerization (ROMP) of electronically and sterically diverse [2.2]paracyclophane-1,9-dienes (PCDs). Computational studies were combined with experimental findings to uncover structural design principles underlying controlled propagation as well as regio- and stereoselectivity. These findings were harnessed to access well-defined gradient and one-shot block PPV copolymers, as well as unprecedented stereoblocks with cis and trans block geometries through in situ photoisomerization. The influence of monomer composition and alkene geometry on the optical properties of the synthesized PPVs was also investigated. The exceptional structural control achieved through stereoretentive ROMP of PCDs establishes a unique platform for the precise synthesis of PPVs with tailored properties.</w:t>
      </w:r>
    </w:p>
    <w:p>
      <w:pPr>
        <w:spacing w:before="120" w:after="120"/>
      </w:pPr>
      <w:r>
        <w:rPr>
          <w:sz w:val="18"/>
        </w:rPr>
        <w:t>——————————————————————————————————————————————————————————————————————</w:t>
      </w:r>
    </w:p>
    <w:p>
      <w:pPr>
        <w:spacing w:before="160" w:after="40" w:line="240" w:lineRule="auto"/>
      </w:pPr>
      <w:r>
        <w:rPr>
          <w:b/>
        </w:rPr>
        <w:t xml:space="preserve">[253] </w:t>
      </w:r>
      <w:hyperlink r:id="rId627">
        <w:r>
          <w:rPr>
            <w:color w:val="1155CC"/>
            <w:u w:val="single"/>
          </w:rPr>
          <w:t>[ASAP] 打破不相容性障碍：一种机械化学方法实现天然糖与疏水脂肪醇的直接糖基化</w:t>
        </w:r>
      </w:hyperlink>
    </w:p>
    <w:p>
      <w:pPr>
        <w:spacing w:before="0" w:after="80"/>
      </w:pPr>
      <w:r>
        <w:rPr>
          <w:i/>
          <w:sz w:val="20"/>
        </w:rPr>
        <w:t>EN: [ASAP] Breaking the Immiscibility Barrier: A Mechanochemical Approach to Enable the Direct Glycosylation of Native Sugars with Hydrophobic Aliphatic Alcohols</w:t>
      </w:r>
    </w:p>
    <w:p>
      <w:pPr>
        <w:spacing w:before="0" w:after="120"/>
      </w:pPr>
      <w:r>
        <w:rPr>
          <w:b/>
        </w:rPr>
        <w:t xml:space="preserve">Source: </w:t>
      </w:r>
      <w:r>
        <w:t>Journal of the American Chemical Society: Latest Articles (ACS Publications)</w:t>
      </w:r>
      <w:r>
        <w:t xml:space="preserve">    </w:t>
      </w:r>
      <w:r>
        <w:rPr>
          <w:b/>
        </w:rPr>
        <w:t xml:space="preserve">Pub date: </w:t>
      </w:r>
      <w:r>
        <w:t>2026-05-05 19:31:49+00:00</w:t>
      </w:r>
      <w:r>
        <w:t xml:space="preserve">    </w:t>
      </w:r>
      <w:r>
        <w:rPr>
          <w:b/>
        </w:rPr>
        <w:t xml:space="preserve">DOI: </w:t>
      </w:r>
      <w:hyperlink r:id="rId628">
        <w:r>
          <w:rPr>
            <w:color w:val="1155CC"/>
            <w:u w:val="single"/>
          </w:rPr>
          <w:t>10.1021/jacs.6c04094</w:t>
        </w:r>
      </w:hyperlink>
    </w:p>
    <w:p>
      <w:pPr>
        <w:spacing w:before="0" w:after="120"/>
      </w:pPr>
      <w:r>
        <w:rPr>
          <w:b/>
        </w:rPr>
        <w:t xml:space="preserve">Notes: </w:t>
      </w:r>
      <w:r>
        <w:t>abstract_source=pubmed</w:t>
      </w:r>
    </w:p>
    <w:p>
      <w:pPr>
        <w:spacing w:before="0" w:after="80" w:lineRule="auto" w:line="276"/>
      </w:pPr>
      <w:r>
        <w:rPr>
          <w:b/>
        </w:rPr>
        <w:t xml:space="preserve">摘要（ZH）: </w:t>
      </w:r>
      <w:r>
        <w:t>涉及疏水和亲水分子的反应由于难以找到能够有效容纳具有对比溶解性特性的反应物的溶剂而面临重大挑战。无溶剂条件提供了一种潜在的替代方案，尽管在传统的纯净条件下，不相容的反应物通常在分子水平上混合不良，导致反应性低。在此，我们证明了机械化学可能提供一种实用的解决方案来克服这种不相容性问题。具体而言，我们发现通过球磨的机械搅拌能够高效地进行亲水性未保护糖与各种疏水性长链脂肪醇的Fischer糖苷化反应，提供了各种糖脂衍生物的简便途径。这种直接糖苷化由于在传统条件下不相容底物对的混合效率低而被认为是一种具有挑战性的转化。因此，本研究强调了机械化学方法在解决与不相容性相关的长期挑战方面的潜在前景，特别是在合成增值两亲性小分子方面。</w:t>
      </w:r>
    </w:p>
    <w:p>
      <w:pPr>
        <w:spacing w:before="0" w:after="200" w:lineRule="auto" w:line="276"/>
      </w:pPr>
      <w:r>
        <w:rPr>
          <w:b/>
        </w:rPr>
        <w:t xml:space="preserve">Abstract (EN): </w:t>
      </w:r>
      <w:r>
        <w:t>Reactions involving both hydrophobic and hydrophilic molecules present a significant challenge due to the difficulties associated with finding solvents that are capable of effectively accommodating reactants with contrasting solubility properties. Solvent-free conditions offer a potential alternative, albeit that under conventional neat conditions, immiscible reactants often remain poorly mixed at the molecular level, resulting in low reactivity. Here, we demonstrate that mechanochemistry could potentially offer a practical solution to overcome this immiscibility issue. Specifically, we discovered that mechanical agitation by ball milling enables highly efficient Fischer glycosylation reactions of hydrophilic unprotected sugars with a wide range of hydrophobic long-chain aliphatic alcohols, offering straightforward access to various glycolipid derivatives. This type of direct glycosylation has been recognized as a challenging transformation due to the inefficient mixing of the immiscible substrate pairs under conventional conditions. Thus, the present study highlights the promising potential of a mechanochemical approach to tackle longstanding challenges associated with immiscibility in the synthesis of value-added amphipathic small molecules.</w:t>
      </w:r>
    </w:p>
    <w:p>
      <w:pPr>
        <w:spacing w:before="120" w:after="120"/>
      </w:pPr>
      <w:r>
        <w:rPr>
          <w:sz w:val="18"/>
        </w:rPr>
        <w:t>——————————————————————————————————————————————————————————————————————</w:t>
      </w:r>
    </w:p>
    <w:p>
      <w:pPr>
        <w:spacing w:before="160" w:after="40" w:line="240" w:lineRule="auto"/>
      </w:pPr>
      <w:r>
        <w:rPr>
          <w:b/>
        </w:rPr>
        <w:t xml:space="preserve">[254] </w:t>
      </w:r>
      <w:hyperlink r:id="rId629">
        <w:r>
          <w:rPr>
            <w:color w:val="1155CC"/>
            <w:u w:val="single"/>
          </w:rPr>
          <w:t>[ASAP] 用于催化C–H胺化的光活性亚胺铋烷</w:t>
        </w:r>
      </w:hyperlink>
    </w:p>
    <w:p>
      <w:pPr>
        <w:spacing w:before="0" w:after="80"/>
      </w:pPr>
      <w:r>
        <w:rPr>
          <w:i/>
          <w:sz w:val="20"/>
        </w:rPr>
        <w:t>EN: [ASAP] Photoactive Iminobismuthanes for Catalytic C–H Amination</w:t>
      </w:r>
    </w:p>
    <w:p>
      <w:pPr>
        <w:spacing w:before="0" w:after="120"/>
      </w:pPr>
      <w:r>
        <w:rPr>
          <w:b/>
        </w:rPr>
        <w:t xml:space="preserve">Source: </w:t>
      </w:r>
      <w:r>
        <w:t>Journal of the American Chemical Society: Latest Articles (ACS Publications)</w:t>
      </w:r>
      <w:r>
        <w:t xml:space="preserve">    </w:t>
      </w:r>
      <w:r>
        <w:rPr>
          <w:b/>
        </w:rPr>
        <w:t xml:space="preserve">Pub date: </w:t>
      </w:r>
      <w:r>
        <w:t>2026-05-05 19:58:58+00:00</w:t>
      </w:r>
      <w:r>
        <w:t xml:space="preserve">    </w:t>
      </w:r>
      <w:r>
        <w:rPr>
          <w:b/>
        </w:rPr>
        <w:t xml:space="preserve">DOI: </w:t>
      </w:r>
      <w:hyperlink r:id="rId630">
        <w:r>
          <w:rPr>
            <w:color w:val="1155CC"/>
            <w:u w:val="single"/>
          </w:rPr>
          <w:t>10.1021/jacs.6c04805</w:t>
        </w:r>
      </w:hyperlink>
    </w:p>
    <w:p>
      <w:pPr>
        <w:spacing w:before="0" w:after="120"/>
      </w:pPr>
      <w:r>
        <w:rPr>
          <w:b/>
        </w:rPr>
        <w:t xml:space="preserve">Notes: </w:t>
      </w:r>
      <w:r>
        <w:t>abstract_source=pubmed</w:t>
      </w:r>
    </w:p>
    <w:p>
      <w:pPr>
        <w:spacing w:before="0" w:after="80" w:lineRule="auto" w:line="276"/>
      </w:pPr>
      <w:r>
        <w:rPr>
          <w:b/>
        </w:rPr>
        <w:t xml:space="preserve">摘要（ZH）: </w:t>
      </w:r>
      <w:r>
        <w:t>金属亚硝酰化合物用于直接氨化普遍存在的碳-氢键。传统上，它们的合成效用依赖于金属中心的氧化还原灵活性和配位反应性，这由d轨道赋予。在此，我们展示了铋——一种缺乏可接近前沿d轨道的主族元素——仍然可以表现出类似于过渡金属系统的催化活性。当亚胺铋烷受到光照射时，会发生配体到配体的电荷转移，导致C-H键的抽取和C-N键的形成。铋的独特电子特性允许其表现出超越过渡金属的互补反应性，这在未保护的仲胺的叠氮化中得到了体现。这项工作揭示了主族亚胺作为催化活性物种，而不仅仅是过渡金属催化中的前体。</w:t>
      </w:r>
    </w:p>
    <w:p>
      <w:pPr>
        <w:spacing w:before="0" w:after="200" w:lineRule="auto" w:line="276"/>
      </w:pPr>
      <w:r>
        <w:rPr>
          <w:b/>
        </w:rPr>
        <w:t xml:space="preserve">Abstract (EN): </w:t>
      </w:r>
      <w:r>
        <w:t>Metal-nitrenoids are employed in the direct amination of ubiquitous carbon-hydrogen bonds. Traditionally, their synthetic utility has relied on the redox flexibility and the coordinative reactivity of the metal center, conferred by the d-orbitals. Here, we demonstrate that bismuth─a main-group element lacking accessible frontier d-orbitals─can nevertheless exhibit catalytic activity analogous to that of transition-metal systems. When an iminobismuthane is subjected to light irradiation, a ligand-to-ligand charge transfer ensues, leading to C-H bond abstraction and C-N bond formation. The unique electronic properties of bismuth permit complementary reactivity beyond that of transition metals, as exemplified by the azidation of unprotected secondary amines. This work reveals main-group imidos as catalytically competent species, rather than merely precursors in transition-metal catalysis.</w:t>
      </w:r>
    </w:p>
    <w:p>
      <w:pPr>
        <w:spacing w:before="120" w:after="120"/>
      </w:pPr>
      <w:r>
        <w:rPr>
          <w:sz w:val="18"/>
        </w:rPr>
        <w:t>——————————————————————————————————————————————————————————————————————</w:t>
      </w:r>
    </w:p>
    <w:p>
      <w:pPr>
        <w:spacing w:before="160" w:after="40" w:line="240" w:lineRule="auto"/>
      </w:pPr>
      <w:r>
        <w:rPr>
          <w:b/>
        </w:rPr>
        <w:t xml:space="preserve">[255] </w:t>
      </w:r>
      <w:hyperlink r:id="rId631">
        <w:r>
          <w:rPr>
            <w:color w:val="1155CC"/>
            <w:u w:val="single"/>
          </w:rPr>
          <w:t>通过微蛋白和肽蛋白扩展人类蛋白质组</w:t>
        </w:r>
      </w:hyperlink>
    </w:p>
    <w:p>
      <w:pPr>
        <w:spacing w:before="0" w:after="80"/>
      </w:pPr>
      <w:r>
        <w:rPr>
          <w:i/>
          <w:sz w:val="20"/>
        </w:rPr>
        <w:t>EN: Expanding the human proteome with microproteins and peptideins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32">
        <w:r>
          <w:rPr>
            <w:color w:val="1155CC"/>
            <w:u w:val="single"/>
          </w:rPr>
          <w:t>10.1038/s41586-026-10459-x</w:t>
        </w:r>
      </w:hyperlink>
    </w:p>
    <w:p>
      <w:pPr>
        <w:spacing w:before="0" w:after="120"/>
      </w:pPr>
      <w:r>
        <w:rPr>
          <w:b/>
        </w:rPr>
        <w:t xml:space="preserve">Notes: </w:t>
      </w:r>
      <w:r>
        <w:t>abstract_source=nature_html</w:t>
      </w:r>
    </w:p>
    <w:p>
      <w:pPr>
        <w:spacing w:before="0" w:after="80" w:lineRule="auto" w:line="276"/>
      </w:pPr>
      <w:r>
        <w:rPr>
          <w:b/>
        </w:rPr>
        <w:t xml:space="preserve">摘要（ZH）: </w:t>
      </w:r>
      <w:r>
        <w:t>一个主要的科学驱动力是表征蛋白质编码基因组，这是研究人类健康的主要基础。但一个基本问题仍然是以前的分析中遗漏了什么。在过去的十年中，非典型开放阅读框（ncORFs）的翻译已在各种人类细胞类型和疾病状态中被观察到，对生物医学科学具有重大影响。然而，知识的一个关键空白是哪些ncORFs产生小的微蛋白或替代蛋白分子，这些分子对人类蛋白质组有贡献。在此，我们报告了TransCODE Consortium的合作努力，以生成ncORFs的蛋白质水平证据的共识景观。我们显示，在7,264个ncORFs的集合中，大约25%在95,520个蛋白质组学实验的大规模分析中产生可检测的肽。我们开发了一个用于ncORF编码微蛋白的人类蛋白质注释框架，并将“肽蛋白”这一新概念模型编码为具有不确定潜力的功能蛋白的微蛋白。为了探究肽蛋白的生物学意义，我们创建了一种进化分析方法，称为ORF相对分支长度（ORBL），并确定进化约束是常见的，并与观察到的ncORF衍生肽相关。然后，我们表征了来自OLMALINC长非编码RNA的一个肽蛋白的全必需细胞表型。总体而言，我们生成了由GENCODE和PeptideAtlas支持的公共研究工具，并推进了对人类蛋白质组中未充分研究的成分的生物医学发现。</w:t>
      </w:r>
    </w:p>
    <w:p>
      <w:pPr>
        <w:spacing w:before="0" w:after="200" w:lineRule="auto" w:line="276"/>
      </w:pPr>
      <w:r>
        <w:rPr>
          <w:b/>
        </w:rPr>
        <w:t xml:space="preserve">Abstract (EN): </w:t>
      </w:r>
      <w:r>
        <w:t>A major scientific drive is to characterize the protein-coding genome, which is a primary basis for studying human health. But the fundamental question remains of what has been missed in previous analyses. Over the past decade, the translation of non-canonical open reading frames (ncORFs) has been observed across human cell types and disease states1,2,3, with major implications for biomedical science. However, a key gap in knowledge has been which ncORFs produce small microproteins or alternative protein molecules that contribute to the human proteome. Here we report the collaborative efforts of the TransCODE Consortium4 to produce a consensus landscape of protein-level evidence for ncORFs. We show that about 25% of a set of 7,264 ncORFs gives rise to detectable peptides in a large-scale analysis of 95,520 proteomics experiments. We develop an annotation framework for ncORF-encoded microproteins as human proteins and codify the new conceptual model of ‘peptideins’ as microproteins that have indeterminate potential as functional proteins. To probe the biological implications of peptideins, we create an evolutionary analysis approach, termed ORF relative branch length (ORBL), and determine that evolutionary constraint is common and associates with observation of ncORF-derived peptides. We then characterize a pan-essential cellular phenotype for one peptidein from the OLMALINC long non-coding RNA. Overall, we generate public research tools supported by GENCODE and PeptideAtlas and advance biomedical discovery for understudied components of the human proteome.</w:t>
      </w:r>
    </w:p>
    <w:p>
      <w:pPr>
        <w:spacing w:before="120" w:after="120"/>
      </w:pPr>
      <w:r>
        <w:rPr>
          <w:sz w:val="18"/>
        </w:rPr>
        <w:t>——————————————————————————————————————————————————————————————————————</w:t>
      </w:r>
    </w:p>
    <w:p>
      <w:pPr>
        <w:spacing w:before="160" w:after="40" w:line="240" w:lineRule="auto"/>
      </w:pPr>
      <w:r>
        <w:rPr>
          <w:b/>
        </w:rPr>
        <w:t xml:space="preserve">[256] </w:t>
      </w:r>
      <w:hyperlink r:id="rId633">
        <w:r>
          <w:rPr>
            <w:color w:val="1155CC"/>
            <w:u w:val="single"/>
          </w:rPr>
          <w:t>在硅中使用移动自旋量子比特进行双量子比特逻辑和量子传送</w:t>
        </w:r>
      </w:hyperlink>
    </w:p>
    <w:p>
      <w:pPr>
        <w:spacing w:before="0" w:after="80"/>
      </w:pPr>
      <w:r>
        <w:rPr>
          <w:i/>
          <w:sz w:val="20"/>
        </w:rPr>
        <w:t>EN: Two-qubit logic and teleportation with mobile spin qubits in silicon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34">
        <w:r>
          <w:rPr>
            <w:color w:val="1155CC"/>
            <w:u w:val="single"/>
          </w:rPr>
          <w:t>10.1038/s41586-026-10423-9</w:t>
        </w:r>
      </w:hyperlink>
    </w:p>
    <w:p>
      <w:pPr>
        <w:spacing w:before="0" w:after="120"/>
      </w:pPr>
      <w:r>
        <w:rPr>
          <w:b/>
        </w:rPr>
        <w:t xml:space="preserve">Notes: </w:t>
      </w:r>
      <w:r>
        <w:t>abstract_source=nature_html</w:t>
      </w:r>
    </w:p>
    <w:p>
      <w:pPr>
        <w:spacing w:before="0" w:after="80" w:lineRule="auto" w:line="276"/>
      </w:pPr>
      <w:r>
        <w:rPr>
          <w:b/>
        </w:rPr>
        <w:t xml:space="preserve">摘要（ZH）: </w:t>
      </w:r>
      <w:r>
        <w:t>量子计算架构的可扩展性和性能在很大程度上依赖于高保真操作以及稳健且灵活的量子比特连接1,2,3。在这方面，移动量子比特特别具有吸引力，因为它们能够实现动态和可重构的量子比特阵列。这种方法允许量子处理器在操作过程中调整其连接模式，在同一硬件上实现不同的量子纠错码，并通过专用功能区优化资源使用，以进行特定操作，如测量或纠缠生成4,5,6,7。这种灵活性也减轻了架构限制，正如最近在基于囚禁离子4,5和光镊操控的中性原子6,7的原子系统中所展示的。在固态平台中，最近报道了电子自旋的高相干穿梭8,9。一个关键的悬而未决的问题是是否可以直接在移动自旋上执行量子门操作。在此，我们展示了在半导体设备中两个电子自旋在各自的移动势阱中相互靠近时的双量子比特操作。我们发现其相互作用强度可以通过空间分离高度调节。当我们将两个自旋分别向中心移动120 nm，总位移为240 nm时，我们实现了约99%的平均双量子比特门保真度。此外，我们实现了在相距320 nm的量子比特之间的条件后选择量子态传输，平均门保真度为87%，展示了移动自旋量子比特在非局域量子信息处理中的潜力。</w:t>
      </w:r>
    </w:p>
    <w:p>
      <w:pPr>
        <w:spacing w:before="0" w:after="200" w:lineRule="auto" w:line="276"/>
      </w:pPr>
      <w:r>
        <w:rPr>
          <w:b/>
        </w:rPr>
        <w:t xml:space="preserve">Abstract (EN): </w:t>
      </w:r>
      <w:r>
        <w:t>The scalability and power of quantum computing architectures depend critically on high-fidelity operations and robust and flexible qubit connectivity1,2,3. In this respect, mobile qubits are particularly attractive as they enable dynamic and reconfigurable qubit arrays. This approach allows quantum processors to adapt their connectivity patterns during operation, implement different quantum error correction codes on the same hardware and optimize resource use through dedicated functional zones for specific operations such as measurement or entanglement generation4,5,6,7. Such flexibility also relieves architectural constraints, as recently demonstrated in atomic systems based on trapped ions4,5 and neutral atoms manipulated with optical tweezers6,7. In solid-state platforms, highly coherent shuttling of electron spins was recently reported8,9. A key outstanding question is whether it may be possible to perform quantum gates directly on the mobile spins. Here we demonstrate two-qubit operations between two electron spins carried towards each other in separate travelling potential minima in a semiconductor device. We find that the interaction strength is highly tunable by their spatial separation. When we shuttle the two spins towards the centre by 120 nm each for a total displacement of 240 nm, we achieve an average two-qubit gate fidelity of about 99%. Furthermore, we implement conditional post-selected quantum state teleportation between qubits separated by 320 nm with an average gate fidelity of 87%, showcasing the potential of mobile spin qubits for non-local quantum information processing. We expect that operations on mobile qubits will become a universal feature of future large-scale semiconductor quantum processors.</w:t>
      </w:r>
    </w:p>
    <w:p>
      <w:pPr>
        <w:spacing w:before="120" w:after="120"/>
      </w:pPr>
      <w:r>
        <w:rPr>
          <w:sz w:val="18"/>
        </w:rPr>
        <w:t>——————————————————————————————————————————————————————————————————————</w:t>
      </w:r>
    </w:p>
    <w:p>
      <w:pPr>
        <w:spacing w:before="160" w:after="40" w:line="240" w:lineRule="auto"/>
      </w:pPr>
      <w:r>
        <w:rPr>
          <w:b/>
        </w:rPr>
        <w:t xml:space="preserve">[257] </w:t>
      </w:r>
      <w:hyperlink r:id="rId635">
        <w:r>
          <w:rPr>
            <w:color w:val="1155CC"/>
            <w:u w:val="single"/>
          </w:rPr>
          <w:t>麻醉状态下的大脑仍能处理播客</w:t>
        </w:r>
      </w:hyperlink>
    </w:p>
    <w:p>
      <w:pPr>
        <w:spacing w:before="0" w:after="80"/>
      </w:pPr>
      <w:r>
        <w:rPr>
          <w:i/>
          <w:sz w:val="20"/>
        </w:rPr>
        <w:t>EN: Anaesthetized brains can still process podcasts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36">
        <w:r>
          <w:rPr>
            <w:color w:val="1155CC"/>
            <w:u w:val="single"/>
          </w:rPr>
          <w:t>10.1038/d41586-026-01480-1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637">
        <w:r>
          <w:rPr>
            <w:color w:val="1155CC"/>
            <w:u w:val="single"/>
          </w:rPr>
          <w:t>作者更正：幕上室管膜瘤异质性的多维分析</w:t>
        </w:r>
      </w:hyperlink>
    </w:p>
    <w:p>
      <w:pPr>
        <w:spacing w:before="0" w:after="80"/>
      </w:pPr>
      <w:r>
        <w:rPr>
          <w:i/>
          <w:sz w:val="20"/>
        </w:rPr>
        <w:t>EN: Author Correction: Multidimensional profiling of heterogeneity in supratentorial ependymomas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38">
        <w:r>
          <w:rPr>
            <w:color w:val="1155CC"/>
            <w:u w:val="single"/>
          </w:rPr>
          <w:t>10.1038/s41586-026-10602-8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639">
        <w:r>
          <w:rPr>
            <w:color w:val="1155CC"/>
            <w:u w:val="single"/>
          </w:rPr>
          <w:t>作者更正：肠神经元在生殖期间增加母体食物摄入</w:t>
        </w:r>
      </w:hyperlink>
    </w:p>
    <w:p>
      <w:pPr>
        <w:spacing w:before="0" w:after="80"/>
      </w:pPr>
      <w:r>
        <w:rPr>
          <w:i/>
          <w:sz w:val="20"/>
        </w:rPr>
        <w:t>EN: Author Correction: Enteric neurons increase maternal food intake during reproduction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40">
        <w:r>
          <w:rPr>
            <w:color w:val="1155CC"/>
            <w:u w:val="single"/>
          </w:rPr>
          <w:t>10.1038/s41586-026-10201-7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641">
        <w:r>
          <w:rPr>
            <w:color w:val="1155CC"/>
            <w:u w:val="single"/>
          </w:rPr>
          <w:t>用于能量存储和转换的分级介观超颗粒</w:t>
        </w:r>
      </w:hyperlink>
    </w:p>
    <w:p>
      <w:pPr>
        <w:spacing w:before="0" w:after="80"/>
      </w:pPr>
      <w:r>
        <w:rPr>
          <w:i/>
          <w:sz w:val="20"/>
        </w:rPr>
        <w:t>EN: Hierarchical meso-supraparticles for energy storage and conversion</w:t>
      </w:r>
    </w:p>
    <w:p>
      <w:pPr>
        <w:spacing w:before="0" w:after="120"/>
      </w:pPr>
      <w:r>
        <w:rPr>
          <w:b/>
        </w:rPr>
        <w:t xml:space="preserve">Source: </w:t>
      </w:r>
      <w:r>
        <w:t>Chem</w:t>
      </w:r>
      <w:r>
        <w:t xml:space="preserve">    </w:t>
      </w:r>
      <w:r>
        <w:rPr>
          <w:b/>
        </w:rPr>
        <w:t xml:space="preserve">Pub date: </w:t>
      </w:r>
      <w:r>
        <w:t>2026-05-06 00:00:00+00:00</w:t>
      </w:r>
      <w:r>
        <w:t xml:space="preserve">    </w:t>
      </w:r>
      <w:r>
        <w:rPr>
          <w:b/>
        </w:rPr>
        <w:t xml:space="preserve">DOI: </w:t>
      </w:r>
      <w:hyperlink r:id="rId642">
        <w:r>
          <w:rPr>
            <w:color w:val="1155CC"/>
            <w:u w:val="single"/>
          </w:rPr>
          <w:t>10.1016/j.chempr.2026.103064</w:t>
        </w:r>
      </w:hyperlink>
    </w:p>
    <w:p>
      <w:pPr>
        <w:spacing w:before="0" w:after="120"/>
      </w:pPr>
      <w:r>
        <w:rPr>
          <w:b/>
        </w:rPr>
        <w:t xml:space="preserve">Notes: </w:t>
      </w:r>
      <w:r>
        <w:t>abstract_source=rss_cell</w:t>
      </w:r>
    </w:p>
    <w:p>
      <w:pPr>
        <w:spacing w:before="0" w:after="80" w:lineRule="auto" w:line="276"/>
      </w:pPr>
      <w:r>
        <w:rPr>
          <w:b/>
        </w:rPr>
        <w:t xml:space="preserve">摘要（ZH）: </w:t>
      </w:r>
      <w:r>
        <w:t>具有多级结构的分级介观超颗粒可以整合宏观、介观和微孔，具有明确的空间排列和拓扑连接，从而在能量存储和转换中展示出巨大的应用潜力。本文回顾了分级介观超颗粒的合成策略，包括传统的硬模板和无模板方法以及新兴的单胶束组装方法。我们总结了分级介观超颗粒在太阳能燃料生产、光催化CO2还原、电池和氧还原中的典型应用，并提出了有助于分级介观超颗粒发展的挑战和机遇。</w:t>
      </w:r>
    </w:p>
    <w:p>
      <w:pPr>
        <w:spacing w:before="0" w:after="200" w:lineRule="auto" w:line="276"/>
      </w:pPr>
      <w:r>
        <w:rPr>
          <w:b/>
        </w:rPr>
        <w:t xml:space="preserve">Abstract (EN): </w:t>
      </w:r>
      <w:r>
        <w:t>Hierarchical meso-supraparticles with multi-level structures can integrate macro-, meso-, and micropores, featuring well-defined spatial arrangements and topological connectivity, thereby demonstrating great application in energy storage and conversion. This article reviews the synthesis strategies of hierarchical meso-supraparticles, including traditional hard-template and free-template methods and emerging monomicelle assembly methods. We summarize the typical applications of hierarchical meso-supraparticles in solar fuel production, photocatalytic CO2 reduction, batteries, and oxygen reduction and present challenges and opportunities that are conducive to the development of hierarchical meso-supraparticles.</w:t>
      </w:r>
    </w:p>
    <w:p>
      <w:pPr>
        <w:spacing w:before="120" w:after="120"/>
      </w:pPr>
      <w:r>
        <w:rPr>
          <w:sz w:val="18"/>
        </w:rPr>
        <w:t>——————————————————————————————————————————————————————————————————————</w:t>
      </w:r>
    </w:p>
    <w:p>
      <w:pPr>
        <w:spacing w:before="160" w:after="40" w:line="240" w:lineRule="auto"/>
      </w:pPr>
      <w:r>
        <w:rPr>
          <w:b/>
        </w:rPr>
        <w:t xml:space="preserve">[261] </w:t>
      </w:r>
      <w:hyperlink r:id="rId643">
        <w:r>
          <w:rPr>
            <w:color w:val="1155CC"/>
            <w:u w:val="single"/>
          </w:rPr>
          <w:t>微生物是污染清理的未来吗？</w:t>
        </w:r>
      </w:hyperlink>
    </w:p>
    <w:p>
      <w:pPr>
        <w:spacing w:before="0" w:after="80"/>
      </w:pPr>
      <w:r>
        <w:rPr>
          <w:i/>
          <w:sz w:val="20"/>
        </w:rPr>
        <w:t>EN: Are microbes the future of pollution clean-up?</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44">
        <w:r>
          <w:rPr>
            <w:color w:val="1155CC"/>
            <w:u w:val="single"/>
          </w:rPr>
          <w:t>10.1038/d41586-026-01420-z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645">
        <w:r>
          <w:rPr>
            <w:color w:val="1155CC"/>
            <w:u w:val="single"/>
          </w:rPr>
          <w:t>二维磁体在多铁性竞争中堆叠</w:t>
        </w:r>
      </w:hyperlink>
    </w:p>
    <w:p>
      <w:pPr>
        <w:spacing w:before="0" w:after="80"/>
      </w:pPr>
      <w:r>
        <w:rPr>
          <w:i/>
          <w:sz w:val="20"/>
        </w:rPr>
        <w:t>EN: Two-dimensional magnets stack up against multiferroic competition</w:t>
      </w:r>
    </w:p>
    <w:p>
      <w:pPr>
        <w:spacing w:before="0" w:after="120"/>
      </w:pPr>
      <w:r>
        <w:rPr>
          <w:b/>
        </w:rPr>
        <w:t xml:space="preserve">Source: </w:t>
      </w:r>
      <w:r>
        <w:t>Nature Materials</w:t>
      </w:r>
      <w:r>
        <w:t xml:space="preserve">    </w:t>
      </w:r>
      <w:r>
        <w:rPr>
          <w:b/>
        </w:rPr>
        <w:t xml:space="preserve">Pub date: </w:t>
      </w:r>
      <w:r>
        <w:t>2026-05-06 00:00:00+00:00</w:t>
      </w:r>
      <w:r>
        <w:t xml:space="preserve">    </w:t>
      </w:r>
      <w:r>
        <w:rPr>
          <w:b/>
        </w:rPr>
        <w:t xml:space="preserve">DOI: </w:t>
      </w:r>
      <w:hyperlink r:id="rId646">
        <w:r>
          <w:rPr>
            <w:color w:val="1155CC"/>
            <w:u w:val="single"/>
          </w:rPr>
          <w:t>10.1038/s41563-026-02591-w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647">
        <w:r>
          <w:rPr>
            <w:color w:val="1155CC"/>
            <w:u w:val="single"/>
          </w:rPr>
          <w:t>脉冲气泡诱导的超高静电电位用于摩擦电空气净化</w:t>
        </w:r>
      </w:hyperlink>
    </w:p>
    <w:p>
      <w:pPr>
        <w:spacing w:before="0" w:after="80"/>
      </w:pPr>
      <w:r>
        <w:rPr>
          <w:i/>
          <w:sz w:val="20"/>
        </w:rPr>
        <w:t>EN: Pulsed bubble-induced ultrahigh electrostatic potentials for triboelectric air purification</w:t>
      </w:r>
    </w:p>
    <w:p>
      <w:pPr>
        <w:spacing w:before="0" w:after="120"/>
      </w:pPr>
      <w:r>
        <w:rPr>
          <w:b/>
        </w:rPr>
        <w:t xml:space="preserve">Source: </w:t>
      </w:r>
      <w:r>
        <w:t>Nature Sustainability</w:t>
      </w:r>
      <w:r>
        <w:t xml:space="preserve">    </w:t>
      </w:r>
      <w:r>
        <w:rPr>
          <w:b/>
        </w:rPr>
        <w:t xml:space="preserve">Pub date: </w:t>
      </w:r>
      <w:r>
        <w:t>2026-05-06 00:00:00+00:00</w:t>
      </w:r>
      <w:r>
        <w:t xml:space="preserve">    </w:t>
      </w:r>
      <w:r>
        <w:rPr>
          <w:b/>
        </w:rPr>
        <w:t xml:space="preserve">DOI: </w:t>
      </w:r>
      <w:hyperlink r:id="rId648">
        <w:r>
          <w:rPr>
            <w:color w:val="1155CC"/>
            <w:u w:val="single"/>
          </w:rPr>
          <w:t>10.1038/s41893-026-01827-6</w:t>
        </w:r>
      </w:hyperlink>
    </w:p>
    <w:p>
      <w:pPr>
        <w:spacing w:before="0" w:after="120"/>
      </w:pPr>
      <w:r>
        <w:rPr>
          <w:b/>
        </w:rPr>
        <w:t xml:space="preserve">Notes: </w:t>
      </w:r>
      <w:r>
        <w:t>abstract_source=nature_html</w:t>
      </w:r>
    </w:p>
    <w:p>
      <w:pPr>
        <w:spacing w:before="0" w:after="80" w:lineRule="auto" w:line="276"/>
      </w:pPr>
      <w:r>
        <w:rPr>
          <w:b/>
        </w:rPr>
        <w:t xml:space="preserve">摘要（ZH）: </w:t>
      </w:r>
      <w:r>
        <w:t>去除空气中的颗粒物（PM）对于改善空气质量和保障人类健康至关重要。使用水基过滤器进行空气净化因其良好的PM净化效率和防堵性能而受到广泛关注。然而，现有的水基过滤器仍依赖于PM的随机热运动，这限制了其应用潜力。将静电吸附与水基过滤器结合可以克服这一限制并增强气液界面传质。在此，我们设计了一种结合气泡门控和流导板的摩擦电空气过滤器，利用气泡诱导的静电势实现快速空气净化。气泡积累和瞬态脉冲在水环境中产生高达-3.3 kV的静电势。原位生成的静电力有效地在气泡内捕获PM，实现了对PM1.0的95.5%和对PM2.5的高达99.8%的空气净化效率。摩擦电空气过滤器在处理汽车尾气方面的实际适用性得到了进一步验证。总体而言，本研究提出了一种使用水基过滤器进行高效空气净化的可行策略。</w:t>
      </w:r>
    </w:p>
    <w:p>
      <w:pPr>
        <w:spacing w:before="0" w:after="200" w:lineRule="auto" w:line="276"/>
      </w:pPr>
      <w:r>
        <w:rPr>
          <w:b/>
        </w:rPr>
        <w:t xml:space="preserve">Abstract (EN): </w:t>
      </w:r>
      <w:r>
        <w:t>Removal of particulate matter (PM) from air is of great importance to improve air quality and safeguard human health. Air purification using water-based filters has attracted widespread attention as a result of good PM purification efficiency and anticlogging performance. However, the existing water-based filters still rely on the random thermal motion of PM, which limits their application potential. Combining electrostatic adsorption with water-based filters can overcome this limitation and enhance gas–liquid interfacial mass transfer. Here we design a triboelectric air filter combining bubble gating and flow-guiding plates, leveraging bubble-induced electrostatic potentials to achieve rapid air purification. Bubble accumulation and transient pulses generate electrostatic potentials as high as −3.3 kV in aqueous environments. The in situ generated electrostatic force effectively captures PM within bubbles, achieving an air purification efficiency of 95.5% for PM1.0 and up to 99.8% for PM2.5. The practical applicability of the triboelectric air filter is further demonstrated for treating car exhaust gas. Overall, this study presents a viable strategy for efficient air purification using water-based filters.</w:t>
      </w:r>
    </w:p>
    <w:p>
      <w:pPr>
        <w:spacing w:before="120" w:after="120"/>
      </w:pPr>
      <w:r>
        <w:rPr>
          <w:sz w:val="18"/>
        </w:rPr>
        <w:t>——————————————————————————————————————————————————————————————————————</w:t>
      </w:r>
    </w:p>
    <w:p>
      <w:pPr>
        <w:spacing w:before="160" w:after="40" w:line="240" w:lineRule="auto"/>
      </w:pPr>
      <w:r>
        <w:rPr>
          <w:b/>
        </w:rPr>
        <w:t xml:space="preserve">[264] </w:t>
      </w:r>
      <w:hyperlink r:id="rId649">
        <w:r>
          <w:rPr>
            <w:color w:val="1155CC"/>
            <w:u w:val="single"/>
          </w:rPr>
          <w:t>水资源短缺和基础设施风险加剧季节性泥沙输送</w:t>
        </w:r>
      </w:hyperlink>
    </w:p>
    <w:p>
      <w:pPr>
        <w:spacing w:before="0" w:after="80"/>
      </w:pPr>
      <w:r>
        <w:rPr>
          <w:i/>
          <w:sz w:val="20"/>
        </w:rPr>
        <w:t>EN: Water scarcity and infrastructure risk of amplified seasonal sediment transport</w:t>
      </w:r>
    </w:p>
    <w:p>
      <w:pPr>
        <w:spacing w:before="0" w:after="120"/>
      </w:pPr>
      <w:r>
        <w:rPr>
          <w:b/>
        </w:rPr>
        <w:t xml:space="preserve">Source: </w:t>
      </w:r>
      <w:r>
        <w:t>Nature Sustainability</w:t>
      </w:r>
      <w:r>
        <w:t xml:space="preserve">    </w:t>
      </w:r>
      <w:r>
        <w:rPr>
          <w:b/>
        </w:rPr>
        <w:t xml:space="preserve">Pub date: </w:t>
      </w:r>
      <w:r>
        <w:t>2026-05-06 00:00:00+00:00</w:t>
      </w:r>
      <w:r>
        <w:t xml:space="preserve">    </w:t>
      </w:r>
      <w:r>
        <w:rPr>
          <w:b/>
        </w:rPr>
        <w:t xml:space="preserve">DOI: </w:t>
      </w:r>
      <w:hyperlink r:id="rId650">
        <w:r>
          <w:rPr>
            <w:color w:val="1155CC"/>
            <w:u w:val="single"/>
          </w:rPr>
          <w:t>10.1038/s41893-026-01829-4</w:t>
        </w:r>
      </w:hyperlink>
    </w:p>
    <w:p>
      <w:pPr>
        <w:spacing w:before="0" w:after="120"/>
      </w:pPr>
      <w:r>
        <w:rPr>
          <w:b/>
        </w:rPr>
        <w:t xml:space="preserve">Notes: </w:t>
      </w:r>
      <w:r>
        <w:t>abstract_source=nature_html</w:t>
      </w:r>
    </w:p>
    <w:p>
      <w:pPr>
        <w:spacing w:before="0" w:after="80" w:lineRule="auto" w:line="276"/>
      </w:pPr>
      <w:r>
        <w:rPr>
          <w:b/>
        </w:rPr>
        <w:t xml:space="preserve">摘要（ZH）: </w:t>
      </w:r>
      <w:r>
        <w:t>气候变暖和冰川消退正在重塑寒冷干旱地区的水文季节性，威胁到农业、生态系统和当地社区的长期可持续性。然而，现有证据仅限于径流季节性。变化的泥沙输送季节性，一个更敏感的组成部分，正在成为对水利基础设施的一个重大但未被充分认识的威胁。利用1960年代至2000年代塔里木河上游的月度观测数据，我们表明，气候变暖和变湿加剧了泥沙输送季节性，夏季泥沙通量增加了43%。这种放大效应中超过一半源于更频繁的极端泥沙输送，特别是由高泥沙供应而非高流量引发的事件。通过一个最先进的河流变化数据集的支持，我们表明，增强的泥沙季节性和极端泥沙输送在很大程度上导致了自2000年以来河流流动性的增加。泥沙驱动的变化正在推动河流过程走向更大的不可预测性，并对脆弱的寒冷干旱地区的水利基础设施和水安全构成日益严重的威胁。</w:t>
      </w:r>
    </w:p>
    <w:p>
      <w:pPr>
        <w:spacing w:before="0" w:after="200" w:lineRule="auto" w:line="276"/>
      </w:pPr>
      <w:r>
        <w:rPr>
          <w:b/>
        </w:rPr>
        <w:t xml:space="preserve">Abstract (EN): </w:t>
      </w:r>
      <w:r>
        <w:t>Climate warming and deglaciation are reshaping hydrological seasonality in cold–dry regions, threatening the long-term sustainability of agriculture, ecosystems and local communities. However, existing evidence is limited to runoff seasonality. Changing sediment-transport seasonality, a more sensitive component, is emerging as a substantial yet under-recognized threat to water infrastructure. Leveraging monthly observations from the upper Tarim River from the 1960s to 2000s, we show that a warmer and wetter climate has intensified sediment-transport seasonality, with a 43% increase in summer sediment fluxes. Over half of this amplification stems from more frequent extreme sediment transport, particularly events triggered by high sediment supply rather than high discharge. Supported by a state-of-the-art river change dataset, we show that enhanced sediment seasonality and extreme sediment transport have largely contributed to increased river mobility since 2000. Sediment-driven changes are pushing riverine processes towards greater unpredictability and pose growing threats to water infrastructure and water security in vulnerable cold–dry regions.</w:t>
      </w:r>
    </w:p>
    <w:p>
      <w:pPr>
        <w:spacing w:before="120" w:after="120"/>
      </w:pPr>
      <w:r>
        <w:rPr>
          <w:sz w:val="18"/>
        </w:rPr>
        <w:t>——————————————————————————————————————————————————————————————————————</w:t>
      </w:r>
    </w:p>
    <w:p>
      <w:pPr>
        <w:spacing w:before="160" w:after="40" w:line="240" w:lineRule="auto"/>
      </w:pPr>
      <w:r>
        <w:rPr>
          <w:b/>
        </w:rPr>
        <w:t xml:space="preserve">[265] </w:t>
      </w:r>
      <w:hyperlink r:id="rId651">
        <w:r>
          <w:rPr>
            <w:color w:val="1155CC"/>
            <w:u w:val="single"/>
          </w:rPr>
          <w:t>作者更正：AAV-Ant1部分恢复线粒体功能障碍保护Ant1-/-加mtDNA突变小鼠免受扩张型心肌病</w:t>
        </w:r>
      </w:hyperlink>
    </w:p>
    <w:p>
      <w:pPr>
        <w:spacing w:before="0" w:after="80"/>
      </w:pPr>
      <w:r>
        <w:rPr>
          <w:i/>
          <w:sz w:val="20"/>
        </w:rPr>
        <w:t>EN: Author Correction: Partial restoration of mitochondrial dysfunction by AAV-Ant1 protects from dilated cardiomyopathy in Ant1-/- plus mtDNA mutant mice</w:t>
      </w:r>
    </w:p>
    <w:p>
      <w:pPr>
        <w:spacing w:before="0" w:after="120"/>
      </w:pPr>
      <w:r>
        <w:rPr>
          <w:b/>
        </w:rPr>
        <w:t xml:space="preserve">Source: </w:t>
      </w:r>
      <w:r>
        <w:t>Nature Communications</w:t>
      </w:r>
      <w:r>
        <w:t xml:space="preserve">    </w:t>
      </w:r>
      <w:r>
        <w:rPr>
          <w:b/>
        </w:rPr>
        <w:t xml:space="preserve">Pub date: </w:t>
      </w:r>
      <w:r>
        <w:t>2026-05-06 00:00:00+00:00</w:t>
      </w:r>
      <w:r>
        <w:t xml:space="preserve">    </w:t>
      </w:r>
      <w:r>
        <w:rPr>
          <w:b/>
        </w:rPr>
        <w:t xml:space="preserve">DOI: </w:t>
      </w:r>
      <w:hyperlink r:id="rId652">
        <w:r>
          <w:rPr>
            <w:color w:val="1155CC"/>
            <w:u w:val="single"/>
          </w:rPr>
          <w:t>10.1038/s41467-026-72532-3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653">
        <w:r>
          <w:rPr>
            <w:color w:val="1155CC"/>
            <w:u w:val="single"/>
          </w:rPr>
          <w:t>CRISPR–Cas12a2触发的RNA细胞杀伤</w:t>
        </w:r>
      </w:hyperlink>
    </w:p>
    <w:p>
      <w:pPr>
        <w:spacing w:before="0" w:after="80"/>
      </w:pPr>
      <w:r>
        <w:rPr>
          <w:i/>
          <w:sz w:val="20"/>
        </w:rPr>
        <w:t>EN: RNA-triggered cell killing with CRISPR–Cas12a2</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54">
        <w:r>
          <w:rPr>
            <w:color w:val="1155CC"/>
            <w:u w:val="single"/>
          </w:rPr>
          <w:t>10.1038/s41586-026-10466-y</w:t>
        </w:r>
      </w:hyperlink>
    </w:p>
    <w:p>
      <w:pPr>
        <w:spacing w:before="0" w:after="120"/>
      </w:pPr>
      <w:r>
        <w:rPr>
          <w:b/>
        </w:rPr>
        <w:t xml:space="preserve">Notes: </w:t>
      </w:r>
      <w:r>
        <w:t>abstract_source=nature_html</w:t>
      </w:r>
    </w:p>
    <w:p>
      <w:pPr>
        <w:spacing w:before="0" w:after="80" w:lineRule="auto" w:line="276"/>
      </w:pPr>
      <w:r>
        <w:rPr>
          <w:b/>
        </w:rPr>
        <w:t xml:space="preserve">摘要（ZH）: </w:t>
      </w:r>
      <w:r>
        <w:t>基于遗传或转录身份选择性消除目标细胞在基础研究、医学、生物技术和农业中仍然很重要1,2,3。对于涉及细菌的应用，CRISPR核酸酶由于其实施RNA引导的反选择的能力而提供了有前途的选择4,5,6,7；然而，在真核生物中使用这些相同的核酸酶进行反选择证明要严格得多8,9,10,11,12,13,14。在此，我们展示了一种新发现的V型CRISPR核酸酶Cas12a2，表现出RNA触发的DNA粉碎15,16，并能够对表达目标转录本的酵母和人类细胞进行可编程和序列特异性消除。触发Cas12a2会引发跨双链DNA断裂，导致细胞死亡。细胞杀伤可以通过广泛的目标转录本激活，未观察到脱靶激活。利用这种方法，我们选择性地消除携带人乳头瘤病毒的细胞、未能进行基因编辑的细胞或编码KRAS中常见致癌点突变的细胞。这些发现扩展了CRISPR工具箱，使其能够根据转录谱选择性消除真核细胞。</w:t>
      </w:r>
    </w:p>
    <w:p>
      <w:pPr>
        <w:spacing w:before="0" w:after="200" w:lineRule="auto" w:line="276"/>
      </w:pPr>
      <w:r>
        <w:rPr>
          <w:b/>
        </w:rPr>
        <w:t xml:space="preserve">Abstract (EN): </w:t>
      </w:r>
      <w:r>
        <w:t>Selectively eradicating target cells on the basis of their genetic or transcriptional identity remains important in basic research, medicine, biotechnology and agriculture1,2,3. For applications involving bacteria, CRISPR nucleases offer promising options due to their ability to enact RNA-guided counterselection4,5,6,7; however, using these same nucleases for counterselection in eukaryotes has proven much more restrictive8,9,10,11,12,13,14. Here we show that Cas12a2, a recently discovered type V CRISPR nuclease, exhibits RNA-triggered DNA shredding15,16, and enables programmable and sequence-specific elimination of yeast and human cells expressing a target transcript. Triggering Cas12a2 elicits rampant double-stranded DNA breaks in trans, leading to cell death. Cell killing can be activated by a wide range of target transcripts, with no observed off-target activation. Leveraging this approach, we selectively eliminate cells that harbour human papillomavirus, cells that failed to undergo gene editing, or cells that encode a prevalent oncogenic point mutation in KRAS. These findings expand the CRISPR toolbox to allow the selective elimination of eukaryotic cells on the basis of their transcriptional profile.</w:t>
      </w:r>
    </w:p>
    <w:p>
      <w:pPr>
        <w:spacing w:before="120" w:after="120"/>
      </w:pPr>
      <w:r>
        <w:rPr>
          <w:sz w:val="18"/>
        </w:rPr>
        <w:t>——————————————————————————————————————————————————————————————————————</w:t>
      </w:r>
    </w:p>
    <w:p>
      <w:pPr>
        <w:spacing w:before="160" w:after="40" w:line="240" w:lineRule="auto"/>
      </w:pPr>
      <w:r>
        <w:rPr>
          <w:b/>
        </w:rPr>
        <w:t xml:space="preserve">[267] </w:t>
      </w:r>
      <w:hyperlink r:id="rId655">
        <w:r>
          <w:rPr>
            <w:color w:val="1155CC"/>
            <w:u w:val="single"/>
          </w:rPr>
          <w:t>雄性激素丧失促进脑肿瘤生长</w:t>
        </w:r>
      </w:hyperlink>
    </w:p>
    <w:p>
      <w:pPr>
        <w:spacing w:before="0" w:after="80"/>
      </w:pPr>
      <w:r>
        <w:rPr>
          <w:i/>
          <w:sz w:val="20"/>
        </w:rPr>
        <w:t>EN: Male sex hormone loss aids brain tumour growth</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56">
        <w:r>
          <w:rPr>
            <w:color w:val="1155CC"/>
            <w:u w:val="single"/>
          </w:rPr>
          <w:t>10.1038/d41586-026-01159-7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657">
        <w:r>
          <w:rPr>
            <w:color w:val="1155CC"/>
            <w:u w:val="single"/>
          </w:rPr>
          <w:t>在扭曲的石墨烯中，一些电子比其他电子更重</w:t>
        </w:r>
      </w:hyperlink>
    </w:p>
    <w:p>
      <w:pPr>
        <w:spacing w:before="0" w:after="80"/>
      </w:pPr>
      <w:r>
        <w:rPr>
          <w:i/>
          <w:sz w:val="20"/>
        </w:rPr>
        <w:t>EN: In twisted graphene, some electrons are heavier than others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58">
        <w:r>
          <w:rPr>
            <w:color w:val="1155CC"/>
            <w:u w:val="single"/>
          </w:rPr>
          <w:t>10.1038/d41586-026-01154-y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659">
        <w:r>
          <w:rPr>
            <w:color w:val="1155CC"/>
            <w:u w:val="single"/>
          </w:rPr>
          <w:t>利用法律系统的复杂性实现向可持续性的激进转变</w:t>
        </w:r>
      </w:hyperlink>
    </w:p>
    <w:p>
      <w:pPr>
        <w:spacing w:before="0" w:after="80"/>
      </w:pPr>
      <w:r>
        <w:rPr>
          <w:i/>
          <w:sz w:val="20"/>
        </w:rPr>
        <w:t>EN: Harnessing legal system complexity for radical shifts to sustainability</w:t>
      </w:r>
    </w:p>
    <w:p>
      <w:pPr>
        <w:spacing w:before="0" w:after="120"/>
      </w:pPr>
      <w:r>
        <w:rPr>
          <w:b/>
        </w:rPr>
        <w:t xml:space="preserve">Source: </w:t>
      </w:r>
      <w:r>
        <w:t>Nature Sustainability</w:t>
      </w:r>
      <w:r>
        <w:t xml:space="preserve">    </w:t>
      </w:r>
      <w:r>
        <w:rPr>
          <w:b/>
        </w:rPr>
        <w:t xml:space="preserve">Pub date: </w:t>
      </w:r>
      <w:r>
        <w:t>2026-05-06 00:00:00+00:00</w:t>
      </w:r>
      <w:r>
        <w:t xml:space="preserve">    </w:t>
      </w:r>
      <w:r>
        <w:rPr>
          <w:b/>
        </w:rPr>
        <w:t xml:space="preserve">DOI: </w:t>
      </w:r>
      <w:hyperlink r:id="rId660">
        <w:r>
          <w:rPr>
            <w:color w:val="1155CC"/>
            <w:u w:val="single"/>
          </w:rPr>
          <w:t>10.1038/s41893-026-01809-8</w:t>
        </w:r>
      </w:hyperlink>
    </w:p>
    <w:p>
      <w:pPr>
        <w:spacing w:before="0" w:after="120"/>
      </w:pPr>
      <w:r>
        <w:rPr>
          <w:b/>
        </w:rPr>
        <w:t xml:space="preserve">Notes: </w:t>
      </w:r>
      <w:r>
        <w:t>abstract_source=nature_html</w:t>
      </w:r>
    </w:p>
    <w:p>
      <w:pPr>
        <w:spacing w:before="0" w:after="80" w:lineRule="auto" w:line="276"/>
      </w:pPr>
      <w:r>
        <w:rPr>
          <w:b/>
        </w:rPr>
        <w:t xml:space="preserve">摘要（ZH）: </w:t>
      </w:r>
      <w:r>
        <w:t>法律系统在促进或限制向可持续性的激进转变中起着核心作用。我们认为，法律在这种转变中的作用需要重置，更加关注法律系统的战略性目标节点，而不是依赖于重大的立法改革。我们开发了一个概念框架，用于识别对现有法律的强大变更，这些变更可以触发系统范围的影响。我们将计算网络分析与定性法律专业知识相结合，提供了一种识别和解释战略法律变更的方法框架，并提出了一个适合该框架的监管影响评估框架。</w:t>
      </w:r>
    </w:p>
    <w:p>
      <w:pPr>
        <w:spacing w:before="0" w:after="200" w:lineRule="auto" w:line="276"/>
      </w:pPr>
      <w:r>
        <w:rPr>
          <w:b/>
        </w:rPr>
        <w:t xml:space="preserve">Abstract (EN): </w:t>
      </w:r>
      <w:r>
        <w:t>Legal systems play a central role in enabling or constraining radical shifts to sustainability. We argue that the role of law in such shifts requires a reset, focusing more on strategically targeted nodes of the legal system rather than relying on major legislative reform. We develop a conceptual framework for identifying powerful changes to existing law that can trigger system-wide effects. We bridge computational network analysis with qualitative legal expertise to provide a methodological frame for identifying and interpreting the strategic legal changes and propose a framework for regulatory impact assessment to fit the frame.</w:t>
      </w:r>
    </w:p>
    <w:p>
      <w:pPr>
        <w:spacing w:before="120" w:after="120"/>
      </w:pPr>
      <w:r>
        <w:rPr>
          <w:sz w:val="18"/>
        </w:rPr>
        <w:t>——————————————————————————————————————————————————————————————————————</w:t>
      </w:r>
    </w:p>
    <w:p>
      <w:pPr>
        <w:spacing w:before="160" w:after="40" w:line="240" w:lineRule="auto"/>
      </w:pPr>
      <w:r>
        <w:rPr>
          <w:b/>
        </w:rPr>
        <w:t xml:space="preserve">[270] </w:t>
      </w:r>
      <w:hyperlink r:id="rId661">
        <w:r>
          <w:rPr>
            <w:color w:val="1155CC"/>
            <w:u w:val="single"/>
          </w:rPr>
          <w:t>运动皮层投射在歌唱鼠中的特定扩展</w:t>
        </w:r>
      </w:hyperlink>
    </w:p>
    <w:p>
      <w:pPr>
        <w:spacing w:before="0" w:after="80"/>
      </w:pPr>
      <w:r>
        <w:rPr>
          <w:i/>
          <w:sz w:val="20"/>
        </w:rPr>
        <w:t>EN: Specific expansion of motor cortical projections in a singing mouse</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62">
        <w:r>
          <w:rPr>
            <w:color w:val="1155CC"/>
            <w:u w:val="single"/>
          </w:rPr>
          <w:t>10.1038/s41586-026-10458-y</w:t>
        </w:r>
      </w:hyperlink>
    </w:p>
    <w:p>
      <w:pPr>
        <w:spacing w:before="0" w:after="120"/>
      </w:pPr>
      <w:r>
        <w:rPr>
          <w:b/>
        </w:rPr>
        <w:t xml:space="preserve">Notes: </w:t>
      </w:r>
      <w:r>
        <w:t>abstract_source=nature_html</w:t>
      </w:r>
    </w:p>
    <w:p>
      <w:pPr>
        <w:spacing w:before="0" w:after="80" w:lineRule="auto" w:line="276"/>
      </w:pPr>
      <w:r>
        <w:rPr>
          <w:b/>
        </w:rPr>
        <w:t xml:space="preserve">摘要（ZH）: </w:t>
      </w:r>
      <w:r>
        <w:t>阐明神经回路结构的变化如何驱动行为创新仍然是神经科学和进化生物学中的一个关键挑战。在哺乳动物中，新皮层被认为在促进快速行为创新中起着至关重要的作用1,2,3。尽管已经提出长程连接的变化可能是这些创新的基础4,5，但这些假设在很大程度上尚未进行定量测试，这部分是由于缺乏跨物种的单神经元分辨率的高通量神经投射数据。在此，我们研究了阿尔斯通的歌唱鼠（Scotinomys teguina），这种鼠类表现出实验室小鼠（Mus musculus）所没有的显著声乐行为，以定量确定整个大脑中运动皮层投射的物种特异性变化。我们使用大规模追踪、串行双光子断层扫描和超过76,000个条形码神经元的高通量DNA测序，发现了面部运动皮层投射到听觉皮层区域和中脑导水管周围灰质的特定且显著的扩展，这些区域与声乐行为有关6,7,8,9。此外，对单个面部运动皮层神经元投射模式的分析揭示了歌唱鼠对听觉皮层区域的独特投射的优先扩展。我们的结果表明，祖先运动皮层投射的选择性扩展可能导致短时间尺度上的行为分化。此外，结果促进了对声乐化增强皮层控制的机制研究——这是一个关键的p</w:t>
      </w:r>
    </w:p>
    <w:p>
      <w:pPr>
        <w:spacing w:before="0" w:after="200" w:lineRule="auto" w:line="276"/>
      </w:pPr>
      <w:r>
        <w:rPr>
          <w:b/>
        </w:rPr>
        <w:t xml:space="preserve">Abstract (EN): </w:t>
      </w:r>
      <w:r>
        <w:t>Elucidating how modifications in neural circuit architecture drive behavioural innovation remains a key challenge in neuroscience and evolutionary biology. In mammals, the neocortex is posited to play a crucial part in facilitating rapid behavioural innovations1,2,3. Although changes in long-range connectivity have been proposed to underlie such innovations4,5, these hypotheses remain largely untested quantitatively, which is partly due to the lack of high-throughput neuronal projection data at single-neuron resolution across species. Here we studied the Alston’s singing mouse (Scotinomys teguina), which exhibits a striking vocal behaviour absent in the laboratory mouse (Mus musculus), to quantitatively determine species-specific changes in motor cortical projections throughout the brain. We used bulk tracing, serial two-photon tomography and high-throughput DNA sequencing of more than 76,000 barcoded neurons to discover a specific and substantial expansion of orofacial motor cortical projections to an auditory cortical region and the midbrain periaqueductal grey, regions that are implicated in vocal behaviours6,7,8,9. Moreover, analyses of projection motifs of individual orofacial motor cortical neurons revealed preferential expansion of exclusive projections to the auditory cortical region in the singing mouse. Our results suggest that selective expansion of ancestral motor cortical projections may lead to behavioural divergence over short timescales. Furthermore, the results facilitate mechanistic investigations of enhanced cortical control over vocalizations—a crucial preadaptation for human language10,11. This approach of comparing recently diverged species with substantial behavioural divergences can be readily generalized across other model clades to discover quantitative rules of neural circuit evolution.</w:t>
      </w:r>
    </w:p>
    <w:p>
      <w:pPr>
        <w:spacing w:before="120" w:after="120"/>
      </w:pPr>
      <w:r>
        <w:rPr>
          <w:sz w:val="18"/>
        </w:rPr>
        <w:t>——————————————————————————————————————————————————————————————————————</w:t>
      </w:r>
    </w:p>
    <w:p>
      <w:pPr>
        <w:spacing w:before="160" w:after="40" w:line="240" w:lineRule="auto"/>
      </w:pPr>
      <w:r>
        <w:rPr>
          <w:b/>
        </w:rPr>
        <w:t xml:space="preserve">[271] </w:t>
      </w:r>
      <w:hyperlink r:id="rId663">
        <w:r>
          <w:rPr>
            <w:color w:val="1155CC"/>
            <w:u w:val="single"/>
          </w:rPr>
          <w:t>化学O2生成的气凝胶结构可穿戴微反应器</w:t>
        </w:r>
      </w:hyperlink>
    </w:p>
    <w:p>
      <w:pPr>
        <w:spacing w:before="0" w:after="80"/>
      </w:pPr>
      <w:r>
        <w:rPr>
          <w:i/>
          <w:sz w:val="20"/>
        </w:rPr>
        <w:t>EN: Chemical O2-generated aerogel-structured wearable microreactors</w:t>
      </w:r>
    </w:p>
    <w:p>
      <w:pPr>
        <w:spacing w:before="0" w:after="120"/>
      </w:pPr>
      <w:r>
        <w:rPr>
          <w:b/>
        </w:rPr>
        <w:t xml:space="preserve">Source: </w:t>
      </w:r>
      <w:r>
        <w:t>Nature Communications</w:t>
      </w:r>
      <w:r>
        <w:t xml:space="preserve">    </w:t>
      </w:r>
      <w:r>
        <w:rPr>
          <w:b/>
        </w:rPr>
        <w:t xml:space="preserve">Pub date: </w:t>
      </w:r>
      <w:r>
        <w:t>2026-05-06 00:00:00+00:00</w:t>
      </w:r>
      <w:r>
        <w:t xml:space="preserve">    </w:t>
      </w:r>
      <w:r>
        <w:rPr>
          <w:b/>
        </w:rPr>
        <w:t xml:space="preserve">DOI: </w:t>
      </w:r>
      <w:hyperlink r:id="rId664">
        <w:r>
          <w:rPr>
            <w:color w:val="1155CC"/>
            <w:u w:val="single"/>
          </w:rPr>
          <w:t>10.1038/s41467-026-72772-3</w:t>
        </w:r>
      </w:hyperlink>
    </w:p>
    <w:p>
      <w:pPr>
        <w:spacing w:before="0" w:after="120"/>
      </w:pPr>
      <w:r>
        <w:rPr>
          <w:b/>
        </w:rPr>
        <w:t xml:space="preserve">Notes: </w:t>
      </w:r>
      <w:r>
        <w:t>abstract_source=nature_html</w:t>
      </w:r>
    </w:p>
    <w:p>
      <w:pPr>
        <w:spacing w:before="0" w:after="80" w:lineRule="auto" w:line="276"/>
      </w:pPr>
      <w:r>
        <w:rPr>
          <w:b/>
        </w:rPr>
        <w:t xml:space="preserve">摘要（ZH）: </w:t>
      </w:r>
      <w:r>
        <w:t>可穿戴化学微反应器在按需氧气生成等生命维持过程中非常理想，但其发展受到缺乏结合动态稳健性、纺织整合性和超高效流体传输材料的阻碍。在此，我们展示了一种基于装甲芳纶气凝胶中空纤维的可穿戴微反应器。用热缩管增强这些纤维，提供纺织兼容的弹性，同时保持其纳米孔结构。随后，将低表面能液体注入气凝胶壁的介孔中，形成纳米受限润滑层，与实壁通道相比，微流体阻力降低高达68.1%。最后，一个O2生成的可穿戴微反应器原型（268克）实现了高时空产率、100%氧气纯度，并在物理压力下保持氧气供应。在海拔4998米的体内试验中，显示出快速的血氧饱和度恢复，有效缓解急性缺氧。这项工作建立了一种材料范式，克服了可穿戴性与体内化学合成连续流微反应器之间的权衡。</w:t>
      </w:r>
    </w:p>
    <w:p>
      <w:pPr>
        <w:spacing w:before="0" w:after="200" w:lineRule="auto" w:line="276"/>
      </w:pPr>
      <w:r>
        <w:rPr>
          <w:b/>
        </w:rPr>
        <w:t xml:space="preserve">Abstract (EN): </w:t>
      </w:r>
      <w:r>
        <w:t>Wearable chemical microreactors are highly desirable for life-sustaining processes such as on-demand oxygen-generation, but their development has been hindered by the lack of materials that combine dynamic robustness, textile integrability, and ultra-efficient fluid transport. Herein, we show a wearable microreactor based on armored aramid aerogel hollow fibers. Reinforcing these fibers with heat-shrink tubing yields textile-compliant elasticity while preserving their nanoporous structure. Subsequently, infusing a low-surface-energy liquid into the mesopores of aerogel walls creates a nanoconfined lubricant layer that reduces microfluidic drag by up to 68.1% compared to solid-walled channels. Finally, a O2-generated wearable microreactor prototype (268 g) achieves high space-time yield, 100% oxygen purity, and maintaining oxygen-supply under physical stress. In vivo trials at 4998 meters altitude demonstrate rapid blood oxygen saturation recovery, effectively alleviating acute hypoxia. This work establishes a materials paradigm that overcomes the trade-off between wearability and continuous-flow microreactor in on-body chemical synthesis.</w:t>
      </w:r>
    </w:p>
    <w:p>
      <w:pPr>
        <w:spacing w:before="120" w:after="120"/>
      </w:pPr>
      <w:r>
        <w:rPr>
          <w:sz w:val="18"/>
        </w:rPr>
        <w:t>——————————————————————————————————————————————————————————————————————</w:t>
      </w:r>
    </w:p>
    <w:p>
      <w:pPr>
        <w:spacing w:before="160" w:after="40" w:line="240" w:lineRule="auto"/>
      </w:pPr>
      <w:r>
        <w:rPr>
          <w:b/>
        </w:rPr>
        <w:t xml:space="preserve">[272] </w:t>
      </w:r>
      <w:hyperlink r:id="rId665">
        <w:r>
          <w:rPr>
            <w:color w:val="1155CC"/>
            <w:u w:val="single"/>
          </w:rPr>
          <w:t>前震引发的滑移瞬态设定主震成核时间</w:t>
        </w:r>
      </w:hyperlink>
    </w:p>
    <w:p>
      <w:pPr>
        <w:spacing w:before="0" w:after="80"/>
      </w:pPr>
      <w:r>
        <w:rPr>
          <w:i/>
          <w:sz w:val="20"/>
        </w:rPr>
        <w:t>EN: Foreshock-induced slip transients set mainshock nucleation timing</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66">
        <w:r>
          <w:rPr>
            <w:color w:val="1155CC"/>
            <w:u w:val="single"/>
          </w:rPr>
          <w:t>10.1038/s41586-026-10497-5</w:t>
        </w:r>
      </w:hyperlink>
    </w:p>
    <w:p>
      <w:pPr>
        <w:spacing w:before="0" w:after="120"/>
      </w:pPr>
      <w:r>
        <w:rPr>
          <w:b/>
        </w:rPr>
        <w:t xml:space="preserve">Notes: </w:t>
      </w:r>
      <w:r>
        <w:t>abstract_source=nature_html</w:t>
      </w:r>
    </w:p>
    <w:p>
      <w:pPr>
        <w:spacing w:before="0" w:after="80" w:lineRule="auto" w:line="276"/>
      </w:pPr>
      <w:r>
        <w:rPr>
          <w:b/>
        </w:rPr>
        <w:t xml:space="preserve">摘要（ZH）: </w:t>
      </w:r>
      <w:r>
        <w:t>前震有时在地震前被观察到1,2,3,4,5,6,7,8,9,10,11,12,13，但它们在控制破裂成核中的作用仍不清楚1,11,14。经典模型通常假设成核是由主要由断层弱化控制的缓慢、准静态滑动引起的15,16,17,18,19,20,21，通常忽略了冲动性前兆事件。在此，我们通过实验室实验和基于速率和状态的类似Griffith破裂框架22，展示了前震在成核开始或期间发生时，可以从根本上调节地震的启动。我们发现，前震引起的滑动爆发赋予了一个瞬态滑动速度Vmin，其大小由前震大小决定，并且可以稳健地预测成核持续时间和空间长度。较大的前震产生更高的Vmin并触发更快速的动态破裂过渡，而较小的前震则产生长时间的准静态增长，而非常小的冲动则导致破裂完全停止。将我们的理论框架扩展到构造断层，我们发现自然地震前的前震和相关的慢滑序列似乎遵循相同的尺度。这些观察使我们能够限制现实的特征成核滑动距离为0.3–3.0毫米，比动态破裂推断的要小几个数量级23。我们的结果表明，前震引起的瞬态决定了地震成核的时机和潜在的可检测性24。</w:t>
      </w:r>
    </w:p>
    <w:p>
      <w:pPr>
        <w:spacing w:before="0" w:after="200" w:lineRule="auto" w:line="276"/>
      </w:pPr>
      <w:r>
        <w:rPr>
          <w:b/>
        </w:rPr>
        <w:t xml:space="preserve">Abstract (EN): </w:t>
      </w:r>
      <w:r>
        <w:t>Foreshocks are sometimes observed before earthquakes1,2,3,4,5,6,7,8,9,10,11,12,13, yet their role in controlling rupture nucleation remains unclear1,11,14. Classical models often assume that nucleation arises from slow, quasi-static slip governed primarily by fault weakening15,16,17,18,19,20,21, typically neglecting impulsive precursory events. Here we show, using laboratory experiments and a rate-and-state-based Griffith-like rupture framework22, that foreshocks, when they occur at the onset of or during nucleation, can fundamentally regulate earthquake initiation. We find that the slip burst induced by foreshocks imparts a transient sliding velocity, Vmin, whose magnitude is set by foreshock size and which robustly predicts both nucleation duration and spatial length. Larger foreshocks generate higher Vmin and trigger a more rapid transition to dynamic rupture, whereas smaller foreshocks produce long-duration quasi-static growth and very small impulses lead to ruptures entirely arresting. Extending our theoretical framework to tectonic faults, we show that foreshock and associated slow-slip sequences preceding natural earthquakes seem to follow the same scaling. These observations allow us to constrain realistic characteristic nucleation slip distances of 0.3–3.0 mm, orders of magnitude smaller than those inferred for dynamic rupture23. Our results demonstrate that foreshock-induced transients set the timing and potential detectability of earthquake nucleation24.</w:t>
      </w:r>
    </w:p>
    <w:p>
      <w:pPr>
        <w:spacing w:before="120" w:after="120"/>
      </w:pPr>
      <w:r>
        <w:rPr>
          <w:sz w:val="18"/>
        </w:rPr>
        <w:t>——————————————————————————————————————————————————————————————————————</w:t>
      </w:r>
    </w:p>
    <w:p>
      <w:pPr>
        <w:spacing w:before="160" w:after="40" w:line="240" w:lineRule="auto"/>
      </w:pPr>
      <w:r>
        <w:rPr>
          <w:b/>
        </w:rPr>
        <w:t xml:space="preserve">[273] </w:t>
      </w:r>
      <w:hyperlink r:id="rId667">
        <w:r>
          <w:rPr>
            <w:color w:val="1155CC"/>
            <w:u w:val="single"/>
          </w:rPr>
          <w:t>每日简报：数字干扰是真实存在的——但你可以拯救你的注意力</w:t>
        </w:r>
      </w:hyperlink>
    </w:p>
    <w:p>
      <w:pPr>
        <w:spacing w:before="0" w:after="80"/>
      </w:pPr>
      <w:r>
        <w:rPr>
          <w:i/>
          <w:sz w:val="20"/>
        </w:rPr>
        <w:t>EN: Daily briefing: Digital distractions are real — but you can rescue your attention span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68">
        <w:r>
          <w:rPr>
            <w:color w:val="1155CC"/>
            <w:u w:val="single"/>
          </w:rPr>
          <w:t>10.1038/d41586-026-01498-5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669">
        <w:r>
          <w:rPr>
            <w:color w:val="1155CC"/>
            <w:u w:val="single"/>
          </w:rPr>
          <w:t>电极-电解质界面的pH梯度用于串联反应</w:t>
        </w:r>
      </w:hyperlink>
    </w:p>
    <w:p>
      <w:pPr>
        <w:spacing w:before="0" w:after="80"/>
      </w:pPr>
      <w:r>
        <w:rPr>
          <w:i/>
          <w:sz w:val="20"/>
        </w:rPr>
        <w:t>EN: A pH gradient at electrode–electrolyte interface for tandem reactions</w:t>
      </w:r>
    </w:p>
    <w:p>
      <w:pPr>
        <w:spacing w:before="0" w:after="120"/>
      </w:pPr>
      <w:r>
        <w:rPr>
          <w:b/>
        </w:rPr>
        <w:t xml:space="preserve">Source: </w:t>
      </w:r>
      <w:r>
        <w:t>Nature Communications</w:t>
      </w:r>
      <w:r>
        <w:t xml:space="preserve">    </w:t>
      </w:r>
      <w:r>
        <w:rPr>
          <w:b/>
        </w:rPr>
        <w:t xml:space="preserve">Pub date: </w:t>
      </w:r>
      <w:r>
        <w:t>2026-05-06 00:00:00+00:00</w:t>
      </w:r>
      <w:r>
        <w:t xml:space="preserve">    </w:t>
      </w:r>
      <w:r>
        <w:rPr>
          <w:b/>
        </w:rPr>
        <w:t xml:space="preserve">DOI: </w:t>
      </w:r>
      <w:hyperlink r:id="rId670">
        <w:r>
          <w:rPr>
            <w:color w:val="1155CC"/>
            <w:u w:val="single"/>
          </w:rPr>
          <w:t>10.1038/s41467-026-72802-0</w:t>
        </w:r>
      </w:hyperlink>
    </w:p>
    <w:p>
      <w:pPr>
        <w:spacing w:before="0" w:after="120"/>
      </w:pPr>
      <w:r>
        <w:rPr>
          <w:b/>
        </w:rPr>
        <w:t xml:space="preserve">Notes: </w:t>
      </w:r>
      <w:r>
        <w:t>abstract_source=nature_html</w:t>
      </w:r>
    </w:p>
    <w:p>
      <w:pPr>
        <w:spacing w:before="0" w:after="80" w:lineRule="auto" w:line="276"/>
      </w:pPr>
      <w:r>
        <w:rPr>
          <w:b/>
        </w:rPr>
        <w:t xml:space="preserve">摘要（ZH）: </w:t>
      </w:r>
      <w:r>
        <w:t>串联反应能够实现增值化学品的连续合成，例如通过氢化和随后的内酯化将生物质衍生的乙酰丙酸（LA）转化为γ-戊内酯（GVL），其中4-羟基戊酸（HVA）作为中间体。然而，在单个电解槽中实现这种串联电催化是具有挑战性的，因为这两个步骤需要不同的pH条件：前者偏好中性或碱性介质，而后者需要强酸性介质。在此，我们通过用十六烷基三甲基溴化铵（CTAB）修饰Pb电催化剂，在电极-电解质界面创建pH梯度。修饰后的电催化剂在50–200 mA cm−2范围内显示出&gt;80%的GVL选择性和&gt;50%的法拉第效率（FE）。机制研究表明，Pb表面有序的CTAB排列破坏了界面氢键网络，降低了Pb表面附近的局部H+浓度，同时在主体电解质中保持较高的酸度，从而促进了LA到GVL的串联转化。这项研究展示了在单个电解槽中进行串联电合成的独特微环境工程。</w:t>
      </w:r>
    </w:p>
    <w:p>
      <w:pPr>
        <w:spacing w:before="0" w:after="200" w:lineRule="auto" w:line="276"/>
      </w:pPr>
      <w:r>
        <w:rPr>
          <w:b/>
        </w:rPr>
        <w:t xml:space="preserve">Abstract (EN): </w:t>
      </w:r>
      <w:r>
        <w:t>Tandem reactions enable the sequential synthesis of value-added chemicals, as exemplified by the conversion of biomass-derived levulinic acid (LA) to γ-valerolactone (GVL) via hydrogenation and subsequent lactonization, with 4-hydroxyvaleric acid (HVA) as the intermediate. However, achieving such tandem electrocatalysis in a single electrolyzer is challenging because the two steps require distinct pH conditions: the former favors neutral or alkaline media, whereas the latter requires a strongly acidic medium. Here we create a pH gradient at the electrode–electrolyte interface by modifying a Pb electrocatalyst with cetyltrimethylammonium bromide (CTAB). The modified electrocatalyst shows &gt;80% GVL selectivity and &gt;50% Faradaic efficiency (FE) over 50–200 mA cm−2. Mechanistic studies show that ordered CTAB arrangements on the Pb surface disrupt the interfacial hydrogen-bond network, lowering the local H+ concentration near the Pb surface while maintaining higher acidity in the bulk electrolyte, thereby facilitating tandem LA-to-GVL conversion. This study demonstrates distinct microenvironment engineering for tandem electrosynthesis in a single electrolyzer.</w:t>
      </w:r>
    </w:p>
    <w:p>
      <w:pPr>
        <w:spacing w:before="120" w:after="120"/>
      </w:pPr>
      <w:r>
        <w:rPr>
          <w:sz w:val="18"/>
        </w:rPr>
        <w:t>——————————————————————————————————————————————————————————————————————</w:t>
      </w:r>
    </w:p>
    <w:p>
      <w:pPr>
        <w:spacing w:before="160" w:after="40" w:line="240" w:lineRule="auto"/>
      </w:pPr>
      <w:r>
        <w:rPr>
          <w:b/>
        </w:rPr>
        <w:t xml:space="preserve">[275] </w:t>
      </w:r>
      <w:hyperlink r:id="rId671">
        <w:r>
          <w:rPr>
            <w:color w:val="1155CC"/>
            <w:u w:val="single"/>
          </w:rPr>
          <w:t>多层电容器在室温下的电热效应</w:t>
        </w:r>
      </w:hyperlink>
    </w:p>
    <w:p>
      <w:pPr>
        <w:spacing w:before="0" w:after="80"/>
      </w:pPr>
      <w:r>
        <w:rPr>
          <w:i/>
          <w:sz w:val="20"/>
        </w:rPr>
        <w:t>EN: Electrocaloric effects across room temperature in multilayer capacitors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72">
        <w:r>
          <w:rPr>
            <w:color w:val="1155CC"/>
            <w:u w:val="single"/>
          </w:rPr>
          <w:t>10.1038/s41586-026-10492-w</w:t>
        </w:r>
      </w:hyperlink>
    </w:p>
    <w:p>
      <w:pPr>
        <w:spacing w:before="0" w:after="120"/>
      </w:pPr>
      <w:r>
        <w:rPr>
          <w:b/>
        </w:rPr>
        <w:t xml:space="preserve">Notes: </w:t>
      </w:r>
      <w:r>
        <w:t>abstract_source=nature_html</w:t>
      </w:r>
    </w:p>
    <w:p>
      <w:pPr>
        <w:spacing w:before="0" w:after="80" w:lineRule="auto" w:line="276"/>
      </w:pPr>
      <w:r>
        <w:rPr>
          <w:b/>
        </w:rPr>
        <w:t xml:space="preserve">摘要（ZH）: </w:t>
      </w:r>
      <w:r>
        <w:t>越来越多的冷却设备1,2,3,4利用与多层电容器中的PbSc0.5Ta0.5O3（PST）5的超临界驱动一阶铁电相变相关的大电热效应。然而，这些多层电容器仅在室温居里温度以上工作，并且需要耗能的42天退火以实现高B位次序以最大化潜热。在此，我们展示通过用PbMg0.5W0.5O3（PMW）稀释来夸大价态不匹配，保持高B位次序和潜热而无需退火，同时破坏偶极次序以将居里温度降低至低至230 K。我们的PST–PMW多层电容器在室温及以下显示出约3 K的超临界电热效应，得益于我们施加的17.1 V μm−1电场超过107次而不击穿。将我们的多层电容器用于理想流体再生器并假设工作回收，循环效率达到70–90%。综上所述，我们的研究结果表明，PST–PMW的多层电容器现在应取代PST的多层电容器用于电热原型，以允许电热制冷。</w:t>
      </w:r>
    </w:p>
    <w:p>
      <w:pPr>
        <w:spacing w:before="0" w:after="200" w:lineRule="auto" w:line="276"/>
      </w:pPr>
      <w:r>
        <w:rPr>
          <w:b/>
        </w:rPr>
        <w:t xml:space="preserve">Abstract (EN): </w:t>
      </w:r>
      <w:r>
        <w:t>A growing number of cooling devices1,2,3,4 exploit large electrocaloric effects associated with a supercritically driven first-order ferroelectric phase transition in multilayer capacitors of PbSc0.5Ta0.5O3 (PST)5. However, these multilayer capacitors only operate above the room-temperature Curie temperature and require an energetically expensive 42-day anneal for high B-site order to maximize latent heat. Here we show that exaggerating valence mismatch through dilution with PbMg0.5W0.5O3 (PMW) maintains high B-site order and latent heat with no anneal, while disrupting dipolar order to reduce the Curie temperature as low as 230 K. Our multilayer capacitors of PST–PMW show supercritical electrocaloric effects of about 3 K across and well below room temperature owing to 17.1 V μm−1 fields we apply &gt;107 times without breakdown. Using our multilayer capacitors in an ideal fluid regenerator and assuming work recovery yields cycle efficiencies of 70–90%. Taken together, our findings imply that multilayer capacitors of PST–PMW should now replace multilayer capacitors of PST in electrocaloric prototypes to permit electrocaloric refrigeration.</w:t>
      </w:r>
    </w:p>
    <w:p>
      <w:pPr>
        <w:spacing w:before="120" w:after="120"/>
      </w:pPr>
      <w:r>
        <w:rPr>
          <w:sz w:val="18"/>
        </w:rPr>
        <w:t>——————————————————————————————————————————————————————————————————————</w:t>
      </w:r>
    </w:p>
    <w:p>
      <w:pPr>
        <w:spacing w:before="160" w:after="40" w:line="240" w:lineRule="auto"/>
      </w:pPr>
      <w:r>
        <w:rPr>
          <w:b/>
        </w:rPr>
        <w:t xml:space="preserve">[276] </w:t>
      </w:r>
      <w:hyperlink r:id="rId673">
        <w:r>
          <w:rPr>
            <w:color w:val="1155CC"/>
            <w:u w:val="single"/>
          </w:rPr>
          <w:t>‘替代COP’必须在气候行动中推动真正的合作性变革</w:t>
        </w:r>
      </w:hyperlink>
    </w:p>
    <w:p>
      <w:pPr>
        <w:spacing w:before="0" w:after="80"/>
      </w:pPr>
      <w:r>
        <w:rPr>
          <w:i/>
          <w:sz w:val="20"/>
        </w:rPr>
        <w:t>EN: ‘Alternative COP’ must drive real, cooperative change in climate action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74">
        <w:r>
          <w:rPr>
            <w:color w:val="1155CC"/>
            <w:u w:val="single"/>
          </w:rPr>
          <w:t>10.1038/d41586-026-01423-w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[277] </w:t>
      </w:r>
      <w:hyperlink r:id="rId675">
        <w:r>
          <w:rPr>
            <w:color w:val="1155CC"/>
            <w:u w:val="single"/>
          </w:rPr>
          <w:t>在四月最佳科学图像中探索宇宙的惊人详细地图</w:t>
        </w:r>
      </w:hyperlink>
    </w:p>
    <w:p>
      <w:pPr>
        <w:spacing w:before="0" w:after="80"/>
      </w:pPr>
      <w:r>
        <w:rPr>
          <w:i/>
          <w:sz w:val="20"/>
        </w:rPr>
        <w:t>EN: Explore a stunningly detailed map of the Universe in April's best science images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76">
        <w:r>
          <w:rPr>
            <w:color w:val="1155CC"/>
            <w:u w:val="single"/>
          </w:rPr>
          <w:t>10.1038/d41586-026-01244-x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677">
        <w:r>
          <w:rPr>
            <w:color w:val="1155CC"/>
            <w:u w:val="single"/>
          </w:rPr>
          <w:t>双链断裂在亨廷顿病小鼠模型中引发毒性，无论是否存在体细胞扩展</w:t>
        </w:r>
      </w:hyperlink>
    </w:p>
    <w:p>
      <w:pPr>
        <w:spacing w:before="0" w:after="80"/>
      </w:pPr>
      <w:r>
        <w:rPr>
          <w:i/>
          <w:sz w:val="20"/>
        </w:rPr>
        <w:t>EN: Double strand breaks drive toxicity in a Huntington’s disease mouse model with or without somatic expansion</w:t>
      </w:r>
    </w:p>
    <w:p>
      <w:pPr>
        <w:spacing w:before="0" w:after="120"/>
      </w:pPr>
      <w:r>
        <w:rPr>
          <w:b/>
        </w:rPr>
        <w:t xml:space="preserve">Source: </w:t>
      </w:r>
      <w:r>
        <w:t>Nature Communications</w:t>
      </w:r>
      <w:r>
        <w:t xml:space="preserve">    </w:t>
      </w:r>
      <w:r>
        <w:rPr>
          <w:b/>
        </w:rPr>
        <w:t xml:space="preserve">Pub date: </w:t>
      </w:r>
      <w:r>
        <w:t>2026-05-06 00:00:00+00:00</w:t>
      </w:r>
      <w:r>
        <w:t xml:space="preserve">    </w:t>
      </w:r>
      <w:r>
        <w:rPr>
          <w:b/>
        </w:rPr>
        <w:t xml:space="preserve">DOI: </w:t>
      </w:r>
      <w:hyperlink r:id="rId678">
        <w:r>
          <w:rPr>
            <w:color w:val="1155CC"/>
            <w:u w:val="single"/>
          </w:rPr>
          <w:t>10.1038/s41467-026-72382-z</w:t>
        </w:r>
      </w:hyperlink>
    </w:p>
    <w:p>
      <w:pPr>
        <w:spacing w:before="0" w:after="120"/>
      </w:pPr>
      <w:r>
        <w:rPr>
          <w:b/>
        </w:rPr>
        <w:t xml:space="preserve">Notes: </w:t>
      </w:r>
      <w:r>
        <w:t>abstract_source=nature_html</w:t>
      </w:r>
    </w:p>
    <w:p>
      <w:pPr>
        <w:spacing w:before="0" w:after="80" w:lineRule="auto" w:line="276"/>
      </w:pPr>
      <w:r>
        <w:rPr>
          <w:b/>
        </w:rPr>
        <w:t xml:space="preserve">摘要（ZH）: </w:t>
      </w:r>
      <w:r>
        <w:t>全基因组关联研究（GWAS）提供了强有力的证据表明CAG序列长度的修饰因子对亨廷顿病的发病有重要影响，但单靠体细胞扩增可能不足以驱动神经元死亡。在此，我们报告DSBs在雄性HdhQ(150/150)小鼠中驱动神经病理，无论遗传病等位基因的体细胞扩增如何。DSBs和体细胞扩增在HD大脑中同时发生，但这两种类型的DNA损伤通过不同的机制驱动疾病。CAG序列长度的特定位点增加由活跃的错配修复（MMR）驱动，而DSBs在全基因组范围内发生，并由突变的亨廷顿蛋白介导的DNA断裂末端非同源连接抑制驱动。DSBs和转录功能障碍发生在无法体细胞扩增其遗传等位基因的动物中。相反，抑制DSBs足以逆转神经病理，即使体细胞扩增活跃。我们提出CAG扩增和DSBs作为可分离的驱动因素促进下游神经元病理。疾病长度的CAG序列导致DSBR的早期抑制，随着时间的推移积累的DSBs最终杀死神经元。</w:t>
      </w:r>
    </w:p>
    <w:p>
      <w:pPr>
        <w:spacing w:before="0" w:after="200" w:lineRule="auto" w:line="276"/>
      </w:pPr>
      <w:r>
        <w:rPr>
          <w:b/>
        </w:rPr>
        <w:t xml:space="preserve">Abstract (EN): </w:t>
      </w:r>
      <w:r>
        <w:t>Genome-wide association studies (GWAS) have provided strong evidence that modifiers of CAG tract length have a crucial influence on Huntington disease onset, but somatic expansion alone may not be sufficient to drive neuronal death. Here, we report that DSBs drive neuropathology in male HdhQ(150/150) mice, regardless of somatic expansion of the inherited disease allele. DSBs and somatic expansion occur simultaneously in the HD brain, but the two types of DNA damage drive disease by distinct mechanisms. The site-specific increases in CAG tract length are driven by active mismatch repair (MMR), while DSBs occur genome-wide and are driven by mutant huntingtin-mediated suppression of nonhomologous joining of DNA broken ends. DSBs and transcriptional dysfunction occur in animals that cannot somatically expand their inherited allele. Conversely, suppression of DSBs is sufficient to reverse neuropathology even when somatic expansion is active. We propose that CAG expansion and DSBs promote downstream neuronal pathology as separable drivers. The disease-length CAG tract leads to early inhibition of DSBR and accumulating DSBs over time ultimately kill neurons.</w:t>
      </w:r>
    </w:p>
    <w:p>
      <w:pPr>
        <w:spacing w:before="120" w:after="120"/>
      </w:pPr>
      <w:r>
        <w:rPr>
          <w:sz w:val="18"/>
        </w:rPr>
        <w:t>——————————————————————————————————————————————————————————————————————</w:t>
      </w:r>
    </w:p>
    <w:p>
      <w:pPr>
        <w:spacing w:before="160" w:after="40" w:line="240" w:lineRule="auto"/>
      </w:pPr>
      <w:r>
        <w:rPr>
          <w:b/>
        </w:rPr>
        <w:t xml:space="preserve">[279] </w:t>
      </w:r>
      <w:hyperlink r:id="rId679">
        <w:r>
          <w:rPr>
            <w:color w:val="1155CC"/>
            <w:u w:val="single"/>
          </w:rPr>
          <w:t>传粉者支持弱势群体的营养和收入</w:t>
        </w:r>
      </w:hyperlink>
    </w:p>
    <w:p>
      <w:pPr>
        <w:spacing w:before="0" w:after="80"/>
      </w:pPr>
      <w:r>
        <w:rPr>
          <w:i/>
          <w:sz w:val="20"/>
        </w:rPr>
        <w:t>EN: Pollinators support the nutrition and income of vulnerable communities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80">
        <w:r>
          <w:rPr>
            <w:color w:val="1155CC"/>
            <w:u w:val="single"/>
          </w:rPr>
          <w:t>10.1038/s41586-026-10421-x</w:t>
        </w:r>
      </w:hyperlink>
    </w:p>
    <w:p>
      <w:pPr>
        <w:spacing w:before="0" w:after="120"/>
      </w:pPr>
      <w:r>
        <w:rPr>
          <w:b/>
        </w:rPr>
        <w:t xml:space="preserve">Notes: </w:t>
      </w:r>
      <w:r>
        <w:t>abstract_source=nature_html</w:t>
      </w:r>
    </w:p>
    <w:p>
      <w:pPr>
        <w:spacing w:before="0" w:after="80" w:lineRule="auto" w:line="276"/>
      </w:pPr>
      <w:r>
        <w:rPr>
          <w:b/>
        </w:rPr>
        <w:t xml:space="preserve">摘要（ZH）: </w:t>
      </w:r>
      <w:r>
        <w:t>生物多样性丧失通过生态系统服务的退化（如授粉1,2,3）威胁人类健康和福利。然而，如果没有生态系统与人类之间的明确机制联系，这些服务可能仍然是抽象和无形的。因此，预测环境退化对人类福利的影响或识别改善人类生活的有效生态干预措施是具有挑战性的。在此，我们记录了尼泊尔小农社区的个体饮食、作物产量、农业收入和作物-授粉者互动，以量化昆虫授粉者、作物植物与个体家庭的营养摄入和收入之间的联系。昆虫授粉者直接负责44%的人们的农业收入和超过20%的维生素A、叶酸和维生素E摄入。我们展示了当地授粉者物种的减少如何预计会加剧像这里研究的脆弱社区中的贫困和微量营养素缺乏率。然而，我们的结果表明，管理当地授粉服务可以改善人类营养和家庭收入。实际上，丰富的授粉者如本地蜜蜂、大黄蜂和食蚜蝇对于维持和增强营养流动最为重要。更广泛地应用，这种将生物多样性与人类健康和生计联系起来的方法可能揭示改善全球数百万小农生活的可持续新途径。</w:t>
      </w:r>
    </w:p>
    <w:p>
      <w:pPr>
        <w:spacing w:before="0" w:after="200" w:lineRule="auto" w:line="276"/>
      </w:pPr>
      <w:r>
        <w:rPr>
          <w:b/>
        </w:rPr>
        <w:t xml:space="preserve">Abstract (EN): </w:t>
      </w:r>
      <w:r>
        <w:t>Biodiversity loss threatens human health and welfare through the degradation of ecosystem services like pollination1,2,3. However, without clear mechanistic links between ecosystems and people, these services can remain abstract and intangible. Consequently, it is challenging to predict the effects of environmental degradation on human welfare or to identify effective ecological interventions that improve human lives. Here we record individual-level diets, crop yields, farming income and crop–pollinator interactions in replicate smallholder communities in Nepal to quantify the links among insect pollinators, crop plants and nutrient intake and income of individual families. Insect pollinators were directly responsible for 44% of people’s farming income and more than 20% of their vitamin A, folate and vitamin E intake. We show how declines in local pollinator species are anticipated to exacerbate rates of poverty and micronutrient deficiency in vulnerable communities such as the ones studied here. However, our results demonstrate that management of local pollination services can improve human nutrition and household income. Indeed, abundant pollinators like native honeybees, bumblebees and hoverflies are the most important for sustaining and enhancing nutrient flows. Applied more widely, this approach of linking biodiversity to human health and livelihoods could reveal sustainable new pathways for improving the lives of millions of smallholders worldwide.</w:t>
      </w:r>
    </w:p>
    <w:p>
      <w:pPr>
        <w:spacing w:before="120" w:after="120"/>
      </w:pPr>
      <w:r>
        <w:rPr>
          <w:sz w:val="18"/>
        </w:rPr>
        <w:t>——————————————————————————————————————————————————————————————————————</w:t>
      </w:r>
    </w:p>
    <w:p>
      <w:pPr>
        <w:spacing w:before="160" w:after="40" w:line="240" w:lineRule="auto"/>
      </w:pPr>
      <w:r>
        <w:rPr>
          <w:b/>
        </w:rPr>
        <w:t xml:space="preserve">[280] </w:t>
      </w:r>
      <w:hyperlink r:id="rId681">
        <w:r>
          <w:rPr>
            <w:color w:val="1155CC"/>
            <w:u w:val="single"/>
          </w:rPr>
          <w:t>首个检测可疑同行评审的AI工具由学术出版商推出</w:t>
        </w:r>
      </w:hyperlink>
    </w:p>
    <w:p>
      <w:pPr>
        <w:spacing w:before="0" w:after="80"/>
      </w:pPr>
      <w:r>
        <w:rPr>
          <w:i/>
          <w:sz w:val="20"/>
        </w:rPr>
        <w:t>EN: First AI tool to detect suspicious peer reviews rolled out by academic publisher</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82">
        <w:r>
          <w:rPr>
            <w:color w:val="1155CC"/>
            <w:u w:val="single"/>
          </w:rPr>
          <w:t>10.1038/d41586-026-01454-3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683">
        <w:r>
          <w:rPr>
            <w:color w:val="1155CC"/>
            <w:u w:val="single"/>
          </w:rPr>
          <w:t>纳米级‘传送带’传送电子的量子态</w:t>
        </w:r>
      </w:hyperlink>
    </w:p>
    <w:p>
      <w:pPr>
        <w:spacing w:before="0" w:after="80"/>
      </w:pPr>
      <w:r>
        <w:rPr>
          <w:i/>
          <w:sz w:val="20"/>
        </w:rPr>
        <w:t>EN: Nanoscale ‘conveyor belt’ teleports quantum state of electron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84">
        <w:r>
          <w:rPr>
            <w:color w:val="1155CC"/>
            <w:u w:val="single"/>
          </w:rPr>
          <w:t>10.1038/d41586-026-01157-9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685">
        <w:r>
          <w:rPr>
            <w:color w:val="1155CC"/>
            <w:u w:val="single"/>
          </w:rPr>
          <w:t>定时批量输入显著提高酶级联反应的产量</w:t>
        </w:r>
      </w:hyperlink>
    </w:p>
    <w:p>
      <w:pPr>
        <w:spacing w:before="0" w:after="80"/>
      </w:pPr>
      <w:r>
        <w:rPr>
          <w:i/>
          <w:sz w:val="20"/>
        </w:rPr>
        <w:t>EN: Timed batch inputs unlock substantially higher yields for enzymatic cascades</w:t>
      </w:r>
    </w:p>
    <w:p>
      <w:pPr>
        <w:spacing w:before="0" w:after="120"/>
      </w:pPr>
      <w:r>
        <w:rPr>
          <w:b/>
        </w:rPr>
        <w:t xml:space="preserve">Source: </w:t>
      </w:r>
      <w:r>
        <w:t>Nature Chemistry</w:t>
      </w:r>
      <w:r>
        <w:t xml:space="preserve">    </w:t>
      </w:r>
      <w:r>
        <w:rPr>
          <w:b/>
        </w:rPr>
        <w:t xml:space="preserve">Pub date: </w:t>
      </w:r>
      <w:r>
        <w:t>2026-05-06 00:00:00+00:00</w:t>
      </w:r>
      <w:r>
        <w:t xml:space="preserve">    </w:t>
      </w:r>
      <w:r>
        <w:rPr>
          <w:b/>
        </w:rPr>
        <w:t xml:space="preserve">DOI: </w:t>
      </w:r>
      <w:hyperlink r:id="rId686">
        <w:r>
          <w:rPr>
            <w:color w:val="1155CC"/>
            <w:u w:val="single"/>
          </w:rPr>
          <w:t>10.1038/s41557-026-02138-1</w:t>
        </w:r>
      </w:hyperlink>
    </w:p>
    <w:p>
      <w:pPr>
        <w:spacing w:before="0" w:after="120"/>
      </w:pPr>
      <w:r>
        <w:rPr>
          <w:b/>
        </w:rPr>
        <w:t xml:space="preserve">Notes: </w:t>
      </w:r>
      <w:r>
        <w:t>abstract_source=nature_html</w:t>
      </w:r>
    </w:p>
    <w:p>
      <w:pPr>
        <w:spacing w:before="0" w:after="80" w:lineRule="auto" w:line="276"/>
      </w:pPr>
      <w:r>
        <w:rPr>
          <w:b/>
        </w:rPr>
        <w:t xml:space="preserve">摘要（ZH）: </w:t>
      </w:r>
      <w:r>
        <w:t>无细胞酶促反应网络（ERNs）能够在单一反应中生产增值化合物。然而，变构相互作用、产物抑制、可逆性和对共享辅因子的竞争只有在ERN组装后才显现。这些新兴动态创造了限制整体产量的动力学障碍。在此，我们引入了一种模型指导的优化设计策略，以生成批次反应的时间依赖性“配方”，其中每个成分可以在任何时间以指定量反复添加。我们将该方法应用于两个ERNs：戊糖磷酸途径和分支核苷酸回收途径。在戊糖磷酸途径中，优化的输入将AMP产量提高了多达5.7倍，并将葡萄糖到产物的转化率从对照组的约12%提高到使用时间依赖性输入的约48%。在回收途径中，时间依赖性剂量平衡了竞争分支，并将UTP产量相对于成分匹配的全量一次性剂量提高了约21倍。定时批次输入提供了一种普遍适用的优化复杂反应序列的途径。此图像的替代文本可能是使用AI生成的。</w:t>
      </w:r>
    </w:p>
    <w:p>
      <w:pPr>
        <w:spacing w:before="0" w:after="200" w:lineRule="auto" w:line="276"/>
      </w:pPr>
      <w:r>
        <w:rPr>
          <w:b/>
        </w:rPr>
        <w:t xml:space="preserve">Abstract (EN): </w:t>
      </w:r>
      <w:r>
        <w:t>Cell-free enzymatic reaction networks (ERNs) enable the production of value-added compounds in a single reaction. However, allosteric interactions, product inhibition, reversibility and competition for shared cofactors only become apparent once the ERN is assembled. These emergent dynamics create kinetic barriers that limit the overall yield. Here we introduce a model-guided optimal design strategy to generate time-dependent ‘recipes’ for batch reactions, in which every component can be added repeatedly at specified amounts, at any time. We apply the method to two ERNs: the pentose phosphate pathway and a branched nucleotide salvage pathway. In the pentose phosphate pathway, optimized inputs increased AMP production up to 5.7-fold and raised glucose-to-product conversion from ~12% in the control to ~48% using a time-dependent input. In the salvage pathway, time-dependent dosing balanced competing branches and increased UTP yield ~21-fold relative to composition-matched all-at-once dosing. Timed batch inputs provide a generally applicable route to optimizing a complex reaction sequence.The alternative text for this image may have been generated using AI.</w:t>
      </w:r>
    </w:p>
    <w:p>
      <w:pPr>
        <w:spacing w:before="120" w:after="120"/>
      </w:pPr>
      <w:r>
        <w:rPr>
          <w:sz w:val="18"/>
        </w:rPr>
        <w:t>——————————————————————————————————————————————————————————————————————</w:t>
      </w:r>
    </w:p>
    <w:p>
      <w:pPr>
        <w:spacing w:before="160" w:after="40" w:line="240" w:lineRule="auto"/>
      </w:pPr>
      <w:r>
        <w:rPr>
          <w:b/>
        </w:rPr>
        <w:t xml:space="preserve">[283] </w:t>
      </w:r>
      <w:hyperlink r:id="rId687">
        <w:r>
          <w:rPr>
            <w:color w:val="1155CC"/>
            <w:u w:val="single"/>
          </w:rPr>
          <w:t>芳基融合的双环[3.1.1]庚烷的合成及其作为萘基生物等排体的验证</w:t>
        </w:r>
      </w:hyperlink>
    </w:p>
    <w:p>
      <w:pPr>
        <w:spacing w:before="0" w:after="80"/>
      </w:pPr>
      <w:r>
        <w:rPr>
          <w:i/>
          <w:sz w:val="20"/>
        </w:rPr>
        <w:t>EN: Synthesis of aryl-fused bicyclo[3.1.1]heptanes and validation as naphthyl bioisosteres</w:t>
      </w:r>
    </w:p>
    <w:p>
      <w:pPr>
        <w:spacing w:before="0" w:after="120"/>
      </w:pPr>
      <w:r>
        <w:rPr>
          <w:b/>
        </w:rPr>
        <w:t xml:space="preserve">Source: </w:t>
      </w:r>
      <w:r>
        <w:t>Nature Chemistry</w:t>
      </w:r>
      <w:r>
        <w:t xml:space="preserve">    </w:t>
      </w:r>
      <w:r>
        <w:rPr>
          <w:b/>
        </w:rPr>
        <w:t xml:space="preserve">Pub date: </w:t>
      </w:r>
      <w:r>
        <w:t>2026-05-06 00:00:00+00:00</w:t>
      </w:r>
      <w:r>
        <w:t xml:space="preserve">    </w:t>
      </w:r>
      <w:r>
        <w:rPr>
          <w:b/>
        </w:rPr>
        <w:t xml:space="preserve">DOI: </w:t>
      </w:r>
      <w:hyperlink r:id="rId688">
        <w:r>
          <w:rPr>
            <w:color w:val="1155CC"/>
            <w:u w:val="single"/>
          </w:rPr>
          <w:t>10.1038/s41557-026-02129-2</w:t>
        </w:r>
      </w:hyperlink>
    </w:p>
    <w:p>
      <w:pPr>
        <w:spacing w:before="0" w:after="120"/>
      </w:pPr>
      <w:r>
        <w:rPr>
          <w:b/>
        </w:rPr>
        <w:t xml:space="preserve">Notes: </w:t>
      </w:r>
      <w:r>
        <w:t>abstract_source=nature_html</w:t>
      </w:r>
    </w:p>
    <w:p>
      <w:pPr>
        <w:spacing w:before="0" w:after="80" w:lineRule="auto" w:line="276"/>
      </w:pPr>
      <w:r>
        <w:rPr>
          <w:b/>
        </w:rPr>
        <w:t xml:space="preserve">摘要（ZH）: </w:t>
      </w:r>
      <w:r>
        <w:t>尽管萘基结构在药物和先导化合物中经常遇到，但其平坦、富含sp2的性质以及对细胞色素P450介导代谢的易感性通常限制了其可开发性。在此，我们报告了可衍生的芳基融合双环[3.1.1]庚烷（BCHeps）作为萘和其他融合双环（杂）芳烃的sp3丰富的生物等排体替代物的研究，包括代表性不足的β-萘基单元。通过可见光能量转移启用的分子内交叉[2+2]光环加成有效获得BCHeps，并随后多样化以提供一系列不同的骨架。在此，我们展示了将基于BCHep的萘基等排体引入AhR拮抗剂ezutromid中，保留了关键的几何出口向量，同时减少了sp2碳原子的比例。重要的是，这些类似物保留了生物活性，并显示出对CYP1A介导代谢的改善代谢稳定性。固态结构、细胞测定和微粒体研究证实BCHep取代减轻了反应性代谢物的形成，验证了芳基融合BCHeps作为meta-取代芳烃和2-萘的真正生物等排体替代物。此图像的替代文本可能是使用AI生成的。</w:t>
      </w:r>
    </w:p>
    <w:p>
      <w:pPr>
        <w:spacing w:before="0" w:after="200" w:lineRule="auto" w:line="276"/>
      </w:pPr>
      <w:r>
        <w:rPr>
          <w:b/>
        </w:rPr>
        <w:t xml:space="preserve">Abstract (EN): </w:t>
      </w:r>
      <w:r>
        <w:t>Although naphthalene motifs are frequently encountered in drugs and lead compounds, their flat, sp2-rich nature and susceptibility to cytochrome P450-mediated metabolism often limit their developability. Here we report the study of derivatizable aryl-fused bicyclo[3.1.1]heptanes (BCHeps) as sp3-rich bioisosteric replacements for naphthalene and other fused bicyclic (hetero)aromatics, including underrepresented β-naphthyl units. The BCHeps were efficiently accessed via an intramolecular crossed [2+2] photocycloaddition enabled by visible light energy transfer and subsequently diversified to provide a range of different scaffolds. Here we show that the incorporation of BCHep-based naphthyl isosteres into the AhR antagonist ezutromid preserves key geometric exit vectors while reducing the fraction of sp2 carbon atoms. Importantly, these analogues retain biological activity and display improved metabolic stability towards CYP1A-mediated metabolism. Solid-state structures, cellular assays and microsomal studies confirm that BCHep substitution mitigates reactive metabolite formation, validating aryl-fused BCHeps as true bioisosteric replacements for meta-substituted arenes and 2-naphthalenes.The alternative text for this image may have been generated using AI.</w:t>
      </w:r>
    </w:p>
    <w:p>
      <w:pPr>
        <w:spacing w:before="120" w:after="120"/>
      </w:pPr>
      <w:r>
        <w:rPr>
          <w:sz w:val="18"/>
        </w:rPr>
        <w:t>——————————————————————————————————————————————————————————————————————</w:t>
      </w:r>
    </w:p>
    <w:p>
      <w:pPr>
        <w:spacing w:before="160" w:after="40" w:line="240" w:lineRule="auto"/>
      </w:pPr>
      <w:r>
        <w:rPr>
          <w:b/>
        </w:rPr>
        <w:t xml:space="preserve">[284] </w:t>
      </w:r>
      <w:hyperlink r:id="rId689">
        <w:r>
          <w:rPr>
            <w:color w:val="1155CC"/>
            <w:u w:val="single"/>
          </w:rPr>
          <w:t>利用DNA正交条形码解锁适配体的化学多样性</w:t>
        </w:r>
      </w:hyperlink>
    </w:p>
    <w:p>
      <w:pPr>
        <w:spacing w:before="0" w:after="80"/>
      </w:pPr>
      <w:r>
        <w:rPr>
          <w:i/>
          <w:sz w:val="20"/>
        </w:rPr>
        <w:t>EN: Unlocking chemical diversity in aptamers with DNA orthogonal barcodes</w:t>
      </w:r>
    </w:p>
    <w:p>
      <w:pPr>
        <w:spacing w:before="0" w:after="120"/>
      </w:pPr>
      <w:r>
        <w:rPr>
          <w:b/>
        </w:rPr>
        <w:t xml:space="preserve">Source: </w:t>
      </w:r>
      <w:r>
        <w:t>Nature Chemistry</w:t>
      </w:r>
      <w:r>
        <w:t xml:space="preserve">    </w:t>
      </w:r>
      <w:r>
        <w:rPr>
          <w:b/>
        </w:rPr>
        <w:t xml:space="preserve">Pub date: </w:t>
      </w:r>
      <w:r>
        <w:t>2026-05-06 00:00:00+00:00</w:t>
      </w:r>
      <w:r>
        <w:t xml:space="preserve">    </w:t>
      </w:r>
      <w:r>
        <w:rPr>
          <w:b/>
        </w:rPr>
        <w:t xml:space="preserve">DOI: </w:t>
      </w:r>
      <w:hyperlink r:id="rId690">
        <w:r>
          <w:rPr>
            <w:color w:val="1155CC"/>
            <w:u w:val="single"/>
          </w:rPr>
          <w:t>10.1038/s41557-026-02099-5</w:t>
        </w:r>
      </w:hyperlink>
    </w:p>
    <w:p>
      <w:pPr>
        <w:spacing w:before="0" w:after="120"/>
      </w:pPr>
      <w:r>
        <w:rPr>
          <w:b/>
        </w:rPr>
        <w:t xml:space="preserve">Notes: </w:t>
      </w:r>
      <w:r>
        <w:t>abstract_source=nature_html</w:t>
      </w:r>
    </w:p>
    <w:p>
      <w:pPr>
        <w:spacing w:before="0" w:after="80" w:lineRule="auto" w:line="276"/>
      </w:pPr>
      <w:r>
        <w:rPr>
          <w:b/>
        </w:rPr>
        <w:t xml:space="preserve">摘要（ZH）: </w:t>
      </w:r>
      <w:r>
        <w:t>适配体是一种多功能的抗体替代品，因为它们更小，更容易合成且免疫原性较低。然而，虽然抗体由20种化学多样的氨基酸组成并已成为成熟的治疗药物，适配体仅由4种相似的核碱基组成，从而限制了其治疗潜力。适配体的化学修饰受到限制，以保持与酶选择的兼容性。在此，我们介绍了适配体样编码寡聚物（alenomers），这些是高度化学修饰的适配体，使用从目标结合寡聚物分支并对应的DNA代码进行读取和测序。我们使用自动化DNA合成仪和分裂-合并方法构建了约300,000个成员的DNA编码库，并通过下一代测序筛选它们的蛋白结合能力。与适配体相比，alenomers不受保守的酶兼容修饰的限制。因此，它们可以探索几乎无限的化学空间，从而发现高度稳定、高亲和力的蛋白结合适配体，同时提供其与目标分子相互作用的结构见解。此图像的替代文本可能是使用AI生成的。</w:t>
      </w:r>
    </w:p>
    <w:p>
      <w:pPr>
        <w:spacing w:before="0" w:after="200" w:lineRule="auto" w:line="276"/>
      </w:pPr>
      <w:r>
        <w:rPr>
          <w:b/>
        </w:rPr>
        <w:t xml:space="preserve">Abstract (EN): </w:t>
      </w:r>
      <w:r>
        <w:t>Aptamers are a versatile alternative to antibodies as they are smaller, easier to synthesize and less immunogenic. However, while antibodies are composed of 20 chemically diverse amino acids and are established therapeutics, aptamers are composed of only 4 similar nucleobases, thereby limiting their therapeutic potential. Aptamer chemical modifications are restricted to maintain compatibility with enzymatic selection. Here we introduce aptamer-like encoded oligomers (alenomers), highly chemically modified aptamers that are read and sequenced using a DNA code branching from and corresponding to the target-binding oligomer. We build ~300,000-member DNA-encoded libraries using an automated DNA synthesizer and split-and-pool methods, and screen them for protein binding via next-generation sequencing. In contrast to aptamers, alenomers are not restricted by the need for conservative enzyme-compatible modifications. They can thus explore an almost limitless chemical space, enabling the discovery of highly stable, high-affinity protein-binding aptamers, while offering structural insights into their interactions with target molecules.The alternative text for this image may have been generated using AI.</w:t>
      </w:r>
    </w:p>
    <w:p>
      <w:pPr>
        <w:spacing w:before="120" w:after="120"/>
      </w:pPr>
      <w:r>
        <w:rPr>
          <w:sz w:val="18"/>
        </w:rPr>
        <w:t>——————————————————————————————————————————————————————————————————————</w:t>
      </w:r>
    </w:p>
    <w:p>
      <w:pPr>
        <w:spacing w:before="160" w:after="40" w:line="240" w:lineRule="auto"/>
      </w:pPr>
      <w:r>
        <w:rPr>
          <w:b/>
        </w:rPr>
        <w:t xml:space="preserve">[285] </w:t>
      </w:r>
      <w:hyperlink r:id="rId691">
        <w:r>
          <w:rPr>
            <w:color w:val="1155CC"/>
            <w:u w:val="single"/>
          </w:rPr>
          <w:t>麻醉状态下人类海马体的可塑性和语言</w:t>
        </w:r>
      </w:hyperlink>
    </w:p>
    <w:p>
      <w:pPr>
        <w:spacing w:before="0" w:after="80"/>
      </w:pPr>
      <w:r>
        <w:rPr>
          <w:i/>
          <w:sz w:val="20"/>
        </w:rPr>
        <w:t>EN: Plasticity and language in the anaesthetized human hippocampus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92">
        <w:r>
          <w:rPr>
            <w:color w:val="1155CC"/>
            <w:u w:val="single"/>
          </w:rPr>
          <w:t>10.1038/s41586-026-10448-0</w:t>
        </w:r>
      </w:hyperlink>
    </w:p>
    <w:p>
      <w:pPr>
        <w:spacing w:before="0" w:after="120"/>
      </w:pPr>
      <w:r>
        <w:rPr>
          <w:b/>
        </w:rPr>
        <w:t xml:space="preserve">Notes: </w:t>
      </w:r>
      <w:r>
        <w:t>abstract_source=nature_html</w:t>
      </w:r>
    </w:p>
    <w:p>
      <w:pPr>
        <w:spacing w:before="0" w:after="80" w:lineRule="auto" w:line="276"/>
      </w:pPr>
      <w:r>
        <w:rPr>
          <w:b/>
        </w:rPr>
        <w:t xml:space="preserve">摘要（ZH）: </w:t>
      </w:r>
      <w:r>
        <w:t>意识是认知的基本组成部分1，但高级模式识别在多大程度上依赖于意识仍存在争议2,3。在此，我们展示了在全身麻醉引起的意识丧失下，个体仍能保持对奇异球的辨别、语义处理和在线预测4,5。使用高密度Neuropixels微电极6记录人类海马体中的单元和局部场电位神经活动，同时向麻醉患者播放一系列音调，我们发现海马体神经元和局部振荡保留了一些对奇异音调的检测。这个效应大小在实验过程中（大约10分钟）逐渐增加，展示了表征的可塑性。一个生物学上合理的递归神经网络模型显示，学习和奇异表征是灵活音调辨别的一个涌现特性。此外，当我们播放语言刺激时，单元和局部场电位携带了关于自然语音的语义和语法特征的信息，甚至预测即将到来的词语的语义信息。这些结果表明，在海马体中，即使在无意识状态下，复杂的感觉刺激处理也会发生，而海马体在解剖学和功能上都远离主要感觉皮层7。</w:t>
      </w:r>
    </w:p>
    <w:p>
      <w:pPr>
        <w:spacing w:before="0" w:after="200" w:lineRule="auto" w:line="276"/>
      </w:pPr>
      <w:r>
        <w:rPr>
          <w:b/>
        </w:rPr>
        <w:t xml:space="preserve">Abstract (EN): </w:t>
      </w:r>
      <w:r>
        <w:t>Consciousness is a fundamental component of cognition1, but the degree to which higher-order pattern recognition relies on it remains disputed2,3. Here we demonstrate the persistence of oddball discrimination, semantic processing and online prediction in individuals under general-anaesthesia-induced loss of consciousness4,5. Using high-density Neuropixels microelectrodes6 to record both single-unit and local-field-potential neural activity in the human hippocampus while playing a series of tones to anaesthetized patients, we found that hippocampal neurons and local oscillations retained some detection of oddball tones. This effect size grew over the course of the experiment (around 10 min), demonstrating representational plasticity. A biologically plausible recurrent neural network model showed that learning and oddball representation are an emergent property of flexible tone discrimination. Moreover, when we played language stimuli, single units and local field potentials carried information about the semantic and grammatical features of natural speech, even predicting semantic information about upcoming words. Together these results indicate that in the hippocampus, which is anatomically and functionally distant from primary sensory cortices7, complex processing of sensory stimuli occurs even in the unconscious state.</w:t>
      </w:r>
    </w:p>
    <w:p>
      <w:pPr>
        <w:spacing w:before="120" w:after="120"/>
      </w:pPr>
      <w:r>
        <w:rPr>
          <w:sz w:val="18"/>
        </w:rPr>
        <w:t>——————————————————————————————————————————————————————————————————————</w:t>
      </w:r>
    </w:p>
    <w:p>
      <w:pPr>
        <w:spacing w:before="160" w:after="40" w:line="240" w:lineRule="auto"/>
      </w:pPr>
      <w:r>
        <w:rPr>
          <w:b/>
        </w:rPr>
        <w:t xml:space="preserve">[286] </w:t>
      </w:r>
      <w:hyperlink r:id="rId693">
        <w:r>
          <w:rPr>
            <w:color w:val="1155CC"/>
            <w:u w:val="single"/>
          </w:rPr>
          <w:t>利用空间生态型对肿瘤微环境进行非侵入性分析</w:t>
        </w:r>
      </w:hyperlink>
    </w:p>
    <w:p>
      <w:pPr>
        <w:spacing w:before="0" w:after="80"/>
      </w:pPr>
      <w:r>
        <w:rPr>
          <w:i/>
          <w:sz w:val="20"/>
        </w:rPr>
        <w:t>EN: Non-invasive profiling of the tumour microenvironment with spatial ecotypes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94">
        <w:r>
          <w:rPr>
            <w:color w:val="1155CC"/>
            <w:u w:val="single"/>
          </w:rPr>
          <w:t>10.1038/s41586-026-10452-4</w:t>
        </w:r>
      </w:hyperlink>
    </w:p>
    <w:p>
      <w:pPr>
        <w:spacing w:before="0" w:after="120"/>
      </w:pPr>
      <w:r>
        <w:rPr>
          <w:b/>
        </w:rPr>
        <w:t xml:space="preserve">Notes: </w:t>
      </w:r>
      <w:r>
        <w:t>abstract_source=nature_html</w:t>
      </w:r>
    </w:p>
    <w:p>
      <w:pPr>
        <w:spacing w:before="0" w:after="80" w:lineRule="auto" w:line="276"/>
      </w:pPr>
      <w:r>
        <w:rPr>
          <w:b/>
        </w:rPr>
        <w:t xml:space="preserve">摘要（ZH）: </w:t>
      </w:r>
      <w:r>
        <w:t>肿瘤微环境（TME）中的多细胞程序驱动癌症发病机制和对治疗的反应，但在临床上仍难以识别和分析1,2,3。在此，我们提出了一种机器学习框架，用于空间依赖细胞状态和多细胞生态系统的多分析物分析，称为空间生态型（SEs）。通过整合来自不同人类癌瘤和黑色素瘤的超过1000万个单细胞和点级空间转录组，我们识别了九个具有广泛保守性的SEs，每个SEs都有独特的生物学、地理空间特征和临床结果关联，包括几个与免疫治疗反应相关的SEs。值得注意的是，SEs可以通过DNA甲基化分析区分，并且可以使用深度学习从血浆无细胞DNA（cfDNA）中恢复。在近100名黑色素瘤患者的cfDNA中，SE水平表现出与免疫治疗反应的显著关联。我们的数据揭示了TME组织的基本单位，并展示了一种用于分析固体和液体TME的多模式平台，对改善风险分层和治疗个性化具有重要意义。</w:t>
      </w:r>
    </w:p>
    <w:p>
      <w:pPr>
        <w:spacing w:before="0" w:after="200" w:lineRule="auto" w:line="276"/>
      </w:pPr>
      <w:r>
        <w:rPr>
          <w:b/>
        </w:rPr>
        <w:t xml:space="preserve">Abstract (EN): </w:t>
      </w:r>
      <w:r>
        <w:t>Multicellular programs in the tumour microenvironment (TME) drive cancer pathogenesis and response to therapy but remain challenging to identify and profile clinically1,2,3. Here, we present a machine-learning framework for multi-analyte profiling of spatially dependent cell states and multicellular ecosystems, termed spatial ecotypes (SEs). By integrating over 10 million single-cell and spot-level spatial transcriptomes from diverse human carcinomas and melanomas, we identified nine SEs with broad conservation, each of which has unique biology, geospatial features and clinical outcome associations, including several linked to immunotherapy response. Notably, SEs were distinguishable by DNA methylation profiling and were recoverable from plasma cell-free DNA (cfDNA) using deep learning. In cfDNA from nearly 100 patients with melanoma, SE levels exhibited striking associations with immunotherapy response. Our data reveal fundamental units of TME organization and demonstrate a multimodal platform for profiling solid and liquid TMEs, with implications for improved risk stratification and therapy personalization.</w:t>
      </w:r>
    </w:p>
    <w:p>
      <w:pPr>
        <w:spacing w:before="120" w:after="120"/>
      </w:pPr>
      <w:r>
        <w:rPr>
          <w:sz w:val="18"/>
        </w:rPr>
        <w:t>——————————————————————————————————————————————————————————————————————</w:t>
      </w:r>
    </w:p>
    <w:p>
      <w:pPr>
        <w:spacing w:before="160" w:after="40" w:line="240" w:lineRule="auto"/>
      </w:pPr>
      <w:r>
        <w:rPr>
          <w:b/>
        </w:rPr>
        <w:t xml:space="preserve">[287] </w:t>
      </w:r>
      <w:hyperlink r:id="rId695">
        <w:r>
          <w:rPr>
            <w:color w:val="1155CC"/>
            <w:u w:val="single"/>
          </w:rPr>
          <w:t>注意力跨度真的在缩短吗？科学怎么说</w:t>
        </w:r>
      </w:hyperlink>
    </w:p>
    <w:p>
      <w:pPr>
        <w:spacing w:before="0" w:after="80"/>
      </w:pPr>
      <w:r>
        <w:rPr>
          <w:i/>
          <w:sz w:val="20"/>
        </w:rPr>
        <w:t>EN: Are attention spans really shrinking? What the science says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96">
        <w:r>
          <w:rPr>
            <w:color w:val="1155CC"/>
            <w:u w:val="single"/>
          </w:rPr>
          <w:t>10.1038/d41586-026-01407-w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697">
        <w:r>
          <w:rPr>
            <w:color w:val="1155CC"/>
            <w:u w:val="single"/>
          </w:rPr>
          <w:t>灯灭了但有人在家：麻醉状态下人类大脑的感觉处理</w:t>
        </w:r>
      </w:hyperlink>
    </w:p>
    <w:p>
      <w:pPr>
        <w:spacing w:before="0" w:after="80"/>
      </w:pPr>
      <w:r>
        <w:rPr>
          <w:i/>
          <w:sz w:val="20"/>
        </w:rPr>
        <w:t>EN: The lights are out but someone’s home: sensory processing in anaesthetized human brains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698">
        <w:r>
          <w:rPr>
            <w:color w:val="1155CC"/>
            <w:u w:val="single"/>
          </w:rPr>
          <w:t>10.1038/d41586-026-01310-4</w:t>
        </w:r>
      </w:hyperlink>
    </w:p>
    <w:p>
      <w:pPr>
        <w:spacing w:before="0" w:after="120"/>
      </w:pPr>
      <w:r>
        <w:rPr>
          <w:b/>
        </w:rPr>
        <w:t xml:space="preserve">Notes: </w:t>
      </w:r>
      <w:r>
        <w:t>abstract_source=openalex</w:t>
      </w:r>
    </w:p>
    <w:p>
      <w:pPr>
        <w:spacing w:before="0" w:after="80" w:lineRule="auto" w:line="276"/>
      </w:pPr>
      <w:r>
        <w:rPr>
          <w:b/>
        </w:rPr>
        <w:t xml:space="preserve">摘要（ZH）: </w:t>
      </w:r>
      <w:r>
        <w:t>在无意识的麻醉状态下，从一个称为海马体的大脑结构中进行了详细的神经记录。神经元活动对一系列听觉音调中的“奇异球”作出反应，编码了语言的复杂意义相关属性，甚至可以预测听到的短语中的即将到来的词语。正在接受脑外科手术的无意识患者的海马体中的神经元可以预测听到的短语中的即将到来的词语。</w:t>
      </w:r>
    </w:p>
    <w:p>
      <w:pPr>
        <w:spacing w:before="0" w:after="200" w:lineRule="auto" w:line="276"/>
      </w:pPr>
      <w:r>
        <w:rPr>
          <w:b/>
        </w:rPr>
        <w:t xml:space="preserve">Abstract (EN): </w:t>
      </w:r>
      <w:r>
        <w:t>Detailed neural recordings were made from a brain structure called the hippocampus in unconscious anaesthetized people. Neuronal activity responded to ‘oddballs’ in a series of auditory tones, encoded complex meaning-related properties of language and could even predict upcoming words in a heard phrase. Neurons in the hippocampuses of unconscious people undergoing brain surgery could predict upcoming words in a heard phrase.</w:t>
      </w:r>
    </w:p>
    <w:p>
      <w:pPr>
        <w:spacing w:before="120" w:after="120"/>
      </w:pPr>
      <w:r>
        <w:rPr>
          <w:sz w:val="18"/>
        </w:rPr>
        <w:t>——————————————————————————————————————————————————————————————————————</w:t>
      </w:r>
    </w:p>
    <w:p>
      <w:pPr>
        <w:spacing w:before="160" w:after="40" w:line="240" w:lineRule="auto"/>
      </w:pPr>
      <w:r>
        <w:rPr>
          <w:b/>
        </w:rPr>
        <w:t xml:space="preserve">[289] </w:t>
      </w:r>
      <w:hyperlink r:id="rId699">
        <w:r>
          <w:rPr>
            <w:color w:val="1155CC"/>
            <w:u w:val="single"/>
          </w:rPr>
          <w:t>极端星系尺度的外流在明亮的早期类星体中很常见</w:t>
        </w:r>
      </w:hyperlink>
    </w:p>
    <w:p>
      <w:pPr>
        <w:spacing w:before="0" w:after="80"/>
      </w:pPr>
      <w:r>
        <w:rPr>
          <w:i/>
          <w:sz w:val="20"/>
        </w:rPr>
        <w:t>EN: Extreme galaxy-scale outflows are frequent among luminous early quasars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00">
        <w:r>
          <w:rPr>
            <w:color w:val="1155CC"/>
            <w:u w:val="single"/>
          </w:rPr>
          <w:t>10.1038/s41586-026-10477-9</w:t>
        </w:r>
      </w:hyperlink>
    </w:p>
    <w:p>
      <w:pPr>
        <w:spacing w:before="0" w:after="120"/>
      </w:pPr>
      <w:r>
        <w:rPr>
          <w:b/>
        </w:rPr>
        <w:t xml:space="preserve">Notes: </w:t>
      </w:r>
      <w:r>
        <w:t>abstract_source=nature_html</w:t>
      </w:r>
    </w:p>
    <w:p>
      <w:pPr>
        <w:spacing w:before="0" w:after="80" w:lineRule="auto" w:line="276"/>
      </w:pPr>
      <w:r>
        <w:rPr>
          <w:b/>
        </w:rPr>
        <w:t xml:space="preserve">摘要（ZH）: </w:t>
      </w:r>
      <w:r>
        <w:t>在大爆炸后仅约1–2 Gyr出现大量后星爆和静止星系的存在对我们当前的星系演化模型提出了挑战1,2,3。宇宙学模拟表明，类星体反馈可能是导致这种快速淬灭的最有希望的机制4,5,6。我们在此报告了由詹姆斯·韦伯太空望远镜显示的z ≈ 5–6明亮类星体中通过[O iii]发射追踪的异常快速和强大的星系尺度外流的高检测率（6/27），速度高达约8,400 km s−1，动能外流率高达观察到的类星体总光度的约260%。这一比例是z ≈ 1.5–3.5和z iii]外流在z ≲ 3的比较样本的&gt;3.9和8.8倍，并可能到达星系际介质甚至星系间介质。我们样本的平均动能外流率比低红移比较样本高出2个数量级。我们样本中外流的频率显著高于负反馈阈值，强烈表明类星体反馈在有效淬灭和调节早期大质量星系中起着重要作用。</w:t>
      </w:r>
    </w:p>
    <w:p>
      <w:pPr>
        <w:spacing w:before="0" w:after="200" w:lineRule="auto" w:line="276"/>
      </w:pPr>
      <w:r>
        <w:rPr>
          <w:b/>
        </w:rPr>
        <w:t xml:space="preserve">Abstract (EN): </w:t>
      </w:r>
      <w:r>
        <w:t>The existence of abundant post-starburst and quiescent galaxies just about 1–2 Gyr after the Big Bang challenges our current model of galaxy evolution1,2,3. Cosmological simulations suggest that quasar feedback is likely the most promising mechanism responsible for this rapid quenching4,5,6. Here we report a high detection rate (6/27) of exceptionally fast and powerful galaxy-scale outflows traced by [O iii] emission in z ≈ 5–6 luminous quasars as shown by the James Webb Space Telescope, with velocity up to about 8,400 km s−1 and order-of-magnitude kinetic energy outflow rates up to around 260% of the observed quasar bolometric luminosities. This fraction is &gt;3.9 and 8.8 times that in comparison samples at z ≈ 1.5–3.5 and z iii] outflows reported at z ≲ 3, and could reach the circumgalactic medium or even the intergalactic medium. The average kinetic energy outflow rate of our sample is more than 2 dex higher than that of the lower-redshift comparison samples. The substantially higher frequency of outflows with energetics well above the threshold for negative feedback in our sample strongly suggests that quasar feedback plays an important part in efficiently quenching and regulating early massive galaxies.</w:t>
      </w:r>
    </w:p>
    <w:p>
      <w:pPr>
        <w:spacing w:before="120" w:after="120"/>
      </w:pPr>
      <w:r>
        <w:rPr>
          <w:sz w:val="18"/>
        </w:rPr>
        <w:t>——————————————————————————————————————————————————————————————————————</w:t>
      </w:r>
    </w:p>
    <w:p>
      <w:pPr>
        <w:spacing w:before="160" w:after="40" w:line="240" w:lineRule="auto"/>
      </w:pPr>
      <w:r>
        <w:rPr>
          <w:b/>
        </w:rPr>
        <w:t xml:space="preserve">[290] </w:t>
      </w:r>
      <w:hyperlink r:id="rId701">
        <w:r>
          <w:rPr>
            <w:color w:val="1155CC"/>
            <w:u w:val="single"/>
          </w:rPr>
          <w:t>多路磁共振成像</w:t>
        </w:r>
      </w:hyperlink>
    </w:p>
    <w:p>
      <w:pPr>
        <w:spacing w:before="0" w:after="80"/>
      </w:pPr>
      <w:r>
        <w:rPr>
          <w:i/>
          <w:sz w:val="20"/>
        </w:rPr>
        <w:t>EN: Multiplexed magnetic resonance imaging</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02">
        <w:r>
          <w:rPr>
            <w:color w:val="1155CC"/>
            <w:u w:val="single"/>
          </w:rPr>
          <w:t>10.1038/s41586-026-10475-x</w:t>
        </w:r>
      </w:hyperlink>
    </w:p>
    <w:p>
      <w:pPr>
        <w:spacing w:before="0" w:after="120"/>
      </w:pPr>
      <w:r>
        <w:rPr>
          <w:b/>
        </w:rPr>
        <w:t xml:space="preserve">Notes: </w:t>
      </w:r>
      <w:r>
        <w:t>abstract_source=nature_html</w:t>
      </w:r>
    </w:p>
    <w:p>
      <w:pPr>
        <w:spacing w:before="0" w:after="80" w:lineRule="auto" w:line="276"/>
      </w:pPr>
      <w:r>
        <w:rPr>
          <w:b/>
        </w:rPr>
        <w:t xml:space="preserve">摘要（ZH）: </w:t>
      </w:r>
      <w:r>
        <w:t>磁共振成像（MRI）在过去五十年中彻底改变了诊断放射学和医学1,2。然而，MRI的临床应用仍主要限于对宏观组织病理的视觉检查3,4。由于疾病如肿瘤、多发性硬化症（MS）和神经退行性疾病高度异质化，迫切需要一种能够提供组织特征定量生物标志物的无创成像技术，以实现个性化和精准医学5。我们在此介绍一种新的MRI数据采集和处理方法，称为“多路复用MRI”（MRx），以实现多分子高分辨率同时多参数映射。我们证明MRx可以在标准临床环境中获得大脑的定量结构、生理和分子生物标志物集。我们进一步证明这些生物标志物可以定义一个有效的组织状态指数，用于肿瘤和MS的疾病亚型和病变特征化。我们预计MRx的新定量多路复用成像能力将大大增强MRI在许多神经疾病诊断、监测和治疗效果评估中的能力，并可能在研究和临床应用中彻底改变大脑成像。</w:t>
      </w:r>
    </w:p>
    <w:p>
      <w:pPr>
        <w:spacing w:before="0" w:after="200" w:lineRule="auto" w:line="276"/>
      </w:pPr>
      <w:r>
        <w:rPr>
          <w:b/>
        </w:rPr>
        <w:t xml:space="preserve">Abstract (EN): </w:t>
      </w:r>
      <w:r>
        <w:t>Magnetic resonance imaging (MRI) has revolutionized diagnostic radiology and medicine over the past five decades1,2. However, clinical applications of MRI are still mainly limited to visual examination of macroscopic tissue pathology3,4. Because diseases, such as tumours, multiple sclerosis (MS) and neurodegenerative disorders, are highly heterogeneous, there is a critical need for a non-invasive imaging technology that can provide quantitative biomarkers for tissue characterization for personalized and precision medicine5. Here we introduce a new approach to MRI data acquisition and processing, called ‘multiplexed MRI’ (MRx), to achieve high-resolution simultaneous multiparametric mapping of several molecules. We demonstrate that MRx can obtain a large set of quantitative structural, physiological and molecular biomarkers of the whole brain in standard clinical settings. We further demonstrate that these biomarkers could define an effective tissue state index for disease subtyping and lesion characterization in tumours and MS. We anticipate that the new quantitative multiplexed imaging capabilities of MRx would substantially enhance the capability of MRI for diagnosis, monitoring and assessment of therapeutic efficacy of many neurological diseases and potentially transform brain imaging for both research and clinical applications.</w:t>
      </w:r>
    </w:p>
    <w:p>
      <w:pPr>
        <w:spacing w:before="120" w:after="120"/>
      </w:pPr>
      <w:r>
        <w:rPr>
          <w:sz w:val="18"/>
        </w:rPr>
        <w:t>——————————————————————————————————————————————————————————————————————</w:t>
      </w:r>
    </w:p>
    <w:p>
      <w:pPr>
        <w:spacing w:before="160" w:after="40" w:line="240" w:lineRule="auto"/>
      </w:pPr>
      <w:r>
        <w:rPr>
          <w:b/>
        </w:rPr>
        <w:t xml:space="preserve">[291] </w:t>
      </w:r>
      <w:hyperlink r:id="rId703">
        <w:r>
          <w:rPr>
            <w:color w:val="1155CC"/>
            <w:u w:val="single"/>
          </w:rPr>
          <w:t>J. Craig Venter讣告：测序人类基因组的特立独行的生物技术学家</w:t>
        </w:r>
      </w:hyperlink>
    </w:p>
    <w:p>
      <w:pPr>
        <w:spacing w:before="0" w:after="80"/>
      </w:pPr>
      <w:r>
        <w:rPr>
          <w:i/>
          <w:sz w:val="20"/>
        </w:rPr>
        <w:t>EN: J. Craig Venter obituary: maverick biotechnologist who sequenced the human genome</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04">
        <w:r>
          <w:rPr>
            <w:color w:val="1155CC"/>
            <w:u w:val="single"/>
          </w:rPr>
          <w:t>10.1038/d41586-026-01433-8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705">
        <w:r>
          <w:rPr>
            <w:color w:val="1155CC"/>
            <w:u w:val="single"/>
          </w:rPr>
          <w:t>我精疲力竭，准备离开学术界。我该如何完成我的博士学位？</w:t>
        </w:r>
      </w:hyperlink>
    </w:p>
    <w:p>
      <w:pPr>
        <w:spacing w:before="0" w:after="80"/>
      </w:pPr>
      <w:r>
        <w:rPr>
          <w:i/>
          <w:sz w:val="20"/>
        </w:rPr>
        <w:t>EN: I’m burnt out and leaving academia. How do I finish my PhD?</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06">
        <w:r>
          <w:rPr>
            <w:color w:val="1155CC"/>
            <w:u w:val="single"/>
          </w:rPr>
          <w:t>10.1038/d41586-026-00797-1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[293] </w:t>
      </w:r>
      <w:hyperlink r:id="rId707">
        <w:r>
          <w:rPr>
            <w:color w:val="1155CC"/>
            <w:u w:val="single"/>
          </w:rPr>
          <w:t>相对论等离子体开启了通向极端光场的途径</w:t>
        </w:r>
      </w:hyperlink>
    </w:p>
    <w:p>
      <w:pPr>
        <w:spacing w:before="0" w:after="80"/>
      </w:pPr>
      <w:r>
        <w:rPr>
          <w:i/>
          <w:sz w:val="20"/>
        </w:rPr>
        <w:t>EN: Relativistic plasmas open a route to extreme optical fields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08">
        <w:r>
          <w:rPr>
            <w:color w:val="1155CC"/>
            <w:u w:val="single"/>
          </w:rPr>
          <w:t>10.1038/d41586-026-01311-3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709">
        <w:r>
          <w:rPr>
            <w:color w:val="1155CC"/>
            <w:u w:val="single"/>
          </w:rPr>
          <w:t>TikTok的算法在2024年美国大选期间系统性地向右倾斜</w:t>
        </w:r>
      </w:hyperlink>
    </w:p>
    <w:p>
      <w:pPr>
        <w:spacing w:before="0" w:after="80"/>
      </w:pPr>
      <w:r>
        <w:rPr>
          <w:i/>
          <w:sz w:val="20"/>
        </w:rPr>
        <w:t>EN: TikTok’s algorithm systematically skewed to the right during the 2024 US elections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10">
        <w:r>
          <w:rPr>
            <w:color w:val="1155CC"/>
            <w:u w:val="single"/>
          </w:rPr>
          <w:t>10.1038/d41586-026-01314-0</w:t>
        </w:r>
      </w:hyperlink>
    </w:p>
    <w:p>
      <w:pPr>
        <w:spacing w:before="0" w:after="120"/>
      </w:pPr>
      <w:r>
        <w:rPr>
          <w:b/>
        </w:rPr>
        <w:t xml:space="preserve">Notes: </w:t>
      </w:r>
      <w:r>
        <w:t>abstract_source=openalex</w:t>
      </w:r>
    </w:p>
    <w:p>
      <w:pPr>
        <w:spacing w:before="0" w:after="80" w:lineRule="auto" w:line="276"/>
      </w:pPr>
      <w:r>
        <w:rPr>
          <w:b/>
        </w:rPr>
        <w:t xml:space="preserve">摘要（ZH）: </w:t>
      </w:r>
      <w:r>
        <w:t>在2024年美国总统选举期间，使用数百个自动化“机器人”账户对TikTok推荐算法进行审计发现，该平台的“为你”推荐流引导用户倾向于共和党对齐的政治内容，无论他们最初的政治倾向如何。“机器人”账户主要被引导至与共和党对齐的内容。</w:t>
      </w:r>
    </w:p>
    <w:p>
      <w:pPr>
        <w:spacing w:before="0" w:after="200" w:lineRule="auto" w:line="276"/>
      </w:pPr>
      <w:r>
        <w:rPr>
          <w:b/>
        </w:rPr>
        <w:t xml:space="preserve">Abstract (EN): </w:t>
      </w:r>
      <w:r>
        <w:t>An audit of TikTok’s recommendation algorithm using hundreds of automated ‘bot’ accounts during the 2024 US presidential election finds that the ‘For You’ feed of the platform steered users towards Republican-aligned political content, regardless of their initial political leanings. ‘Bot’ accounts were directed mostly towards content aligned with the Republican Party.</w:t>
      </w:r>
    </w:p>
    <w:p>
      <w:pPr>
        <w:spacing w:before="120" w:after="120"/>
      </w:pPr>
      <w:r>
        <w:rPr>
          <w:sz w:val="18"/>
        </w:rPr>
        <w:t>——————————————————————————————————————————————————————————————————————</w:t>
      </w:r>
    </w:p>
    <w:p>
      <w:pPr>
        <w:spacing w:before="160" w:after="40" w:line="240" w:lineRule="auto"/>
      </w:pPr>
      <w:r>
        <w:rPr>
          <w:b/>
        </w:rPr>
        <w:t xml:space="preserve">[295] </w:t>
      </w:r>
      <w:hyperlink r:id="rId711">
        <w:r>
          <w:rPr>
            <w:color w:val="1155CC"/>
            <w:u w:val="single"/>
          </w:rPr>
          <w:t>即使是无意识的大脑也能学习——并预测你接下来会说什么</w:t>
        </w:r>
      </w:hyperlink>
    </w:p>
    <w:p>
      <w:pPr>
        <w:spacing w:before="0" w:after="80"/>
      </w:pPr>
      <w:r>
        <w:rPr>
          <w:i/>
          <w:sz w:val="20"/>
        </w:rPr>
        <w:t>EN: Even the unconscious brain can learn — and predict what you’ll say next</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12">
        <w:r>
          <w:rPr>
            <w:color w:val="1155CC"/>
            <w:u w:val="single"/>
          </w:rPr>
          <w:t>10.1038/d41586-026-01465-0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[296] </w:t>
      </w:r>
      <w:hyperlink r:id="rId713">
        <w:r>
          <w:rPr>
            <w:color w:val="1155CC"/>
            <w:u w:val="single"/>
          </w:rPr>
          <w:t>深度学习支持的彗星尺寸估计表明早期太阳系更加动态</w:t>
        </w:r>
      </w:hyperlink>
    </w:p>
    <w:p>
      <w:pPr>
        <w:spacing w:before="0" w:after="80"/>
      </w:pPr>
      <w:r>
        <w:rPr>
          <w:i/>
          <w:sz w:val="20"/>
        </w:rPr>
        <w:t>EN: Deep learning-enabled size estimation of comets indicates a more dynamic early solar system</w:t>
      </w:r>
    </w:p>
    <w:p>
      <w:pPr>
        <w:spacing w:before="0" w:after="120"/>
      </w:pPr>
      <w:r>
        <w:rPr>
          <w:b/>
        </w:rPr>
        <w:t xml:space="preserve">Source: </w:t>
      </w:r>
      <w:r>
        <w:t>Nature Communications</w:t>
      </w:r>
      <w:r>
        <w:t xml:space="preserve">    </w:t>
      </w:r>
      <w:r>
        <w:rPr>
          <w:b/>
        </w:rPr>
        <w:t xml:space="preserve">Pub date: </w:t>
      </w:r>
      <w:r>
        <w:t>2026-05-06 00:00:00+00:00</w:t>
      </w:r>
      <w:r>
        <w:t xml:space="preserve">    </w:t>
      </w:r>
      <w:r>
        <w:rPr>
          <w:b/>
        </w:rPr>
        <w:t xml:space="preserve">DOI: </w:t>
      </w:r>
      <w:hyperlink r:id="rId714">
        <w:r>
          <w:rPr>
            <w:color w:val="1155CC"/>
            <w:u w:val="single"/>
          </w:rPr>
          <w:t>10.1038/s41467-026-72646-8</w:t>
        </w:r>
      </w:hyperlink>
    </w:p>
    <w:p>
      <w:pPr>
        <w:spacing w:before="0" w:after="120"/>
      </w:pPr>
      <w:r>
        <w:rPr>
          <w:b/>
        </w:rPr>
        <w:t xml:space="preserve">Notes: </w:t>
      </w:r>
      <w:r>
        <w:t>abstract_source=nature_html</w:t>
      </w:r>
    </w:p>
    <w:p>
      <w:pPr>
        <w:spacing w:before="0" w:after="80" w:lineRule="auto" w:line="276"/>
      </w:pPr>
      <w:r>
        <w:rPr>
          <w:b/>
        </w:rPr>
        <w:t xml:space="preserve">摘要（ZH）: </w:t>
      </w:r>
      <w:r>
        <w:t>太阳系两个主要彗星库——奥尔特云和散射盘的形成和演化仍然受到很大限制。对彗星流量的观测表明，这些库之间的人口比例超过了巨行星不稳定性模型的预测两倍以上。一个主要的不确定性来源在于确定彗星的大小，因为彗星核常常被周围的彗发遮挡。在此，我们通过人工智能的活动建模推导出28颗彗星的独立核大小，直接从水蒸气排放的变化中推断出大小。我们发现长周期彗星的核显著大于具有相似绝对亮度的短周期彗星。我们的结果表明，奥尔特云的人口几乎是散射盘的三倍，这意味着恒星飞掠等过程可能在塑造外太阳系中发挥了重要作用。</w:t>
      </w:r>
    </w:p>
    <w:p>
      <w:pPr>
        <w:spacing w:before="0" w:after="200" w:lineRule="auto" w:line="276"/>
      </w:pPr>
      <w:r>
        <w:rPr>
          <w:b/>
        </w:rPr>
        <w:t xml:space="preserve">Abstract (EN): </w:t>
      </w:r>
      <w:r>
        <w:t>The formation and evolution of the Solar System’s two major comet reservoirs, the Oort Cloud and the Scattered Disk, remain poorly constrained. Observations of comet flux imply a population ratio between these reservoirs that exceeds predictions from models of giant planet instability by more than two orders of magnitude. A major source of uncertainty lies in determining comet sizes, as the nucleus is often obscured by the surrounding coma. Here we derive independent nucleus sizes for 28 comets by activity modeling with artificial intelligence to infer sizes directly from variations in water emission. We find that long-period comets possess significantly larger nuclei than short-period comets with comparable absolute brightness. Our results indicate that the Oort Cloud is nearly three orders of magnitude more populated than the Scattered Disk, implying that processes such as stellar flybys could have played an important role in shaping the outer Solar System.</w:t>
      </w:r>
    </w:p>
    <w:p>
      <w:pPr>
        <w:spacing w:before="120" w:after="120"/>
      </w:pPr>
      <w:r>
        <w:rPr>
          <w:sz w:val="18"/>
        </w:rPr>
        <w:t>——————————————————————————————————————————————————————————————————————</w:t>
      </w:r>
    </w:p>
    <w:p>
      <w:pPr>
        <w:spacing w:before="160" w:after="40" w:line="240" w:lineRule="auto"/>
      </w:pPr>
      <w:r>
        <w:rPr>
          <w:b/>
        </w:rPr>
        <w:t xml:space="preserve">[297] </w:t>
      </w:r>
      <w:hyperlink r:id="rId715">
        <w:r>
          <w:rPr>
            <w:color w:val="1155CC"/>
            <w:u w:val="single"/>
          </w:rPr>
          <w:t>揭示：可能在生物学中发挥重要作用的神秘“暗”蛋白质</w:t>
        </w:r>
      </w:hyperlink>
    </w:p>
    <w:p>
      <w:pPr>
        <w:spacing w:before="0" w:after="80"/>
      </w:pPr>
      <w:r>
        <w:rPr>
          <w:i/>
          <w:sz w:val="20"/>
        </w:rPr>
        <w:t>EN: Revealed: the mysterious ‘dark’ proteins that might play a big role in biology</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16">
        <w:r>
          <w:rPr>
            <w:color w:val="1155CC"/>
            <w:u w:val="single"/>
          </w:rPr>
          <w:t>10.1038/d41586-026-01492-x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[298] </w:t>
      </w:r>
      <w:hyperlink r:id="rId717">
        <w:r>
          <w:rPr>
            <w:color w:val="1155CC"/>
            <w:u w:val="single"/>
          </w:rPr>
          <w:t>将自动驾驶实验室转变为社区资源：挑战与机遇</w:t>
        </w:r>
      </w:hyperlink>
    </w:p>
    <w:p>
      <w:pPr>
        <w:spacing w:before="0" w:after="80"/>
      </w:pPr>
      <w:r>
        <w:rPr>
          <w:i/>
          <w:sz w:val="20"/>
        </w:rPr>
        <w:t>EN: Turning self-driving labs into a community resource: Challenges and opportunities</w:t>
      </w:r>
    </w:p>
    <w:p>
      <w:pPr>
        <w:spacing w:before="0" w:after="120"/>
      </w:pPr>
      <w:r>
        <w:rPr>
          <w:b/>
        </w:rPr>
        <w:t xml:space="preserve">Source: </w:t>
      </w:r>
      <w:r>
        <w:t>Matter</w:t>
      </w:r>
      <w:r>
        <w:t xml:space="preserve">    </w:t>
      </w:r>
      <w:r>
        <w:rPr>
          <w:b/>
        </w:rPr>
        <w:t xml:space="preserve">Pub date: </w:t>
      </w:r>
      <w:r>
        <w:t>2026-05-06 00:00:00+00:00</w:t>
      </w:r>
      <w:r>
        <w:t xml:space="preserve">    </w:t>
      </w:r>
      <w:r>
        <w:rPr>
          <w:b/>
        </w:rPr>
        <w:t xml:space="preserve">DOI: </w:t>
      </w:r>
      <w:hyperlink r:id="rId718">
        <w:r>
          <w:rPr>
            <w:color w:val="1155CC"/>
            <w:u w:val="single"/>
          </w:rPr>
          <w:t>10.1016/j.matt.2026.102817</w:t>
        </w:r>
      </w:hyperlink>
    </w:p>
    <w:p>
      <w:pPr>
        <w:spacing w:before="0" w:after="120"/>
      </w:pPr>
      <w:r>
        <w:rPr>
          <w:b/>
        </w:rPr>
        <w:t xml:space="preserve">Notes: </w:t>
      </w:r>
      <w:r>
        <w:t>abstract_source=rss_cell</w:t>
      </w:r>
    </w:p>
    <w:p>
      <w:pPr>
        <w:spacing w:before="0" w:after="80" w:lineRule="auto" w:line="276"/>
      </w:pPr>
      <w:r>
        <w:rPr>
          <w:b/>
        </w:rPr>
        <w:t xml:space="preserve">摘要（ZH）: </w:t>
      </w:r>
      <w:r>
        <w:t>自动驾驶实验室（SDLs）有潜力通过快速、智能和高质量元数据的实验来加速材料研究。我们举办了一次研讨会，以识别这些工具对社区产生影响的障碍。我们发现，最关键的障碍与有限的开放科学实践、欠发达的基础设施以及缺乏自动化友好的化学有关。本文总结了我们的发现，并提出了将SDLs转变为社区资源的行动建议。</w:t>
      </w:r>
    </w:p>
    <w:p>
      <w:pPr>
        <w:spacing w:before="0" w:after="200" w:lineRule="auto" w:line="276"/>
      </w:pPr>
      <w:r>
        <w:rPr>
          <w:b/>
        </w:rPr>
        <w:t xml:space="preserve">Abstract (EN): </w:t>
      </w:r>
      <w:r>
        <w:t>Self-driving labs (SDLs) have the potential to accelerate materials research by allowing experiments to be done rapidly, intelligently, and with high-quality metadata. We hosted a workshop to identify the barriers to these tools having a community impact. We found that the most crucial barriers relate to limited open science practices, underdeveloped infrastructure, and a lack of automation-friendly chemistry. This perspective summarizes our findings and suggests actions for turning SDLs into a community resource.</w:t>
      </w:r>
    </w:p>
    <w:p>
      <w:pPr>
        <w:spacing w:before="120" w:after="120"/>
      </w:pPr>
      <w:r>
        <w:rPr>
          <w:sz w:val="18"/>
        </w:rPr>
        <w:t>——————————————————————————————————————————————————————————————————————</w:t>
      </w:r>
    </w:p>
    <w:p>
      <w:pPr>
        <w:spacing w:before="160" w:after="40" w:line="240" w:lineRule="auto"/>
      </w:pPr>
      <w:r>
        <w:rPr>
          <w:b/>
        </w:rPr>
        <w:t xml:space="preserve">[299] </w:t>
      </w:r>
      <w:hyperlink r:id="rId719">
        <w:r>
          <w:rPr>
            <w:color w:val="1155CC"/>
            <w:u w:val="single"/>
          </w:rPr>
          <w:t>起源故事</w:t>
        </w:r>
      </w:hyperlink>
    </w:p>
    <w:p>
      <w:pPr>
        <w:spacing w:before="0" w:after="80"/>
      </w:pPr>
      <w:r>
        <w:rPr>
          <w:i/>
          <w:sz w:val="20"/>
        </w:rPr>
        <w:t>EN: Origin story</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20">
        <w:r>
          <w:rPr>
            <w:color w:val="1155CC"/>
            <w:u w:val="single"/>
          </w:rPr>
          <w:t>10.1038/d41586-026-01077-8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[300] </w:t>
      </w:r>
      <w:hyperlink r:id="rId721">
        <w:r>
          <w:rPr>
            <w:color w:val="1155CC"/>
            <w:u w:val="single"/>
          </w:rPr>
          <w:t>在1.5°C全球变暖水平下中国搁浅煤电资产的预测</w:t>
        </w:r>
      </w:hyperlink>
    </w:p>
    <w:p>
      <w:pPr>
        <w:spacing w:before="0" w:after="80"/>
      </w:pPr>
      <w:r>
        <w:rPr>
          <w:i/>
          <w:sz w:val="20"/>
        </w:rPr>
        <w:t>EN: Projection of stranded coal power assets in China under the 1.5 °C global warming level</w:t>
      </w:r>
    </w:p>
    <w:p>
      <w:pPr>
        <w:spacing w:before="0" w:after="120"/>
      </w:pPr>
      <w:r>
        <w:rPr>
          <w:b/>
        </w:rPr>
        <w:t xml:space="preserve">Source: </w:t>
      </w:r>
      <w:r>
        <w:t>ScienceDirect Publication: Applied Energy</w:t>
      </w:r>
      <w:r>
        <w:t xml:space="preserve">    </w:t>
      </w:r>
      <w:r>
        <w:rPr>
          <w:b/>
        </w:rPr>
        <w:t xml:space="preserve">Pub date: </w:t>
      </w:r>
      <w:r>
        <w:t>2026-05-06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722">
        <w:r>
          <w:rPr>
            <w:color w:val="1155CC"/>
            <w:u w:val="single"/>
          </w:rPr>
          <w:t>用于通信和传感应用的可重构斯格明子设备</w:t>
        </w:r>
      </w:hyperlink>
    </w:p>
    <w:p>
      <w:pPr>
        <w:spacing w:before="0" w:after="80"/>
      </w:pPr>
      <w:r>
        <w:rPr>
          <w:i/>
          <w:sz w:val="20"/>
        </w:rPr>
        <w:t>EN: A reconfigurable skyrmion device for communications and sensing applications</w:t>
      </w:r>
    </w:p>
    <w:p>
      <w:pPr>
        <w:spacing w:before="0" w:after="120"/>
      </w:pPr>
      <w:r>
        <w:rPr>
          <w:b/>
        </w:rPr>
        <w:t xml:space="preserve">Source: </w:t>
      </w:r>
      <w:r>
        <w:t>Nature Electronics</w:t>
      </w:r>
      <w:r>
        <w:t xml:space="preserve">    </w:t>
      </w:r>
      <w:r>
        <w:rPr>
          <w:b/>
        </w:rPr>
        <w:t xml:space="preserve">Pub date: </w:t>
      </w:r>
      <w:r>
        <w:t>2026-05-06 00:00:00+00:00</w:t>
      </w:r>
      <w:r>
        <w:t xml:space="preserve">    </w:t>
      </w:r>
      <w:r>
        <w:rPr>
          <w:b/>
        </w:rPr>
        <w:t xml:space="preserve">DOI: </w:t>
      </w:r>
      <w:hyperlink r:id="rId723">
        <w:r>
          <w:rPr>
            <w:color w:val="1155CC"/>
            <w:u w:val="single"/>
          </w:rPr>
          <w:t>10.1038/s41928-026-01612-5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[302] </w:t>
      </w:r>
      <w:hyperlink r:id="rId724">
        <w:r>
          <w:rPr>
            <w:color w:val="1155CC"/>
            <w:u w:val="single"/>
          </w:rPr>
          <w:t>25年化学的简单点击</w:t>
        </w:r>
      </w:hyperlink>
    </w:p>
    <w:p>
      <w:pPr>
        <w:spacing w:before="0" w:after="80"/>
      </w:pPr>
      <w:r>
        <w:rPr>
          <w:i/>
          <w:sz w:val="20"/>
        </w:rPr>
        <w:t>EN: 25 years of chemistry that simply clicks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25">
        <w:r>
          <w:rPr>
            <w:color w:val="1155CC"/>
            <w:u w:val="single"/>
          </w:rPr>
          <w:t>10.1038/d41586-026-01155-x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[303] </w:t>
      </w:r>
      <w:hyperlink r:id="rId726">
        <w:r>
          <w:rPr>
            <w:color w:val="1155CC"/>
            <w:u w:val="single"/>
          </w:rPr>
          <w:t>可再生合成LPG在长期能源转型路径中的系统级技术经济建模</w:t>
        </w:r>
      </w:hyperlink>
    </w:p>
    <w:p>
      <w:pPr>
        <w:spacing w:before="0" w:after="80"/>
      </w:pPr>
      <w:r>
        <w:rPr>
          <w:i/>
          <w:sz w:val="20"/>
        </w:rPr>
        <w:t>EN: System-level techno-economic modeling of renewable synthetic LPG in long-term energy transition pathways</w:t>
      </w:r>
    </w:p>
    <w:p>
      <w:pPr>
        <w:spacing w:before="0" w:after="120"/>
      </w:pPr>
      <w:r>
        <w:rPr>
          <w:b/>
        </w:rPr>
        <w:t xml:space="preserve">Source: </w:t>
      </w:r>
      <w:r>
        <w:t>ScienceDirect Publication: Applied Energy</w:t>
      </w:r>
      <w:r>
        <w:t xml:space="preserve">    </w:t>
      </w:r>
      <w:r>
        <w:rPr>
          <w:b/>
        </w:rPr>
        <w:t xml:space="preserve">Pub date: </w:t>
      </w:r>
      <w:r>
        <w:t>2026-05-06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[304] </w:t>
      </w:r>
      <w:hyperlink r:id="rId727">
        <w:r>
          <w:rPr>
            <w:color w:val="1155CC"/>
            <w:u w:val="single"/>
          </w:rPr>
          <w:t>全基因组扫描在人体肠道微生物组中创造生态单元</w:t>
        </w:r>
      </w:hyperlink>
    </w:p>
    <w:p>
      <w:pPr>
        <w:spacing w:before="0" w:after="80"/>
      </w:pPr>
      <w:r>
        <w:rPr>
          <w:i/>
          <w:sz w:val="20"/>
        </w:rPr>
        <w:t>EN: Genome-wide sweeps create ecological units in the human gut microbiome</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28">
        <w:r>
          <w:rPr>
            <w:color w:val="1155CC"/>
            <w:u w:val="single"/>
          </w:rPr>
          <w:t>10.1038/s41586-026-10476-w</w:t>
        </w:r>
      </w:hyperlink>
    </w:p>
    <w:p>
      <w:pPr>
        <w:spacing w:before="0" w:after="120"/>
      </w:pPr>
      <w:r>
        <w:rPr>
          <w:b/>
        </w:rPr>
        <w:t xml:space="preserve">Notes: </w:t>
      </w:r>
      <w:r>
        <w:t>abstract_source=nature_html</w:t>
      </w:r>
    </w:p>
    <w:p>
      <w:pPr>
        <w:spacing w:before="0" w:after="80" w:lineRule="auto" w:line="276"/>
      </w:pPr>
      <w:r>
        <w:rPr>
          <w:b/>
        </w:rPr>
        <w:t xml:space="preserve">摘要（ZH）: </w:t>
      </w:r>
      <w:r>
        <w:t>人类肠道微生物组受到来自宿主和环境因素的多种选择力的影响，并对健康和疾病产生重大影响。尽管微生物谱系与各种健康状况的关联已在不同分类水平上得到证明1,2,3,4,5，但统一的适应机制在多大程度上将微生物谱系分类为生态上差异化的种群仍然知之甚少。在此，我们展示了全基因组选择性扫荡是区分微生物组中细菌的普遍机制。这一机制导致了类似于全球流行病的种群结构，跨越地理和种族多样化的人群。当适应性使一个克隆在其生态位中胜过其他克隆并随后重新多样化时，就会出现这种扫荡，并在系统发育树中表现为长分支上的密切相关基因组簇。通过排除掩盖基因组克隆后代的重组事件揭示了这种结构。事实上，我们展示了全基因组扫荡在至少66个分类群的25个细菌家族中起源于广泛的重组率。估计的分歧年龄表明，扫荡簇可以在几十年内全球传播，并且这一过程在人类历史上一直存在。扫荡簇与不同的宿主条件相关——如年龄、结直肠癌、炎症性肠病和2型糖尿病——作为其生态差异化的标志。我们的结果揭示了一种进化机制，用于观察稳定遗传的菌株</w:t>
      </w:r>
    </w:p>
    <w:p>
      <w:pPr>
        <w:spacing w:before="0" w:after="200" w:lineRule="auto" w:line="276"/>
      </w:pPr>
      <w:r>
        <w:rPr>
          <w:b/>
        </w:rPr>
        <w:t xml:space="preserve">Abstract (EN): </w:t>
      </w:r>
      <w:r>
        <w:t>The human gut microbiome is shaped by diverse selective forces that originate from host and environmental factors and it substantially influences health and disease. Whereas the association of microbial lineages with various health conditions has been shown at different taxonomic levels1,2,3,4,5, the extent to which unifying adaptive mechanisms sort microbial lineages into ecologically differentiated populations remains poorly understood. Here we show that genome-wide selective sweeps are a pervasive mechanism that differentiates bacteria in the microbiome. This mechanism leads to population structures akin to global epidemics across geographically and ethnically diverse human populations. Such sweeps arise when an adaptation allows a clone to outcompete others in its niche followed by rediversification, and they manifest as clusters of closely related genomes on long branches in phylogenetic trees. This structure is revealed by excluding recombination events that mask the clonal descent of the genomes. Indeed, we show that genome-wide sweeps originate under a wide range of recombination rates in at least 66 taxa from 25 bacterial families. Estimated ages of divergence suggest that sweep clusters can spread globally within decades and that this process has occurred throughout human history. Sweep clusters are associated with different host conditions—such as age, colorectal cancer, inflammatory bowel diseases and type 2 diabetes—as an indication of their ecological differentiation. Our results reveal an evolutionary mechanism for the observation of stably inherited strains with differential associations and provide a theoretical foundation for analysing adaptation among microbial populations.</w:t>
      </w:r>
    </w:p>
    <w:p>
      <w:pPr>
        <w:spacing w:before="120" w:after="120"/>
      </w:pPr>
      <w:r>
        <w:rPr>
          <w:sz w:val="18"/>
        </w:rPr>
        <w:t>——————————————————————————————————————————————————————————————————————</w:t>
      </w:r>
    </w:p>
    <w:p>
      <w:pPr>
        <w:spacing w:before="160" w:after="40" w:line="240" w:lineRule="auto"/>
      </w:pPr>
      <w:r>
        <w:rPr>
          <w:b/>
        </w:rPr>
        <w:t xml:space="preserve">[305] </w:t>
      </w:r>
      <w:hyperlink r:id="rId729">
        <w:r>
          <w:rPr>
            <w:color w:val="1155CC"/>
            <w:u w:val="single"/>
          </w:rPr>
          <w:t>努力区分人类引发的降水趋势驱动因素与自然发生的因素</w:t>
        </w:r>
      </w:hyperlink>
    </w:p>
    <w:p>
      <w:pPr>
        <w:spacing w:before="0" w:after="80"/>
      </w:pPr>
      <w:r>
        <w:rPr>
          <w:i/>
          <w:sz w:val="20"/>
        </w:rPr>
        <w:t>EN: Towards disentangling human-induced drivers of precipitation trends from naturally occurring ones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30">
        <w:r>
          <w:rPr>
            <w:color w:val="1155CC"/>
            <w:u w:val="single"/>
          </w:rPr>
          <w:t>10.1038/d41586-026-01419-6</w:t>
        </w:r>
      </w:hyperlink>
    </w:p>
    <w:p>
      <w:pPr>
        <w:spacing w:before="0" w:after="120"/>
      </w:pPr>
      <w:r>
        <w:rPr>
          <w:b/>
        </w:rPr>
        <w:t xml:space="preserve">Notes: </w:t>
      </w:r>
      <w:r>
        <w:t>abstract_source=openalex</w:t>
      </w:r>
    </w:p>
    <w:p>
      <w:pPr>
        <w:spacing w:before="0" w:after="80" w:lineRule="auto" w:line="276"/>
      </w:pPr>
      <w:r>
        <w:rPr>
          <w:b/>
        </w:rPr>
        <w:t xml:space="preserve">摘要（ZH）: </w:t>
      </w:r>
      <w:r>
        <w:t>结合气候模型与统计学习可以评估不同因素对中纬度冬季降水趋势的相对贡献。热力学（非环流相关）效应在模型和观测之间大多是一致的，但环流相关变化是被迫的还是非被迫的仍不清楚。对气候模型的分析揭示了内部变率和强迫环流引起的降水趋势的作用。</w:t>
      </w:r>
    </w:p>
    <w:p>
      <w:pPr>
        <w:spacing w:before="0" w:after="200" w:lineRule="auto" w:line="276"/>
      </w:pPr>
      <w:r>
        <w:rPr>
          <w:b/>
        </w:rPr>
        <w:t xml:space="preserve">Abstract (EN): </w:t>
      </w:r>
      <w:r>
        <w:t>Combining climate models with statistical learning allows an assessment of the relative contributions of different factors to trends in winter precipitation at mid-latitudes. Thermodynamic (non-circulation-related) effects are mostly consistent between models and observations, but whether circulation-related changes are forced or unforced remains unclear. An analysis of climate models reveals the roles of internal variability and forced-circulation-induced precipitation trends.</w:t>
      </w:r>
    </w:p>
    <w:p>
      <w:pPr>
        <w:spacing w:before="120" w:after="120"/>
      </w:pPr>
      <w:r>
        <w:rPr>
          <w:sz w:val="18"/>
        </w:rPr>
        <w:t>——————————————————————————————————————————————————————————————————————</w:t>
      </w:r>
    </w:p>
    <w:p>
      <w:pPr>
        <w:spacing w:before="160" w:after="40" w:line="240" w:lineRule="auto"/>
      </w:pPr>
      <w:r>
        <w:rPr>
          <w:b/>
        </w:rPr>
        <w:t xml:space="preserve">[306] </w:t>
      </w:r>
      <w:hyperlink r:id="rId731">
        <w:r>
          <w:rPr>
            <w:color w:val="1155CC"/>
            <w:u w:val="single"/>
          </w:rPr>
          <w:t>2024年美国大选期间TikTok的系统性党派内容偏见</w:t>
        </w:r>
      </w:hyperlink>
    </w:p>
    <w:p>
      <w:pPr>
        <w:spacing w:before="0" w:after="80"/>
      </w:pPr>
      <w:r>
        <w:rPr>
          <w:i/>
          <w:sz w:val="20"/>
        </w:rPr>
        <w:t>EN: Systematic partisan content skews in TikTok during the 2024 US elections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32">
        <w:r>
          <w:rPr>
            <w:color w:val="1155CC"/>
            <w:u w:val="single"/>
          </w:rPr>
          <w:t>10.1038/s41586-026-10447-1</w:t>
        </w:r>
      </w:hyperlink>
    </w:p>
    <w:p>
      <w:pPr>
        <w:spacing w:before="0" w:after="120"/>
      </w:pPr>
      <w:r>
        <w:rPr>
          <w:b/>
        </w:rPr>
        <w:t xml:space="preserve">Notes: </w:t>
      </w:r>
      <w:r>
        <w:t>abstract_source=nature_html</w:t>
      </w:r>
    </w:p>
    <w:p>
      <w:pPr>
        <w:spacing w:before="0" w:after="80" w:lineRule="auto" w:line="276"/>
      </w:pPr>
      <w:r>
        <w:rPr>
          <w:b/>
        </w:rPr>
        <w:t xml:space="preserve">摘要（ZH）: </w:t>
      </w:r>
      <w:r>
        <w:t>社交媒体平台越来越多地介导政治信息的曝光，但算法策展在塑造政治曝光中的作用仍有争议1,2。在用户对其信息流保留大量控制的平台上，这个问题很难解决3,4。TikTok的“为你”信息流几乎完全通过算法推荐提供内容，提供了一个用户自主性受到严格限制的环境。通过对三个美国州的民主党或共和党内容进行种子设置的323次审计实验，我们发现种子设置有党派内容的账户在党派曝光上表现出系统的、不对称的差异。在2024年美国总统选举活动期间收集的超过280,000条推荐中，共和党种子账户收到的同党派内容比民主党种子账户多约11.5%，而民主党种子账户则暴露于约7.5%的跨党派内容——主要是反民主党材料——即使在调整参与度指标后也是如此。这些不对称性集中在高影响力的共和党频道和特定政策领域，包括民主党的移民、犯罪和外交政策，以及共和党的堕胎。我们的研究结果显示，在一个由算法推荐主导的平台上，政治信息曝光存在党派不平衡，这对平台治理和民主话语有影响。</w:t>
      </w:r>
    </w:p>
    <w:p>
      <w:pPr>
        <w:spacing w:before="0" w:after="200" w:lineRule="auto" w:line="276"/>
      </w:pPr>
      <w:r>
        <w:rPr>
          <w:b/>
        </w:rPr>
        <w:t xml:space="preserve">Abstract (EN): </w:t>
      </w:r>
      <w:r>
        <w:t>Social media platforms increasingly mediate political information exposure, yet the role of algorithmic curation in shaping political exposure remains contested1,2. This question is difficult to resolve on platforms in which users retain substantial control over their feeds3,4. The ‘For You’ feed of TikTok, which delivers content almost entirely through algorithmic recommendation, offers a setting in which user agency is sharply constrained. Here we show, through 323 audit experiments with controlled ‘sock puppet’ accounts seeded with Democratic or Republican content across three US states, that accounts seeded with partisan content exhibited systematic, asymmetric differences in partisan exposure. Across more than 280,000 recommendations collected over 27 weeks during the 2024 US presidential election campaign, Republican-seeded accounts received about 11.5% more co-partisan content than Democratic-seeded accounts, whereas Democratic-seeded accounts were exposed to about 7.5% more cross-partisan content—largely anti-Democratic material—even after adjusting for engagement metrics. These asymmetries are concentrated among high-reach Republican channels and in specific policy domains, including immigration, crime and foreign policy for Democrats, and abortion for Republicans. Our findings show partisan imbalances in political information exposure on a platform dominated by algorithmic recommendations, with implications for platform governance and democratic discourse.</w:t>
      </w:r>
    </w:p>
    <w:p>
      <w:pPr>
        <w:spacing w:before="120" w:after="120"/>
      </w:pPr>
      <w:r>
        <w:rPr>
          <w:sz w:val="18"/>
        </w:rPr>
        <w:t>——————————————————————————————————————————————————————————————————————</w:t>
      </w:r>
    </w:p>
    <w:p>
      <w:pPr>
        <w:spacing w:before="160" w:after="40" w:line="240" w:lineRule="auto"/>
      </w:pPr>
      <w:r>
        <w:rPr>
          <w:b/>
        </w:rPr>
        <w:t xml:space="preserve">[307] </w:t>
      </w:r>
      <w:hyperlink r:id="rId733">
        <w:r>
          <w:rPr>
            <w:color w:val="1155CC"/>
            <w:u w:val="single"/>
          </w:rPr>
          <w:t>雄激素丧失通过HPA轴激活加速脑肿瘤生长</w:t>
        </w:r>
      </w:hyperlink>
    </w:p>
    <w:p>
      <w:pPr>
        <w:spacing w:before="0" w:after="80"/>
      </w:pPr>
      <w:r>
        <w:rPr>
          <w:i/>
          <w:sz w:val="20"/>
        </w:rPr>
        <w:t>EN: Androgen loss accelerates brain tumour growth via HPA axis activation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34">
        <w:r>
          <w:rPr>
            <w:color w:val="1155CC"/>
            <w:u w:val="single"/>
          </w:rPr>
          <w:t>10.1038/s41586-026-10451-5</w:t>
        </w:r>
      </w:hyperlink>
    </w:p>
    <w:p>
      <w:pPr>
        <w:spacing w:before="0" w:after="120"/>
      </w:pPr>
      <w:r>
        <w:rPr>
          <w:b/>
        </w:rPr>
        <w:t xml:space="preserve">Notes: </w:t>
      </w:r>
      <w:r>
        <w:t>abstract_source=nature_html</w:t>
      </w:r>
    </w:p>
    <w:p>
      <w:pPr>
        <w:spacing w:before="0" w:after="80" w:lineRule="auto" w:line="276"/>
      </w:pPr>
      <w:r>
        <w:rPr>
          <w:b/>
        </w:rPr>
        <w:t xml:space="preserve">摘要（ZH）: </w:t>
      </w:r>
      <w:r>
        <w:t>许多癌症，包括胶质母细胞瘤（GBM），显示出男性偏高的发病率和相关的较差预后1。导致这种性别差异的机制尚不清楚，但可能涉及部分由性激素如雄激素驱动的免疫反应2。这些激素被认为抑制抗肿瘤T细胞免疫并促进肿瘤进展3,4。然而，我们在此报告了一种先前未报道的雄激素在脑肿瘤中的抑制肿瘤作用。使用小鼠模型，我们证明了通过去势导致的雄激素丧失加速了颅内肿瘤生长，而在颅外肿瘤中观察到了相反的效果（肿瘤生长延迟）。在患有GBM的男性患者中，睾酮治疗显著降低了死亡风险。在患有GBM肿瘤的雄性小鼠中，去势引起的系统性T细胞功能障碍由血清糖皮质激素水平增加驱动，这些激素作用于髓样细胞以促进免疫抑制性肿瘤微环境。在机制上，去势小鼠中GBM的下丘脑-垂体-肾上腺轴的过度激活是由通过IL-1β和TNF的神经炎症信号增加驱动的。空间转录组分析进一步揭示，雄激素丧失增强了小胶质细胞中的炎症小体激活，从而促进了这种神经炎症状态。总之，我们的研究结果表明，脑肿瘤在雄激素缺乏的环境中驱动不同的神经炎症和神经内分泌途径，并强调了抗肿瘤免疫的器官特异性调节。</w:t>
      </w:r>
    </w:p>
    <w:p>
      <w:pPr>
        <w:spacing w:before="0" w:after="200" w:lineRule="auto" w:line="276"/>
      </w:pPr>
      <w:r>
        <w:rPr>
          <w:b/>
        </w:rPr>
        <w:t xml:space="preserve">Abstract (EN): </w:t>
      </w:r>
      <w:r>
        <w:t>Many cancers, including glioblastoma (GBM), show a male-biased incidence and associated worse outcomes1. The mechanisms that underlie this sex difference remain unclear but may involve an immune response2 that is partly driven by sex hormones such as androgens. Such hormones are thought to suppress antitumour T cell immunity and to promote tumour progression3,4. However, here we report a previously unreported tumour-suppressive role for androgens in brain tumours. Using mouse models, we demonstrate that androgen loss via castration accelerates intracranial tumour growth, whereas the opposite effect (delayed tumour growth) is observed in extracranial tumours. Similar effects were observed in male patients with GBM, in whom testosterone treatment significantly reduced the risk of death. In male mice with GBM tumours, castration-induced systemic T cell dysfunction driven by increased levels of serum glucocorticoids, which act on myeloid cells to promote an immunosuppressive tumour microenvironment. Mechanistically, hyperactivation of the hypothalamus–pituitary–adrenal axis in castrated mice with GBM is driven by increased neuroinflammatory signalling through IL-1β and TNF. Spatial transcriptomic analysis further revealed that androgen loss enhances inflammasome activation in microglia, which promotes this neuroinflammatory state. Together, our findings demonstrate that brain tumours drive distinct neuroinflammatory and neuroendocrine pathways in the androgen-deprived setting and highlight organ-specific regulation of antitumour immunity.</w:t>
      </w:r>
    </w:p>
    <w:p>
      <w:pPr>
        <w:spacing w:before="120" w:after="120"/>
      </w:pPr>
      <w:r>
        <w:rPr>
          <w:sz w:val="18"/>
        </w:rPr>
        <w:t>——————————————————————————————————————————————————————————————————————</w:t>
      </w:r>
    </w:p>
    <w:p>
      <w:pPr>
        <w:spacing w:before="160" w:after="40" w:line="240" w:lineRule="auto"/>
      </w:pPr>
      <w:r>
        <w:rPr>
          <w:b/>
        </w:rPr>
        <w:t xml:space="preserve">[308] </w:t>
      </w:r>
      <w:hyperlink r:id="rId735">
        <w:r>
          <w:rPr>
            <w:color w:val="1155CC"/>
            <w:u w:val="single"/>
          </w:rPr>
          <w:t>在小鼠中被下一代减肥药物抑制的大脑奖励回路</w:t>
        </w:r>
      </w:hyperlink>
    </w:p>
    <w:p>
      <w:pPr>
        <w:spacing w:before="0" w:after="80"/>
      </w:pPr>
      <w:r>
        <w:rPr>
          <w:i/>
          <w:sz w:val="20"/>
        </w:rPr>
        <w:t>EN: A brain reward circuit inhibited by next-generation weight-loss drugs in mice</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36">
        <w:r>
          <w:rPr>
            <w:color w:val="1155CC"/>
            <w:u w:val="single"/>
          </w:rPr>
          <w:t>10.1038/s41586-026-10444-4</w:t>
        </w:r>
      </w:hyperlink>
    </w:p>
    <w:p>
      <w:pPr>
        <w:spacing w:before="0" w:after="120"/>
      </w:pPr>
      <w:r>
        <w:rPr>
          <w:b/>
        </w:rPr>
        <w:t xml:space="preserve">Notes: </w:t>
      </w:r>
      <w:r>
        <w:t>abstract_source=nature_html</w:t>
      </w:r>
    </w:p>
    <w:p>
      <w:pPr>
        <w:spacing w:before="0" w:after="80" w:lineRule="auto" w:line="276"/>
      </w:pPr>
      <w:r>
        <w:rPr>
          <w:b/>
        </w:rPr>
        <w:t xml:space="preserve">摘要（ZH）: </w:t>
      </w:r>
      <w:r>
        <w:t>胰高血糖素样肽1受体激动剂（GLP1RAs）有效减少体重并改善代谢结果；然而，已建立的基于肽的疗法需要注射且制造复杂1,2,3。小分子GLP1RAs承诺口服生物利用度和可扩展的制造，但它们对人类与啮齿动物受体的选择性结合限制了机制研究4,5,6,7,8,9。在此，我们开发了人源化GLP1R小鼠模型，以研究小分子GLP1RAs如何影响进食行为。我们发现这些化合物通过平行的神经回路调节稳态和享乐性进食。除了参与控制代谢稳态的经典下丘脑和后脑网络外，GLP1RAs还招募了中央杏仁核中表达Glp1r的神经元，这些神经元通过减少伏隔核中的多巴胺释放选择性抑制可口食物的摄入。刺激这些中央杏仁核神经元可以减少享乐性进食，而在这一细胞群中有针对性地删除受体则会特异性地降低GLP1RAs对奖励驱动摄入的厌食效力。这些发现确定了小分子GLP1RAs调节奖励处理的神经回路，对物质使用障碍和暴饮暴食的治疗具有重要意义。</w:t>
      </w:r>
    </w:p>
    <w:p>
      <w:pPr>
        <w:spacing w:before="0" w:after="200" w:lineRule="auto" w:line="276"/>
      </w:pPr>
      <w:r>
        <w:rPr>
          <w:b/>
        </w:rPr>
        <w:t xml:space="preserve">Abstract (EN): </w:t>
      </w:r>
      <w:r>
        <w:t>Glucagon-like peptide 1 receptor agonists (GLP1RAs) effectively reduce body weight and improve metabolic outcomes; however, established peptide-based therapies require injections and are complex to manufacture1,2,3. Small-molecule GLP1RAs promise oral bioavailability and scalable manufacturing, but their selective binding to human versus rodent receptors has limited mechanistic studies4,5,6,7,8,9. Here we developed humanized GLP1R mouse models to investigate how small-molecule GLP1RAs influence feeding behaviour. We found that these compounds regulate both homeostatic and hedonic feeding through parallel neural circuits. Beyond engaging canonical hypothalamic and hindbrain networks that control metabolic homeostasis, GLP1RAs recruit a discrete population of Glp1r-expressing neurons in the central amygdala, which selectively suppress the consumption of palatable foods by reducing dopamine release in the nucleus accumbens. Stimulating these central amygdalar neurons curtails hedonic feeding, whereas targeted deletion of the receptor in this cell population specifically diminishes the anorectic efficacy of GLP1RAs for reward-driven intake. These findings identify a neural circuit through which small-molecule GLP1RAs modulate reward processing, with implications for the treatment of substance-use disorder and binge eating.</w:t>
      </w:r>
    </w:p>
    <w:p>
      <w:pPr>
        <w:spacing w:before="120" w:after="120"/>
      </w:pPr>
      <w:r>
        <w:rPr>
          <w:sz w:val="18"/>
        </w:rPr>
        <w:t>——————————————————————————————————————————————————————————————————————</w:t>
      </w:r>
    </w:p>
    <w:p>
      <w:pPr>
        <w:spacing w:before="160" w:after="40" w:line="240" w:lineRule="auto"/>
      </w:pPr>
      <w:r>
        <w:rPr>
          <w:b/>
        </w:rPr>
        <w:t xml:space="preserve">[309] </w:t>
      </w:r>
      <w:hyperlink r:id="rId737">
        <w:r>
          <w:rPr>
            <w:color w:val="1155CC"/>
            <w:u w:val="single"/>
          </w:rPr>
          <w:t>砍伐森林引起的干燥降低了亚马逊气候阈值</w:t>
        </w:r>
      </w:hyperlink>
    </w:p>
    <w:p>
      <w:pPr>
        <w:spacing w:before="0" w:after="80"/>
      </w:pPr>
      <w:r>
        <w:rPr>
          <w:i/>
          <w:sz w:val="20"/>
        </w:rPr>
        <w:t>EN: Deforestation-induced drying lowers Amazon climate threshold</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38">
        <w:r>
          <w:rPr>
            <w:color w:val="1155CC"/>
            <w:u w:val="single"/>
          </w:rPr>
          <w:t>10.1038/s41586-026-10456-0</w:t>
        </w:r>
      </w:hyperlink>
    </w:p>
    <w:p>
      <w:pPr>
        <w:spacing w:before="0" w:after="120"/>
      </w:pPr>
      <w:r>
        <w:rPr>
          <w:b/>
        </w:rPr>
        <w:t xml:space="preserve">Notes: </w:t>
      </w:r>
      <w:r>
        <w:t>abstract_source=nature_html</w:t>
      </w:r>
    </w:p>
    <w:p>
      <w:pPr>
        <w:spacing w:before="0" w:after="80" w:lineRule="auto" w:line="276"/>
      </w:pPr>
      <w:r>
        <w:rPr>
          <w:b/>
        </w:rPr>
        <w:t xml:space="preserve">摘要（ZH）: </w:t>
      </w:r>
      <w:r>
        <w:t>人类通过全球变暖和土地利用变化对亚马逊森林系统施加了前所未有的压力1,2。由于亚马逊森林可能经历自我强化的转变，这些压力可能导致亚马逊生态系统主要部分的系统性变化1,2,3,4。在此，我们应用动态系统模型评估在不同共享社会经济路径下亚马逊生物群系向退化生态系统的局部和远程级联转变风险。对于这些排放情景，我们使用已建立的大气水分追踪模型5构建了亚马逊盆地内水分通过大气的传输方式。在不考虑森林砍伐的情况下，我们发现全球变暖的临界阈值为3.7–4.0 °C，超过此阈值，最多三分之一的亚马逊森林面临失去稳定性的风险。然而，当考虑到森林砍伐时，我们发现亚马逊森林在全球变暖较低阈值范围1.5–1.9 °C和森林砍伐22–28%的组合下几乎发生系统性转变（62−77%的区域）。大多数模拟的转变是由干旱强度增加引起的空间连锁效应导致的，导致数百到数千公里范围内的长距离和自我推动的级联。总体而言，我们的结果加强了将全球变暖水平保持在1.5 °C以下并停止森林砍伐以及生态恢复退化森林的必要性，以避免亚马逊森林系统的高转变风险。</w:t>
      </w:r>
    </w:p>
    <w:p>
      <w:pPr>
        <w:spacing w:before="0" w:after="200" w:lineRule="auto" w:line="276"/>
      </w:pPr>
      <w:r>
        <w:rPr>
          <w:b/>
        </w:rPr>
        <w:t xml:space="preserve">Abstract (EN): </w:t>
      </w:r>
      <w:r>
        <w:t>Humanity is putting unprecedented pressures on the Amazon forest system through global warming and land use changes1,2. As the Amazon forest may undergo self-reinforcing transitions, these pressures could lead to system-wide changes across major parts of Amazonian ecosystems1,2,3,4. Here we apply a dynamical systems model to assess the local and far-reaching cascading transition risks towards degraded ecosystems in the Amazon biome under different Shared Socioeconomic Pathways. For these emission scenarios, we constructed how moisture is transported through the atmosphere within the Amazon basin using an established atmospheric moisture-tracking model5. Without accounting for deforestation, we find a critical global warming threshold of 3.7–4.0 °C, beyond which up to a third of the Amazon forest risks losing stability. However, when considering deforestation, we find a near system-wide transition of the Amazon forest (62−77% of the area) under the combination of a lower threshold range of global warming of 1.5–1.9 °C and deforestation of 22–28%. The large majority of the simulated transitions is caused by spatial knock-on effects from increasing drought intensities, leading to long-ranging and self-propelling cascades on scales of hundreds to thousands of kilometres. Overall, our results reinforce the need to keep global warming levels below 1.5 °C and halt deforestation, as well as ecologically restore degraded forests to avoid high transition risks across the Amazon forest system.</w:t>
      </w:r>
    </w:p>
    <w:p>
      <w:pPr>
        <w:spacing w:before="120" w:after="120"/>
      </w:pPr>
      <w:r>
        <w:rPr>
          <w:sz w:val="18"/>
        </w:rPr>
        <w:t>——————————————————————————————————————————————————————————————————————</w:t>
      </w:r>
    </w:p>
    <w:p>
      <w:pPr>
        <w:spacing w:before="160" w:after="40" w:line="240" w:lineRule="auto"/>
      </w:pPr>
      <w:r>
        <w:rPr>
          <w:b/>
        </w:rPr>
        <w:t xml:space="preserve">[310] </w:t>
      </w:r>
      <w:hyperlink r:id="rId739">
        <w:r>
          <w:rPr>
            <w:color w:val="1155CC"/>
            <w:u w:val="single"/>
          </w:rPr>
          <w:t>通过相互作用重塑的魔角石墨烯的平带成像</w:t>
        </w:r>
      </w:hyperlink>
    </w:p>
    <w:p>
      <w:pPr>
        <w:spacing w:before="0" w:after="80"/>
      </w:pPr>
      <w:r>
        <w:rPr>
          <w:i/>
          <w:sz w:val="20"/>
        </w:rPr>
        <w:t>EN: Imaging the flat bands of magic-angle graphene reshaped by interactions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40">
        <w:r>
          <w:rPr>
            <w:color w:val="1155CC"/>
            <w:u w:val="single"/>
          </w:rPr>
          <w:t>10.1038/s41586-026-10378-x</w:t>
        </w:r>
      </w:hyperlink>
    </w:p>
    <w:p>
      <w:pPr>
        <w:spacing w:before="0" w:after="120"/>
      </w:pPr>
      <w:r>
        <w:rPr>
          <w:b/>
        </w:rPr>
        <w:t xml:space="preserve">Notes: </w:t>
      </w:r>
      <w:r>
        <w:t>abstract_source=nature_html</w:t>
      </w:r>
    </w:p>
    <w:p>
      <w:pPr>
        <w:spacing w:before="0" w:after="80" w:lineRule="auto" w:line="276"/>
      </w:pPr>
      <w:r>
        <w:rPr>
          <w:b/>
        </w:rPr>
        <w:t xml:space="preserve">摘要（ZH）: </w:t>
      </w:r>
      <w:r>
        <w:t>电子在量子材料中的相互作用从根本上塑造了它们的能带，并由此形成了材料最引人入胜的量子相。魔角扭曲双层石墨烯（MATBG）1,2,3 已成为一个模型系统，其中平带导致了各种这样的相，但由于缺乏高分辨率动量空间探测器，这些带的精确性质仍然难以捉摸。在此，我们使用量子扭曲显微镜（QTM）以前所未有的动量和能量分辨率直接成像MATBG的相互作用能带。远离魔角时，观察到的能带紧密遵循单粒子理论。然而，在魔角处，我们观察到的能带被相互作用完全改变，在动量空间的不同部分表现出轻和重的电子特性。在掺杂时，这些轻重成分之间的相互作用导致了各种显著现象，包括相互作用引起的带宽重整化、重粒子的类Mott级联和轻粒子的Dirac复兴。我们还发现了与重部分相关的持续低能激发，暗示着一个新的未被考虑的自由度。这些结果解决了MATBG中长期存在的难题——其电子的双重性质——通过显示它起源于同一拓扑重费米子类平带中不同动量的电子。更广泛地说，我们的结果确立了QTM作为一种强大的工具，用于以前无法通过传统技术访问的量子材料的高分辨率光谱研究。</w:t>
      </w:r>
    </w:p>
    <w:p>
      <w:pPr>
        <w:spacing w:before="0" w:after="200" w:lineRule="auto" w:line="276"/>
      </w:pPr>
      <w:r>
        <w:rPr>
          <w:b/>
        </w:rPr>
        <w:t xml:space="preserve">Abstract (EN): </w:t>
      </w:r>
      <w:r>
        <w:t>Electron interactions in quantum materials fundamentally shape their energy bands and, with them, the material’s most intriguing quantum phases. Magic-angle twisted bilayer graphene (MATBG)1,2,3 has emerged as a model system in which flat bands lead to a variety of such phases, yet the precise nature of these bands has remained elusive owing to the lack of high-resolution momentum-space probes. Here we use the quantum twisting microscope (QTM) to directly image the interacting energy bands of MATBG with unprecedented momentum and energy resolution. Away from the magic angle, the observed bands closely follow the single-particle theory. At the magic angle, however, we observe bands that are completely transformed by interactions, exhibiting light and heavy electronic character at different parts of momentum space. On doping, the interplay between these light and heavy components leads to a variety of notable phenomena, including interaction-induced bandwidth renormalization, Mott-like cascades of the heavy particles and Dirac revivals of the light particles. We also uncover a persistent low-energy excitation tied to the heavy sector, suggesting a new unaccounted degree of freedom. These results resolve the long-standing puzzle in MATBG—the dual nature of its electrons—by showing that it originates from electrons at different momenta within the same topological heavy-fermion-like flat bands. More broadly, our results establish the QTM as a powerful tool for high-resolution spectroscopic studies of quantum materials previously inaccessible to conventional techniques.</w:t>
      </w:r>
    </w:p>
    <w:p>
      <w:pPr>
        <w:spacing w:before="120" w:after="120"/>
      </w:pPr>
      <w:r>
        <w:rPr>
          <w:sz w:val="18"/>
        </w:rPr>
        <w:t>——————————————————————————————————————————————————————————————————————</w:t>
      </w:r>
    </w:p>
    <w:p>
      <w:pPr>
        <w:spacing w:before="160" w:after="40" w:line="240" w:lineRule="auto"/>
      </w:pPr>
      <w:r>
        <w:rPr>
          <w:b/>
        </w:rPr>
        <w:t xml:space="preserve">[311] </w:t>
      </w:r>
      <w:hyperlink r:id="rId741">
        <w:r>
          <w:rPr>
            <w:color w:val="1155CC"/>
            <w:u w:val="single"/>
          </w:rPr>
          <w:t>两十年的PARP抑制剂在癌症中的合成致死性</w:t>
        </w:r>
      </w:hyperlink>
    </w:p>
    <w:p>
      <w:pPr>
        <w:spacing w:before="0" w:after="80"/>
      </w:pPr>
      <w:r>
        <w:rPr>
          <w:i/>
          <w:sz w:val="20"/>
        </w:rPr>
        <w:t>EN: Two decades of PARP inhibitor synthetic lethality in cancer</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42">
        <w:r>
          <w:rPr>
            <w:color w:val="1155CC"/>
            <w:u w:val="single"/>
          </w:rPr>
          <w:t>10.1038/s41586-026-10404-y</w:t>
        </w:r>
      </w:hyperlink>
    </w:p>
    <w:p>
      <w:pPr>
        <w:spacing w:before="0" w:after="120"/>
      </w:pPr>
      <w:r>
        <w:rPr>
          <w:b/>
        </w:rPr>
        <w:t xml:space="preserve">Notes: </w:t>
      </w:r>
      <w:r>
        <w:t>abstract_source=nature_html</w:t>
      </w:r>
    </w:p>
    <w:p>
      <w:pPr>
        <w:spacing w:before="0" w:after="80" w:lineRule="auto" w:line="276"/>
      </w:pPr>
      <w:r>
        <w:rPr>
          <w:b/>
        </w:rPr>
        <w:t xml:space="preserve">摘要（ZH）: </w:t>
      </w:r>
      <w:r>
        <w:t>二十年前，《自然》杂志上的两篇论文描述了PARP抑制剂如何选择性地杀死缺乏BRCA1或BRCA2肿瘤抑制基因的细胞，这一观察导致了第一个基于种系生物标志物选择的靶向治疗癌症的临床批准治疗。此项工作被《自然》评为二十一世纪癌症领域的20大发现之一，并提供了一个利用基础生物学发现造福患者的引人注目的例子。对于患有特定形式的乳腺癌、卵巢癌、前列腺癌或胰腺癌的人，这些发现改变了他们的护理，使得使用更有效且耐受性更好的靶向治疗成为可能，从而改善了生存率和生活质量。这反过来又扩展了种系BRCA1和BRCA2突变检测的作用，从确定未受影响者的风险，到作为伴随诊断生物标志物用于确定癌症患者的治疗。这些发现的意义超越了BRCA1突变和BRCA2突变癌症：BRCA–PARP抑制剂效应的合成致死概念突出了肿瘤细胞中存在的多种功能冗余水平，并刺激了寻找其他肿瘤特异性合成致死效应的研究，这些效应可以在治疗上加以利用。在此，我们提炼了过去二十年在这一领域的经验教训。</w:t>
      </w:r>
    </w:p>
    <w:p>
      <w:pPr>
        <w:spacing w:before="0" w:after="200" w:lineRule="auto" w:line="276"/>
      </w:pPr>
      <w:r>
        <w:rPr>
          <w:b/>
        </w:rPr>
        <w:t xml:space="preserve">Abstract (EN): </w:t>
      </w:r>
      <w:r>
        <w:t>Two decades ago, two papers in Nature described how PARP inhibitors selectively killed cells deficient in the BRCA1 or BRCA2 tumour suppressor genes, observations that led to the first clinically approved treatment of a cancer with a targeted therapy selected based on a germline biomarker. This work was recognized by Nature as one of the top 20 discoveries in cancer in the twenty-first century and provides a compelling example of leveraging fundamental biology discovery for patient benefit. For people with specific forms of breast, ovarian, prostate or pancreatic cancer, these discoveries changed their care, enabling the use of more effective and better tolerated targeted therapies that both improve survival and quality of life. This in turn extended the role of germline BRCA1 and BRCA2 mutation testing from determining risk in the unaffected, to being a companion diagnostic biomarker used to determine therapy for a patient with cancer. The significance of these discoveries spread beyond BRCA1-mutant and BRCA2-mutant cancers: the synthetic lethal concept of the BRCA–PARP inhibitor effect highlighted the myriad levels of functional redundancy that exist in tumour cells and stimulated the search for other tumour-specific synthetic lethal effects that could be exploited therapeutically. Here we distill the learnings from the past two decades in this field.</w:t>
      </w:r>
    </w:p>
    <w:p>
      <w:pPr>
        <w:spacing w:before="120" w:after="120"/>
      </w:pPr>
      <w:r>
        <w:rPr>
          <w:sz w:val="18"/>
        </w:rPr>
        <w:t>——————————————————————————————————————————————————————————————————————</w:t>
      </w:r>
    </w:p>
    <w:p>
      <w:pPr>
        <w:spacing w:before="160" w:after="40" w:line="240" w:lineRule="auto"/>
      </w:pPr>
      <w:r>
        <w:rPr>
          <w:b/>
        </w:rPr>
        <w:t xml:space="preserve">[312] </w:t>
      </w:r>
      <w:hyperlink r:id="rId743">
        <w:r>
          <w:rPr>
            <w:color w:val="1155CC"/>
            <w:u w:val="single"/>
          </w:rPr>
          <w:t>HIV-1信号重塑核孔以许可感染</w:t>
        </w:r>
      </w:hyperlink>
    </w:p>
    <w:p>
      <w:pPr>
        <w:spacing w:before="0" w:after="80"/>
      </w:pPr>
      <w:r>
        <w:rPr>
          <w:i/>
          <w:sz w:val="20"/>
        </w:rPr>
        <w:t>EN: HIV-1 signalling remodels nuclear pores to licence infection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44">
        <w:r>
          <w:rPr>
            <w:color w:val="1155CC"/>
            <w:u w:val="single"/>
          </w:rPr>
          <w:t>10.1038/s41586-026-10453-3</w:t>
        </w:r>
      </w:hyperlink>
    </w:p>
    <w:p>
      <w:pPr>
        <w:spacing w:before="0" w:after="120"/>
      </w:pPr>
      <w:r>
        <w:rPr>
          <w:b/>
        </w:rPr>
        <w:t xml:space="preserve">Notes: </w:t>
      </w:r>
      <w:r>
        <w:t>abstract_source=nature_html</w:t>
      </w:r>
    </w:p>
    <w:p>
      <w:pPr>
        <w:spacing w:before="0" w:after="80" w:lineRule="auto" w:line="276"/>
      </w:pPr>
      <w:r>
        <w:rPr>
          <w:b/>
        </w:rPr>
        <w:t xml:space="preserve">摘要（ZH）: </w:t>
      </w:r>
      <w:r>
        <w:t>HIV-1在体内的静止CD4+ T细胞中很容易检测到1,2,3,4。然而，静止T细胞在体外对无细胞病毒感染高度耐受，并需要有丝分裂激活才能变得易感。这一悖论引发了一个基本问题：是什么使T细胞对HIV-1易感。在此，我们对此进行研究并显示，HIV-1衣壳在核孔复合体（NPC）处的核进口是静止T细胞感染的瓶颈，但HIV-1通过在细胞间传播过程中触发受体介导的信号传导来克服这一瓶颈，从而驱动核进口并许可感染。结合病毒和细胞检测与超分辨率成像，我们显示HIV-1感染和未感染T细胞之间的接触触发CD4–LCK信号传导，激活CDK1，独立于细胞周期进入，磷酸化核孔蛋白并准备NPC以促进HIV-1核进口。关键是，细胞间接触还加速了活化T细胞中的核进口，提供了一个解释为何细胞间传播主导感染的范例。相比之下，HIV-1病毒颗粒不会触发这种反应，这解释了为何静止T细胞不能被无细胞病毒有效感染。我们提出，HIV-1已经进化出选择性激活CD4信号传导在细胞间传播过程中调节感染在NPC步骤的能力，提供了一个解释为何静止T细胞可以在体内被感染。</w:t>
      </w:r>
    </w:p>
    <w:p>
      <w:pPr>
        <w:spacing w:before="0" w:after="200" w:lineRule="auto" w:line="276"/>
      </w:pPr>
      <w:r>
        <w:rPr>
          <w:b/>
        </w:rPr>
        <w:t xml:space="preserve">Abstract (EN): </w:t>
      </w:r>
      <w:r>
        <w:t>HIV-1 is readily detected in resting CD4+ T cells in vivo1,2,3,4. However, resting T cells are highly refractory to cell-free virus infection in vitro5,6,7 and require mitogenic activation to become permissive. This paradox raises the fundamental question of what makes a T cell permissive for HIV-1. Here we address this and show that HIV-1 capsid nuclear import at the nuclear pore complex (NPC) is a bottleneck to resting T cell infection, but that HIV-1 overcomes this by triggering receptor-mediated signalling during cell–cell spread to drive nuclear import and licence infection. Coupling viral and cellular assays with super-resolution imaging, we show that contact between HIV-1 infected and uninfected T cells triggers CD4–LCK signalling that activates CDK1, independent of cell-cycle entry, phosphorylating nucleoporins and priming the NPC to promote HIV-1 nuclear import. Critically, cell–cell contact also accelerates nuclear import in activated T cells, providing a paradigm for why cell–cell spread dominates infection. By contrast, HIV-1 virions do not trigger this response, explaining why resting T cells cannot be efficiently infected by cell-free virus. We propose that HIV-1 has evolved to selectively activate CD4 signalling during cell–cell spread to regulate infection at the step of the NPC, offering an explanation for how resting T cells can be infected in vivo.</w:t>
      </w:r>
    </w:p>
    <w:p>
      <w:pPr>
        <w:spacing w:before="120" w:after="120"/>
      </w:pPr>
      <w:r>
        <w:rPr>
          <w:sz w:val="18"/>
        </w:rPr>
        <w:t>——————————————————————————————————————————————————————————————————————</w:t>
      </w:r>
    </w:p>
    <w:p>
      <w:pPr>
        <w:spacing w:before="160" w:after="40" w:line="240" w:lineRule="auto"/>
      </w:pPr>
      <w:r>
        <w:rPr>
          <w:b/>
        </w:rPr>
        <w:t xml:space="preserve">[313] </w:t>
      </w:r>
      <w:hyperlink r:id="rId745">
        <w:r>
          <w:rPr>
            <w:color w:val="1155CC"/>
            <w:u w:val="single"/>
          </w:rPr>
          <w:t>在变暖的世界中构建具有弹性的食品系统</w:t>
        </w:r>
      </w:hyperlink>
    </w:p>
    <w:p>
      <w:pPr>
        <w:spacing w:before="0" w:after="80"/>
      </w:pPr>
      <w:r>
        <w:rPr>
          <w:i/>
          <w:sz w:val="20"/>
        </w:rPr>
        <w:t>EN: Engineering resilient food systems in a warming world</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46">
        <w:r>
          <w:rPr>
            <w:color w:val="1155CC"/>
            <w:u w:val="single"/>
          </w:rPr>
          <w:t>10.1038/d41586-026-01250-z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747">
        <w:r>
          <w:rPr>
            <w:color w:val="1155CC"/>
            <w:u w:val="single"/>
          </w:rPr>
          <w:t>Purcell增强的单色中心自旋-声子耦合</w:t>
        </w:r>
      </w:hyperlink>
    </w:p>
    <w:p>
      <w:pPr>
        <w:spacing w:before="0" w:after="80"/>
      </w:pPr>
      <w:r>
        <w:rPr>
          <w:i/>
          <w:sz w:val="20"/>
        </w:rPr>
        <w:t>EN: Purcell-enhanced spin–phonon coupling with a single colour centre</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48">
        <w:r>
          <w:rPr>
            <w:color w:val="1155CC"/>
            <w:u w:val="single"/>
          </w:rPr>
          <w:t>10.1038/s41586-026-10495-7</w:t>
        </w:r>
      </w:hyperlink>
    </w:p>
    <w:p>
      <w:pPr>
        <w:spacing w:before="0" w:after="120"/>
      </w:pPr>
      <w:r>
        <w:rPr>
          <w:b/>
        </w:rPr>
        <w:t xml:space="preserve">Notes: </w:t>
      </w:r>
      <w:r>
        <w:t>abstract_source=nature_html</w:t>
      </w:r>
    </w:p>
    <w:p>
      <w:pPr>
        <w:spacing w:before="0" w:after="80" w:lineRule="auto" w:line="276"/>
      </w:pPr>
      <w:r>
        <w:rPr>
          <w:b/>
        </w:rPr>
        <w:t xml:space="preserve">摘要（ZH）: </w:t>
      </w:r>
      <w:r>
        <w:t>发射体的辐射特性本质上与其周围环境有关1。将电磁谐振器放置在发射体周围可以增强自发辐射，正如Purcell在1940年代所示2。这种方法现在常用于量子计算和通信中，将原子发射的光子引导到定义明确的模式中，并控制原子-光子相互作用3,4,5,6,7,8,9。对于固态发射体，如色心，宿主晶格引入了声学环境，使激发的原子可以通过发射声子来放松10,11。在此，我们通过在钻石中的色心自旋量子比特周围构建一个特别设计的微波频率纳米机械谐振器，观察到声学Purcell效应。利用结构的共定位光学模式，该模式与色心的激发态强耦合，我们在毫开尔文温度下进行单光子级别的激光光谱学，并观察到当自旋量子比特调谐到与12 GHz声学模式共振时，自旋弛豫速度加快了10倍。此外，我们使用色心作为原子尺度探针，测量纳米结构的宽带声子谱，频率高达28 GHz。我们的工作为固体中的量子缺陷控制建立了一个新的范式，并为原子尺度量子存储器12与声学和超导设备中编码的量子比特之间的互连铺平了道路13。</w:t>
      </w:r>
    </w:p>
    <w:p>
      <w:pPr>
        <w:spacing w:before="0" w:after="200" w:lineRule="auto" w:line="276"/>
      </w:pPr>
      <w:r>
        <w:rPr>
          <w:b/>
        </w:rPr>
        <w:t xml:space="preserve">Abstract (EN): </w:t>
      </w:r>
      <w:r>
        <w:t>The radiative properties of emitters are inherently linked to their surrounding environment1. Placing an electromagnetic resonator around emitters can enhance spontaneous emission, as shown by Purcell in the 1940s2. This approach is now routinely used in quantum computing and communication to channel photons emitted by atoms into well-defined modes and control atom–photon interactions3,4,5,6,7,8,9. For solid-state emitters, such as colour centres, the host lattice introduces an acoustic environment, allowing excited atoms to relax by emitting phonons10,11. Here we observe the acoustic Purcell effect by constructing a specially engineered, microwave-frequency nanomechanical resonator around a colour-centre spin qubit in diamond. Using a co-localized optical mode of the structure that strongly couples to the excited state of the colour centre, we perform single-photon-level laser spectroscopy at millikelvin temperatures and observe a 10-fold faster spin relaxation when the spin qubit is tuned into resonance with a 12 GHz acoustic mode. Moreover, we use the colour centre as an atomic-scale probe to measure the broadband phonon spectrum of the nanostructure up to 28 GHz. Our work establishes a new regime of control for quantum defects in solids and paves the way for interconnects between atomic-scale quantum memories12 and qubits encoded in acoustic and superconducting devices13.</w:t>
      </w:r>
    </w:p>
    <w:p>
      <w:pPr>
        <w:spacing w:before="120" w:after="120"/>
      </w:pPr>
      <w:r>
        <w:rPr>
          <w:sz w:val="18"/>
        </w:rPr>
        <w:t>——————————————————————————————————————————————————————————————————————</w:t>
      </w:r>
    </w:p>
    <w:p>
      <w:pPr>
        <w:spacing w:before="160" w:after="40" w:line="240" w:lineRule="auto"/>
      </w:pPr>
      <w:r>
        <w:rPr>
          <w:b/>
        </w:rPr>
        <w:t xml:space="preserve">[315] </w:t>
      </w:r>
      <w:hyperlink r:id="rId749">
        <w:r>
          <w:rPr>
            <w:color w:val="1155CC"/>
            <w:u w:val="single"/>
          </w:rPr>
          <w:t>Omicron刺突融合中间体中抗体结合的位阻效应</w:t>
        </w:r>
      </w:hyperlink>
    </w:p>
    <w:p>
      <w:pPr>
        <w:spacing w:before="0" w:after="80"/>
      </w:pPr>
      <w:r>
        <w:rPr>
          <w:i/>
          <w:sz w:val="20"/>
        </w:rPr>
        <w:t>EN: Steric hindrance of antibody binding in an Omicron spike fusion intermediate</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50">
        <w:r>
          <w:rPr>
            <w:color w:val="1155CC"/>
            <w:u w:val="single"/>
          </w:rPr>
          <w:t>10.1038/s41586-026-10462-2</w:t>
        </w:r>
      </w:hyperlink>
    </w:p>
    <w:p>
      <w:pPr>
        <w:spacing w:before="0" w:after="120"/>
      </w:pPr>
      <w:r>
        <w:rPr>
          <w:b/>
        </w:rPr>
        <w:t xml:space="preserve">Notes: </w:t>
      </w:r>
      <w:r>
        <w:t>abstract_source=nature_html</w:t>
      </w:r>
    </w:p>
    <w:p>
      <w:pPr>
        <w:spacing w:before="0" w:after="80" w:lineRule="auto" w:line="276"/>
      </w:pPr>
      <w:r>
        <w:rPr>
          <w:b/>
        </w:rPr>
        <w:t xml:space="preserve">摘要（ZH）: </w:t>
      </w:r>
      <w:r>
        <w:t>理解冠状病毒刺突蛋白的构象变化对于开发广谱疗法至关重要。泛冠状病毒表位刺突残基815–825（以S2′位点为中心）在融合前刺突中被埋藏，但在ACE2结合时暂时暴露1,2。在此，通过综合功能和结构分析，我们证明了靶向刺突残基815–825的抗体76E1特异性识别一种开放的早期融合中间体构象，其中该表位采用螺旋构象，称为S2′-螺旋。SARS-CoV-2 Omicron变体通过S2′-螺旋位移和早期融合中间体构象中S1–ACE2距离的限制导致的空间障碍，以及对胱天蛋白酶介导的进入的依赖性增加，从而逃避了此类抗体的作用，这削弱了76E1对S2′切割的抑制。H655Y突变是这种逃避的核心。抗体大小直接影响其对S2′-螺旋的访问。关键是，抗体大小的最小化逆转了逃避机制，并显著增强了对真实Omicron变体和其他人类冠状病毒（包括SARS-CoV-1和HCoV-229E）的中和活性。这些发现确立了小分子靶向S2′-螺旋作为泛冠状病毒疗法的策略。</w:t>
      </w:r>
    </w:p>
    <w:p>
      <w:pPr>
        <w:spacing w:before="0" w:after="200" w:lineRule="auto" w:line="276"/>
      </w:pPr>
      <w:r>
        <w:rPr>
          <w:b/>
        </w:rPr>
        <w:t xml:space="preserve">Abstract (EN): </w:t>
      </w:r>
      <w:r>
        <w:t>Understanding conformational changes of the coronavirus spike protein is critical for developing broad-spectrum therapies. The pan-coronavirus epitope spike residues 815–825 (centred on the S2′ site) are buried in the prefusion spike but are transiently exposed upon ACE2 binding1,2. Here, using integrated functional and structural analyses, we demonstrate that 76E1, an antibody targeting spike residues 815–825, specifically recognizes an open early fusion intermediate conformation in which this epitope adopts a helical conformation, designated the S2′-helix. SARS-CoV-2 Omicron variants evade such antibodies via steric hindrance resulting from S2′-helix shifts and restricted S1–ACE2 distancing in the early fusion intermediate conformation, together with increased reliance on cathepsin-mediated entry that impairs 76E1 inhibition of S2′ cleavage. The H655Y mutation is central to this evasion. Antibody size directly affects its access to the S2′-helix. Crucially, antibody size minimization reversed the evasion mechanisms and significantly enhanced neutralizing activity against authentic Omicron variants and other human coronaviruses, including SARS-CoV-1 and HCoV-229E. These findings establish small-molecule targeting of the S2′-helix as a strategy for pan-coronavirus therapies.</w:t>
      </w:r>
    </w:p>
    <w:p>
      <w:pPr>
        <w:spacing w:before="120" w:after="120"/>
      </w:pPr>
      <w:r>
        <w:rPr>
          <w:sz w:val="18"/>
        </w:rPr>
        <w:t>——————————————————————————————————————————————————————————————————————</w:t>
      </w:r>
    </w:p>
    <w:p>
      <w:pPr>
        <w:spacing w:before="160" w:after="40" w:line="240" w:lineRule="auto"/>
      </w:pPr>
      <w:r>
        <w:rPr>
          <w:b/>
        </w:rPr>
        <w:t xml:space="preserve">[316] </w:t>
      </w:r>
      <w:hyperlink r:id="rId751">
        <w:r>
          <w:rPr>
            <w:color w:val="1155CC"/>
            <w:u w:val="single"/>
          </w:rPr>
          <w:t>前额叶到腹侧被盖区的动态驱动应急退化</w:t>
        </w:r>
      </w:hyperlink>
    </w:p>
    <w:p>
      <w:pPr>
        <w:spacing w:before="0" w:after="80"/>
      </w:pPr>
      <w:r>
        <w:rPr>
          <w:i/>
          <w:sz w:val="20"/>
        </w:rPr>
        <w:t>EN: Prefrontal to ventral tegmental area dynamics drive contingency degradation</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52">
        <w:r>
          <w:rPr>
            <w:color w:val="1155CC"/>
            <w:u w:val="single"/>
          </w:rPr>
          <w:t>10.1038/s41586-026-10443-5</w:t>
        </w:r>
      </w:hyperlink>
    </w:p>
    <w:p>
      <w:pPr>
        <w:spacing w:before="0" w:after="120"/>
      </w:pPr>
      <w:r>
        <w:rPr>
          <w:b/>
        </w:rPr>
        <w:t xml:space="preserve">Notes: </w:t>
      </w:r>
      <w:r>
        <w:t>abstract_source=nature_html</w:t>
      </w:r>
    </w:p>
    <w:p>
      <w:pPr>
        <w:spacing w:before="0" w:after="80" w:lineRule="auto" w:line="276"/>
      </w:pPr>
      <w:r>
        <w:rPr>
          <w:b/>
        </w:rPr>
        <w:t xml:space="preserve">摘要（ZH）: </w:t>
      </w:r>
      <w:r>
        <w:t>认知灵活性是指在环境变化时调整已学行为的适应性神经过程，支持最佳决策和行为控制。这包括在线索和奖励之间的关联退化时修改特定行为的能力。在不同物种中1,2,3,4，内侧前额叶皮层（mPFC）在控制关联退化中具有公认的作用5；然而，这一认知过程的精确神经回路机制仍不清楚。为了解决这一空白，我们开发了一个认知灵活性的定量模型，将元学习参数纳入已建立的奖励预测误差学习模型6,7。我们的元奖励预测误差模型显著提高了对小鼠在退化或增强的线索-奖励关联中引发的舔舐行为的准确表示。通过纵向双光子钙成像和单细胞全息光遗传学，我们发现mPFC中的一部分神经元以显著和因果的方式特异性编码关联退化。认识到行为灵活性可能需要mPFC与经典奖励学习回路之间的相互作用，我们随后研究了mPFC在关联退化期间的神经信号如何与腹侧被盖区（VTA）——一个奖励处理的关键枢纽8——相互作用。我们的成像和光遗传学数据表明，mPFC将此信号发送到VTA，大多数mPFC→VTA神经元反映了这种传输，并且选择性光遗传刺激这些群体加速了</w:t>
      </w:r>
    </w:p>
    <w:p>
      <w:pPr>
        <w:spacing w:before="0" w:after="200" w:lineRule="auto" w:line="276"/>
      </w:pPr>
      <w:r>
        <w:rPr>
          <w:b/>
        </w:rPr>
        <w:t xml:space="preserve">Abstract (EN): </w:t>
      </w:r>
      <w:r>
        <w:t>Cognitive flexibility refers to the adaptive neural processes that adjust learned behaviours as circumstances shift, supporting optimal decision-making and behavioural control. This includes the capacity to modify specific behaviours as the contingency between cues and rewards degrades. Across species1,2,3,4, the medial prefrontal cortex (mPFC) has a well-established role in controlling contingency degradation5; however, the precise neural circuit mechanisms underlying this cognitive process remain unclear. To address this gap, we developed a quantitative model of cognitive flexibility that incorporates a meta-learning parameter into an established reward prediction error learning model6,7. Our meta-reward prediction error model significantly improves accurate representation of mouse cue-evoked licking behaviour in response to degraded or enhanced cue–reward associations. Using longitudinal two-photon calcium imaging and single-cell holographic optogenetics, we found that a subset of neurons in the mPFC specifically encode the contingency degradation in a significant and causal manner. Recognizing that behavioural flexibility probably requires interactions between the mPFC and canonical reward learning circuitry, we then examined how mPFC neural signalling during contingency degradation interacts with the ventral tegmental area (VTA)—a critical hub for reward processing8. Our imaging and optogenetics data show that mPFC sends this signal to VTA, with most mPFC→VTA neurons reflecting this transmission, and that selective optogenetic stimulation of these ensembles accelerates contingency degradation. These findings reveal how prefrontal circuits facilitate flexibility, selectively halting learned behaviours through connections with subcortical reward networks.</w:t>
      </w:r>
    </w:p>
    <w:p>
      <w:pPr>
        <w:spacing w:before="120" w:after="120"/>
      </w:pPr>
      <w:r>
        <w:rPr>
          <w:sz w:val="18"/>
        </w:rPr>
        <w:t>——————————————————————————————————————————————————————————————————————</w:t>
      </w:r>
    </w:p>
    <w:p>
      <w:pPr>
        <w:spacing w:before="160" w:after="40" w:line="240" w:lineRule="auto"/>
      </w:pPr>
      <w:r>
        <w:rPr>
          <w:b/>
        </w:rPr>
        <w:t xml:space="preserve">[317] </w:t>
      </w:r>
      <w:hyperlink r:id="rId753">
        <w:r>
          <w:rPr>
            <w:color w:val="1155CC"/>
            <w:u w:val="single"/>
          </w:rPr>
          <w:t>超导涡旋态的量子相干操控和读出</w:t>
        </w:r>
      </w:hyperlink>
    </w:p>
    <w:p>
      <w:pPr>
        <w:spacing w:before="0" w:after="80"/>
      </w:pPr>
      <w:r>
        <w:rPr>
          <w:i/>
          <w:sz w:val="20"/>
        </w:rPr>
        <w:t>EN: Quantum coherent manipulation and readout of superconducting vortex states</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54">
        <w:r>
          <w:rPr>
            <w:color w:val="1155CC"/>
            <w:u w:val="single"/>
          </w:rPr>
          <w:t>10.1038/s41586-026-10441-7</w:t>
        </w:r>
      </w:hyperlink>
    </w:p>
    <w:p>
      <w:pPr>
        <w:spacing w:before="0" w:after="120"/>
      </w:pPr>
      <w:r>
        <w:rPr>
          <w:b/>
        </w:rPr>
        <w:t xml:space="preserve">Notes: </w:t>
      </w:r>
      <w:r>
        <w:t>abstract_source=nature_html</w:t>
      </w:r>
    </w:p>
    <w:p>
      <w:pPr>
        <w:spacing w:before="0" w:after="80" w:lineRule="auto" w:line="276"/>
      </w:pPr>
      <w:r>
        <w:rPr>
          <w:b/>
        </w:rPr>
        <w:t xml:space="preserve">摘要（ZH）: </w:t>
      </w:r>
      <w:r>
        <w:t>超导体的一个决定性特征是它们倾向于排斥磁场，但在超过临界阈值时，磁通量以由Abrikosov涡旋携带的离散量子渗透。超导间隙在涡旋核心处完全被抑制，使其成为耗散的、半经典的实体，影响从高电流密度电线到量子设备的应用。材料的无序性可以驱动涡旋的交叉过渡，这些涡旋在核心处保留能隙，这归因于内在或在相干长度尺度上的新兴颗粒性。尽管在这种有效隧道结界中可能出现量子涡旋行为，并且在各种系统中已观察到特征，但涡旋状态的相干操控仍然难以捉摸。在此，我们提供证据表明，困在颗粒超导薄膜中的涡旋可以表现为两能级系统，表现出微秒范围的量子相干性和能量弛豫时间，达到毫秒的分数。利用电路量子电动力学的工具，我们在颗粒铝微波谐振器中进行涡旋状态的相干操控和量子无损读出，预示着量子信息处理、材料表征和传感的未来方向。</w:t>
      </w:r>
    </w:p>
    <w:p>
      <w:pPr>
        <w:spacing w:before="0" w:after="200" w:lineRule="auto" w:line="276"/>
      </w:pPr>
      <w:r>
        <w:rPr>
          <w:b/>
        </w:rPr>
        <w:t xml:space="preserve">Abstract (EN): </w:t>
      </w:r>
      <w:r>
        <w:t>A defining characteristic of superconductors is their tendency to expel magnetic fields, yet above a critical threshold, magnetic flux penetrates in discrete quanta carried by Abrikosov vortices1. The superconducting gap is completely suppressed at the vortex core, rendering them dissipative, semi-classical entities that impact applications from high-current-density wires to quantum devices. Material disorder can drive a crossover to vortices that preserve an energy gap at the core2,3,4, owing to intrinsic5 or emergent granularity on the scale of the coherence length2,6. Although quantum vortex behaviour could emerge in this effective tunnel-junction regime7, and signatures have been observed in diverse systems8,9,10, coherent manipulation of vortex states has remained elusive. Here we present evidence that vortices trapped in granular superconducting films can behave as two-level systems, exhibiting microsecond-range quantum coherence and energy relaxation times that reach fractions of a millisecond. Using the tools of circuit quantum electrodynamics11, we perform coherent manipulation and quantum non-demolition readout of vortex states in granular aluminium microwave resonators, heralding future directions for quantum information processing, materials characterization and sensing.</w:t>
      </w:r>
    </w:p>
    <w:p>
      <w:pPr>
        <w:spacing w:before="120" w:after="120"/>
      </w:pPr>
      <w:r>
        <w:rPr>
          <w:sz w:val="18"/>
        </w:rPr>
        <w:t>——————————————————————————————————————————————————————————————————————</w:t>
      </w:r>
    </w:p>
    <w:p>
      <w:pPr>
        <w:spacing w:before="160" w:after="40" w:line="240" w:lineRule="auto"/>
      </w:pPr>
      <w:r>
        <w:rPr>
          <w:b/>
        </w:rPr>
        <w:t xml:space="preserve">[318] </w:t>
      </w:r>
      <w:hyperlink r:id="rId755">
        <w:r>
          <w:rPr>
            <w:color w:val="1155CC"/>
            <w:u w:val="single"/>
          </w:rPr>
          <w:t>树木群落资源经济学控制土壤食物网的多功能性</w:t>
        </w:r>
      </w:hyperlink>
    </w:p>
    <w:p>
      <w:pPr>
        <w:spacing w:before="0" w:after="80"/>
      </w:pPr>
      <w:r>
        <w:rPr>
          <w:i/>
          <w:sz w:val="20"/>
        </w:rPr>
        <w:t>EN: Tree community resource economics control soil food web multifunctionality</w:t>
      </w:r>
    </w:p>
    <w:p>
      <w:pPr>
        <w:spacing w:before="0" w:after="120"/>
      </w:pPr>
      <w:r>
        <w:rPr>
          <w:b/>
        </w:rPr>
        <w:t xml:space="preserve">Source: </w:t>
      </w:r>
      <w:r>
        <w:t>Nature</w:t>
      </w:r>
      <w:r>
        <w:t xml:space="preserve">    </w:t>
      </w:r>
      <w:r>
        <w:rPr>
          <w:b/>
        </w:rPr>
        <w:t xml:space="preserve">Pub date: </w:t>
      </w:r>
      <w:r>
        <w:t>2026-05-06 00:00:00+00:00</w:t>
      </w:r>
      <w:r>
        <w:t xml:space="preserve">    </w:t>
      </w:r>
      <w:r>
        <w:rPr>
          <w:b/>
        </w:rPr>
        <w:t xml:space="preserve">DOI: </w:t>
      </w:r>
      <w:hyperlink r:id="rId756">
        <w:r>
          <w:rPr>
            <w:color w:val="1155CC"/>
            <w:u w:val="single"/>
          </w:rPr>
          <w:t>10.1038/s41586-026-10455-1</w:t>
        </w:r>
      </w:hyperlink>
    </w:p>
    <w:p>
      <w:pPr>
        <w:spacing w:before="0" w:after="120"/>
      </w:pPr>
      <w:r>
        <w:rPr>
          <w:b/>
        </w:rPr>
        <w:t xml:space="preserve">Notes: </w:t>
      </w:r>
      <w:r>
        <w:t>abstract_source=nature_html</w:t>
      </w:r>
    </w:p>
    <w:p>
      <w:pPr>
        <w:spacing w:before="0" w:after="80" w:lineRule="auto" w:line="276"/>
      </w:pPr>
      <w:r>
        <w:rPr>
          <w:b/>
        </w:rPr>
        <w:t xml:space="preserve">摘要（ZH）: </w:t>
      </w:r>
      <w:r>
        <w:t>植物通过塑造微环境和提供推动能量流入食物网的初级生产来影响陆地生态系统的功能。然而，植物群落特性如何通过食物网中的能量流影响生态系统功能的研究较少，尤其是那些引导大部分植物衍生能量的土壤食物网。应用食物网能量学方法，我们展示了优势树种的资源经济学控制着欧洲森林的土壤食物网多功能性。由资源获取性物种主导的树木群落促进了比资源保守性物种主导的群落更快的多种土壤营养功能。这些效应主要由更高质量的凋落物和更温暖的森林微气候驱动，导致土壤生物的代谢活动增加。因此，树种组成解释了土壤食物网多功能性变化的大部分，与地点之间的生物地理差异所解释的相当。相比之下，三种树种的混合物相对于单一物种林地的影响较弱，主要是由于能量从活细根向凋落物的转移以及对森林微气候的冷却效应。这种情况发生在地上树木生物量生产的超产效应尽管存在的情况下，表明地上和地下的多样性效应相反。我们的研究强调了与资源经济学相关的植物功能性状作为土壤食物网功能驱动因素的重要性，并展示了如何气候</w:t>
      </w:r>
    </w:p>
    <w:p>
      <w:pPr>
        <w:spacing w:before="0" w:after="200" w:lineRule="auto" w:line="276"/>
      </w:pPr>
      <w:r>
        <w:rPr>
          <w:b/>
        </w:rPr>
        <w:t xml:space="preserve">Abstract (EN): </w:t>
      </w:r>
      <w:r>
        <w:t>Plants affect terrestrial ecosystem functioning by shaping microenvironments1 and by providing the primary production that fuels energy flow into food webs2. However, how plant community properties affect ecosystem functioning via energy fluxes in food webs has been little studied3,4, especially for the soil food webs that channel most plant-derived energy2,5. Applying a food web energetics approach6,7, we show that the resource economics of dominant tree species control soil food web multifunctionality across European forests. Tree communities dominated by resource-acquisitive species promoted faster rates of multiple soil trophic functions than did communities dominated by resource-conservative species. These effects were primarily driven by higher-quality litter and warmer forest microclimates, leading to increased metabolic activity of soil organisms8. Accordingly, tree species composition explained a large portion of variation in soil food web multifunctionality, comparable to that explained by biogeographic differences among locations. By contrast, mixtures of three tree species had weakly negative effects relative to single-species stands, mostly due to shifts in energy channelling from living fine roots to litter and a cooling effect on forest microclimate. This occurred despite an overyielding effect in aboveground tree biomass production, suggesting contrasting diversity effects above- and belowground. Our findings emphasize the importance of plant functional traits related to resource economics as drivers of soil food web functioning5,9 and demonstrate how climate-driven shifts in tree community composition may alter forest soil functioning.</w:t>
      </w:r>
    </w:p>
    <w:p>
      <w:pPr>
        <w:spacing w:before="120" w:after="120"/>
      </w:pPr>
      <w:r>
        <w:rPr>
          <w:sz w:val="18"/>
        </w:rPr>
        <w:t>——————————————————————————————————————————————————————————————————————</w:t>
      </w:r>
    </w:p>
    <w:p>
      <w:pPr>
        <w:spacing w:before="160" w:after="40" w:line="240" w:lineRule="auto"/>
      </w:pPr>
      <w:r>
        <w:rPr>
          <w:b/>
        </w:rPr>
        <w:t xml:space="preserve">[319] </w:t>
      </w:r>
      <w:hyperlink r:id="rId757">
        <w:r>
          <w:rPr>
            <w:color w:val="1155CC"/>
            <w:u w:val="single"/>
          </w:rPr>
          <w:t>滋养外胚层细胞分化过程中的发育里程碑和细胞转变</w:t>
        </w:r>
      </w:hyperlink>
    </w:p>
    <w:p>
      <w:pPr>
        <w:spacing w:before="0" w:after="80"/>
      </w:pPr>
      <w:r>
        <w:rPr>
          <w:i/>
          <w:sz w:val="20"/>
        </w:rPr>
        <w:t>EN: Developmental landmarks and cellular transitions during extravillous trophoblast cell differentiation</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758">
        <w:r>
          <w:rPr>
            <w:color w:val="1155CC"/>
            <w:u w:val="single"/>
          </w:rPr>
          <w:t>10.1073/pnas.2529836123</w:t>
        </w:r>
      </w:hyperlink>
    </w:p>
    <w:p>
      <w:pPr>
        <w:spacing w:before="0" w:after="120"/>
      </w:pPr>
      <w:r>
        <w:rPr>
          <w:b/>
        </w:rPr>
        <w:t xml:space="preserve">Notes: </w:t>
      </w:r>
      <w:r>
        <w:t>abstract_source=crossref</w:t>
      </w:r>
    </w:p>
    <w:p>
      <w:pPr>
        <w:spacing w:before="0" w:after="80" w:lineRule="auto" w:line="276"/>
      </w:pPr>
      <w:r>
        <w:rPr>
          <w:b/>
        </w:rPr>
        <w:t xml:space="preserve">摘要（ZH）: </w:t>
      </w:r>
      <w:r>
        <w:t>人类滋养层干细胞（TS）可以在特定条件下被捕获、维持在体外，并分化为外绒毛滋养层（EVT）细胞。调控人类TS细胞自我更新和分化为EVT细胞的机制在很大程度上仍然未知。在本研究中，对维持在干细胞状态和从干细胞状态进展到EVT细胞（分化第3、6和8天）的TS细胞进行了批量RNA测序（RNA-seq）和单细胞RNA测序（scRNA-seq）。为每个分析日识别出不同的批量和单细胞转录谱。EVT细胞分化的第3天代表了一个显著的转变点，并且很容易与干细胞状态以及EVT细胞分化的第6和8天区分开来。scRNA-seq的分析导致识别出几个独特的细胞群体、滋养层细胞发育状态特异性调控子和轨迹。我们阐明了EVT细胞发育关键调控因子的功能角色：细胞周期蛋白B1、CCAAT/增强子结合蛋白β和含有血小板反应蛋白1型结构域的去整合素和金属蛋白酶（ADAM）金属蛋白酶20。总体而言，我们定义了EVT细胞分化过程中的发育里程碑和过渡性细胞群体。这些发现为未来研究控制TS细胞分化为EVT细胞谱系的调控机制提供了宝贵的资源和基础。</w:t>
      </w:r>
    </w:p>
    <w:p>
      <w:pPr>
        <w:spacing w:before="0" w:after="200" w:lineRule="auto" w:line="276"/>
      </w:pPr>
      <w:r>
        <w:rPr>
          <w:b/>
        </w:rPr>
        <w:t xml:space="preserve">Abstract (EN): </w:t>
      </w:r>
      <w:r>
        <w:t>Human trophoblast stem (TS) can be captured, maintained in vitro under specific conditions, and differentiated into extravillous trophoblast (EVT) cells. The regulatory mechanisms that govern the self-renewal and differentiation of human TS cells into EVT cells are largely unknown. In this study, bulk RNA-sequencing (RNA-seq) and single cell RNA-seq (scRNA-seq) were performed on human TS cells maintained in the stem state and on cells progressing from the stem state into EVT cells (differentiation days 3, 6, and 8). Distinct bulk and single cell transcript profiles were identified for each day of analysis. Day 3 of EVT cell differentiation represented a striking transition point and was readily distinguished from stem state and days 6 and 8 of EVT cell differentiation. Analysis of scRNA-seq led to the identification of several unique cell populations, trophoblast cell developmental state-specific regulons, and trajectories. We elucidated functional roles of key regulators of EVT cell development: cyclin B1, CCAAT/enhancer-binding protein beta, and A Disintegrin And Metalloproteinase (ADAM) metallopeptidase with thrombospondin type 1 motif 20. Collectively, we have defined developmental landmarks and transitional cell populations during EVT cell differentiation. These findings provide a valuable resource and foundation for future investigations into regulatory mechanisms controlling TS cell differentiation into the EVT cell lineage.</w:t>
      </w:r>
    </w:p>
    <w:p>
      <w:pPr>
        <w:spacing w:before="120" w:after="120"/>
      </w:pPr>
      <w:r>
        <w:rPr>
          <w:sz w:val="18"/>
        </w:rPr>
        <w:t>——————————————————————————————————————————————————————————————————————</w:t>
      </w:r>
    </w:p>
    <w:p>
      <w:pPr>
        <w:spacing w:before="160" w:after="40" w:line="240" w:lineRule="auto"/>
      </w:pPr>
      <w:r>
        <w:rPr>
          <w:b/>
        </w:rPr>
        <w:t xml:space="preserve">[320] </w:t>
      </w:r>
      <w:hyperlink r:id="rId759">
        <w:r>
          <w:rPr>
            <w:color w:val="1155CC"/>
            <w:u w:val="single"/>
          </w:rPr>
          <w:t>碳化丁二烯和胺的内部促进反应性实现可回收的聚合物复合材料</w:t>
        </w:r>
      </w:hyperlink>
    </w:p>
    <w:p>
      <w:pPr>
        <w:spacing w:before="0" w:after="80"/>
      </w:pPr>
      <w:r>
        <w:rPr>
          <w:i/>
          <w:sz w:val="20"/>
        </w:rPr>
        <w:t>EN: Internally promoted reactivity of carbonized butadiene and amines enables a recyclable polymer composite</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60">
        <w:r>
          <w:rPr>
            <w:color w:val="1155CC"/>
            <w:u w:val="single"/>
          </w:rPr>
          <w:t>10.1126/sciadv.aed1295</w:t>
        </w:r>
      </w:hyperlink>
    </w:p>
    <w:p>
      <w:pPr>
        <w:spacing w:before="0" w:after="120"/>
      </w:pPr>
      <w:r>
        <w:rPr>
          <w:b/>
        </w:rPr>
        <w:t xml:space="preserve">Notes: </w:t>
      </w:r>
      <w:r>
        <w:t>abstract_source=crossref</w:t>
      </w:r>
    </w:p>
    <w:p>
      <w:pPr>
        <w:spacing w:before="0" w:after="80" w:lineRule="auto" w:line="276"/>
      </w:pPr>
      <w:r>
        <w:rPr>
          <w:b/>
        </w:rPr>
        <w:t xml:space="preserve">摘要（ZH）: </w:t>
      </w:r>
      <w:r>
        <w:t>通过高能共聚单体将二氧化碳催化转化为聚合物，提供了一种可持续、低成本和低排放的方法，用于开发便于制造的高性能材料，而无需与土地使用或食物资源竞争。我们展示了从二氧化碳、丁二烯和胺化学计量合成的聚(酰胺胺)聚合物，表现出有用的机械性能（拉伸强度43 MPa；杨氏模量840 MPa；弯曲模量2.6 GPa）。低粘度前体（25°C时为20厘泊）适用于生产碳纤维增强聚合物，具有纤维润湿和快速网络形成（150°C时为16分钟）。这项工作揭示了内部氢键的反应性催化了开环聚合反应，分子内醇基促进了在酸性条件下的化学可回收性，使碳纤维能够以&lt;1.0 wt %的差异回收，并在再生复合材料的制造中重复使用。</w:t>
      </w:r>
    </w:p>
    <w:p>
      <w:pPr>
        <w:spacing w:before="0" w:after="200" w:lineRule="auto" w:line="276"/>
      </w:pPr>
      <w:r>
        <w:rPr>
          <w:b/>
        </w:rPr>
        <w:t xml:space="preserve">Abstract (EN): </w:t>
      </w:r>
      <w:r>
        <w:t>The catalytic conversion of carbon dioxide into polymers via high-energy comonomers offers a sustainable, low-cost, and low-emission approach to developing conveniently manufactured high-performance materials without competing for land use or food resources. We present the synthesis of poly(amidoamine) polymers stoichiometrically derived from carbon dioxide, butadiene, and amines displaying useful mechanical properties (tensile strength, 43 MPa; Young’s modulus, 840 MPa; and flexural modulus, 2.6 GPa). The low viscosity precursors (20 centipoise at 25°C) are applicable to producing carbon fiber reinforced polymers with fiber wetting and rapid network formation (16 min at 150°C). This work reveals that the reactivity of the internal hydrogen bonding catalyzes the ring-opening polymerization, and the intramolecular alcohol moiety promotes chemical recyclability to the monomers under acidic conditions, allowing the carbon fibers to be recovered with &amp;lt;1.0 wt % difference and reused in the manufacturing of recycled composites.</w:t>
      </w:r>
    </w:p>
    <w:p>
      <w:pPr>
        <w:spacing w:before="120" w:after="120"/>
      </w:pPr>
      <w:r>
        <w:rPr>
          <w:sz w:val="18"/>
        </w:rPr>
        <w:t>——————————————————————————————————————————————————————————————————————</w:t>
      </w:r>
    </w:p>
    <w:p>
      <w:pPr>
        <w:spacing w:before="160" w:after="40" w:line="240" w:lineRule="auto"/>
      </w:pPr>
      <w:r>
        <w:rPr>
          <w:b/>
        </w:rPr>
        <w:t xml:space="preserve">[321] </w:t>
      </w:r>
      <w:hyperlink r:id="rId761">
        <w:r>
          <w:rPr>
            <w:color w:val="1155CC"/>
            <w:u w:val="single"/>
          </w:rPr>
          <w:t>用于编程静态和动态机械性能的弹性杆折纸（RodOri）</w:t>
        </w:r>
      </w:hyperlink>
    </w:p>
    <w:p>
      <w:pPr>
        <w:spacing w:before="0" w:after="80"/>
      </w:pPr>
      <w:r>
        <w:rPr>
          <w:i/>
          <w:sz w:val="20"/>
        </w:rPr>
        <w:t>EN: Elastic rod origami (RodOri) for programming static and dynamic mechanical properties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62">
        <w:r>
          <w:rPr>
            <w:color w:val="1155CC"/>
            <w:u w:val="single"/>
          </w:rPr>
          <w:t>10.1126/sciadv.aed1774</w:t>
        </w:r>
      </w:hyperlink>
    </w:p>
    <w:p>
      <w:pPr>
        <w:spacing w:before="0" w:after="120"/>
      </w:pPr>
      <w:r>
        <w:rPr>
          <w:b/>
        </w:rPr>
        <w:t xml:space="preserve">Notes: </w:t>
      </w:r>
      <w:r>
        <w:t>abstract_source=crossref</w:t>
      </w:r>
    </w:p>
    <w:p>
      <w:pPr>
        <w:spacing w:before="0" w:after="80" w:lineRule="auto" w:line="276"/>
      </w:pPr>
      <w:r>
        <w:rPr>
          <w:b/>
        </w:rPr>
        <w:t xml:space="preserve">摘要（ZH）: </w:t>
      </w:r>
      <w:r>
        <w:t>可重构机械系统能够对结构特性进行精确的可编程控制，拓展了在结构材料、自适应设备和多功能结构中的应用机会。在此，我们介绍了弹性杆折纸（RodOri），一个利用极其简单元素——预应力、自然弯曲的杆——构建的具有非凡多稳态和配置丰富度的平台。例如，一个六杆RodOri单元可以轻松实现11种不同的配置，远远超过传统折纸或一般机械可重构系统的可重构性。单个杆在夹持边界条件下受到约束，在其自然曲率精确规定的应变能和刚度下发生离散形态的转换。将这些杆组装成模块化多杆结构，产生具有众多稳定配置的超材料，可以选择性和可逆地编程。这种配置多样性使得静态刚度和非线性力响应可调，从而实现可调动态行为，如振动过滤、波传播切换和模式转换，全部在一个易于制造的平台内。通过利用曲率引发的机械不稳定性，RodOri解锁了高度可编程的静态和动态机械行为，提供了可定制的设计策略，用于可重构结构、软体机器人、医疗设备和自适应材料。</w:t>
      </w:r>
    </w:p>
    <w:p>
      <w:pPr>
        <w:spacing w:before="0" w:after="200" w:lineRule="auto" w:line="276"/>
      </w:pPr>
      <w:r>
        <w:rPr>
          <w:b/>
        </w:rPr>
        <w:t xml:space="preserve">Abstract (EN): </w:t>
      </w:r>
      <w:r>
        <w:t>Reconfigurable mechanical systems enable precise programmable control over structural properties, expanding opportunities in architected materials, adaptive devices, and multifunctional structures. Here, we introduce elastic rod origami (RodOri), a platform that exploits remarkably simple elements—prestressed, naturally curved rods—into a system with an extraordinary degree of multistability and configurational richness. For example, a single six-rod RodOri unit can easily access 11 distinct configurations, far exceeding the reconfigurability of conventional origami or general mechanical reconfigurable systems. Individual rods, constrained under clamped boundary conditions, undergo transitions between discrete morphologies whose strain energy and stiffness are precisely prescribed by their natural curvature. Assembling these rods into modular multirod architectures yields metamaterials with numerous stable configurations that can be selectively and reversibly programmed. This configurational diversity enables tunable static stiffness and nonlinear force response, thus enabling tunable dynamic behaviors such as vibration filtering, wave propagation switching, and mode conversion within a single, easily manufactured platform. By leveraging curvature-induced mechanical instability, RodOri unlocks highly programmable static and dynamic mechanical behavior, offering tailorable design strategies for reconfigurable structures, soft robotics, medical devices, and adaptive materials.</w:t>
      </w:r>
    </w:p>
    <w:p>
      <w:pPr>
        <w:spacing w:before="120" w:after="120"/>
      </w:pPr>
      <w:r>
        <w:rPr>
          <w:sz w:val="18"/>
        </w:rPr>
        <w:t>——————————————————————————————————————————————————————————————————————</w:t>
      </w:r>
    </w:p>
    <w:p>
      <w:pPr>
        <w:spacing w:before="160" w:after="40" w:line="240" w:lineRule="auto"/>
      </w:pPr>
      <w:r>
        <w:rPr>
          <w:b/>
        </w:rPr>
        <w:t xml:space="preserve">[322] </w:t>
      </w:r>
      <w:hyperlink r:id="rId763">
        <w:r>
          <w:rPr>
            <w:color w:val="1155CC"/>
            <w:u w:val="single"/>
          </w:rPr>
          <w:t>染色质相关的Aurora A库控制着动粒-微管的连接以确保染色体的双向定位</w:t>
        </w:r>
      </w:hyperlink>
    </w:p>
    <w:p>
      <w:pPr>
        <w:spacing w:before="0" w:after="80"/>
      </w:pPr>
      <w:r>
        <w:rPr>
          <w:i/>
          <w:sz w:val="20"/>
        </w:rPr>
        <w:t>EN: A chromatin-associated pool of Aurora A controls kinetochore-microtubule attachments to ensure chromosome biorientation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64">
        <w:r>
          <w:rPr>
            <w:color w:val="1155CC"/>
            <w:u w:val="single"/>
          </w:rPr>
          <w:t>10.1126/sciadv.aed5283</w:t>
        </w:r>
      </w:hyperlink>
    </w:p>
    <w:p>
      <w:pPr>
        <w:spacing w:before="0" w:after="120"/>
      </w:pPr>
      <w:r>
        <w:rPr>
          <w:b/>
        </w:rPr>
        <w:t xml:space="preserve">Notes: </w:t>
      </w:r>
      <w:r>
        <w:t>abstract_source=crossref</w:t>
      </w:r>
    </w:p>
    <w:p>
      <w:pPr>
        <w:spacing w:before="0" w:after="80" w:lineRule="auto" w:line="276"/>
      </w:pPr>
      <w:r>
        <w:rPr>
          <w:b/>
        </w:rPr>
        <w:t xml:space="preserve">摘要（ZH）: </w:t>
      </w:r>
      <w:r>
        <w:t>准确的染色体分离需要动态的着丝粒-微管附着，这些附着在Aurora家族激酶的调控下，使复制的染色体双向定向和对齐。在秀丽隐杆线虫中，Aurora A与TPX2相关激活因子TPXL-1共同作用以调节这些附着并控制纺锤体长度。我们展示了，除了显著的纺锤体极定位外，TPXL-1–AurA在姐妹着丝粒之间还有一个与染色质相关的池。结构建模和生化分析支持TPXL-1通过精氨酸锚直接识别核小体酸性斑块。破坏这种相互作用选择性地去除了染色质结合的TPXL-1–AurA，并导致染色体错误分离，而染色质池的增加则破坏了染色体对齐。这些相反的扰动反向影响了微管结合Ska复合物的着丝粒招募。这些结果支持空间上不同的TPXL-1–AurA群体依次作用，纺锤体极池通过将着丝粒从去聚合耦合状态中切换出来来控制纺锤体长度，而染色质池则控制附着稳定性以确保在进入后期之前的双向定向。</w:t>
      </w:r>
    </w:p>
    <w:p>
      <w:pPr>
        <w:spacing w:before="0" w:after="200" w:lineRule="auto" w:line="276"/>
      </w:pPr>
      <w:r>
        <w:rPr>
          <w:b/>
        </w:rPr>
        <w:t xml:space="preserve">Abstract (EN): </w:t>
      </w:r>
      <w:r>
        <w:t>Accurate chromosome segregation requires dynamic kinetochore-microtubule attachments that, under the regulation of Aurora family kinases, biorient and align replicated chromosomes. In</w:t>
      </w:r>
      <w:r>
        <w:t xml:space="preserve"> </w:t>
      </w:r>
      <w:r>
        <w:t>Caenorhabditis elegans</w:t>
      </w:r>
      <w:r>
        <w:t xml:space="preserve"> </w:t>
      </w:r>
      <w:r>
        <w:t>, Aurora A acts with the TPX2-related activator TPXL-1 to regulate these attachments and control spindle length. We show that, in addition to prominent spindle pole localization, TPXL-1–AurA has a chromatin-associated pool positioned between the sister kinetochores. Structural modeling and biochemical analysis support TPXL-1 directly recognizing the nucleosome acidic patch via an arginine anchor. Disrupting this interaction selectively removed chromatin-bound TPXL-1–AurA and caused chromosome missegregation, whereas elevation of the chromatin pool disrupted chromosome alignment. These opposing perturbations inversely affected kinetochore recruitment of the microtubule-binding Ska complex. These results support spatially distinct TPXL-1–AurA populations acting sequentially, with the spindle pole pool controlling spindle length by switching kinetochores out of a depolymerization-coupled state, and the chromatin pool controlling attachment stabilization to ensure biorientation prior to anaphase.</w:t>
      </w:r>
    </w:p>
    <w:p>
      <w:pPr>
        <w:spacing w:before="120" w:after="120"/>
      </w:pPr>
      <w:r>
        <w:rPr>
          <w:sz w:val="18"/>
        </w:rPr>
        <w:t>——————————————————————————————————————————————————————————————————————</w:t>
      </w:r>
    </w:p>
    <w:p>
      <w:pPr>
        <w:spacing w:before="160" w:after="40" w:line="240" w:lineRule="auto"/>
      </w:pPr>
      <w:r>
        <w:rPr>
          <w:b/>
        </w:rPr>
        <w:t xml:space="preserve">[323] </w:t>
      </w:r>
      <w:hyperlink r:id="rId765">
        <w:r>
          <w:rPr>
            <w:color w:val="1155CC"/>
            <w:u w:val="single"/>
          </w:rPr>
          <w:t>TCF3::HLF协调增强子-启动子网络并激活MEF2C以促进白血病中未成熟HSC基因表达</w:t>
        </w:r>
      </w:hyperlink>
    </w:p>
    <w:p>
      <w:pPr>
        <w:spacing w:before="0" w:after="80"/>
      </w:pPr>
      <w:r>
        <w:rPr>
          <w:i/>
          <w:sz w:val="20"/>
        </w:rPr>
        <w:t>EN: TCF3::HLF orchestrates an enhancer-promoter network with activation of MEF2C to promote immature HSC gene expression in leukemia</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66">
        <w:r>
          <w:rPr>
            <w:color w:val="1155CC"/>
            <w:u w:val="single"/>
          </w:rPr>
          <w:t>10.1126/sciadv.adu3728</w:t>
        </w:r>
      </w:hyperlink>
    </w:p>
    <w:p>
      <w:pPr>
        <w:spacing w:before="0" w:after="120"/>
      </w:pPr>
      <w:r>
        <w:rPr>
          <w:b/>
        </w:rPr>
        <w:t xml:space="preserve">Notes: </w:t>
      </w:r>
      <w:r>
        <w:t>abstract_source=crossref</w:t>
      </w:r>
    </w:p>
    <w:p>
      <w:pPr>
        <w:spacing w:before="0" w:after="80" w:lineRule="auto" w:line="276"/>
      </w:pPr>
      <w:r>
        <w:rPr>
          <w:b/>
        </w:rPr>
        <w:t xml:space="preserve">摘要（ZH）: </w:t>
      </w:r>
      <w:r>
        <w:t>致癌融合转录因子（TFs）通过改变关键发育程序中的基因表达，常常驱动血液系统恶性肿瘤。TCF3::HLF 是一种融合 TF，特征为一种罕见的、难以治疗的 B 细胞急性淋巴细胞白血病亚型 [t(17;19) TCF3::HLF 阳性 B-ALL]。尽管其临床意义重大，但 TCF3::HLF 诱导白血病的机制尚不清楚。我们使用 HiChIP 映射和基因干扰在 3D 基因组水平上分析 TCF3::HLF，揭示了控制基因激活或抑制的增强子-启动子相互作用。值得注意的是，TCF3::HLF 通过其增强子直接调控 MEF2C 表达，因为干扰破坏了 MEF2C 转录并抑制了白血病的传播。这种破坏还削弱了胚胎造血干细胞（HSC）基因特征，并恢复了成熟 HSC 和 B 淋巴标志物。这些发现突出了 MEF2C 作为 TCF3::HLF 重新编程的转录网络中的关键组成部分。我们的研究提供了关于 TCF3::HLF 如何重构 3D 基因组以驱动白血病的见解，并为进一步探索 TCF3::HLF 调控组提供了资源。</w:t>
      </w:r>
    </w:p>
    <w:p>
      <w:pPr>
        <w:spacing w:before="0" w:after="200" w:lineRule="auto" w:line="276"/>
      </w:pPr>
      <w:r>
        <w:rPr>
          <w:b/>
        </w:rPr>
        <w:t xml:space="preserve">Abstract (EN): </w:t>
      </w:r>
      <w:r>
        <w:t>Oncogenic fusion transcription factors (TFs) frequently drive hematopoietic malignancies by altering gene expression in key developmental programs. TCF3::HLF is a fusion TF that characterizes a rare, treatment-resistant subtype of B cell acute lymphoblastic leukemia [t(17;19) TCF3::HLF-positive B-ALL]. Despite its clinical significance, the mechanisms by which TCF3::HLF induces leukemia are unclear. We used HiChIP mapping and genetic interference to analyze TCF3::HLF at the 3D genome level, revealing enhancer-promoter interactions that control gene activation or repression. Notably, TCF3::HLF directly regulates</w:t>
      </w:r>
      <w:r>
        <w:t xml:space="preserve"> </w:t>
      </w:r>
      <w:r>
        <w:t>MEF2C</w:t>
      </w:r>
      <w:r>
        <w:t xml:space="preserve"> </w:t>
      </w:r>
      <w:r>
        <w:t>expression through its enhancer, as interference disrupted</w:t>
      </w:r>
      <w:r>
        <w:t xml:space="preserve"> </w:t>
      </w:r>
      <w:r>
        <w:t>MEF2C</w:t>
      </w:r>
      <w:r>
        <w:t xml:space="preserve"> </w:t>
      </w:r>
      <w:r>
        <w:t>transcription and inhibited leukemia propagation. This disruption also diminished embryonal hematopoietic stem cell (HSC) gene signatures and restored mature HSC and B-lymphoid markers. These findings highlight</w:t>
      </w:r>
      <w:r>
        <w:t xml:space="preserve"> </w:t>
      </w:r>
      <w:r>
        <w:t>MEF2C</w:t>
      </w:r>
      <w:r>
        <w:t xml:space="preserve"> </w:t>
      </w:r>
      <w:r>
        <w:t>as a critical component of the transcriptional network reprogrammed by TCF3::HLF. Our study provides insight into how TCF3::HLF rewires the 3D genome to drive leukemia and serves as a resource for further exploration of the TCF3::HLF regulome.</w:t>
      </w:r>
    </w:p>
    <w:p>
      <w:pPr>
        <w:spacing w:before="120" w:after="120"/>
      </w:pPr>
      <w:r>
        <w:rPr>
          <w:sz w:val="18"/>
        </w:rPr>
        <w:t>——————————————————————————————————————————————————————————————————————</w:t>
      </w:r>
    </w:p>
    <w:p>
      <w:pPr>
        <w:spacing w:before="160" w:after="40" w:line="240" w:lineRule="auto"/>
      </w:pPr>
      <w:r>
        <w:rPr>
          <w:b/>
        </w:rPr>
        <w:t xml:space="preserve">[324] </w:t>
      </w:r>
      <w:hyperlink r:id="rId767">
        <w:r>
          <w:rPr>
            <w:color w:val="1155CC"/>
            <w:u w:val="single"/>
          </w:rPr>
          <w:t>谷胱甘肽诱导开普露珠草的捕虫器闭合以进行食虫</w:t>
        </w:r>
      </w:hyperlink>
    </w:p>
    <w:p>
      <w:pPr>
        <w:spacing w:before="0" w:after="80"/>
      </w:pPr>
      <w:r>
        <w:rPr>
          <w:i/>
          <w:sz w:val="20"/>
        </w:rPr>
        <w:t>EN: Glutathione induces trap closure for carnivory in Cape sundew</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68">
        <w:r>
          <w:rPr>
            <w:color w:val="1155CC"/>
            <w:u w:val="single"/>
          </w:rPr>
          <w:t>10.1126/sciadv.adz2809</w:t>
        </w:r>
      </w:hyperlink>
    </w:p>
    <w:p>
      <w:pPr>
        <w:spacing w:before="0" w:after="120"/>
      </w:pPr>
      <w:r>
        <w:rPr>
          <w:b/>
        </w:rPr>
        <w:t xml:space="preserve">Notes: </w:t>
      </w:r>
      <w:r>
        <w:t>abstract_source=crossref</w:t>
      </w:r>
    </w:p>
    <w:p>
      <w:pPr>
        <w:spacing w:before="0" w:after="80" w:lineRule="auto" w:line="276"/>
      </w:pPr>
      <w:r>
        <w:rPr>
          <w:b/>
        </w:rPr>
        <w:t xml:space="preserve">摘要（ZH）: </w:t>
      </w:r>
      <w:r>
        <w:t>查尔斯·达尔文对捕虫堇（茅膏菜）深感着迷，这些植物进化为肉食性植物，具有改良的叶子，称为捕虫器，用于捕捉小动物，但对短暂的机械刺激没有反应。尽管达尔文早期的见解和最近在表征这些机制方面的进展，我们对捕食反应的信号分子了解仍然有限。在此，我们确定谷胱甘肽（GSH）是茅膏菜食虫信号级联中的重要介质，与钙依赖性方式的捕虫器闭合有关。我们表明，捕食促进了茅膏菜叶片中 GSH 的积累，而 GSH 的耗竭则抑制了运动。此外，GSH 的应用足以在茅膏菜科家族中诱导捕虫器闭合，包括捕蝇草的夹闭捕虫器和茅膏菜种的粘附捕虫器。这些发现推进了我们对植物食虫机制的神秘理解，这一现象自达尔文时代以来一直令科学家着迷。</w:t>
      </w:r>
    </w:p>
    <w:p>
      <w:pPr>
        <w:spacing w:before="0" w:after="200" w:lineRule="auto" w:line="276"/>
      </w:pPr>
      <w:r>
        <w:rPr>
          <w:b/>
        </w:rPr>
        <w:t xml:space="preserve">Abstract (EN): </w:t>
      </w:r>
      <w:r>
        <w:t>Charles Darwin was profoundly fascinated by</w:t>
      </w:r>
      <w:r>
        <w:t xml:space="preserve"> </w:t>
      </w:r>
      <w:r>
        <w:t>Drosera</w:t>
      </w:r>
      <w:r>
        <w:t xml:space="preserve"> </w:t>
      </w:r>
      <w:r>
        <w:t>(sundew plants), which have evolved as flesh-eaters with modified leaves, called traps, to catch small animals yet do not respond to transient mechanical stimuli. Despite Darwin’s early insights, and recent advances in characterizing these mechanisms, our knowledge of the signaling molecules underlying prey capture responses remains limited. Here, we identify glutathione (GSH) as an important mediator within the signaling cascade of sundew carnivory, implicated in trap closure in a calcium-dependent manner. We show that prey capture promotes GSH accumulation in sundew leaves, while GSH depletion inhibits the movement. Furthermore, application of GSH is sufficient to induce trap closure across the</w:t>
      </w:r>
      <w:r>
        <w:t xml:space="preserve"> </w:t>
      </w:r>
      <w:r>
        <w:t>Droseraceae</w:t>
      </w:r>
      <w:r>
        <w:t xml:space="preserve"> </w:t>
      </w:r>
      <w:r>
        <w:t>family, including both the snap traps of Venus flytrap and the adhesive traps of sundew species. These findings advance our understanding of the enigmatic mechanisms of plant carnivory, a phenomenon that has intrigued scientists since Darwin’s era.</w:t>
      </w:r>
    </w:p>
    <w:p>
      <w:pPr>
        <w:spacing w:before="120" w:after="120"/>
      </w:pPr>
      <w:r>
        <w:rPr>
          <w:sz w:val="18"/>
        </w:rPr>
        <w:t>——————————————————————————————————————————————————————————————————————</w:t>
      </w:r>
    </w:p>
    <w:p>
      <w:pPr>
        <w:spacing w:before="160" w:after="40" w:line="240" w:lineRule="auto"/>
      </w:pPr>
      <w:r>
        <w:rPr>
          <w:b/>
        </w:rPr>
        <w:t xml:space="preserve">[325] </w:t>
      </w:r>
      <w:hyperlink r:id="rId769">
        <w:r>
          <w:rPr>
            <w:color w:val="1155CC"/>
            <w:u w:val="single"/>
          </w:rPr>
          <w:t>东亚季风异常的十年变化及其对社会冲突的影响</w:t>
        </w:r>
      </w:hyperlink>
    </w:p>
    <w:p>
      <w:pPr>
        <w:spacing w:before="0" w:after="80"/>
      </w:pPr>
      <w:r>
        <w:rPr>
          <w:i/>
          <w:sz w:val="20"/>
        </w:rPr>
        <w:t>EN: Decadal East Asian monsoon anomalies and implications for societal conflicts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70">
        <w:r>
          <w:rPr>
            <w:color w:val="1155CC"/>
            <w:u w:val="single"/>
          </w:rPr>
          <w:t>10.1126/sciadv.aee1648</w:t>
        </w:r>
      </w:hyperlink>
    </w:p>
    <w:p>
      <w:pPr>
        <w:spacing w:before="0" w:after="120"/>
      </w:pPr>
      <w:r>
        <w:rPr>
          <w:b/>
        </w:rPr>
        <w:t xml:space="preserve">Notes: </w:t>
      </w:r>
      <w:r>
        <w:t>abstract_source=crossref</w:t>
      </w:r>
    </w:p>
    <w:p>
      <w:pPr>
        <w:spacing w:before="0" w:after="80" w:lineRule="auto" w:line="276"/>
      </w:pPr>
      <w:r>
        <w:rPr>
          <w:b/>
        </w:rPr>
        <w:t xml:space="preserve">摘要（ZH）: </w:t>
      </w:r>
      <w:r>
        <w:t>东亚夏季风异常导致中国的洪水和干旱，对人类社会的气候韧性构成巨大挑战。然而，由于仪器数据有限，十年尺度季风变率的机制和影响仍然知之甚少。我们来自中国的年分辨率钟乳石记录（1787–2007 CE）以及模拟结果显示，自小冰期结束以来，季风持续减弱，并叠加了十年振荡。五次季风极端事件，由太阳输出减少引发，并通过大西洋和太平洋的海洋-大气过程进一步放大，导致中国广泛的特大干旱。19世纪50年代一次显著的洪涝-干旱突变交替显著促成了太平天国运动（1851–1864 CE）。我们的研究结果表明，季风异常可以导致作物歉收并加剧人口过剩，最终导致社会动荡，特别是在经历快速人口扩张的地区。</w:t>
      </w:r>
    </w:p>
    <w:p>
      <w:pPr>
        <w:spacing w:before="0" w:after="200" w:lineRule="auto" w:line="276"/>
      </w:pPr>
      <w:r>
        <w:rPr>
          <w:b/>
        </w:rPr>
        <w:t xml:space="preserve">Abstract (EN): </w:t>
      </w:r>
      <w:r>
        <w:t>The East Asian summer monsoon anomalies, responsible for floods and droughts across China, pose great challenges to the climate resilience of human society. However, mechanisms and impacts of decadal-scale monsoon variability remain poorly understood due to limited instrumental data. Our annual-resolution speleothem record (1787–2007 CE) from China, along with simulation results, reveals a persistent monsoon weakening since the end of the Little Ice Age, superimposed by decadal oscillations. Five monsoon extremes, triggered by diminished solar output and further amplified by ocean-atmosphere processes in the Atlantic and Pacific oceans, caused widespread megadroughts in China. One marked flood-drought abrupt alternation in the 1850s substantially contributed to the Taiping Rebellion (1851–1864 CE). Our findings demonstrate that monsoon anomalies can cause crop failure and exacerbate overpopulation, ultimately leading to social unrest, particularly in regions experiencing rapid demographic expansion.</w:t>
      </w:r>
    </w:p>
    <w:p>
      <w:pPr>
        <w:spacing w:before="120" w:after="120"/>
      </w:pPr>
      <w:r>
        <w:rPr>
          <w:sz w:val="18"/>
        </w:rPr>
        <w:t>——————————————————————————————————————————————————————————————————————</w:t>
      </w:r>
    </w:p>
    <w:p>
      <w:pPr>
        <w:spacing w:before="160" w:after="40" w:line="240" w:lineRule="auto"/>
      </w:pPr>
      <w:r>
        <w:rPr>
          <w:b/>
        </w:rPr>
        <w:t xml:space="preserve">[326] </w:t>
      </w:r>
      <w:hyperlink r:id="rId771">
        <w:r>
          <w:rPr>
            <w:color w:val="1155CC"/>
            <w:u w:val="single"/>
          </w:rPr>
          <w:t>分子计时器将全身的时间特性与发育检查点相结合</w:t>
        </w:r>
      </w:hyperlink>
    </w:p>
    <w:p>
      <w:pPr>
        <w:spacing w:before="0" w:after="80"/>
      </w:pPr>
      <w:r>
        <w:rPr>
          <w:i/>
          <w:sz w:val="20"/>
        </w:rPr>
        <w:t>EN: A molecular timer couples organism-wide temporal identity to developmental checkpoints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772">
        <w:r>
          <w:rPr>
            <w:color w:val="1155CC"/>
            <w:u w:val="single"/>
          </w:rPr>
          <w:t>10.1073/pnas.2606846123</w:t>
        </w:r>
      </w:hyperlink>
    </w:p>
    <w:p>
      <w:pPr>
        <w:spacing w:before="0" w:after="120"/>
      </w:pPr>
      <w:r>
        <w:rPr>
          <w:b/>
        </w:rPr>
        <w:t xml:space="preserve">Notes: </w:t>
      </w:r>
      <w:r>
        <w:t>abstract_source=crossref</w:t>
      </w:r>
    </w:p>
    <w:p>
      <w:pPr>
        <w:spacing w:before="0" w:after="80" w:lineRule="auto" w:line="276"/>
      </w:pPr>
      <w:r>
        <w:rPr>
          <w:b/>
        </w:rPr>
        <w:t xml:space="preserve">摘要（ZH）: </w:t>
      </w:r>
      <w:r>
        <w:t>协调发展要求在组织间的生长和细胞命运转变以定义的时间顺序发生，但多细胞生物如何生成和同步发育时序信息仍不清楚。在</w:t>
      </w:r>
      <w:r>
        <w:t xml:space="preserve"> </w:t>
      </w:r>
      <w:r>
        <w:t>秀丽隐杆线虫</w:t>
      </w:r>
      <w:r>
        <w:t xml:space="preserve"> </w:t>
      </w:r>
      <w:r>
        <w:t>中，阶段特异性细胞命运转变由包括</w:t>
      </w:r>
      <w:r>
        <w:t xml:space="preserve"> </w:t>
      </w:r>
      <w:r>
        <w:t>lin-4</w:t>
      </w:r>
      <w:r>
        <w:t xml:space="preserve"> </w:t>
      </w:r>
      <w:r>
        <w:t>和</w:t>
      </w:r>
      <w:r>
        <w:t xml:space="preserve"> </w:t>
      </w:r>
      <w:r>
        <w:t>let-7</w:t>
      </w:r>
      <w:r>
        <w:t xml:space="preserve"> </w:t>
      </w:r>
      <w:r>
        <w:t>家族成员在内的微RNA的脉冲式转录驱动，但产生这些节律的机制尚不清楚。在此，我们识别出一个由转录因子MYRF-1和PERIOD样抑制子LIN-42组成的发育计时器，在所有体细胞组织中同步运行。MYRF-1结合异时性微RNA基因上游的保守调控元件，驱动每阶段一次的转录脉冲，这些脉冲在组织间相位锁定，同时激活</w:t>
      </w:r>
      <w:r>
        <w:t xml:space="preserve"> </w:t>
      </w:r>
      <w:r>
        <w:t>lin-42</w:t>
      </w:r>
      <w:r>
        <w:t xml:space="preserve"> </w:t>
      </w:r>
      <w:r>
        <w:t>表达。新合成的LIN-42直接与MYRF-1结合，限制其核内驻留和转录活性，从而限制每个脉冲的幅度和持续时间。除了调节阶段特异性基因表达外，我们还表明MYRF-1活性对于许可一个对生长和成功蜕皮至关重要的发育检查点也是必需的。这些发现共同定义了一个生成全身发育时序信息的互惠转录-翻译反馈回路，耦合组织特异性差异。</w:t>
      </w:r>
    </w:p>
    <w:p>
      <w:pPr>
        <w:spacing w:before="0" w:after="200" w:lineRule="auto" w:line="276"/>
      </w:pPr>
      <w:r>
        <w:rPr>
          <w:b/>
        </w:rPr>
        <w:t xml:space="preserve">Abstract (EN): </w:t>
      </w:r>
      <w:r>
        <w:t>Coordinated development requires that growth and cell-fate transitions occur in a defined temporal order across tissues, yet how multicellular organisms generate and synchronize developmental timing information remains unclear. In</w:t>
      </w:r>
      <w:r>
        <w:t xml:space="preserve"> </w:t>
      </w:r>
      <w:r>
        <w:t>Caenorhabditis elegans</w:t>
      </w:r>
      <w:r>
        <w:t xml:space="preserve"> </w:t>
      </w:r>
      <w:r>
        <w:t>, stage-specific cell-fate transitions are driven by pulsatile transcription of microRNAs, including</w:t>
      </w:r>
      <w:r>
        <w:t xml:space="preserve"> </w:t>
      </w:r>
      <w:r>
        <w:t>lin-4</w:t>
      </w:r>
      <w:r>
        <w:t xml:space="preserve"> </w:t>
      </w:r>
      <w:r>
        <w:t>and</w:t>
      </w:r>
      <w:r>
        <w:t xml:space="preserve"> </w:t>
      </w:r>
      <w:r>
        <w:t>let-7</w:t>
      </w:r>
      <w:r>
        <w:t xml:space="preserve"> </w:t>
      </w:r>
      <w:r>
        <w:t>family members, but the mechanism that produces these rhythms has been unknown. Here, we identify a developmental timer composed of the transcription factor MYRF-1 and the PERIOD-like repressor LIN-42 that operates synchronously across all somatic tissues. MYRF-1 binds conserved regulatory elements upstream of heterochronic microRNA genes and drives once-per-stage transcriptional pulses that are phase-locked across tissues, while simultaneously activating</w:t>
      </w:r>
      <w:r>
        <w:t xml:space="preserve"> </w:t>
      </w:r>
      <w:r>
        <w:t>lin-42</w:t>
      </w:r>
      <w:r>
        <w:t xml:space="preserve"> </w:t>
      </w:r>
      <w:r>
        <w:t>expression. Newly synthesized LIN-42 directly associates with MYRF-1, limiting its nuclear residence and transcriptional activity and thereby constraining the amplitude and duration of each pulse. Beyond regulating stage-specific gene expression, we show that MYRF-1 activity is also required to license a developmental checkpoint essential for growth and successful ecdysis. Together, these findings define a reciprocal transcriptional–translational feedback loop that generates organism-wide developmental timing information, coupling tissue-specific differentiation programs to coordinated organismal growth through a shared molecular timer.</w:t>
      </w:r>
    </w:p>
    <w:p>
      <w:pPr>
        <w:spacing w:before="120" w:after="120"/>
      </w:pPr>
      <w:r>
        <w:rPr>
          <w:sz w:val="18"/>
        </w:rPr>
        <w:t>——————————————————————————————————————————————————————————————————————</w:t>
      </w:r>
    </w:p>
    <w:p>
      <w:pPr>
        <w:spacing w:before="160" w:after="40" w:line="240" w:lineRule="auto"/>
      </w:pPr>
      <w:r>
        <w:rPr>
          <w:b/>
        </w:rPr>
        <w:t xml:space="preserve">[327] </w:t>
      </w:r>
      <w:hyperlink r:id="rId773">
        <w:r>
          <w:rPr>
            <w:color w:val="1155CC"/>
            <w:u w:val="single"/>
          </w:rPr>
          <w:t>钩状毛：一种帮助幼苗在养分有限和干旱条件下生存的细胞关键适应</w:t>
        </w:r>
      </w:hyperlink>
    </w:p>
    <w:p>
      <w:pPr>
        <w:spacing w:before="0" w:after="80"/>
      </w:pPr>
      <w:r>
        <w:rPr>
          <w:i/>
          <w:sz w:val="20"/>
        </w:rPr>
        <w:t>EN: Hooked hairs: A cellular key adaptation aiding seedling survival in nutrient-limited and drought conditions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74">
        <w:r>
          <w:rPr>
            <w:color w:val="1155CC"/>
            <w:u w:val="single"/>
          </w:rPr>
          <w:t>10.1126/sciadv.adz6873</w:t>
        </w:r>
      </w:hyperlink>
    </w:p>
    <w:p>
      <w:pPr>
        <w:spacing w:before="0" w:after="120"/>
      </w:pPr>
      <w:r>
        <w:rPr>
          <w:b/>
        </w:rPr>
        <w:t xml:space="preserve">Notes: </w:t>
      </w:r>
      <w:r>
        <w:t>abstract_source=crossref</w:t>
      </w:r>
    </w:p>
    <w:p>
      <w:pPr>
        <w:spacing w:before="0" w:after="80" w:lineRule="auto" w:line="276"/>
      </w:pPr>
      <w:r>
        <w:rPr>
          <w:b/>
        </w:rPr>
        <w:t xml:space="preserve">摘要（ZH）: </w:t>
      </w:r>
      <w:r>
        <w:t>了解植物在退化、干旱影响和养分有限土壤中的生存机制有助于减轻气候变化对作物生产的影响。根通过笔直的管状根毛深入土壤，促进资源吸收。在这项研究中，我们发现了一种单细胞结构，称为“钩状毛”，其特征是支持幼苗建立的尖钩形态，出现在根毛出现之前。我们观察到钩状毛对磷和氮限制的表型响应。共表达分析识别出与养分运输和木栓质生物合成相关的基因特征，这些生物功能可能对幼苗建立、养分获取和抵御生物胁迫至关重要。因此，钩状毛为开发气候适应性幼苗提供了潜力，减少对不可持续肥料的依赖，保障农业生产力。</w:t>
      </w:r>
    </w:p>
    <w:p>
      <w:pPr>
        <w:spacing w:before="0" w:after="200" w:lineRule="auto" w:line="276"/>
      </w:pPr>
      <w:r>
        <w:rPr>
          <w:b/>
        </w:rPr>
        <w:t xml:space="preserve">Abstract (EN): </w:t>
      </w:r>
      <w:r>
        <w:t>Understanding plant survival mechanisms in degraded, drought-affected, and nutrient-limited soils can help mitigate the effects of climate change on crop production. Roots extend deep into soil through straight, tubular root hairs that facilitate resource uptake. In this study, we found a unicellular structure, termed the “hooked hair,” characterized by a pointed hook morphology that supports seedling establishment before root hair emergence. We observed a phenotypic response of hooked hairs to phosphorus and nitrogen limitations. Coexpression analysis identified gene signatures associated with nutrient transport and suberin biosynthesis in hooked hairs. These biological functions are likely critical for seedling establishment, nutrient acquisition, and protection against biotic stress. Therefore, the hooked hair offers potential for the development climate-resilient seedlings, reducing reliance on unsustainable fertilizers and securing agricultural productivity.</w:t>
      </w:r>
    </w:p>
    <w:p>
      <w:pPr>
        <w:spacing w:before="120" w:after="120"/>
      </w:pPr>
      <w:r>
        <w:rPr>
          <w:sz w:val="18"/>
        </w:rPr>
        <w:t>——————————————————————————————————————————————————————————————————————</w:t>
      </w:r>
    </w:p>
    <w:p>
      <w:pPr>
        <w:spacing w:before="160" w:after="40" w:line="240" w:lineRule="auto"/>
      </w:pPr>
      <w:r>
        <w:rPr>
          <w:b/>
        </w:rPr>
        <w:t xml:space="preserve">[328] </w:t>
      </w:r>
      <w:hyperlink r:id="rId775">
        <w:r>
          <w:rPr>
            <w:color w:val="1155CC"/>
            <w:u w:val="single"/>
          </w:rPr>
          <w:t>人类循环IgA1克隆库的结构多样性</w:t>
        </w:r>
      </w:hyperlink>
    </w:p>
    <w:p>
      <w:pPr>
        <w:spacing w:before="0" w:after="80"/>
      </w:pPr>
      <w:r>
        <w:rPr>
          <w:i/>
          <w:sz w:val="20"/>
        </w:rPr>
        <w:t>EN: Structural promiscuity in the human circulatory IgA1 clonal repertoire</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776">
        <w:r>
          <w:rPr>
            <w:color w:val="1155CC"/>
            <w:u w:val="single"/>
          </w:rPr>
          <w:t>10.1073/pnas.2533440123</w:t>
        </w:r>
      </w:hyperlink>
    </w:p>
    <w:p>
      <w:pPr>
        <w:spacing w:before="0" w:after="120"/>
      </w:pPr>
      <w:r>
        <w:rPr>
          <w:b/>
        </w:rPr>
        <w:t xml:space="preserve">Notes: </w:t>
      </w:r>
      <w:r>
        <w:t>abstract_source=crossref</w:t>
      </w:r>
    </w:p>
    <w:p>
      <w:pPr>
        <w:spacing w:before="0" w:after="80" w:lineRule="auto" w:line="276"/>
      </w:pPr>
      <w:r>
        <w:rPr>
          <w:b/>
        </w:rPr>
        <w:t xml:space="preserve">摘要（ZH）: </w:t>
      </w:r>
      <w:r>
        <w:t>免疫球蛋白A（IgA）是人体中最丰富的抗体，在粘膜/分泌物和循环中浓度很高。虽然粘膜IgA已被广泛研究，但人类血清中的IgA及其独特功能的特征描述仍然滞后。循环IgA通常被认为是单体，尽管有些报告描述了一小部分J链耦合的二聚体。在此，我们首先绘制了个体健康供体的人类血清IgA的组成景观。除了预期的主要单体外，我们还一致观察到J耦合的二聚体，甚至占到一位供体总血清IgA的约30%。为了确定这些结构上不同的群体是否也是克隆上不同的，我们在两位供体的血清中采用基于质谱的IgA1克隆分析。我们的数据揭示了大多数IgA1克隆仅以单体形式存在，少数则仅以二聚体形式存在。令人惊讶的是，第三种IgA1克隆群体在循环中同时以单体和J耦合二聚体形式存在。事实上，这些共享的、结构上多变的IgA1克隆主导了两位个体的血清IgA1克隆库。我们的研究结果表明，每个独特的IgA1克隆可能会以单体和J耦合二聚体的可变混合物形式产生，但究竟是什么决定了这种比例需要进一步研究。这一发现很重要，因为单体和J耦合二聚体在抗原结合、受体激活和从循环中清除方面具有不同的特性，有几份报告强调了例如增强的中和能力。</w:t>
      </w:r>
    </w:p>
    <w:p>
      <w:pPr>
        <w:spacing w:before="0" w:after="200" w:lineRule="auto" w:line="276"/>
      </w:pPr>
      <w:r>
        <w:rPr>
          <w:b/>
        </w:rPr>
        <w:t xml:space="preserve">Abstract (EN): </w:t>
      </w:r>
      <w:r>
        <w:t>Immunoglobulin A (IgA) is the most abundant antibody in humans, with high concentrations in both mucosae/secretions and circulation. While mucosal IgA has been studied extensively, characterization of human IgA in serum and its distinctive functions lags behind. Circulatory IgA is regularly assumed to be monomeric, despite some reports describing a minor population of J-chain-coupled dimers. Here, we first charted the compositional landscape of human serum IgA in individual healthy donors. In addition to the expected predominating monomers, we consistently observed J-coupled dimers, even representing ~30% of one donor’s total serum IgA. To determine whether these structurally distinct populations were also clonally distinct, we employed mass spectrometry–based IgA1 clonal profiling in sera of two donors. Our data revealed the majority of IgA1 clones are present solely as monomers, with a smaller number exclusively dimeric. Strikingly, a third population of IgA1 clones is present in circulation as both monomers and J-coupled dimers. In fact, these shared, structurally promiscuous IgA1 clones dominated both individuals’ serum IgA1 clonal repertoires. Our findings suggest every unique IgA1 clone could potentially be produced as a variable mixture of monomers and J-coupled dimers, but what exactly determines this ratio requires further investigation. This finding is important, as monomers and J-coupled dimers have distinct characteristics in antigen binding, receptor activation, and clearance from circulation, with several reports highlighting, for instance, the enhanced neutralization capacity of dimeric IgA. As we show here, the human immune system is not merely capable of producing both forms but apparently prefers doing so in parallel.</w:t>
      </w:r>
    </w:p>
    <w:p>
      <w:pPr>
        <w:spacing w:before="120" w:after="120"/>
      </w:pPr>
      <w:r>
        <w:rPr>
          <w:sz w:val="18"/>
        </w:rPr>
        <w:t>——————————————————————————————————————————————————————————————————————</w:t>
      </w:r>
    </w:p>
    <w:p>
      <w:pPr>
        <w:spacing w:before="160" w:after="40" w:line="240" w:lineRule="auto"/>
      </w:pPr>
      <w:r>
        <w:rPr>
          <w:b/>
        </w:rPr>
        <w:t xml:space="preserve">[329] </w:t>
      </w:r>
      <w:hyperlink r:id="rId777">
        <w:r>
          <w:rPr>
            <w:color w:val="1155CC"/>
            <w:u w:val="single"/>
          </w:rPr>
          <w:t>通过延长的核心形成为木卫三的发电机提供动力</w:t>
        </w:r>
      </w:hyperlink>
    </w:p>
    <w:p>
      <w:pPr>
        <w:spacing w:before="0" w:after="80"/>
      </w:pPr>
      <w:r>
        <w:rPr>
          <w:i/>
          <w:sz w:val="20"/>
        </w:rPr>
        <w:t>EN: Powering Ganymede’s dynamo with protracted core formation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78">
        <w:r>
          <w:rPr>
            <w:color w:val="1155CC"/>
            <w:u w:val="single"/>
          </w:rPr>
          <w:t>10.1126/sciadv.aed8021</w:t>
        </w:r>
      </w:hyperlink>
    </w:p>
    <w:p>
      <w:pPr>
        <w:spacing w:before="0" w:after="120"/>
      </w:pPr>
      <w:r>
        <w:rPr>
          <w:b/>
        </w:rPr>
        <w:t xml:space="preserve">Notes: </w:t>
      </w:r>
      <w:r>
        <w:t>abstract_source=crossref</w:t>
      </w:r>
    </w:p>
    <w:p>
      <w:pPr>
        <w:spacing w:before="0" w:after="80" w:lineRule="auto" w:line="276"/>
      </w:pPr>
      <w:r>
        <w:rPr>
          <w:b/>
        </w:rPr>
        <w:t xml:space="preserve">摘要（ZH）: </w:t>
      </w:r>
      <w:r>
        <w:t>木卫三是目前已知唯一具有活跃发电机的卫星。先前的研究将木卫三的发电机解释为源于数十亿年前形成的金属核心中的对流。然而，木卫三可能在形成时过于寒冷而无法形成金属核心，这使得将木卫三的磁场解释为该卫星更广泛历史的约束变得复杂。在此，我们重新评估了木卫三从寒冷开始的岩石-金属内部的热演化。我们的模型显示，木卫三观察到的发电机与正在进行的核心形成一致，这一过程尚未在其他地方观察到。如果木卫三具有亚共晶成分的Fe-FeS核心，那么逐渐的地幔加热可能会将密集的Fe熔体排放到正在生长的原核心上并搅动液态金属，维持发电机数十亿年。</w:t>
      </w:r>
    </w:p>
    <w:p>
      <w:pPr>
        <w:spacing w:before="0" w:after="200" w:lineRule="auto" w:line="276"/>
      </w:pPr>
      <w:r>
        <w:rPr>
          <w:b/>
        </w:rPr>
        <w:t xml:space="preserve">Abstract (EN): </w:t>
      </w:r>
      <w:r>
        <w:t>Ganymede is the only known moon with an active dynamo today. Previous studies interpret Ganymede’s dynamo as arising from convection in a metal core that formed billions of years ago. However, Ganymede likely accreted too cold to form with a metal core, which confounds interpretations of Ganymede’s magnetic field as a constraint on the moon’s broader history. Here, we reevaluate the thermal evolution of Ganymede’s rock-metal interior from a cold start. Our models show that Ganymede’s observed dynamo is consistent with ongoing core formation, a process not yet observed elsewhere. If Ganymede has an Fe-FeS core with a sub-eutectic composition, then gradual mantle warming may expel dense Fe melt onto the growing protocore and stir liquid metal, sustaining a dynamo for billions of years.</w:t>
      </w:r>
    </w:p>
    <w:p>
      <w:pPr>
        <w:spacing w:before="120" w:after="120"/>
      </w:pPr>
      <w:r>
        <w:rPr>
          <w:sz w:val="18"/>
        </w:rPr>
        <w:t>——————————————————————————————————————————————————————————————————————</w:t>
      </w:r>
    </w:p>
    <w:p>
      <w:pPr>
        <w:spacing w:before="160" w:after="40" w:line="240" w:lineRule="auto"/>
      </w:pPr>
      <w:r>
        <w:rPr>
          <w:b/>
        </w:rPr>
        <w:t xml:space="preserve">[330] </w:t>
      </w:r>
      <w:hyperlink r:id="rId779">
        <w:r>
          <w:rPr>
            <w:color w:val="1155CC"/>
            <w:u w:val="single"/>
          </w:rPr>
          <w:t>超稳定二维自由基共轭金属有机框架用于高效NIR-II光热转换</w:t>
        </w:r>
      </w:hyperlink>
    </w:p>
    <w:p>
      <w:pPr>
        <w:spacing w:before="0" w:after="80"/>
      </w:pPr>
      <w:r>
        <w:rPr>
          <w:i/>
          <w:sz w:val="20"/>
        </w:rPr>
        <w:t>EN: Super-stable two-dimensional radical conjugated metal-organic frameworks for efficient NIR-II photothermal conversion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80">
        <w:r>
          <w:rPr>
            <w:color w:val="1155CC"/>
            <w:u w:val="single"/>
          </w:rPr>
          <w:t>10.1126/sciadv.aec7519</w:t>
        </w:r>
      </w:hyperlink>
    </w:p>
    <w:p>
      <w:pPr>
        <w:spacing w:before="0" w:after="120"/>
      </w:pPr>
      <w:r>
        <w:rPr>
          <w:b/>
        </w:rPr>
        <w:t xml:space="preserve">Notes: </w:t>
      </w:r>
      <w:r>
        <w:t>abstract_source=crossref</w:t>
      </w:r>
    </w:p>
    <w:p>
      <w:pPr>
        <w:spacing w:before="0" w:after="80" w:lineRule="auto" w:line="276"/>
      </w:pPr>
      <w:r>
        <w:rPr>
          <w:b/>
        </w:rPr>
        <w:t xml:space="preserve">摘要（ZH）: </w:t>
      </w:r>
      <w:r>
        <w:t>自由基功能化的发色团由于其窄的HOMO-SOMO间隙而有望成为非侵入性NIR-II剂，但自由基淬灭导致的固有不稳定性限制了其实际应用。在此，我们报告了一类分子工程化的二维共轭金属有机框架（2D c-MOFs），它们同时整合了稳定的自由基（&gt;24个月）、扩展的π-离域化和金属-配体配位。这种协同架构实现了超宽的NIR-II吸收峰，延伸至1400 nm以上，消光系数接近~10^6 M^−1 cm^−1，性能比传统光热剂高出几个数量级。通过策略性地嫁接侧链，我们促进了振动弛豫路径，显著增强了非辐射衰减，实现了92.9%的光热转换效率。在细胞实验中，2D c-MOFs在超低NIR-II辐照强度（0.1 W cm^−2）下实现了完全的肿瘤细胞消融，突显了其在深层组织光热治疗中的潜力。我们的工作建立了一种稳健且可推广的分子设计策略，用于开发具有卓越光热性能的稳定自由基基NIR-II剂，为其在深层组织治疗中的应用铺平了道路。</w:t>
      </w:r>
    </w:p>
    <w:p>
      <w:pPr>
        <w:spacing w:before="0" w:after="200" w:lineRule="auto" w:line="276"/>
      </w:pPr>
      <w:r>
        <w:rPr>
          <w:b/>
        </w:rPr>
        <w:t xml:space="preserve">Abstract (EN): </w:t>
      </w:r>
      <w:r>
        <w:t>Radical-functionalized chromophores hold promise as noninvasive NIR-II agents due to their narrow HOMO-SOMO gaps, but inherent instability from radical quenching has limited their practical applications. Here, we report a molecularly engineered class of two-dimensional conjugated metal-organic frameworks (2D c-MOFs) that simultaneously integrate stable radicals (&amp;gt;24 months), extended π-delocalization, and metal-ligand coordination. This synergistic architecture achieves an ultrabroad NIR-II absorption peak extending beyond 1400 nm with extinction coefficients approaching ~10</w:t>
      </w:r>
      <w:r>
        <w:rPr>
          <w:vertAlign w:val="subscript"/>
        </w:rPr>
        <w:t>6</w:t>
      </w:r>
      <w:r>
        <w:t>M</w:t>
      </w:r>
      <w:r>
        <w:t xml:space="preserve"> </w:t>
      </w:r>
      <w:r>
        <w:t>−1</w:t>
      </w:r>
      <w:r>
        <w:t xml:space="preserve"> </w:t>
      </w:r>
      <w:r>
        <w:t>cm</w:t>
      </w:r>
      <w:r>
        <w:t xml:space="preserve"> </w:t>
      </w:r>
      <w:r>
        <w:t>−1</w:t>
      </w:r>
      <w:r>
        <w:t xml:space="preserve"> </w:t>
      </w:r>
      <w:r>
        <w:t>, which outperform traditional photothermal agents by orders of magnitude. Through strategic graft of side chains, we promote vibrational relaxation pathways, markedly enhancing nonradiative decay and enabling a photothermal conversion efficiency of 92.9%. In cell experiments, 2D c-MOFs achieve complete tumor cell ablation under ultralow NIR-II irradiation intensity (0.1 W cm</w:t>
      </w:r>
      <w:r>
        <w:t xml:space="preserve"> </w:t>
      </w:r>
      <w:r>
        <w:t>−2</w:t>
      </w:r>
      <w:r>
        <w:t xml:space="preserve"> </w:t>
      </w:r>
      <w:r>
        <w:t>) that highlights their potential for deep-tissue photothermal therapy. Our work establishes a robust and generalizable molecular design strategy for developing stable radical-based NIR-II agents with exceptional photothermal performance, paving the way for their application in deep-tissue therapy.</w:t>
      </w:r>
    </w:p>
    <w:p>
      <w:pPr>
        <w:spacing w:before="120" w:after="120"/>
      </w:pPr>
      <w:r>
        <w:rPr>
          <w:sz w:val="18"/>
        </w:rPr>
        <w:t>——————————————————————————————————————————————————————————————————————</w:t>
      </w:r>
    </w:p>
    <w:p>
      <w:pPr>
        <w:spacing w:before="160" w:after="40" w:line="240" w:lineRule="auto"/>
      </w:pPr>
      <w:r>
        <w:rPr>
          <w:b/>
        </w:rPr>
        <w:t xml:space="preserve">[331] </w:t>
      </w:r>
      <w:hyperlink r:id="rId781">
        <w:r>
          <w:rPr>
            <w:color w:val="1155CC"/>
            <w:u w:val="single"/>
          </w:rPr>
          <w:t>一种氧化还原敏感的磷酸酶调节糖酵解作为细菌内膜中的代谢开关</w:t>
        </w:r>
      </w:hyperlink>
    </w:p>
    <w:p>
      <w:pPr>
        <w:spacing w:before="0" w:after="80"/>
      </w:pPr>
      <w:r>
        <w:rPr>
          <w:i/>
          <w:sz w:val="20"/>
        </w:rPr>
        <w:t>EN: A redox-sensitive phosphatase regulates glycolysis as a metabolic switch in the bacterial inner membrane</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82">
        <w:r>
          <w:rPr>
            <w:color w:val="1155CC"/>
            <w:u w:val="single"/>
          </w:rPr>
          <w:t>10.1126/sciadv.aea8724</w:t>
        </w:r>
      </w:hyperlink>
    </w:p>
    <w:p>
      <w:pPr>
        <w:spacing w:before="0" w:after="120"/>
      </w:pPr>
      <w:r>
        <w:rPr>
          <w:b/>
        </w:rPr>
        <w:t xml:space="preserve">Notes: </w:t>
      </w:r>
      <w:r>
        <w:t>abstract_source=crossref</w:t>
      </w:r>
    </w:p>
    <w:p>
      <w:pPr>
        <w:spacing w:before="0" w:after="80" w:lineRule="auto" w:line="276"/>
      </w:pPr>
      <w:r>
        <w:rPr>
          <w:b/>
        </w:rPr>
        <w:t xml:space="preserve">摘要（ZH）: </w:t>
      </w:r>
      <w:r>
        <w:t>微生物迅速调整其代谢以在波动的环境条件下生存，但它们如何协调糖酵解控制与氧化还原信号仍不清楚。我们发现膜磷酸酶PgpA作为氧化还原敏感开关来调节大肠杆菌中的糖酵解通量。PgpA通过去磷酸化关键的糖酵解中间体甘油醛-3-磷酸和甘油-3-磷酸来调节中心代谢。这一活动由可逆的二硫键控制，该键在氧化应激下形成不活跃的二聚体，并在还原时恢复活性。这种依赖氧化还原的调节使大肠杆菌能够根据营养和氧气供应的变化微调代谢。PgpA失活增加葡萄糖摄取并促进代谢，而持续激活则在厌氧条件下损害生长。我们还发现PgpA通过调节谷胱甘肽生物合成影响氧化还原稳态。这些发现揭示了一种负反馈机制，其中PgpA整合糖酵解与氧化还原平衡，作为细菌代谢稳态响应环境变化的中心调节器。</w:t>
      </w:r>
    </w:p>
    <w:p>
      <w:pPr>
        <w:spacing w:before="0" w:after="200" w:lineRule="auto" w:line="276"/>
      </w:pPr>
      <w:r>
        <w:rPr>
          <w:b/>
        </w:rPr>
        <w:t xml:space="preserve">Abstract (EN): </w:t>
      </w:r>
      <w:r>
        <w:t>Microorganisms rapidly adjust their metabolism to survive fluctuating environmental conditions, but how they coordinate glycolytic control with redox signals remains unclear. We found that the membrane phosphatase PgpA acts as a redox-sensitive switch to regulate glycolytic flux in</w:t>
      </w:r>
      <w:r>
        <w:t xml:space="preserve"> </w:t>
      </w:r>
      <w:r>
        <w:t>Escherichia coli</w:t>
      </w:r>
      <w:r>
        <w:t xml:space="preserve"> </w:t>
      </w:r>
      <w:r>
        <w:t>. PgpA dephosphorylates key glycolytic intermediates, glyceraldehyde-3-phosphate and glycerol-3-phosphate, to modulate central metabolism. This activity is controlled by a reversible disulfide bond that forms an inactive dimer under oxidative stress and restores activity when reduced. This redox-dependent regulation enables</w:t>
      </w:r>
      <w:r>
        <w:t xml:space="preserve"> </w:t>
      </w:r>
      <w:r>
        <w:t>E. coli</w:t>
      </w:r>
      <w:r>
        <w:t xml:space="preserve"> </w:t>
      </w:r>
      <w:r>
        <w:t>to fine-tune metabolism in response to changes in nutrients and oxygen availability. PgpA inactivation increases glucose uptake and promotes metabolism, while constitutive activation impairs growth under anaerobic conditions. We also found that PgpA influences redox homeostasis by regulating glutathione biosynthesis. These findings reveal a negative feedback mechanism in which PgpA integrates glycolysis with redox balance, serving as a central regulator of bacterial metabolic homeostasis in response to environmental changes.</w:t>
      </w:r>
    </w:p>
    <w:p>
      <w:pPr>
        <w:spacing w:before="120" w:after="120"/>
      </w:pPr>
      <w:r>
        <w:rPr>
          <w:sz w:val="18"/>
        </w:rPr>
        <w:t>——————————————————————————————————————————————————————————————————————</w:t>
      </w:r>
    </w:p>
    <w:p>
      <w:pPr>
        <w:spacing w:before="160" w:after="40" w:line="240" w:lineRule="auto"/>
      </w:pPr>
      <w:r>
        <w:rPr>
          <w:b/>
        </w:rPr>
        <w:t xml:space="preserve">[332] </w:t>
      </w:r>
      <w:hyperlink r:id="rId783">
        <w:r>
          <w:rPr>
            <w:color w:val="1155CC"/>
            <w:u w:val="single"/>
          </w:rPr>
          <w:t>可调节的TriPcides在金黄色葡萄球菌感染期间抑制毒力因子分泌并杀死休眠细胞</w:t>
        </w:r>
      </w:hyperlink>
    </w:p>
    <w:p>
      <w:pPr>
        <w:spacing w:before="0" w:after="80"/>
      </w:pPr>
      <w:r>
        <w:rPr>
          <w:i/>
          <w:sz w:val="20"/>
        </w:rPr>
        <w:t>EN: Tunable TriPcides suppress virulence factor secretion during Staphylococcus aureus infection and kill dormant cells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84">
        <w:r>
          <w:rPr>
            <w:color w:val="1155CC"/>
            <w:u w:val="single"/>
          </w:rPr>
          <w:t>10.1126/sciadv.aec9100</w:t>
        </w:r>
      </w:hyperlink>
    </w:p>
    <w:p>
      <w:pPr>
        <w:spacing w:before="0" w:after="120"/>
      </w:pPr>
      <w:r>
        <w:rPr>
          <w:b/>
        </w:rPr>
        <w:t xml:space="preserve">Notes: </w:t>
      </w:r>
      <w:r>
        <w:t>abstract_source=crossref</w:t>
      </w:r>
    </w:p>
    <w:p>
      <w:pPr>
        <w:spacing w:before="0" w:after="80" w:lineRule="auto" w:line="276"/>
      </w:pPr>
      <w:r>
        <w:rPr>
          <w:b/>
        </w:rPr>
        <w:t xml:space="preserve">摘要（ZH）: </w:t>
      </w:r>
      <w:r>
        <w:t>常见细菌病原体中的抗菌素耐药性（AMR），包括耐甲氧西林金黄色葡萄球菌（MRSA），是一个日益严重的公共卫生威胁，MRSA占金黄色葡萄球菌感染的高达90%。为了扩大对抗MRSA感染的治疗武器库，我们开发了一类可调节的三维三环2-吡啶酮，称为TriPcides，可以杀死对最后手段抗生素耐药的MRSA并消除MRSA持留细胞。在数百个临床分离株中未检测到预先存在的耐药性，并且MRSA持续暴露于TriPcides未引发可检测的耐药性。TriPcides治疗导致膜完整性迅速下降和活性氧水平增加。最后，TriPcides有效减少重要毒力因子的分泌，并导致金黄色葡萄球菌小鼠皮肤和软组织感染中的溃疡大小和愈合时间减少，但不减少细菌负担。</w:t>
      </w:r>
    </w:p>
    <w:p>
      <w:pPr>
        <w:spacing w:before="0" w:after="200" w:lineRule="auto" w:line="276"/>
      </w:pPr>
      <w:r>
        <w:rPr>
          <w:b/>
        </w:rPr>
        <w:t xml:space="preserve">Abstract (EN): </w:t>
      </w:r>
      <w:r>
        <w:t>Antimicrobial resistance (AMR) in common bacterial pathogens, including methicillin-resistant</w:t>
      </w:r>
      <w:r>
        <w:t xml:space="preserve"> </w:t>
      </w:r>
      <w:r>
        <w:t>Staphylococcus aureus</w:t>
      </w:r>
      <w:r>
        <w:t xml:space="preserve"> </w:t>
      </w:r>
      <w:r>
        <w:t>(MRSA), is an increasingly dire public health threat, with MRSA accounting for up to 90% of</w:t>
      </w:r>
      <w:r>
        <w:t xml:space="preserve"> </w:t>
      </w:r>
      <w:r>
        <w:t>S. aureus</w:t>
      </w:r>
      <w:r>
        <w:t xml:space="preserve"> </w:t>
      </w:r>
      <w:r>
        <w:t>infections. To expand the treatment arsenal against MRSA infections, we developed a class of tunable three-dimensional tricyclic 2-pyridones, termed TriPcides, that can kill MRSA resistant to last-resort antibiotics and eliminate MRSA persister cells. No preexisting resistance was detected across hundreds of clinical isolates, and continuous exposure of MRSA to TriPcides did not elicit detectable resistance. Treatment with TriPcides causes a rapid decrease in membrane integrity and increased levels of reactive oxygen species. Last, TriPcides effectively reduce secretion of important virulence factors and result in reduced ulcer size and healing time in</w:t>
      </w:r>
      <w:r>
        <w:t xml:space="preserve"> </w:t>
      </w:r>
      <w:r>
        <w:t>S. aureus</w:t>
      </w:r>
      <w:r>
        <w:t xml:space="preserve"> </w:t>
      </w:r>
      <w:r>
        <w:t>murine skin and soft tissue infections but do not reduce bacterial burden.</w:t>
      </w:r>
    </w:p>
    <w:p>
      <w:pPr>
        <w:spacing w:before="120" w:after="120"/>
      </w:pPr>
      <w:r>
        <w:rPr>
          <w:sz w:val="18"/>
        </w:rPr>
        <w:t>——————————————————————————————————————————————————————————————————————</w:t>
      </w:r>
    </w:p>
    <w:p>
      <w:pPr>
        <w:spacing w:before="160" w:after="40" w:line="240" w:lineRule="auto"/>
      </w:pPr>
      <w:r>
        <w:rPr>
          <w:b/>
        </w:rPr>
        <w:t xml:space="preserve">[333] </w:t>
      </w:r>
      <w:hyperlink r:id="rId785">
        <w:r>
          <w:rPr>
            <w:color w:val="1155CC"/>
            <w:u w:val="single"/>
          </w:rPr>
          <w:t>通过生物沉积物循环在现代俯冲带生成碳酸化橄榄岩熔体</w:t>
        </w:r>
      </w:hyperlink>
    </w:p>
    <w:p>
      <w:pPr>
        <w:spacing w:before="0" w:after="80"/>
      </w:pPr>
      <w:r>
        <w:rPr>
          <w:i/>
          <w:sz w:val="20"/>
        </w:rPr>
        <w:t>EN: Generation of carbonated peridotite melts via biogenic sediment recycling in modern subduction zones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86">
        <w:r>
          <w:rPr>
            <w:color w:val="1155CC"/>
            <w:u w:val="single"/>
          </w:rPr>
          <w:t>10.1126/sciadv.aec1599</w:t>
        </w:r>
      </w:hyperlink>
    </w:p>
    <w:p>
      <w:pPr>
        <w:spacing w:before="0" w:after="120"/>
      </w:pPr>
      <w:r>
        <w:rPr>
          <w:b/>
        </w:rPr>
        <w:t xml:space="preserve">Notes: </w:t>
      </w:r>
      <w:r>
        <w:t>abstract_source=crossref</w:t>
      </w:r>
    </w:p>
    <w:p>
      <w:pPr>
        <w:spacing w:before="0" w:after="80" w:lineRule="auto" w:line="276"/>
      </w:pPr>
      <w:r>
        <w:rPr>
          <w:b/>
        </w:rPr>
        <w:t xml:space="preserve">摘要（ZH）: </w:t>
      </w:r>
      <w:r>
        <w:t>富含碳酸盐的生物沉积物的俯冲影响地球的碳循环并调节长期气候。然而，控制其在俯冲界面行为的过程仍存在争议。在此，我们通过研究哥伦比亚第四纪后弧单成因火山的岩石成因来调查碳酸盐俯冲的作用。这些火山显示出类似于板内碳酸化橄榄岩熔体和橄榄岩+CO2系统实验熔体的不寻常成分。它们的地球化学反映了一个由巴拿马盆地俯冲沉积物修饰的异常地幔源，巴拿马盆地是一个高初级生产力和碳酸盐积累的大规模区域。然而，仅凭原始俯冲沉积物无法解释哥伦比亚后弧熔岩的全部成分范围。相反，我们提出在弧前下方的沉积物部分熔融产生富含碳酸盐和磷灰石的残余物，作为回收的碳酸化成分，贡献于地幔化学异质性。该模型有助于解释地幔衍生的板内熔岩的地球化学多样性，并建立生物地球化学循环、俯冲和固体地球演化之间的直接联系。</w:t>
      </w:r>
    </w:p>
    <w:p>
      <w:pPr>
        <w:spacing w:before="0" w:after="200" w:lineRule="auto" w:line="276"/>
      </w:pPr>
      <w:r>
        <w:rPr>
          <w:b/>
        </w:rPr>
        <w:t xml:space="preserve">Abstract (EN): </w:t>
      </w:r>
      <w:r>
        <w:t>The subduction of carbonate-rich biogenic sediments influences Earth’s carbon cycle and regulates long-term climate. Yet, the processes controlling their behavior at the subduction interface remain debated. Here, we investigate the role of carbonate subduction through the petrogenesis of Quaternary rear-arc monogenetic volcanoes in Colombia. These volcanoes display unusual compositions resembling intraplate carbonated peridotite melts and experimental melts from peridotite + CO</w:t>
      </w:r>
      <w:r>
        <w:rPr>
          <w:vertAlign w:val="subscript"/>
        </w:rPr>
        <w:t>2</w:t>
      </w:r>
      <w:r>
        <w:t>systems. Their geochemistry reflects an anomalous mantle source modified by subducted sediments from the Panama Basin, a large-scale region of high primary productivity and carbonate accumulation. However, pristine subducted sediments alone cannot explain the full compositional range of rear-arc Colombian lavas. Instead, we propose that sediment partial melting beneath the arc front produces carbonate- and apatite-rich restites that act as a recycled carbonated component, contributing to mantle chemical heterogeneity. This model helps explain the geochemical diversity of mantle-derived intraplate lavas and establishes a direct link between biogeochemical cycles, subduction, and the evolution of the solid Earth.</w:t>
      </w:r>
    </w:p>
    <w:p>
      <w:pPr>
        <w:spacing w:before="120" w:after="120"/>
      </w:pPr>
      <w:r>
        <w:rPr>
          <w:sz w:val="18"/>
        </w:rPr>
        <w:t>——————————————————————————————————————————————————————————————————————</w:t>
      </w:r>
    </w:p>
    <w:p>
      <w:pPr>
        <w:spacing w:before="160" w:after="40" w:line="240" w:lineRule="auto"/>
      </w:pPr>
      <w:r>
        <w:rPr>
          <w:b/>
        </w:rPr>
        <w:t xml:space="preserve">[334] </w:t>
      </w:r>
      <w:hyperlink r:id="rId787">
        <w:r>
          <w:rPr>
            <w:color w:val="1155CC"/>
            <w:u w:val="single"/>
          </w:rPr>
          <w:t>海洋藻类的HONO排放</w:t>
        </w:r>
      </w:hyperlink>
    </w:p>
    <w:p>
      <w:pPr>
        <w:spacing w:before="0" w:after="80"/>
      </w:pPr>
      <w:r>
        <w:rPr>
          <w:i/>
          <w:sz w:val="20"/>
        </w:rPr>
        <w:t>EN: HONO emission from marine algae</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88">
        <w:r>
          <w:rPr>
            <w:color w:val="1155CC"/>
            <w:u w:val="single"/>
          </w:rPr>
          <w:t>10.1126/sciadv.aeb8486</w:t>
        </w:r>
      </w:hyperlink>
    </w:p>
    <w:p>
      <w:pPr>
        <w:spacing w:before="0" w:after="120"/>
      </w:pPr>
      <w:r>
        <w:rPr>
          <w:b/>
        </w:rPr>
        <w:t xml:space="preserve">Notes: </w:t>
      </w:r>
      <w:r>
        <w:t>abstract_source=crossref</w:t>
      </w:r>
    </w:p>
    <w:p>
      <w:pPr>
        <w:spacing w:before="0" w:after="80" w:lineRule="auto" w:line="276"/>
      </w:pPr>
      <w:r>
        <w:rPr>
          <w:b/>
        </w:rPr>
        <w:t xml:space="preserve">摘要（ZH）: </w:t>
      </w:r>
      <w:r>
        <w:t>亚硝酸（HONO）是羟基自由基（OH）的关键前体和活性氮的储库。在此，我们确定了海洋藻类的非生物光分解作为一种先前未被识别的HONO来源。在绿潮期间，白天的HONO水平紧随潮汐周期，在低潮时达到峰值，这与典型的内陆夜间峰值形成对比。室内实验证实，常见藻类（例如，</w:t>
      </w:r>
      <w:r>
        <w:t xml:space="preserve"> </w:t>
      </w:r>
      <w:r>
        <w:t>U. prolifera</w:t>
      </w:r>
      <w:r>
        <w:t xml:space="preserve"> </w:t>
      </w:r>
      <w:r>
        <w:t>和</w:t>
      </w:r>
      <w:r>
        <w:t xml:space="preserve"> </w:t>
      </w:r>
      <w:r>
        <w:t>Sargassum</w:t>
      </w:r>
      <w:r>
        <w:t xml:space="preserve"> </w:t>
      </w:r>
      <w:r>
        <w:t>）在光照下会释放HONO，且通量随着光强度和藻类表面积的增加而增加。这种光驱动的非生物过程在机制上与微生物土壤HONO生产不同。测得的通量（1.08 × 10</w:t>
      </w:r>
      <w:r>
        <w:t xml:space="preserve"> </w:t>
      </w:r>
      <w:r>
        <w:t>−7</w:t>
      </w:r>
      <w:r>
        <w:t xml:space="preserve"> </w:t>
      </w:r>
      <w:r>
        <w:t>到 2.31 × 10</w:t>
      </w:r>
      <w:r>
        <w:t xml:space="preserve"> </w:t>
      </w:r>
      <w:r>
        <w:t>−6</w:t>
      </w:r>
      <w:r>
        <w:t xml:space="preserve"> </w:t>
      </w:r>
      <w:r>
        <w:t>摩尔每平方米每小时）与土壤HONO排放相当，并超过海洋NO通量两个到三个数量级。将这一来源纳入大气模型显著提高了HONO浓度，增强了OH和臭氧的生成以及对气候相关气体的氧化。随着富营养化和气候变暖驱动的全球藻华加剧，这一过程预计将变得越来越重要。</w:t>
      </w:r>
    </w:p>
    <w:p>
      <w:pPr>
        <w:spacing w:before="0" w:after="200" w:lineRule="auto" w:line="276"/>
      </w:pPr>
      <w:r>
        <w:rPr>
          <w:b/>
        </w:rPr>
        <w:t xml:space="preserve">Abstract (EN): </w:t>
      </w:r>
      <w:r>
        <w:t>Nitrous acid (HONO) is a key precursor to hydroxyl radicals (OH) and a reservoir of reactive nitrogen. Here, we identify abiotic photodecomposition of marine algae as a previously unrecognized HONO source. During</w:t>
      </w:r>
      <w:r>
        <w:t xml:space="preserve"> </w:t>
      </w:r>
      <w:r>
        <w:t>Ulva prolifera</w:t>
      </w:r>
      <w:r>
        <w:t xml:space="preserve"> </w:t>
      </w:r>
      <w:r>
        <w:t>green tides, daytime HONO levels closely followed tidal cycles, peaking at low tide, contrasting with typical inland nocturnal peaks. Chamber experiments confirm that common algae (e.g.,</w:t>
      </w:r>
      <w:r>
        <w:t xml:space="preserve"> </w:t>
      </w:r>
      <w:r>
        <w:t>U. prolifera</w:t>
      </w:r>
      <w:r>
        <w:t xml:space="preserve"> </w:t>
      </w:r>
      <w:r>
        <w:t>and</w:t>
      </w:r>
      <w:r>
        <w:t xml:space="preserve"> </w:t>
      </w:r>
      <w:r>
        <w:t>Sargassum</w:t>
      </w:r>
      <w:r>
        <w:t xml:space="preserve"> </w:t>
      </w:r>
      <w:r>
        <w:t>) emit HONO under irradiation, with fluxes increasing with light intensity and algal surface area. This light-driven, abiotic process is mechanistically distinct from microbial soil HONO production. Measured fluxes (1.08 × 10</w:t>
      </w:r>
      <w:r>
        <w:t xml:space="preserve"> </w:t>
      </w:r>
      <w:r>
        <w:t>−7</w:t>
      </w:r>
      <w:r>
        <w:t xml:space="preserve"> </w:t>
      </w:r>
      <w:r>
        <w:t>to 2.31 × 10</w:t>
      </w:r>
      <w:r>
        <w:t xml:space="preserve"> </w:t>
      </w:r>
      <w:r>
        <w:t>−6</w:t>
      </w:r>
      <w:r>
        <w:t xml:space="preserve"> </w:t>
      </w:r>
      <w:r>
        <w:t>mole per square meter per hour) are comparable to soil HONO emissions and exceed marine NO fluxes by two to three orders of magnitude. Incorporating this source into atmospheric models substantially elevated HONO concentrations, enhancing OH and ozone production and oxidation of climate-relevant gases. With intensifying global algal blooms driven by eutrophication and climate warming, this process is expected to become increasingly important.</w:t>
      </w:r>
    </w:p>
    <w:p>
      <w:pPr>
        <w:spacing w:before="120" w:after="120"/>
      </w:pPr>
      <w:r>
        <w:rPr>
          <w:sz w:val="18"/>
        </w:rPr>
        <w:t>——————————————————————————————————————————————————————————————————————</w:t>
      </w:r>
    </w:p>
    <w:p>
      <w:pPr>
        <w:spacing w:before="160" w:after="40" w:line="240" w:lineRule="auto"/>
      </w:pPr>
      <w:r>
        <w:rPr>
          <w:b/>
        </w:rPr>
        <w:t xml:space="preserve">[335] </w:t>
      </w:r>
      <w:hyperlink r:id="rId789">
        <w:r>
          <w:rPr>
            <w:color w:val="1155CC"/>
            <w:u w:val="single"/>
          </w:rPr>
          <w:t>电活性微针增强的干细胞疗法用于心肌梗死</w:t>
        </w:r>
      </w:hyperlink>
    </w:p>
    <w:p>
      <w:pPr>
        <w:spacing w:before="0" w:after="80"/>
      </w:pPr>
      <w:r>
        <w:rPr>
          <w:i/>
          <w:sz w:val="20"/>
        </w:rPr>
        <w:t>EN: Electroactive microneedle augmented stem cell therapy in myocardial infarction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90">
        <w:r>
          <w:rPr>
            <w:color w:val="1155CC"/>
            <w:u w:val="single"/>
          </w:rPr>
          <w:t>10.1126/sciadv.aeb4840</w:t>
        </w:r>
      </w:hyperlink>
    </w:p>
    <w:p>
      <w:pPr>
        <w:spacing w:before="0" w:after="120"/>
      </w:pPr>
      <w:r>
        <w:rPr>
          <w:b/>
        </w:rPr>
        <w:t xml:space="preserve">Notes: </w:t>
      </w:r>
      <w:r>
        <w:t>abstract_source=crossref</w:t>
      </w:r>
    </w:p>
    <w:p>
      <w:pPr>
        <w:spacing w:before="0" w:after="80" w:lineRule="auto" w:line="276"/>
      </w:pPr>
      <w:r>
        <w:rPr>
          <w:b/>
        </w:rPr>
        <w:t xml:space="preserve">摘要（ZH）: </w:t>
      </w:r>
      <w:r>
        <w:t>缺血性心脏病及相关后遗症对全球医疗保健造成了巨大的负担。心肌细胞和心脏成纤维细胞的过度激活进一步加剧了坏死后的预后。数十年的干细胞疗法在临床前研究中显示出心肌细胞再生和组织重塑的良好结果。然而，由于干细胞植入有限和驻留心肌细胞唤醒不足，少数配方实现了临床转化。在此，我们报告了一种可植入的电活性装置，以利用干细胞疗法和心肌细胞恢复实现有效的心脏恢复。在具有80立方毫米腔体的压电微针贴片的辅助下，1.5 × 10</w:t>
      </w:r>
      <w:r>
        <w:rPr>
          <w:vertAlign w:val="subscript"/>
        </w:rPr>
        <w:t>5</w:t>
      </w:r>
      <w:r>
        <w:t>间充质干细胞可以有效地输送到梗死部位，并持续更长时间以实现连续的旁分泌效应。同时，由聚(</w:t>
      </w:r>
      <w:r>
        <w:t xml:space="preserve"> </w:t>
      </w:r>
      <w:r>
        <w:t>l</w:t>
      </w:r>
      <w:r>
        <w:t xml:space="preserve"> </w:t>
      </w:r>
      <w:r>
        <w:t>-乳酸)酸微针基质产生的压电刺激进一步增强了干细胞，并在心肌细胞中引发了更强烈的自我修复反应。该方法在大鼠心脏梗死模型中被验证为有效抑制炎性单核细胞，减少心肌细胞坏死，并改善心脏重塑。</w:t>
      </w:r>
    </w:p>
    <w:p>
      <w:pPr>
        <w:spacing w:before="0" w:after="200" w:lineRule="auto" w:line="276"/>
      </w:pPr>
      <w:r>
        <w:rPr>
          <w:b/>
        </w:rPr>
        <w:t xml:space="preserve">Abstract (EN): </w:t>
      </w:r>
      <w:r>
        <w:t>Ischemic heart disease and related sequelae pose tremendous burdens on worldwide medical care. The excessive activation of cardiomyocytes and cardiac fibroblasts further exacerbates the prognosis after necrosis. Decades of stem cell therapy in preclinical studies suggested promising results in cardiomyocyte regeneration and tissue remodeling. However, few formulations achieved clinical translation due to the limited stem cell engraftment and insufficient arousal of resident cardiomyocytes. Here, we reported an implantable electroactive device to leverage stem cell therapy and cardiomyocyte restoration for effective heart recovery. Assisted by the piezoelectric microneedle patch with 80–cubic millimeter cavity, 1.5 × 10</w:t>
      </w:r>
      <w:r>
        <w:rPr>
          <w:vertAlign w:val="subscript"/>
        </w:rPr>
        <w:t>5</w:t>
      </w:r>
      <w:r>
        <w:t>mesenchymal stem cells could be delivered efficiently to the infarcted site and sustained longer for continuous paracrine effects. Meanwhile, the piezoelectric stimulation generated from the poly(</w:t>
      </w:r>
      <w:r>
        <w:t xml:space="preserve"> </w:t>
      </w:r>
      <w:r>
        <w:t>l</w:t>
      </w:r>
      <w:r>
        <w:t xml:space="preserve"> </w:t>
      </w:r>
      <w:r>
        <w:t>-lactic) acid microneedle matrix further potentiated the stem cells and elicited more vigorous self-repair responses in cardiomyocytes. This approach was validated to effectively suppress inflammatory monocytes, reduce cardiomyocyte necrosis, and improve heart remodeling in a rat heart infarction model.</w:t>
      </w:r>
    </w:p>
    <w:p>
      <w:pPr>
        <w:spacing w:before="120" w:after="120"/>
      </w:pPr>
      <w:r>
        <w:rPr>
          <w:sz w:val="18"/>
        </w:rPr>
        <w:t>——————————————————————————————————————————————————————————————————————</w:t>
      </w:r>
    </w:p>
    <w:p>
      <w:pPr>
        <w:spacing w:before="160" w:after="40" w:line="240" w:lineRule="auto"/>
      </w:pPr>
      <w:r>
        <w:rPr>
          <w:b/>
        </w:rPr>
        <w:t xml:space="preserve">[336] </w:t>
      </w:r>
      <w:hyperlink r:id="rId791">
        <w:r>
          <w:rPr>
            <w:color w:val="1155CC"/>
            <w:u w:val="single"/>
          </w:rPr>
          <w:t>通过电子ptychography原子坐标检索进行缺陷和莫尔条纹的3D映射</w:t>
        </w:r>
      </w:hyperlink>
    </w:p>
    <w:p>
      <w:pPr>
        <w:spacing w:before="0" w:after="80"/>
      </w:pPr>
      <w:r>
        <w:rPr>
          <w:i/>
          <w:sz w:val="20"/>
        </w:rPr>
        <w:t>EN: 3D mapping of defects and moiré corrugations via electron ptychography atomic coordinate retrieval</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92">
        <w:r>
          <w:rPr>
            <w:color w:val="1155CC"/>
            <w:u w:val="single"/>
          </w:rPr>
          <w:t>10.1126/sciadv.aeb4305</w:t>
        </w:r>
      </w:hyperlink>
    </w:p>
    <w:p>
      <w:pPr>
        <w:spacing w:before="0" w:after="120"/>
      </w:pPr>
      <w:r>
        <w:rPr>
          <w:b/>
        </w:rPr>
        <w:t xml:space="preserve">Notes: </w:t>
      </w:r>
      <w:r>
        <w:t>abstract_source=crossref</w:t>
      </w:r>
    </w:p>
    <w:p>
      <w:pPr>
        <w:spacing w:before="0" w:after="80" w:lineRule="auto" w:line="276"/>
      </w:pPr>
      <w:r>
        <w:rPr>
          <w:b/>
        </w:rPr>
        <w:t xml:space="preserve">摘要（ZH）: </w:t>
      </w:r>
      <w:r>
        <w:t>二维（2D）莫尔材料中的缺陷和重构导致的面外变形会强烈改变其电子特性，但实验上难以获取。在此，我们使用从单一方向获取的多切片电子ptychography（MEP）以皮米级精度解决了扭曲双层WSe</w:t>
      </w:r>
      <w:r>
        <w:rPr>
          <w:vertAlign w:val="subscript"/>
        </w:rPr>
        <w:t>2</w:t>
      </w:r>
      <w:r>
        <w:t>的3D原子坐标。所得的原子模型单独可视化了每个六个原子平面，揭示了每个WSe</w:t>
      </w:r>
      <w:r>
        <w:rPr>
          <w:vertAlign w:val="subscript"/>
        </w:rPr>
        <w:t>2</w:t>
      </w:r>
      <w:r>
        <w:t>层的曲率、层间间距的变化以及单个空位的3D位置，这些空位仅位于外部Se平面中。我们还观察到一种意想不到的结构无序类型，由混合弯曲和呼吸型莫尔引起的波纹组成，这应强烈影响新兴的电子特性。广泛而言，我们的方法从大约30秒内获取的数据生成2D异质界面的3D逐原子模型，这些方法应解锁对2D系统中3D原子信息的常规访问，并催化设计方法以控制面外变形。</w:t>
      </w:r>
    </w:p>
    <w:p>
      <w:pPr>
        <w:spacing w:before="0" w:after="200" w:lineRule="auto" w:line="276"/>
      </w:pPr>
      <w:r>
        <w:rPr>
          <w:b/>
        </w:rPr>
        <w:t xml:space="preserve">Abstract (EN): </w:t>
      </w:r>
      <w:r>
        <w:t>Defects and reconstructions in two-dimensional (2D) moiré materials cause out-of-plane deformations that strongly modify their electronic properties but are difficult to experimentally access. Here, we solve the 3D atomic coordinates of twisted bilayer WSe</w:t>
      </w:r>
      <w:r>
        <w:rPr>
          <w:vertAlign w:val="subscript"/>
        </w:rPr>
        <w:t>2</w:t>
      </w:r>
      <w:r>
        <w:t>with picometer-scale accuracy using multislice electron ptychography (MEP) acquired from a single orientation. The resulting atomic models individually visualize each of the six atomic planes, revealing the curvature of each WSe</w:t>
      </w:r>
      <w:r>
        <w:rPr>
          <w:vertAlign w:val="subscript"/>
        </w:rPr>
        <w:t>2</w:t>
      </w:r>
      <w:r>
        <w:t>layer, variations in the interlayer spacing, and the 3D locations of individual vacancies, which lie exclusively in the outer Se planes. We also observe an unexpected type of structural disorder consisting of mixed bending- and breathing-type moiré-induced corrugations that should strongly affect the emergent electronic properties. Broadly, our methods generate 3D atom-by-atom models of a 2D heterointerface from data acquired in about 30 seconds, methods that should unlock routine access to 3D atomic information in 2D systems and catalyze design methods to control out-of-plane deformations.</w:t>
      </w:r>
    </w:p>
    <w:p>
      <w:pPr>
        <w:spacing w:before="120" w:after="120"/>
      </w:pPr>
      <w:r>
        <w:rPr>
          <w:sz w:val="18"/>
        </w:rPr>
        <w:t>——————————————————————————————————————————————————————————————————————</w:t>
      </w:r>
    </w:p>
    <w:p>
      <w:pPr>
        <w:spacing w:before="160" w:after="40" w:line="240" w:lineRule="auto"/>
      </w:pPr>
      <w:r>
        <w:rPr>
          <w:b/>
        </w:rPr>
        <w:t xml:space="preserve">[337] </w:t>
      </w:r>
      <w:hyperlink r:id="rId793">
        <w:r>
          <w:rPr>
            <w:color w:val="1155CC"/>
            <w:u w:val="single"/>
          </w:rPr>
          <w:t>SnRK2.6磷酸化蔗糖转运蛋白ZmSUT1，通过调节玉米叶片衰老来提高产量</w:t>
        </w:r>
      </w:hyperlink>
    </w:p>
    <w:p>
      <w:pPr>
        <w:spacing w:before="0" w:after="80"/>
      </w:pPr>
      <w:r>
        <w:rPr>
          <w:i/>
          <w:sz w:val="20"/>
        </w:rPr>
        <w:t>EN: SnRK2.6 phosphorylates sucrose transporter ZmSUT1 to enhance yield by modulating leaf senescence in maize</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94">
        <w:r>
          <w:rPr>
            <w:color w:val="1155CC"/>
            <w:u w:val="single"/>
          </w:rPr>
          <w:t>10.1126/sciadv.aeb2472</w:t>
        </w:r>
      </w:hyperlink>
    </w:p>
    <w:p>
      <w:pPr>
        <w:spacing w:before="0" w:after="120"/>
      </w:pPr>
      <w:r>
        <w:rPr>
          <w:b/>
        </w:rPr>
        <w:t xml:space="preserve">Notes: </w:t>
      </w:r>
      <w:r>
        <w:t>abstract_source=crossref</w:t>
      </w:r>
    </w:p>
    <w:p>
      <w:pPr>
        <w:spacing w:before="0" w:after="80" w:lineRule="auto" w:line="276"/>
      </w:pPr>
      <w:r>
        <w:rPr>
          <w:b/>
        </w:rPr>
        <w:t xml:space="preserve">摘要（ZH）: </w:t>
      </w:r>
      <w:r>
        <w:t>延长的stay-green性状有利于提高光合效率，从而提高作物产量。然而，影响这一过程的因素和机制仍然在很大程度上未知。在此，我们克隆了一个叶片早熟衰老基因（lps1-1）并创造了额外的零等位基因。所有lps1突变体表现出加速的叶片衰老，叶绿素含量和光合效率降低。lps1籽粒的100粒重和储存储备含量减少，而在过表达系中观察到相反的情况。Lps1编码了一个蛋白激酶SnRK2.6，它在BETL区域磷酸化蔗糖转运蛋白ZmSUT1，从而增强蛋白稳定性、同源二聚体形成能力和蔗糖转运活性。过表达ZmSUT1延缓了叶片衰老，提高了光合能力和籽粒重量，而ZmSUT1的突变则产生相反的效果。这一机制似乎在禾本科植物中是保守的。我们的研究结果为通过延缓叶片衰老来提高作物产量和质量提供了见解。</w:t>
      </w:r>
    </w:p>
    <w:p>
      <w:pPr>
        <w:spacing w:before="0" w:after="200" w:lineRule="auto" w:line="276"/>
      </w:pPr>
      <w:r>
        <w:rPr>
          <w:b/>
        </w:rPr>
        <w:t xml:space="preserve">Abstract (EN): </w:t>
      </w:r>
      <w:r>
        <w:t>The extended stay-green trait is beneficial to increase photosynthetic efficiency, thereby enhancing crop yield. However, factors and mechanisms affecting this process remain largely unknown. Here, we cloned a leaf precocious senescence gene (</w:t>
      </w:r>
      <w:r>
        <w:t xml:space="preserve"> </w:t>
      </w:r>
      <w:r>
        <w:t>lps1-1</w:t>
      </w:r>
      <w:r>
        <w:t xml:space="preserve"> </w:t>
      </w:r>
      <w:r>
        <w:t>) and created additional null alleles. All</w:t>
      </w:r>
      <w:r>
        <w:t xml:space="preserve"> </w:t>
      </w:r>
      <w:r>
        <w:t>lps1</w:t>
      </w:r>
      <w:r>
        <w:t xml:space="preserve"> </w:t>
      </w:r>
      <w:r>
        <w:t>mutants exhibited accelerated leaf senescence with reduced chlorophyll contents and photosynthetic efficiency. The 100-kernel weight and storage reserve content were decreased in</w:t>
      </w:r>
      <w:r>
        <w:t xml:space="preserve"> </w:t>
      </w:r>
      <w:r>
        <w:t>lps1</w:t>
      </w:r>
      <w:r>
        <w:t xml:space="preserve"> </w:t>
      </w:r>
      <w:r>
        <w:t>kernels, while the opposite was observed in overexpression lines.</w:t>
      </w:r>
      <w:r>
        <w:t xml:space="preserve"> </w:t>
      </w:r>
      <w:r>
        <w:t>Lps1</w:t>
      </w:r>
      <w:r>
        <w:t xml:space="preserve"> </w:t>
      </w:r>
      <w:r>
        <w:t>encoded a protein kinase SnRK2.6 that phosphorylated the sucrose transporter ZmSUT1 in the BETL region, thereby enhancing protein stability, homodimer formation ability, and sucrose transport activity. Overexpression of</w:t>
      </w:r>
      <w:r>
        <w:t xml:space="preserve"> </w:t>
      </w:r>
      <w:r>
        <w:t>ZmSUT1</w:t>
      </w:r>
      <w:r>
        <w:t xml:space="preserve"> </w:t>
      </w:r>
      <w:r>
        <w:t>delayed leaf senescence and enhanced photosynthetic capacity and kernel weight, while mutation of</w:t>
      </w:r>
      <w:r>
        <w:t xml:space="preserve"> </w:t>
      </w:r>
      <w:r>
        <w:t>ZmSUT1</w:t>
      </w:r>
      <w:r>
        <w:t xml:space="preserve"> </w:t>
      </w:r>
      <w:r>
        <w:t>did the opposite. This mechanism appears to be conserved in grasses. Our findings provide insights for yield and quality improvement in crops through delaying leaf senescence.</w:t>
      </w:r>
    </w:p>
    <w:p>
      <w:pPr>
        <w:spacing w:before="120" w:after="120"/>
      </w:pPr>
      <w:r>
        <w:rPr>
          <w:sz w:val="18"/>
        </w:rPr>
        <w:t>——————————————————————————————————————————————————————————————————————</w:t>
      </w:r>
    </w:p>
    <w:p>
      <w:pPr>
        <w:spacing w:before="160" w:after="40" w:line="240" w:lineRule="auto"/>
      </w:pPr>
      <w:r>
        <w:rPr>
          <w:b/>
        </w:rPr>
        <w:t xml:space="preserve">[338] </w:t>
      </w:r>
      <w:hyperlink r:id="rId795">
        <w:r>
          <w:rPr>
            <w:color w:val="1155CC"/>
            <w:u w:val="single"/>
          </w:rPr>
          <w:t>在地球岩浆海固化过程中，核心-地幔边界上方形成硅酸钙钙钛矿</w:t>
        </w:r>
      </w:hyperlink>
    </w:p>
    <w:p>
      <w:pPr>
        <w:spacing w:before="0" w:after="80"/>
      </w:pPr>
      <w:r>
        <w:rPr>
          <w:i/>
          <w:sz w:val="20"/>
        </w:rPr>
        <w:t>EN: Formation of calcium silicate perovskite above the core-mantle boundary during solidification of Earth’s magma ocean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96">
        <w:r>
          <w:rPr>
            <w:color w:val="1155CC"/>
            <w:u w:val="single"/>
          </w:rPr>
          <w:t>10.1126/sciadv.aea8372</w:t>
        </w:r>
      </w:hyperlink>
    </w:p>
    <w:p>
      <w:pPr>
        <w:spacing w:before="0" w:after="120"/>
      </w:pPr>
      <w:r>
        <w:rPr>
          <w:b/>
        </w:rPr>
        <w:t xml:space="preserve">Notes: </w:t>
      </w:r>
      <w:r>
        <w:t>abstract_source=crossref</w:t>
      </w:r>
    </w:p>
    <w:p>
      <w:pPr>
        <w:spacing w:before="0" w:after="80" w:lineRule="auto" w:line="276"/>
      </w:pPr>
      <w:r>
        <w:rPr>
          <w:b/>
        </w:rPr>
        <w:t xml:space="preserve">摘要（ZH）: </w:t>
      </w:r>
      <w:r>
        <w:t>硅酸钙钙钛矿（CaPv）是下地幔中许多微量元素的宿主。它在岩浆海固化过程中何时、何地形成对于理解早期地球的地球化学和地球动力学演化至关重要。我们进行了第一性原理分子动力学模拟，以研究Ca（以及Sr和Ba）在镁铁硅酸盐和熔融橄榄岩之间的分配，并进行了激光加热金刚石压砧实验以复制橄榄岩熔体的结晶。结果表明，在下地幔的所有相关结晶条件下，Ca在镁铁硅酸盐中是不相容的，这表明随着岩浆海固化，Ca在其中逐渐富集。这导致在深地幔固化的最后阶段结晶出CaPv。结合Sr和Ba在镁铁硅酸盐-熔体中的低分配系数，我们的研究结果推断出大离子亲石元素及其宿主CaPv将在岩浆海固化结束时集中在深地幔中。</w:t>
      </w:r>
    </w:p>
    <w:p>
      <w:pPr>
        <w:spacing w:before="0" w:after="200" w:lineRule="auto" w:line="276"/>
      </w:pPr>
      <w:r>
        <w:rPr>
          <w:b/>
        </w:rPr>
        <w:t xml:space="preserve">Abstract (EN): </w:t>
      </w:r>
      <w:r>
        <w:t>Calcium silicate perovskite (CaPv) is the host for many trace elements in the lower mantle. Whether, when, and where it forms during the solidification of the magma ocean is fundamental to understanding the geochemical and geodynamical evolution of the early Earth. We performed first-principles molecular dynamics simulations to investigate the partitioning of Ca (alongside Sr and Ba) between bridgmanite and molten pyrolite and laser-heated diamond anvil cell experiments to replicate the crystallization of pyrolitic melt. Results show that Ca is incompatible in bridgmanite at all relevant crystallization conditions in the lower mantle, indicating a progressive enrichment of Ca in the magma ocean as it solidifies. This leads to the crystallization of CaPv during the final stages of solidification in the deep mantle. Coupled with the low bridgmanite-melt partition coefficients for Sr and Ba, our findings infer that both large ion lithophile elements and their host, CaPv, will be concentrated in the deep mantle at the end of magma ocean solidification.</w:t>
      </w:r>
    </w:p>
    <w:p>
      <w:pPr>
        <w:spacing w:before="120" w:after="120"/>
      </w:pPr>
      <w:r>
        <w:rPr>
          <w:sz w:val="18"/>
        </w:rPr>
        <w:t>——————————————————————————————————————————————————————————————————————</w:t>
      </w:r>
    </w:p>
    <w:p>
      <w:pPr>
        <w:spacing w:before="160" w:after="40" w:line="240" w:lineRule="auto"/>
      </w:pPr>
      <w:r>
        <w:rPr>
          <w:b/>
        </w:rPr>
        <w:t xml:space="preserve">[339] </w:t>
      </w:r>
      <w:hyperlink r:id="rId797">
        <w:r>
          <w:rPr>
            <w:color w:val="1155CC"/>
            <w:u w:val="single"/>
          </w:rPr>
          <w:t>SHANK3突变破坏跨物种的嗅觉效价编码，并在小鼠中识别出皮层杏仁核机制</w:t>
        </w:r>
      </w:hyperlink>
    </w:p>
    <w:p>
      <w:pPr>
        <w:spacing w:before="0" w:after="80"/>
      </w:pPr>
      <w:r>
        <w:rPr>
          <w:i/>
          <w:sz w:val="20"/>
        </w:rPr>
        <w:t>EN: SHANK3 mutations disrupt olfactory valence coding across species, with cortical amygdala mechanisms identified in mice</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798">
        <w:r>
          <w:rPr>
            <w:color w:val="1155CC"/>
            <w:u w:val="single"/>
          </w:rPr>
          <w:t>10.1126/sciadv.aea3775</w:t>
        </w:r>
      </w:hyperlink>
    </w:p>
    <w:p>
      <w:pPr>
        <w:spacing w:before="0" w:after="120"/>
      </w:pPr>
      <w:r>
        <w:rPr>
          <w:b/>
        </w:rPr>
        <w:t xml:space="preserve">Notes: </w:t>
      </w:r>
      <w:r>
        <w:t>abstract_source=crossref</w:t>
      </w:r>
    </w:p>
    <w:p>
      <w:pPr>
        <w:spacing w:before="0" w:after="80" w:lineRule="auto" w:line="276"/>
      </w:pPr>
      <w:r>
        <w:rPr>
          <w:b/>
        </w:rPr>
        <w:t xml:space="preserve">摘要（ZH）: </w:t>
      </w:r>
      <w:r>
        <w:t>SHANK3的突变是自闭症谱系障碍（ASD）的主要单基因原因之一，通常与严重的感觉异常相关。然而，SHANK3缺陷对嗅觉处理的影响及其潜在的神经机制仍不清楚。在此，我们在携带SHANK3突变的个体和Shank3突变小鼠中发现了跨物种的嗅觉效价感知中断。携带SHANK3突变的患者表现出效价导向的嗅探和脑电图（EEG）反应受损，而Shank3B−/−小鼠对吸引性和厌恶性气味的行为反应减弱。在小鼠中，这些行为缺陷与嗅觉诱导的钙信号减弱和皮质杏仁核（CoA）中兴奋性突触传递减少有关，CoA是嗅觉效价处理的关键节点。急性CoA特异性Shank3缺失重现了这些缺陷，而CoA Shank3表达的靶向恢复则挽救了气味诱导的食欲和厌恶行为。我们的研究揭示了SHANK3在编码嗅觉效价中的保守功能，并确定了小鼠中CoA功能障碍作为回路机制。</w:t>
      </w:r>
    </w:p>
    <w:p>
      <w:pPr>
        <w:spacing w:before="0" w:after="200" w:lineRule="auto" w:line="276"/>
      </w:pPr>
      <w:r>
        <w:rPr>
          <w:b/>
        </w:rPr>
        <w:t xml:space="preserve">Abstract (EN): </w:t>
      </w:r>
      <w:r>
        <w:t>Mutations in</w:t>
      </w:r>
      <w:r>
        <w:t xml:space="preserve"> </w:t>
      </w:r>
      <w:r>
        <w:t>SHANK3</w:t>
      </w:r>
      <w:r>
        <w:t xml:space="preserve"> </w:t>
      </w:r>
      <w:r>
        <w:t>are a leading monogenic cause of autism spectrum disorder (ASD), often associated with profound sensory abnormalities. However, the impact of</w:t>
      </w:r>
      <w:r>
        <w:t xml:space="preserve"> </w:t>
      </w:r>
      <w:r>
        <w:t>SHANK3</w:t>
      </w:r>
      <w:r>
        <w:t xml:space="preserve"> </w:t>
      </w:r>
      <w:r>
        <w:t>deficiency on olfactory processing and the underlying neural mechanisms remains unclear. Here, we identify a cross-species disruption of olfactory valence perception in individuals with</w:t>
      </w:r>
      <w:r>
        <w:t xml:space="preserve"> </w:t>
      </w:r>
      <w:r>
        <w:t>SHANK3</w:t>
      </w:r>
      <w:r>
        <w:t xml:space="preserve"> </w:t>
      </w:r>
      <w:r>
        <w:t>mutations and in</w:t>
      </w:r>
      <w:r>
        <w:t xml:space="preserve"> </w:t>
      </w:r>
      <w:r>
        <w:t>Shank3</w:t>
      </w:r>
      <w:r>
        <w:t xml:space="preserve"> </w:t>
      </w:r>
      <w:r>
        <w:t>mutant mice. Patients carrying</w:t>
      </w:r>
      <w:r>
        <w:t xml:space="preserve"> </w:t>
      </w:r>
      <w:r>
        <w:t>SHANK3</w:t>
      </w:r>
      <w:r>
        <w:t xml:space="preserve"> </w:t>
      </w:r>
      <w:r>
        <w:t>mutations exhibited impaired valence-oriented sniffing and electroencephalography (EEG) responses, whereas</w:t>
      </w:r>
      <w:r>
        <w:t xml:space="preserve"> </w:t>
      </w:r>
      <w:r>
        <w:t>Shank3B</w:t>
      </w:r>
      <w:r>
        <w:t xml:space="preserve"> </w:t>
      </w:r>
      <w:r>
        <w:t>−/−</w:t>
      </w:r>
      <w:r>
        <w:t>mice displayed blunted behavioral responses to both attractive and aversive odors. In mice, these behavioral deficits were associated with attenuated odor-evoked calcium signals and reduced excitatory synaptic transmission in the cortical amygdala (CoA), a key node for olfactory valence processing. Acute CoA-specific Shank3 deletion recapitulated these deficits, whereas targeted restoration of CoA Shank3 expression rescued odor-induced appetitive and aversive behaviors. Our findings reveal a conserved function for</w:t>
      </w:r>
      <w:r>
        <w:t xml:space="preserve"> </w:t>
      </w:r>
      <w:r>
        <w:t>SHANK3</w:t>
      </w:r>
      <w:r>
        <w:t xml:space="preserve"> </w:t>
      </w:r>
      <w:r>
        <w:t>in encoding olfactory valence and identify CoA dysfunction as a circuit mechanism in mice.</w:t>
      </w:r>
    </w:p>
    <w:p>
      <w:pPr>
        <w:spacing w:before="120" w:after="120"/>
      </w:pPr>
      <w:r>
        <w:rPr>
          <w:sz w:val="18"/>
        </w:rPr>
        <w:t>——————————————————————————————————————————————————————————————————————</w:t>
      </w:r>
    </w:p>
    <w:p>
      <w:pPr>
        <w:spacing w:before="160" w:after="40" w:line="240" w:lineRule="auto"/>
      </w:pPr>
      <w:r>
        <w:rPr>
          <w:b/>
        </w:rPr>
        <w:t xml:space="preserve">[340] </w:t>
      </w:r>
      <w:hyperlink r:id="rId799">
        <w:r>
          <w:rPr>
            <w:color w:val="1155CC"/>
            <w:u w:val="single"/>
          </w:rPr>
          <w:t>一个向南分化的撞击体形成了月球南极-艾特肯撞击盆地的锥形形状</w:t>
        </w:r>
      </w:hyperlink>
    </w:p>
    <w:p>
      <w:pPr>
        <w:spacing w:before="0" w:after="80"/>
      </w:pPr>
      <w:r>
        <w:rPr>
          <w:i/>
          <w:sz w:val="20"/>
        </w:rPr>
        <w:t>EN: A southward differentiated impactor forms the tapered shape of the South Pole–Aitken impact basin on the Moon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00">
        <w:r>
          <w:rPr>
            <w:color w:val="1155CC"/>
            <w:u w:val="single"/>
          </w:rPr>
          <w:t>10.1126/sciadv.aea1984</w:t>
        </w:r>
      </w:hyperlink>
    </w:p>
    <w:p>
      <w:pPr>
        <w:spacing w:before="0" w:after="120"/>
      </w:pPr>
      <w:r>
        <w:rPr>
          <w:b/>
        </w:rPr>
        <w:t xml:space="preserve">Notes: </w:t>
      </w:r>
      <w:r>
        <w:t>abstract_source=crossref</w:t>
      </w:r>
    </w:p>
    <w:p>
      <w:pPr>
        <w:spacing w:before="0" w:after="80" w:lineRule="auto" w:line="276"/>
      </w:pPr>
      <w:r>
        <w:rPr>
          <w:b/>
        </w:rPr>
        <w:t xml:space="preserve">摘要（ZH）: </w:t>
      </w:r>
      <w:r>
        <w:t>南极-艾特肯（SPA）盆地形成的撞击事件是月球历史上的一个关键事件。尽管它是最古老和最大的公认盆地，但包括撞击体的大小、性质、方向以及喷出物的命运等关键细节仍不确定。在此，我们模拟了SPA的形成及其导致的地壳结构。我们发现，SPA观测到的向南逐渐变窄的椭圆形状最好由一个直径260公里的分化撞击体以从北到南的轨迹撞击来再现。在这种情况下，撞击将月球地幔物质在横向和纵向方向上分散到远离月球背面的区域。大部分地幔喷出物坍塌到盆地内部，与从重力推断的分布一致。这些结果表明，靠近月球南极的阿尔忒弥斯着陆点应该包含丰富的SPA喷出物，包括地幔物质。因此，从这些区域返回的样本应该揭示SPA的年龄和月球地幔的组成。</w:t>
      </w:r>
    </w:p>
    <w:p>
      <w:pPr>
        <w:spacing w:before="0" w:after="200" w:lineRule="auto" w:line="276"/>
      </w:pPr>
      <w:r>
        <w:rPr>
          <w:b/>
        </w:rPr>
        <w:t xml:space="preserve">Abstract (EN): </w:t>
      </w:r>
      <w:r>
        <w:t>The South Pole–Aitken (SPA) basin-forming impact was a critical event in the Moon’s history. Despite being the oldest and largest acknowledged basin, critical details including the impactor’s size, nature, direction, and fate of the ejecta remain uncertain. Here, we simulate SPA’s formation and resultant crustal structure. We find that SPA’s observed shape of an ellipse tapered toward the south is best reproduced by a 260-km-diameter differentiated impactor striking with a north-to-south trajectory. In this scenario, the impact disperses lunar mantle materials in the cross-range and the downrange directions away from the lunar farside. Much of the mantle ejecta collapses into the basin interior, consistent with the distribution inferred from gravity. These results suggest that the Artemis landing sites near the lunar south pole should contain abundant SPA ejecta including mantle materials. Samples returned from these regions should therefore reveal the age of SPA and the composition of the lunar mantle.</w:t>
      </w:r>
    </w:p>
    <w:p>
      <w:pPr>
        <w:spacing w:before="120" w:after="120"/>
      </w:pPr>
      <w:r>
        <w:rPr>
          <w:sz w:val="18"/>
        </w:rPr>
        <w:t>——————————————————————————————————————————————————————————————————————</w:t>
      </w:r>
    </w:p>
    <w:p>
      <w:pPr>
        <w:spacing w:before="160" w:after="40" w:line="240" w:lineRule="auto"/>
      </w:pPr>
      <w:r>
        <w:rPr>
          <w:b/>
        </w:rPr>
        <w:t xml:space="preserve">[341] </w:t>
      </w:r>
      <w:hyperlink r:id="rId801">
        <w:r>
          <w:rPr>
            <w:color w:val="1155CC"/>
            <w:u w:val="single"/>
          </w:rPr>
          <w:t>顺式调控进化塑造了鸟类和哺乳动物的面部多样性</w:t>
        </w:r>
      </w:hyperlink>
    </w:p>
    <w:p>
      <w:pPr>
        <w:spacing w:before="0" w:after="80"/>
      </w:pPr>
      <w:r>
        <w:rPr>
          <w:i/>
          <w:sz w:val="20"/>
        </w:rPr>
        <w:t>EN: Cis-regulatory evolution shapes facial diversity in birds and mammals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02">
        <w:r>
          <w:rPr>
            <w:color w:val="1155CC"/>
            <w:u w:val="single"/>
          </w:rPr>
          <w:t>10.1126/sciadv.aec2511</w:t>
        </w:r>
      </w:hyperlink>
    </w:p>
    <w:p>
      <w:pPr>
        <w:spacing w:before="0" w:after="120"/>
      </w:pPr>
      <w:r>
        <w:rPr>
          <w:b/>
        </w:rPr>
        <w:t xml:space="preserve">Notes: </w:t>
      </w:r>
      <w:r>
        <w:t>abstract_source=crossref</w:t>
      </w:r>
    </w:p>
    <w:p>
      <w:pPr>
        <w:spacing w:before="0" w:after="80" w:lineRule="auto" w:line="276"/>
      </w:pPr>
      <w:r>
        <w:rPr>
          <w:b/>
        </w:rPr>
        <w:t xml:space="preserve">摘要（ZH）: </w:t>
      </w:r>
      <w:r>
        <w:t>鸟类和哺乳动物表现出非凡的面部多样性，反映了对不同生态位和觅食策略的适应。虽然核心面部构建发育程序是保守的，并由外胚层组织者与下层间充质之间的相互作用协调，但驱动面部形状变化的机制仍然知之甚少。在此，我们整合了小鼠和鸡发育面部的单细胞转录组和染色质可及性分析，以构建比较调控图谱。尽管在每个物种中，外胚层和间充质群体都表现出不同的调控特征，但间充质表现出显著更大的差异，表明其在塑造面部形态中的核心作用。我们进一步揭示了主要面部塑形组织者中意想不到的分子复杂性，包括小鼠特有的Shh/Wnt5a表达域。在关键形态发生基因位点（Bmp4、Fgf8和Wnt5a），保守和谱系特异性增强子表现出空间限制的活性模式，反映了不同的信号域。这些发现展示了顺式调控进化如何调节保守的发育程序以产生形态新颖性，为研究脊椎动物面部进化提供了宝贵的资源。</w:t>
      </w:r>
    </w:p>
    <w:p>
      <w:pPr>
        <w:spacing w:before="0" w:after="200" w:lineRule="auto" w:line="276"/>
      </w:pPr>
      <w:r>
        <w:rPr>
          <w:b/>
        </w:rPr>
        <w:t xml:space="preserve">Abstract (EN): </w:t>
      </w:r>
      <w:r>
        <w:t>Birds and mammals exhibit extraordinary facial diversity, reflecting adaptations to distinct ecological niches and feeding strategies. While core face-building developmental programs are conserved and orchestrated by interactions between ectodermal organizers and the underlying mesenchyme, mechanisms driving facial shape variation remain poorly understood. Here, we integrate single-cell transcriptomic and chromatin accessibility profiling of mouse and chicken developing face to construct a comparative regulatory map. Although both ectodermal and mesenchymal populations display distinct regulatory features in each species, the mesenchyme exhibits markedly greater divergence, pointing to its central role in shaping facial morphology. We further reveal unexpected molecular complexity in the main face-shaping organizer, including a mouse-specific</w:t>
      </w:r>
      <w:r>
        <w:t xml:space="preserve"> </w:t>
      </w:r>
      <w:r>
        <w:t>Shh/Wnt5a</w:t>
      </w:r>
      <w:r>
        <w:t xml:space="preserve"> </w:t>
      </w:r>
      <w:r>
        <w:t>expression domain. At key morphogen loci (</w:t>
      </w:r>
      <w:r>
        <w:t xml:space="preserve"> </w:t>
      </w:r>
      <w:r>
        <w:t>Bmp4</w:t>
      </w:r>
      <w:r>
        <w:t xml:space="preserve"> </w:t>
      </w:r>
      <w:r>
        <w:t>,</w:t>
      </w:r>
      <w:r>
        <w:t xml:space="preserve"> </w:t>
      </w:r>
      <w:r>
        <w:t>Fgf8</w:t>
      </w:r>
      <w:r>
        <w:t xml:space="preserve"> </w:t>
      </w:r>
      <w:r>
        <w:t>, and</w:t>
      </w:r>
      <w:r>
        <w:t xml:space="preserve"> </w:t>
      </w:r>
      <w:r>
        <w:t>Wnt5a</w:t>
      </w:r>
      <w:r>
        <w:t xml:space="preserve"> </w:t>
      </w:r>
      <w:r>
        <w:t>), conserved and lineage-specific enhancers exhibit spatially restricted activity patterns that mirror divergent signaling domains. These findings demonstrate how cis-regulatory evolution modulates conserved developmental programs to generate morphological novelty, providing a valuable resource for studying vertebrate facial evolution.</w:t>
      </w:r>
    </w:p>
    <w:p>
      <w:pPr>
        <w:spacing w:before="120" w:after="120"/>
      </w:pPr>
      <w:r>
        <w:rPr>
          <w:sz w:val="18"/>
        </w:rPr>
        <w:t>——————————————————————————————————————————————————————————————————————</w:t>
      </w:r>
    </w:p>
    <w:p>
      <w:pPr>
        <w:spacing w:before="160" w:after="40" w:line="240" w:lineRule="auto"/>
      </w:pPr>
      <w:r>
        <w:rPr>
          <w:b/>
        </w:rPr>
        <w:t xml:space="preserve">[342] </w:t>
      </w:r>
      <w:hyperlink r:id="rId803">
        <w:r>
          <w:rPr>
            <w:color w:val="1155CC"/>
            <w:u w:val="single"/>
          </w:rPr>
          <w:t>手性反转诱变鉴定出自我关联低复杂性域内的几何约束残基</w:t>
        </w:r>
      </w:hyperlink>
    </w:p>
    <w:p>
      <w:pPr>
        <w:spacing w:before="0" w:after="80"/>
      </w:pPr>
      <w:r>
        <w:rPr>
          <w:i/>
          <w:sz w:val="20"/>
        </w:rPr>
        <w:t>EN: Chiral inversion mutagenesis identifies geometrically constrained residues within self-associating low-complexity domains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04">
        <w:r>
          <w:rPr>
            <w:color w:val="1155CC"/>
            <w:u w:val="single"/>
          </w:rPr>
          <w:t>10.1073/pnas.2535888123</w:t>
        </w:r>
      </w:hyperlink>
    </w:p>
    <w:p>
      <w:pPr>
        <w:spacing w:before="0" w:after="120"/>
      </w:pPr>
      <w:r>
        <w:rPr>
          <w:b/>
        </w:rPr>
        <w:t xml:space="preserve">Notes: </w:t>
      </w:r>
      <w:r>
        <w:t>abstract_source=crossref</w:t>
      </w:r>
    </w:p>
    <w:p>
      <w:pPr>
        <w:spacing w:before="0" w:after="80" w:lineRule="auto" w:line="276"/>
      </w:pPr>
      <w:r>
        <w:rPr>
          <w:b/>
        </w:rPr>
        <w:t xml:space="preserve">摘要（ZH）: </w:t>
      </w:r>
      <w:r>
        <w:t>许多蛋白质低复杂性结构域（LCDs）自我结合以实现细胞功能，但关于多肽化学和结构特征如何超越侧链身份贡献于LCD-LCD相互作用的基本问题仍然存在。例如，球状蛋白质采用的折叠结构源于基因编码多肽的同手性施加的约束。然而，类似的几何约束在多大程度上适用于LCD自我结合仍不清楚。在此，我们使用蛋白质全合成和半合成来探究Cα立体化学对LCD自我结合的贡献，采用合成手性反转诱变（ChIM）。通过引入有针对性的L到D氨基酸反转，ChIM在不修改侧链功能的情况下识别在几何约束下的Cα立体中心。我们将ChIM应用于内核层蛋白Emerin和神经丝轻链的LCDs，发现手性反转对LCD自我结合产生强烈的位点依赖效应。我们的研究描述了使LCD自我结合成为可能的基本结构特征和探究LCD生物化学的化学策略。</w:t>
      </w:r>
    </w:p>
    <w:p>
      <w:pPr>
        <w:spacing w:before="0" w:after="200" w:lineRule="auto" w:line="276"/>
      </w:pPr>
      <w:r>
        <w:rPr>
          <w:b/>
        </w:rPr>
        <w:t xml:space="preserve">Abstract (EN): </w:t>
      </w:r>
      <w:r>
        <w:t>Many protein low-complexity domains (LCDs) self-associate to enable cellular function, yet fundamental questions remain regarding how polypeptide chemical and structural features beyond side chain identity contribute to LCD–LCD interactions. For instance, the folds adopted by globular proteins emerge from constraints enforced by homochirality of genetically encoded polypeptides. However, it remains unclear to what extent similar geometric constraints apply to LCD self-association. Herein, we use protein total and semi-synthesis to probe the contribution of C</w:t>
      </w:r>
      <w:r>
        <w:t xml:space="preserve"> </w:t>
      </w:r>
      <w:r>
        <w:t>α</w:t>
      </w:r>
      <w:r>
        <w:t xml:space="preserve"> </w:t>
      </w:r>
      <w:r>
        <w:t>stereochemistry to LCD self-association with synthetic Chiral Inversion Mutagenesis (ChIM). By introducing targeted L-to-D amino acid inversions, ChIM identifies C</w:t>
      </w:r>
      <w:r>
        <w:t xml:space="preserve"> </w:t>
      </w:r>
      <w:r>
        <w:t>α</w:t>
      </w:r>
      <w:r>
        <w:t xml:space="preserve"> </w:t>
      </w:r>
      <w:r>
        <w:t>stereocenters under geometric constraint without modification of side-chain functionalities. We apply ChIM to the LCDs of inner nuclear lamina protein Emerin and neurofilament light chain and find that chiral inversion produces strongly position-dependent effects upon LCD self-association. Our study describes essential structural features that enable LCD self-association and chemical strategies to interrogate LCD biochemistry.</w:t>
      </w:r>
    </w:p>
    <w:p>
      <w:pPr>
        <w:spacing w:before="120" w:after="120"/>
      </w:pPr>
      <w:r>
        <w:rPr>
          <w:sz w:val="18"/>
        </w:rPr>
        <w:t>——————————————————————————————————————————————————————————————————————</w:t>
      </w:r>
    </w:p>
    <w:p>
      <w:pPr>
        <w:spacing w:before="160" w:after="40" w:line="240" w:lineRule="auto"/>
      </w:pPr>
      <w:r>
        <w:rPr>
          <w:b/>
        </w:rPr>
        <w:t xml:space="preserve">[343] </w:t>
      </w:r>
      <w:hyperlink r:id="rId805">
        <w:r>
          <w:rPr>
            <w:color w:val="1155CC"/>
            <w:u w:val="single"/>
          </w:rPr>
          <w:t>SAGA1和SAGA2将淀粉鞘定位于衣藻的质体</w:t>
        </w:r>
      </w:hyperlink>
    </w:p>
    <w:p>
      <w:pPr>
        <w:spacing w:before="0" w:after="80"/>
      </w:pPr>
      <w:r>
        <w:rPr>
          <w:i/>
          <w:sz w:val="20"/>
        </w:rPr>
        <w:t>EN: SAGA1 and SAGA2 localize the starch sheath to the pyrenoid in Chlamydomonas reinhardtii</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06">
        <w:r>
          <w:rPr>
            <w:color w:val="1155CC"/>
            <w:u w:val="single"/>
          </w:rPr>
          <w:t>10.1073/pnas.2533609123</w:t>
        </w:r>
      </w:hyperlink>
    </w:p>
    <w:p>
      <w:pPr>
        <w:spacing w:before="0" w:after="120"/>
      </w:pPr>
      <w:r>
        <w:rPr>
          <w:b/>
        </w:rPr>
        <w:t xml:space="preserve">Notes: </w:t>
      </w:r>
      <w:r>
        <w:t>abstract_source=crossref</w:t>
      </w:r>
    </w:p>
    <w:p>
      <w:pPr>
        <w:spacing w:before="0" w:after="80" w:lineRule="auto" w:line="276"/>
      </w:pPr>
      <w:r>
        <w:rPr>
          <w:b/>
        </w:rPr>
        <w:t xml:space="preserve">摘要（ZH）: </w:t>
      </w:r>
      <w:r>
        <w:t>大多数藻类通过在焦点体内浓缩CO</w:t>
      </w:r>
      <w:r>
        <w:rPr>
          <w:vertAlign w:val="subscript"/>
        </w:rPr>
        <w:t>2</w:t>
      </w:r>
      <w:r>
        <w:t>来增强其CO</w:t>
      </w:r>
      <w:r>
        <w:rPr>
          <w:vertAlign w:val="subscript"/>
        </w:rPr>
        <w:t>2</w:t>
      </w:r>
      <w:r>
        <w:t>同化作用，焦点体是CO</w:t>
      </w:r>
      <w:r>
        <w:rPr>
          <w:vertAlign w:val="subscript"/>
        </w:rPr>
        <w:t>2</w:t>
      </w:r>
      <w:r>
        <w:t>固定酶Rubisco的生物分子凝聚体。许多焦点体被认为是由淀粉鞘包围的，这种鞘可以减缓CO</w:t>
      </w:r>
      <w:r>
        <w:rPr>
          <w:vertAlign w:val="subscript"/>
        </w:rPr>
        <w:t>2</w:t>
      </w:r>
      <w:r>
        <w:t>从焦点体逸出的速度，但淀粉鞘如何定位于焦点体仍然知之甚少。在模式藻类</w:t>
      </w:r>
      <w:r>
        <w:t xml:space="preserve"> </w:t>
      </w:r>
      <w:r>
        <w:t>Chlamydomonas reinhardtii</w:t>
      </w:r>
      <w:r>
        <w:t xml:space="preserve"> </w:t>
      </w:r>
      <w:r>
        <w:t>中，我们发现蛋白质SAGA2对于早期焦点体淀粉鞘的生物发生是必要的，并与其同源物SAGA1冗余地作用，将淀粉鞘定位于焦点体。SAGA2和SAGA1在焦点体-淀粉鞘界面的不同区域富集：SAGA1在焦点体小管相关的点状区域，而SAGA2沿着界面的其余部分，表明SAGA2和SAGA1发挥互补作用。两者的</w:t>
      </w:r>
      <w:r>
        <w:t xml:space="preserve"> </w:t>
      </w:r>
      <w:r>
        <w:t>saga2</w:t>
      </w:r>
      <w:r>
        <w:t xml:space="preserve"> </w:t>
      </w:r>
      <w:r>
        <w:t>和</w:t>
      </w:r>
      <w:r>
        <w:t xml:space="preserve"> </w:t>
      </w:r>
      <w:r>
        <w:t>saga1</w:t>
      </w:r>
      <w:r>
        <w:t xml:space="preserve"> </w:t>
      </w:r>
      <w:r>
        <w:t>突变体在焦点体形成早期显示出减少的淀粉鞘覆盖，但在稍后的时间点得到补救。引人注目的是，</w:t>
      </w:r>
      <w:r>
        <w:t xml:space="preserve"> </w:t>
      </w:r>
      <w:r>
        <w:t>saga1;saga2</w:t>
      </w:r>
      <w:r>
        <w:t xml:space="preserve"> </w:t>
      </w:r>
      <w:r>
        <w:t>双突变体在任何时间点都没有在焦点体周围形成淀粉鞘。SAGA1和SAGA2的淀粉结合域与淀粉、淀粉模拟物β-环糊精和淀粉前体麦芽七糖结合，表明SAGA1和SAGA2在淀粉颗粒起始中的作用。我们提出一个模型，其中SAGA1和SAGA2在淀粉颗粒起始中的作用。</w:t>
      </w:r>
    </w:p>
    <w:p>
      <w:pPr>
        <w:spacing w:before="0" w:after="200" w:lineRule="auto" w:line="276"/>
      </w:pPr>
      <w:r>
        <w:rPr>
          <w:b/>
        </w:rPr>
        <w:t xml:space="preserve">Abstract (EN): </w:t>
      </w:r>
      <w:r>
        <w:t>Most algae enhance their CO</w:t>
      </w:r>
      <w:r>
        <w:rPr>
          <w:vertAlign w:val="subscript"/>
        </w:rPr>
        <w:t>2</w:t>
      </w:r>
      <w:r>
        <w:t>assimilation by concentrating CO</w:t>
      </w:r>
      <w:r>
        <w:rPr>
          <w:vertAlign w:val="subscript"/>
        </w:rPr>
        <w:t>2</w:t>
      </w:r>
      <w:r>
        <w:t>within the pyrenoid, a biomolecular condensate of the CO</w:t>
      </w:r>
      <w:r>
        <w:rPr>
          <w:vertAlign w:val="subscript"/>
        </w:rPr>
        <w:t>2</w:t>
      </w:r>
      <w:r>
        <w:t>-fixing enzyme Rubisco. Many pyrenoids are surrounded by a starch sheath thought to slow the escape of CO</w:t>
      </w:r>
      <w:r>
        <w:rPr>
          <w:vertAlign w:val="subscript"/>
        </w:rPr>
        <w:t>2</w:t>
      </w:r>
      <w:r>
        <w:t>from the pyrenoid, but how the starch sheath is localized to the pyrenoid remains poorly understood. Here, in the model alga</w:t>
      </w:r>
      <w:r>
        <w:t xml:space="preserve"> </w:t>
      </w:r>
      <w:r>
        <w:t>Chlamydomonas reinhardtii</w:t>
      </w:r>
      <w:r>
        <w:t xml:space="preserve"> </w:t>
      </w:r>
      <w:r>
        <w:t>, we find that the protein SAGA2 is necessary for early pyrenoid starch sheath biogenesis and works redundantly with its homolog, SAGA1, to localize the starch sheath to the pyrenoid. SAGA2 and SAGA1 were enriched in different regions of the pyrenoid–starch sheath interface: SAGA1 at pyrenoid tubule-associated puncta and SAGA2 along the rest of the interface, suggesting that SAGA2 and SAGA1 play complementary roles. Both</w:t>
      </w:r>
      <w:r>
        <w:t xml:space="preserve"> </w:t>
      </w:r>
      <w:r>
        <w:t>saga2</w:t>
      </w:r>
      <w:r>
        <w:t xml:space="preserve"> </w:t>
      </w:r>
      <w:r>
        <w:t>and</w:t>
      </w:r>
      <w:r>
        <w:t xml:space="preserve"> </w:t>
      </w:r>
      <w:r>
        <w:t>saga1</w:t>
      </w:r>
      <w:r>
        <w:t xml:space="preserve"> </w:t>
      </w:r>
      <w:r>
        <w:t>mutants showed decreased starch sheath coverage early during pyrenoid formation that was remedied at a later timepoint. Strikingly, a</w:t>
      </w:r>
      <w:r>
        <w:t xml:space="preserve"> </w:t>
      </w:r>
      <w:r>
        <w:t>saga1;saga2</w:t>
      </w:r>
      <w:r>
        <w:t xml:space="preserve"> </w:t>
      </w:r>
      <w:r>
        <w:t>double mutant did not have a starch sheath around the pyrenoid at any timepoint. SAGA1 and SAGA2 starch-binding domains bound to starch, the starch mimic β-cyclodextrin, and the starch precursor maltoheptaose, suggesting a role for SAGA1 and SAGA2 in starch granule initiation. We propose a model where SAGA1 and SAGA2 each locally prime starch sheath initiation in a distinct region of the pyrenoid surface by enriching starch precursor molecules around the pyrenoid. These findings advance the understanding of algal starch sheath biogenesis and provide insights into the associations between biomolecular condensates and other cellular structures.</w:t>
      </w:r>
    </w:p>
    <w:p>
      <w:pPr>
        <w:spacing w:before="120" w:after="120"/>
      </w:pPr>
      <w:r>
        <w:rPr>
          <w:sz w:val="18"/>
        </w:rPr>
        <w:t>——————————————————————————————————————————————————————————————————————</w:t>
      </w:r>
    </w:p>
    <w:p>
      <w:pPr>
        <w:spacing w:before="160" w:after="40" w:line="240" w:lineRule="auto"/>
      </w:pPr>
      <w:r>
        <w:rPr>
          <w:b/>
        </w:rPr>
        <w:t xml:space="preserve">[344] </w:t>
      </w:r>
      <w:hyperlink r:id="rId807">
        <w:r>
          <w:rPr>
            <w:color w:val="1155CC"/>
            <w:u w:val="single"/>
          </w:rPr>
          <w:t>全球草地中氮循环的综合气候效应</w:t>
        </w:r>
      </w:hyperlink>
    </w:p>
    <w:p>
      <w:pPr>
        <w:spacing w:before="0" w:after="80"/>
      </w:pPr>
      <w:r>
        <w:rPr>
          <w:i/>
          <w:sz w:val="20"/>
        </w:rPr>
        <w:t>EN: Integrated climate effects on nitrogen cycles in global grasslands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08">
        <w:r>
          <w:rPr>
            <w:color w:val="1155CC"/>
            <w:u w:val="single"/>
          </w:rPr>
          <w:t>10.1126/sciadv.aec5940</w:t>
        </w:r>
      </w:hyperlink>
    </w:p>
    <w:p>
      <w:pPr>
        <w:spacing w:before="0" w:after="120"/>
      </w:pPr>
      <w:r>
        <w:rPr>
          <w:b/>
        </w:rPr>
        <w:t xml:space="preserve">Notes: </w:t>
      </w:r>
      <w:r>
        <w:t>abstract_source=crossref</w:t>
      </w:r>
    </w:p>
    <w:p>
      <w:pPr>
        <w:spacing w:before="0" w:after="80" w:lineRule="auto" w:line="276"/>
      </w:pPr>
      <w:r>
        <w:rPr>
          <w:b/>
        </w:rPr>
        <w:t xml:space="preserve">摘要（ZH）: </w:t>
      </w:r>
      <w:r>
        <w:t>草原通过生物地球化学过程在提供基本生态系统服务方面发挥着关键作用。提高草原生产力和氮利用效率、减少活性氮损失以及确保环境可持续性是主要挑战，尤其是在全球气候变化的影响下。尽管先前的研究表明个别气候变化因素对草原氮循环有显著影响，但对草原氮循环如何响应多种气候变化的全面理解仍然有限。在本研究中，利用来自150个国家的数据，我们确定气候变暖是全球管理和未受干扰草原中氮收获、生物氮固定和氮盈余增加的主要驱动因素。这些增加分别为19.8%、8.8%和28.2%，通过比较1980年至2020年有无气候变化的情景确定。降水变异性进一步放大了这些氮增加，显示出显著的空间异质性。相反，升高的大气CO</w:t>
      </w:r>
      <w:r>
        <w:rPr>
          <w:vertAlign w:val="subscript"/>
        </w:rPr>
        <w:t>2</w:t>
      </w:r>
      <w:r>
        <w:t>水平通过增强植物氮吸收来缓解氮盈余。在2050年的SSP2-RCP4.5情景下，与基线情景相比，全球草原的氮输入、收获和盈余预计每年分别增加22.3、7.2和15.1百万吨。这些气候引起的氮预算变化可能会因对人类健康和生态系统的相关影响而产生高达690亿美元的额外成本。</w:t>
      </w:r>
    </w:p>
    <w:p>
      <w:pPr>
        <w:spacing w:before="0" w:after="200" w:lineRule="auto" w:line="276"/>
      </w:pPr>
      <w:r>
        <w:rPr>
          <w:b/>
        </w:rPr>
        <w:t xml:space="preserve">Abstract (EN): </w:t>
      </w:r>
      <w:r>
        <w:t>Grasslands play a crucial role in providing essential ecosystem services through biogeochemical processes. Improving grassland productivity and nitrogen use efficiency, reducing reactive nitrogen losses, and ensuring environmental sustainability represent major challenges, especially under the influence of global climate change. While previous studies have shown substantial effects of individual climate change factors on grassland nitrogen cycling, a comprehensive understanding of how grassland nitrogen cycling responds to multiple climate change remains limited. In this study, using data from 150 countries, we identified climate warming as the primary driver of increased nitrogen harvest, biological nitrogen fixation, and nitrogen surplus in global managed and undisturbed grasslands. These increases, with respective increments of 19.8, 8.8, and 28.2%, were determined by comparing scenarios with and without climate change from 1980 to 2020. Precipitation variability further amplifies these nitrogen increases, displaying notable spatial heterogeneity. Conversely, elevated atmospheric CO</w:t>
      </w:r>
      <w:r>
        <w:rPr>
          <w:vertAlign w:val="subscript"/>
        </w:rPr>
        <w:t>2</w:t>
      </w:r>
      <w:r>
        <w:t>levels mitigate nitrogen surplus by enhancing plant nitrogen uptake. Under the SSP2-RCP4.5 scenario for the year 2050, nitrogen input, harvest, and surplus in global grasslands are projected to increase annually by 22.3, 7.2, and 15.1 million tonnes, respectively, compared to baseline scenarios. These climate-induced alterations in nitrogen budgets could incur additional costs up to USD $69 billion because of associated impacts on human health and ecosystem integrity. Our findings emphasize the urgent need for robust management strategies aimed at mitigating the negative effects of climate change on grassland nitrogen cycling, thereby supporting global sustainable development objectives.</w:t>
      </w:r>
    </w:p>
    <w:p>
      <w:pPr>
        <w:spacing w:before="120" w:after="120"/>
      </w:pPr>
      <w:r>
        <w:rPr>
          <w:sz w:val="18"/>
        </w:rPr>
        <w:t>——————————————————————————————————————————————————————————————————————</w:t>
      </w:r>
    </w:p>
    <w:p>
      <w:pPr>
        <w:spacing w:before="160" w:after="40" w:line="240" w:lineRule="auto"/>
      </w:pPr>
      <w:r>
        <w:rPr>
          <w:b/>
        </w:rPr>
        <w:t xml:space="preserve">[345] </w:t>
      </w:r>
      <w:hyperlink r:id="rId809">
        <w:r>
          <w:rPr>
            <w:color w:val="1155CC"/>
            <w:u w:val="single"/>
          </w:rPr>
          <w:t>观察性流行病学研究可以通过遗传相关矩阵减轻遗传混杂</w:t>
        </w:r>
      </w:hyperlink>
    </w:p>
    <w:p>
      <w:pPr>
        <w:spacing w:before="0" w:after="80"/>
      </w:pPr>
      <w:r>
        <w:rPr>
          <w:i/>
          <w:sz w:val="20"/>
        </w:rPr>
        <w:t>EN: Observational epidemiological studies can mitigate genetic confounding with a genetic relatedness matrix</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10">
        <w:r>
          <w:rPr>
            <w:color w:val="1155CC"/>
            <w:u w:val="single"/>
          </w:rPr>
          <w:t>10.1073/pnas.2533909123</w:t>
        </w:r>
      </w:hyperlink>
    </w:p>
    <w:p>
      <w:pPr>
        <w:spacing w:before="0" w:after="120"/>
      </w:pPr>
      <w:r>
        <w:rPr>
          <w:b/>
        </w:rPr>
        <w:t xml:space="preserve">Notes: </w:t>
      </w:r>
      <w:r>
        <w:t>abstract_source=crossref</w:t>
      </w:r>
    </w:p>
    <w:p>
      <w:pPr>
        <w:spacing w:before="0" w:after="80" w:lineRule="auto" w:line="276"/>
      </w:pPr>
      <w:r>
        <w:rPr>
          <w:b/>
        </w:rPr>
        <w:t xml:space="preserve">摘要（ZH）: </w:t>
      </w:r>
      <w:r>
        <w:t>观察性研究通常用于心理学和流行病学中，以识别与健康结果相关的风险因素。然而，当共享的遗传变异影响假定的风险因素和结果时，这些研究容易受到混杂因素的影响。研究人员通常使用多基因评分来控制这种类型的遗传混杂，但这些评分是性状遗传成分的噪声和偏差估计。虽然一些较新的方法在多基因评分上有显著改进，但它们仍依赖于全基因组关联研究（GWAS）总结统计数据，这对于某些数据集可能是不可行的。在此，我们开发了一种类似的方法，利用遗传相关矩阵在测试非遗传风险因素时控制遗传混杂。在模拟中，我们发现我们的方法优于现有方法，特别是在样本量较大但小于人类遗传学中常用数据集的情况下。我们还证明现有方法容易受到GWAS可移植性差的影响，而我们的方法在有个体基因型数据的情况下本质上对这种担忧具有鲁棒性。最后，我们将我们的方法应用于英国生物银行，以重新分析先前未研究的群体中的社会风险因素对健康结果的影响。</w:t>
      </w:r>
    </w:p>
    <w:p>
      <w:pPr>
        <w:spacing w:before="0" w:after="200" w:lineRule="auto" w:line="276"/>
      </w:pPr>
      <w:r>
        <w:rPr>
          <w:b/>
        </w:rPr>
        <w:t xml:space="preserve">Abstract (EN): </w:t>
      </w:r>
      <w:r>
        <w:t>Observational studies are commonly used in psychology and epidemiology to identify risk factors correlated with health outcomes. However, these studies are vulnerable to confounding when shared genetic variation influences both the putative risk factor and outcome. Researchers have often controlled for this type of genetic confounding using polygenic scores, but these scores are noisy and biased estimators of a trait’s genetic component. While some newer methods offer significant improvements over polygenic scores, they still rely on genome-wide association studies (GWAS) summary statistics, which may be untenable for certain datasets. Here, we develop an analogous method that leverages a genetic relatedness matrix to control genetic confounding when testing for nongenetic risk factors. In simulations, we find that our method outperforms existing approaches, particularly at sample sizes that are large by the standards of much human research but smaller than datasets often used in human genetics. We also demonstrate that existing methods are susceptible to poor GWAS portability, whereas our method is inherently robust to such concerns, conditional on the availability of individual genotype data. Finally, we apply our method to the UK Biobank to reanalyze social risk factors for health outcomes in previously understudied cohorts.</w:t>
      </w:r>
    </w:p>
    <w:p>
      <w:pPr>
        <w:spacing w:before="120" w:after="120"/>
      </w:pPr>
      <w:r>
        <w:rPr>
          <w:sz w:val="18"/>
        </w:rPr>
        <w:t>——————————————————————————————————————————————————————————————————————</w:t>
      </w:r>
    </w:p>
    <w:p>
      <w:pPr>
        <w:spacing w:before="160" w:after="40" w:line="240" w:lineRule="auto"/>
      </w:pPr>
      <w:r>
        <w:rPr>
          <w:b/>
        </w:rPr>
        <w:t xml:space="preserve">[346] </w:t>
      </w:r>
      <w:hyperlink r:id="rId811">
        <w:r>
          <w:rPr>
            <w:color w:val="1155CC"/>
            <w:u w:val="single"/>
          </w:rPr>
          <w:t>ATRA通过上调HIF-1α/SPHK2/S1P通路改善免疫性血小板减少症中的巨核细胞生成</w:t>
        </w:r>
      </w:hyperlink>
    </w:p>
    <w:p>
      <w:pPr>
        <w:spacing w:before="0" w:after="80"/>
      </w:pPr>
      <w:r>
        <w:rPr>
          <w:i/>
          <w:sz w:val="20"/>
        </w:rPr>
        <w:t>EN: ATRA improves megakaryopoiesis in immune thrombocytopenia through up-regulating the HIF-1α/SPHK2/S1P pathway</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12">
        <w:r>
          <w:rPr>
            <w:color w:val="1155CC"/>
            <w:u w:val="single"/>
          </w:rPr>
          <w:t>10.1126/sciadv.aed7566</w:t>
        </w:r>
      </w:hyperlink>
    </w:p>
    <w:p>
      <w:pPr>
        <w:spacing w:before="0" w:after="120"/>
      </w:pPr>
      <w:r>
        <w:rPr>
          <w:b/>
        </w:rPr>
        <w:t xml:space="preserve">Notes: </w:t>
      </w:r>
      <w:r>
        <w:t>abstract_source=crossref</w:t>
      </w:r>
    </w:p>
    <w:p>
      <w:pPr>
        <w:spacing w:before="0" w:after="80" w:lineRule="auto" w:line="276"/>
      </w:pPr>
      <w:r>
        <w:rPr>
          <w:b/>
        </w:rPr>
        <w:t xml:space="preserve">摘要（ZH）: </w:t>
      </w:r>
      <w:r>
        <w:t>我们之前的临床研究表明，全反式维甲酸（ATRA）在免疫性血小板减少症（ITP）患者中诱导了持续的反应。然而，其作用机制仍不清楚。在这项研究中，我们观察到来自ITP患者的巨核细胞中细胞骨架紊乱和血小板形成（PPF）受损。代谢物分析显示ITP中鞘氨醇1-磷酸（S1P）水平降低。鞘氨醇激酶2（SPHK2）表达减少是ITP中S1P水平低的原因。此外，S1P对于激活S1P受体1和Rac1至关重要，这些受体调节细胞骨架重组和PPF。此外，缺氧诱导因子-1α（HIF-1α）被证明介导SPHK2和S1P的产生。ITP患者巨核细胞中HIF-1α表达减少导致PPF受损。我们随后发现ATRA上调了HIF-1α并在体外和体内纠正了PPF受损。这些发现揭示了ATRA靶向HIF-1α/SPHK2/S1P通路以改善PPF功能障碍，为其在ITP中的临床疗效提供了机制性见解。</w:t>
      </w:r>
    </w:p>
    <w:p>
      <w:pPr>
        <w:spacing w:before="0" w:after="200" w:lineRule="auto" w:line="276"/>
      </w:pPr>
      <w:r>
        <w:rPr>
          <w:b/>
        </w:rPr>
        <w:t xml:space="preserve">Abstract (EN): </w:t>
      </w:r>
      <w:r>
        <w:t>Our previous clinical studies show that all-trans retinoic acid (ATRA) induces a sustained response in patients with immune thrombocytopenia (ITP). However, its mechanisms of action remain unclear. In this study, we observed disorganized cytoskeleton and impaired proplatelet formation (PPF) in megakaryocytes from patients with ITP. Metabolite profiling revealed reduced sphingosine 1-phosphate (S1P) levels in ITP. Decreased sphingosine kinase 2 (SPHK2) expression was responsible for the low S1P levels in ITP. In addition, S1P was essential for activating S1P receptor 1 and Rac1, which regulate cytoskeletal reorganization and PPF. Furthermore, hypoxia-inducible factor-1α (HIF-1α) was shown to mediate SPHK2 and S1P production. Decreased HIF-1α expression in megakaryocytes from patients with ITP contributed to impaired PPF. We subsequently found that ATRA up-regulated HIF-1α and corrected impaired PPF in vitro and in vivo. These findings reveal that ATRA targets the HIF-1α/SPHK2/S1P pathway to improve PPF dysfunction, offering mechanistic insights into its clinical efficacy in ITP.</w:t>
      </w:r>
    </w:p>
    <w:p>
      <w:pPr>
        <w:spacing w:before="120" w:after="120"/>
      </w:pPr>
      <w:r>
        <w:rPr>
          <w:sz w:val="18"/>
        </w:rPr>
        <w:t>——————————————————————————————————————————————————————————————————————</w:t>
      </w:r>
    </w:p>
    <w:p>
      <w:pPr>
        <w:spacing w:before="160" w:after="40" w:line="240" w:lineRule="auto"/>
      </w:pPr>
      <w:r>
        <w:rPr>
          <w:b/>
        </w:rPr>
        <w:t xml:space="preserve">[347] </w:t>
      </w:r>
      <w:hyperlink r:id="rId813">
        <w:r>
          <w:rPr>
            <w:color w:val="1155CC"/>
            <w:u w:val="single"/>
          </w:rPr>
          <w:t>沿人类耳蜗阶梯的同时多电极记录：水平依赖的地点编码的证据</w:t>
        </w:r>
      </w:hyperlink>
    </w:p>
    <w:p>
      <w:pPr>
        <w:spacing w:before="0" w:after="80"/>
      </w:pPr>
      <w:r>
        <w:rPr>
          <w:i/>
          <w:sz w:val="20"/>
        </w:rPr>
        <w:t>EN: Simultaneous multielectrode recordings along the human scala tympani: Evidence for level-dependent place coding</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14">
        <w:r>
          <w:rPr>
            <w:color w:val="1155CC"/>
            <w:u w:val="single"/>
          </w:rPr>
          <w:t>10.1073/pnas.2536471123</w:t>
        </w:r>
      </w:hyperlink>
    </w:p>
    <w:p>
      <w:pPr>
        <w:spacing w:before="0" w:after="120"/>
      </w:pPr>
      <w:r>
        <w:rPr>
          <w:b/>
        </w:rPr>
        <w:t xml:space="preserve">Notes: </w:t>
      </w:r>
      <w:r>
        <w:t>abstract_source=crossref</w:t>
      </w:r>
    </w:p>
    <w:p>
      <w:pPr>
        <w:spacing w:before="0" w:after="80" w:lineRule="auto" w:line="276"/>
      </w:pPr>
      <w:r>
        <w:rPr>
          <w:b/>
        </w:rPr>
        <w:t xml:space="preserve">摘要（ZH）: </w:t>
      </w:r>
      <w:r>
        <w:t>耳蜗通过精确组织的音调图系统地编码声音频率和强度，其中行波在特定的耳蜗位置达到峰值。听觉编码的一个基本但未完全理解的方面涉及刺激强度如何影响这种音调组织。在动物模型中，增加强度会使耳蜗行波峰向基底移动；然而，人类耳蜗处理中这种强度依赖性移动的生理证据有限。在此，我们沿人类鼓阶同时进行多电极耳蜗电图记录，以表征耳蜗位置编码如何随刺激强度变化。在保留耳蜗力学的受试者中，包括听觉神经病谱系障碍的个体和一名正常听力的受试者，我们观察到在较高刺激强度下最佳频率响应显著向基底移动，达到约158°（约一个八度），并伴有更广泛的空间激活。利用电极之间固定的已知距离，我们量化了耳蜗行波速度，并证明尽管强度显著改变了空间激活模式，但行波的相位响应在不同强度下保持稳定。这些结果建立了人类耳蜗频率表示随声音强度系统性变化的生理证据，为基本听觉处理提供了见解。</w:t>
      </w:r>
    </w:p>
    <w:p>
      <w:pPr>
        <w:spacing w:before="0" w:after="200" w:lineRule="auto" w:line="276"/>
      </w:pPr>
      <w:r>
        <w:rPr>
          <w:b/>
        </w:rPr>
        <w:t xml:space="preserve">Abstract (EN): </w:t>
      </w:r>
      <w:r>
        <w:t>The cochlea systematically encodes sound frequency and intensity via a precisely organized tonotopic map, in which traveling waves peak at specific cochlear locations. A fundamental but incompletely understood aspect of auditory coding involves how stimulus intensity shapes this tonotopic organization. In animal models, increasing intensity shifts the cochlear traveling wave peak basally; however, physiological evidence for such intensity-dependent shifts in human cochlear processing is limited. Here, we performed simultaneous multielectrode electrocochleography recordings along the human scala tympani to characterize how cochlear place coding varies as a function of stimulus intensity. In subjects with preserved cochlear mechanics, including individuals with auditory neuropathy spectrum disorder and a subject with normal hearing, we observed pronounced basalward shifts in best-frequency responses of up to ~158° (~one octave) at higher stimulus intensities, along with broader spatial activation. Leveraging the fixed, known distances between electrodes, we quantified cochlear traveling-wave velocity and demonstrated that, although intensity significantly altered spatial activation patterns, the traveling wave’s phase response remained stable across intensities. These results establish physiological evidence that human cochlear frequency representation changes systematically with sound intensity, providing insights into fundamental auditory processing.</w:t>
      </w:r>
    </w:p>
    <w:p>
      <w:pPr>
        <w:spacing w:before="120" w:after="120"/>
      </w:pPr>
      <w:r>
        <w:rPr>
          <w:sz w:val="18"/>
        </w:rPr>
        <w:t>——————————————————————————————————————————————————————————————————————</w:t>
      </w:r>
    </w:p>
    <w:p>
      <w:pPr>
        <w:spacing w:before="160" w:after="40" w:line="240" w:lineRule="auto"/>
      </w:pPr>
      <w:r>
        <w:rPr>
          <w:b/>
        </w:rPr>
        <w:t xml:space="preserve">[348] </w:t>
      </w:r>
      <w:hyperlink r:id="rId815">
        <w:r>
          <w:rPr>
            <w:color w:val="1155CC"/>
            <w:u w:val="single"/>
          </w:rPr>
          <w:t>CKS1B 是一种肿瘤内在因子，通过维持持续的肿瘤抗原刺激驱动 CD8+ T 细胞耗竭</w:t>
        </w:r>
      </w:hyperlink>
    </w:p>
    <w:p>
      <w:pPr>
        <w:spacing w:before="0" w:after="80"/>
      </w:pPr>
      <w:r>
        <w:rPr>
          <w:i/>
          <w:sz w:val="20"/>
        </w:rPr>
        <w:t>EN: CKS1B is a tumor-intrinsic factor driving CD8+ T cell exhaustion via maintaining persistent tumor-antigen stimulation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16">
        <w:r>
          <w:rPr>
            <w:color w:val="1155CC"/>
            <w:u w:val="single"/>
          </w:rPr>
          <w:t>10.1126/sciadv.aec9179</w:t>
        </w:r>
      </w:hyperlink>
    </w:p>
    <w:p>
      <w:pPr>
        <w:spacing w:before="0" w:after="120"/>
      </w:pPr>
      <w:r>
        <w:rPr>
          <w:b/>
        </w:rPr>
        <w:t xml:space="preserve">Notes: </w:t>
      </w:r>
      <w:r>
        <w:t>abstract_source=crossref</w:t>
      </w:r>
    </w:p>
    <w:p>
      <w:pPr>
        <w:spacing w:before="0" w:after="80" w:lineRule="auto" w:line="276"/>
      </w:pPr>
      <w:r>
        <w:rPr>
          <w:b/>
        </w:rPr>
        <w:t xml:space="preserve">摘要（ZH）: </w:t>
      </w:r>
      <w:r>
        <w:t>T细胞耗竭是有效抗肿瘤免疫的主要障碍，但肿瘤内在机制仍未明确。通过对食管鳞状细胞癌（ESCC）的单细胞和空间蛋白质组学分析，我们发现了两种感染样CD8</w:t>
      </w:r>
      <w:r>
        <w:t xml:space="preserve"> </w:t>
      </w:r>
      <w:r>
        <w:t>+</w:t>
      </w:r>
      <w:r>
        <w:t xml:space="preserve"> </w:t>
      </w:r>
      <w:r>
        <w:t>T细胞轨迹，急性样和慢性样反应，其命运由它们遇到的肿瘤细胞亚型决定。这个概念将肿瘤异质性与局部免疫生态位的形成联系起来。在机制上，我们确定CDC28蛋白激酶调节亚基1B（CKS1B）是慢性样耗竭的肿瘤内在诱导因子。CKS1B与S期激酶相关蛋白形成复合物，促进干扰素调节因子3（IRF3）的泛素化和降解，从而抑制I型干扰素信号传导和抗原呈递。这损害了肿瘤细胞的消除，并驱动CD8</w:t>
      </w:r>
      <w:r>
        <w:t xml:space="preserve"> </w:t>
      </w:r>
      <w:r>
        <w:t>+</w:t>
      </w:r>
      <w:r>
        <w:t xml:space="preserve"> </w:t>
      </w:r>
      <w:r>
        <w:t>T细胞的持续刺激和耗竭。通过14i药理学阻断CKS1B-IRF3相互作用可恢复CD8</w:t>
      </w:r>
      <w:r>
        <w:t xml:space="preserve"> </w:t>
      </w:r>
      <w:r>
        <w:t>+</w:t>
      </w:r>
      <w:r>
        <w:t xml:space="preserve"> </w:t>
      </w:r>
      <w:r>
        <w:t>T细胞功能，并与免疫检查点阻断协同作用。肿瘤内在的致癌-免疫轴将癌细胞信号与免疫功能障碍连接起来，在多种恶性肿瘤中得到保留，建立了克服肿瘤驱动的T细胞耗竭的概念和治疗框架。</w:t>
      </w:r>
    </w:p>
    <w:p>
      <w:pPr>
        <w:spacing w:before="0" w:after="200" w:lineRule="auto" w:line="276"/>
      </w:pPr>
      <w:r>
        <w:rPr>
          <w:b/>
        </w:rPr>
        <w:t xml:space="preserve">Abstract (EN): </w:t>
      </w:r>
      <w:r>
        <w:t>T cell exhaustion is a major barrier to effective antitumor immunity, yet the tumor-intrinsic mechanisms remain poorly defined. Through single-cell and spatial proteomics analyses of esophageal squamous cell carcinoma (ESCC), we uncover two infection-like CD8</w:t>
      </w:r>
      <w:r>
        <w:t xml:space="preserve"> </w:t>
      </w:r>
      <w:r>
        <w:t>+</w:t>
      </w:r>
      <w:r>
        <w:t xml:space="preserve"> </w:t>
      </w:r>
      <w:r>
        <w:t>T cell trajectories, acute-like and chronic-like responses, whose fates are dictated by the tumor cell subtypes they encounter. This concept links tumor heterogeneity to the shaping of local immune niches. Mechanistically, we identify CDC28 protein kinase regulatory subunit 1B (CKS1B) as a tumor-intrinsic inducer of chronic-like exhaustion. CKS1B forms a complex with S-phase kinase-associated protein to promote interferon regulatory factor 3 (IRF3) ubiquitination and degradation, thereby suppressing type I interferon signaling and antigen presentation. This impairs tumor cell elimination and drives progressive CD8</w:t>
      </w:r>
      <w:r>
        <w:t xml:space="preserve"> </w:t>
      </w:r>
      <w:r>
        <w:t>+</w:t>
      </w:r>
      <w:r>
        <w:t xml:space="preserve"> </w:t>
      </w:r>
      <w:r>
        <w:t>T cell stimulation and exhaustion. Pharmacological blockade of the CKS1B-IRF3 interaction with 14i restores CD8</w:t>
      </w:r>
      <w:r>
        <w:t xml:space="preserve"> </w:t>
      </w:r>
      <w:r>
        <w:t>+</w:t>
      </w:r>
      <w:r>
        <w:t xml:space="preserve"> </w:t>
      </w:r>
      <w:r>
        <w:t>T cell function and synergizes with immune checkpoint blockade. The tumor-intrinsic oncogenic-immune axis, which connects cancer cell signaling to immune dysfunction, is conserved across multiple malignancies, establishing a conceptual and therapeutic framework for overcoming tumor-driven T cell exhaustion.</w:t>
      </w:r>
    </w:p>
    <w:p>
      <w:pPr>
        <w:spacing w:before="120" w:after="120"/>
      </w:pPr>
      <w:r>
        <w:rPr>
          <w:sz w:val="18"/>
        </w:rPr>
        <w:t>——————————————————————————————————————————————————————————————————————</w:t>
      </w:r>
    </w:p>
    <w:p>
      <w:pPr>
        <w:spacing w:before="160" w:after="40" w:line="240" w:lineRule="auto"/>
      </w:pPr>
      <w:r>
        <w:rPr>
          <w:b/>
        </w:rPr>
        <w:t xml:space="preserve">[349] </w:t>
      </w:r>
      <w:hyperlink r:id="rId817">
        <w:r>
          <w:rPr>
            <w:color w:val="1155CC"/>
            <w:u w:val="single"/>
          </w:rPr>
          <w:t>环境一步合成和直接涂覆高度结晶的共价有机框架于任意表面</w:t>
        </w:r>
      </w:hyperlink>
    </w:p>
    <w:p>
      <w:pPr>
        <w:spacing w:before="0" w:after="80"/>
      </w:pPr>
      <w:r>
        <w:rPr>
          <w:i/>
          <w:sz w:val="20"/>
        </w:rPr>
        <w:t>EN: Ambient one-step synthesis and direct coating of highly crystalline covalent organic frameworks on arbitrary surfaces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18">
        <w:r>
          <w:rPr>
            <w:color w:val="1155CC"/>
            <w:u w:val="single"/>
          </w:rPr>
          <w:t>10.1126/sciadv.aee1769</w:t>
        </w:r>
      </w:hyperlink>
    </w:p>
    <w:p>
      <w:pPr>
        <w:spacing w:before="0" w:after="120"/>
      </w:pPr>
      <w:r>
        <w:rPr>
          <w:b/>
        </w:rPr>
        <w:t xml:space="preserve">Notes: </w:t>
      </w:r>
      <w:r>
        <w:t>abstract_source=crossref</w:t>
      </w:r>
    </w:p>
    <w:p>
      <w:pPr>
        <w:spacing w:before="0" w:after="80" w:lineRule="auto" w:line="276"/>
      </w:pPr>
      <w:r>
        <w:rPr>
          <w:b/>
        </w:rPr>
        <w:t xml:space="preserve">摘要（ZH）: </w:t>
      </w:r>
      <w:r>
        <w:t>共价有机框架（COFs）是具有广泛应用前景的材料。然而，将其涂覆到表面的挑战限制了其在实际中的更广泛应用。我们报告了一种声微流体雾化平台，该平台能够在常温下快速一步合成高结晶度的COFs，并将其直接沉积为涂层。该方法在二维和三维亚胺基COFs中均得到验证，产生的COF薄膜厚度从纳米到微米级别，只需通过调整雾化时间即可调节。与传统的COF涂层方法不同，这一策略消除了任何后合成基底加热或处理的需要，从而为在各种敏感和复杂基底（包括活体组织）上制造功能性COF涂层提供了一种通用且可扩展的途径。作为概念验证，我们展示了COFs可以作为植物叶片上的保护涂层，用于太阳紫外线屏蔽，从而突显了该平台在现实设备、生物系统和环境界面中扩展COFs应用的潜力。</w:t>
      </w:r>
    </w:p>
    <w:p>
      <w:pPr>
        <w:spacing w:before="0" w:after="200" w:lineRule="auto" w:line="276"/>
      </w:pPr>
      <w:r>
        <w:rPr>
          <w:b/>
        </w:rPr>
        <w:t xml:space="preserve">Abstract (EN): </w:t>
      </w:r>
      <w:r>
        <w:t>Covalent organic frameworks (COFs) are promising materials for wide-ranging applications. Challenges with coating them onto surfaces have however limited their wider implementation in practice. We report an acoustomicrofluidic nebulization platform that enables rapid, one-step synthesis of highly crystalline COFs and their direct deposition as a coating under ambient conditions. Demonstrated with both two- and three-dimensional imine-based COFs, the method yields uniform COF films with nanometer to micrometer thicknesses, tuned simply by adjusting the nebulization time. Unlike conventional COF coating approaches, this strategy eliminates the need for any postsynthetic substrate heating or processing, thereby offering a general and scalable route for fabricating functional COF coatings on a variety of sensitive and complex substrates, including living tissue. As proof of concept, we demonstrate that COFs can constitute protective coatings on plant leaves for solar ultraviolet shielding, thus highlighting the potential of the platform to extend the deployment of COFs in real-world devices, biological systems, and environmental interfaces.</w:t>
      </w:r>
    </w:p>
    <w:p>
      <w:pPr>
        <w:spacing w:before="120" w:after="120"/>
      </w:pPr>
      <w:r>
        <w:rPr>
          <w:sz w:val="18"/>
        </w:rPr>
        <w:t>——————————————————————————————————————————————————————————————————————</w:t>
      </w:r>
    </w:p>
    <w:p>
      <w:pPr>
        <w:spacing w:before="160" w:after="40" w:line="240" w:lineRule="auto"/>
      </w:pPr>
      <w:r>
        <w:rPr>
          <w:b/>
        </w:rPr>
        <w:t xml:space="preserve">[350] </w:t>
      </w:r>
      <w:hyperlink r:id="rId819">
        <w:r>
          <w:rPr>
            <w:color w:val="1155CC"/>
            <w:u w:val="single"/>
          </w:rPr>
          <w:t>情绪智力与人类繁荣的稳健关联：二阶元分析</w:t>
        </w:r>
      </w:hyperlink>
    </w:p>
    <w:p>
      <w:pPr>
        <w:spacing w:before="0" w:after="80"/>
      </w:pPr>
      <w:r>
        <w:rPr>
          <w:i/>
          <w:sz w:val="20"/>
        </w:rPr>
        <w:t>EN: Robust associations of emotional intelligence with human flourishing: A second-order meta-analysis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20">
        <w:r>
          <w:rPr>
            <w:color w:val="1155CC"/>
            <w:u w:val="single"/>
          </w:rPr>
          <w:t>10.1073/pnas.2532963123</w:t>
        </w:r>
      </w:hyperlink>
    </w:p>
    <w:p>
      <w:pPr>
        <w:spacing w:before="0" w:after="120"/>
      </w:pPr>
      <w:r>
        <w:rPr>
          <w:b/>
        </w:rPr>
        <w:t xml:space="preserve">Notes: </w:t>
      </w:r>
      <w:r>
        <w:t>abstract_source=crossref</w:t>
      </w:r>
    </w:p>
    <w:p>
      <w:pPr>
        <w:spacing w:before="0" w:after="80" w:lineRule="auto" w:line="276"/>
      </w:pPr>
      <w:r>
        <w:rPr>
          <w:b/>
        </w:rPr>
        <w:t xml:space="preserve">摘要（ZH）: </w:t>
      </w:r>
      <w:r>
        <w:t>情商（EI）是一个总括性术语，用于描述i）准确推理情绪并利用情绪增强思维过程的能力，ii）反映社会和情感功能的一组特质，或iii）相关能力和特质的混合体。自1990年代以来，关于EI的研究显著扩展，导致了数十项关于其与各种繁荣指数（例如，心理健康、适应性特质以及课堂和工作场所的适应性功能）关系的元分析。在这项二阶元分析中，我们综合了62项元分析的数据，包括超过3000项研究和100万名参与者。我们的研究结果表明，人类繁荣与EI总体指数之间存在稳健的关联，r = 0.28，95% CI [0.25, 0.31]，以及能力、特质和混合EI的单独指数。在多个结果类别（例如，认知能力、心理调整、心理健康、工作场所结果）以及年龄和文化群体中发现了有利的EI关联。然而，效应量在自我报告EI测量中最为显著，尤其是当繁荣同样以主观方式测量时。此外，EI-繁荣效应量存在显著的异质性。我们建议未来的研究识别EI-繁荣关联的其他调节因素。我们还讨论了关于EI概念化的持续争论，并建议未来的工作考虑替代的EI方案。</w:t>
      </w:r>
    </w:p>
    <w:p>
      <w:pPr>
        <w:spacing w:before="0" w:after="200" w:lineRule="auto" w:line="276"/>
      </w:pPr>
      <w:r>
        <w:rPr>
          <w:b/>
        </w:rPr>
        <w:t xml:space="preserve">Abstract (EN): </w:t>
      </w:r>
      <w:r>
        <w:t>Emotional intelligence (EI) is an umbrella term that has been used to describe i) the ability to reason accurately about emotions and use emotions to augment thought processes, ii) a constellation of traits reflecting social and emotional functioning, or iii) a mix of relevant abilities and traits. Research on EI has expanded considerably since the 1990s, resulting in dozens of meta-analyses on its relationship with various indices of flourishing (e.g., psychological well-being, adaptive traits, and adaptive functioning in the classroom and workplace). In this second-order meta-analysis, we synthesized data from 62 meta-analyses including over 3,000 studies and 1 million participants. Our findings suggest a robust association between human flourishing and an overall index of EI,</w:t>
      </w:r>
      <w:r>
        <w:t xml:space="preserve"> </w:t>
      </w:r>
      <w:r>
        <w:t>r</w:t>
      </w:r>
      <w:r>
        <w:t xml:space="preserve"> </w:t>
      </w:r>
      <w:r>
        <w:t>= 0.28, 95% CI [0.25, 0.31], as well as separate indices of ability, trait, and mixed EI. Favorable EI associations were found across several outcome categories (e.g., cognitive abilities, psychological adjustment, mental health, workplace outcomes) as well as age and cultural groups. Nevertheless, effect sizes were most pronounced for self-report EI measures, especially when flourishing was likewise measured subjectively. Further, there was substantial heterogeneity of EI-flourishing effect sizes. We recommend that future research identify additional moderators of EI-flourishing associations. We also discuss ongoing debates about the conceptualization of EI and suggest that future work consider alternative EI schemes.</w:t>
      </w:r>
    </w:p>
    <w:p>
      <w:pPr>
        <w:spacing w:before="120" w:after="120"/>
      </w:pPr>
      <w:r>
        <w:rPr>
          <w:sz w:val="18"/>
        </w:rPr>
        <w:t>——————————————————————————————————————————————————————————————————————</w:t>
      </w:r>
    </w:p>
    <w:p>
      <w:pPr>
        <w:spacing w:before="160" w:after="40" w:line="240" w:lineRule="auto"/>
      </w:pPr>
      <w:r>
        <w:rPr>
          <w:b/>
        </w:rPr>
        <w:t xml:space="preserve">[351] </w:t>
      </w:r>
      <w:hyperlink r:id="rId821">
        <w:r>
          <w:rPr>
            <w:color w:val="1155CC"/>
            <w:u w:val="single"/>
          </w:rPr>
          <w:t>生态系统技术（ecotech）：利用自然过程应对全球挑战</w:t>
        </w:r>
      </w:hyperlink>
    </w:p>
    <w:p>
      <w:pPr>
        <w:spacing w:before="0" w:after="80"/>
      </w:pPr>
      <w:r>
        <w:rPr>
          <w:i/>
          <w:sz w:val="20"/>
        </w:rPr>
        <w:t>EN: Ecosystem technology (ecotech): Harnessing natural processes to address global challenges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22">
        <w:r>
          <w:rPr>
            <w:color w:val="1155CC"/>
            <w:u w:val="single"/>
          </w:rPr>
          <w:t>10.1126/sciadv.aec5411</w:t>
        </w:r>
      </w:hyperlink>
    </w:p>
    <w:p>
      <w:pPr>
        <w:spacing w:before="0" w:after="120"/>
      </w:pPr>
      <w:r>
        <w:rPr>
          <w:b/>
        </w:rPr>
        <w:t xml:space="preserve">Notes: </w:t>
      </w:r>
      <w:r>
        <w:t>abstract_source=crossref</w:t>
      </w:r>
    </w:p>
    <w:p>
      <w:pPr>
        <w:spacing w:before="0" w:after="80" w:lineRule="auto" w:line="276"/>
      </w:pPr>
      <w:r>
        <w:rPr>
          <w:b/>
        </w:rPr>
        <w:t xml:space="preserve">摘要（ZH）: </w:t>
      </w:r>
      <w:r>
        <w:t>在过去的80年中，生物技术通过利用从有机体向内的生物过程（即从器官系统到分子尺度）推动了农业、医疗保健和经济发展。今天的全球挑战，包括生物多样性丧失、气候变化和污染，要求一种受从有机体向外运作的过程启发的补充技术扩展，即在种群、群落、生态系统和生物圈层面。我们在此通过生态系统技术或生态技术（ecotech）展示了这一技术扩展的组成部分。我们提出了一个生态技术框架，以整合生态学、工程学和地球科学的元素，并作为一个实用和概念的融合加速器。生态技术将通过联合独立发展的技术、生成多样化的研究领域（例如，生态仿生学、生态系统材料科学、生态系统感知和信号传递）以及激发创新来推进关键的环境解决方案。为了利用这一创新改善自然恢复、碳储存、水质、生态系统能量和基础设施抗灾能力，生态技术由跨领域行动指导，以确保可扩展性、公平性和问责制。当整合到非政府组织、企业和政府的战略中时，生态技术提供了一条推进气候适应、生物多样性恢复以及经济多样化和增长的途径。通过在规模上联合生态学、工程学和地球科学，生态技术将技术转变为应对人类挑战的工具。</w:t>
      </w:r>
    </w:p>
    <w:p>
      <w:pPr>
        <w:spacing w:before="0" w:after="200" w:lineRule="auto" w:line="276"/>
      </w:pPr>
      <w:r>
        <w:rPr>
          <w:b/>
        </w:rPr>
        <w:t xml:space="preserve">Abstract (EN): </w:t>
      </w:r>
      <w:r>
        <w:t>Over the past 80 years, biotechnology has advanced agriculture, health care, and economic development by harnessing biological processes from the organism inward, i.e., from the organ system to the molecular scale. Today’s global challenges, including biodiversity loss, climate change, and pollution, demand a complementary technological expansion inspired by processes operating from the organism outward, i.e., at the levels of populations, communities, ecosystems, and the biosphere. Here, we present the components of this technological expansion through ecosystem technology, or ecotech. We propose a framework for ecotech to integrate elements of ecology, engineering, and earth science and to function as a practical and conceptual convergence accelerator. Ecotech will advance critical environmental solutions by uniting independently evolving technologies, generating diverse fields of inquiry (e.g., ecomimicry, ecosystem materials science, ecosystem sensing and signaling), and inspiring innovation. To harness this innovation to improve nature restoration, carbon storage, water quality, ecosystem energy, and infrastructure resistance to disasters, ecotech is guided by cross-cutting actions to ensure scalability, equity, and accountability. When integrated into strategies across nongovernmental organizations, business, and governments, ecotech offers a pathway to advance climate adaptation, biodiversity recovery, and economic diversification and growth. By uniting ecology, engineering, and earth sciences at scale, ecotech transforms technology into a tool to confront humanity’s most urgent existential needs and secure a livable future.</w:t>
      </w:r>
    </w:p>
    <w:p>
      <w:pPr>
        <w:spacing w:before="120" w:after="120"/>
      </w:pPr>
      <w:r>
        <w:rPr>
          <w:sz w:val="18"/>
        </w:rPr>
        <w:t>——————————————————————————————————————————————————————————————————————</w:t>
      </w:r>
    </w:p>
    <w:p>
      <w:pPr>
        <w:spacing w:before="160" w:after="40" w:line="240" w:lineRule="auto"/>
      </w:pPr>
      <w:r>
        <w:rPr>
          <w:b/>
        </w:rPr>
        <w:t xml:space="preserve">[352] </w:t>
      </w:r>
      <w:hyperlink r:id="rId823">
        <w:r>
          <w:rPr>
            <w:color w:val="1155CC"/>
            <w:u w:val="single"/>
          </w:rPr>
          <w:t>动态驱动允许对材料位的独立控制以实现目标记忆</w:t>
        </w:r>
      </w:hyperlink>
    </w:p>
    <w:p>
      <w:pPr>
        <w:spacing w:before="0" w:after="80"/>
      </w:pPr>
      <w:r>
        <w:rPr>
          <w:i/>
          <w:sz w:val="20"/>
        </w:rPr>
        <w:t>EN: Dynamic drives allow independent control of material bits for targeted memory</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24">
        <w:r>
          <w:rPr>
            <w:color w:val="1155CC"/>
            <w:u w:val="single"/>
          </w:rPr>
          <w:t>10.1126/sciadv.aec1606</w:t>
        </w:r>
      </w:hyperlink>
    </w:p>
    <w:p>
      <w:pPr>
        <w:spacing w:before="0" w:after="120"/>
      </w:pPr>
      <w:r>
        <w:rPr>
          <w:b/>
        </w:rPr>
        <w:t xml:space="preserve">Notes: </w:t>
      </w:r>
      <w:r>
        <w:t>abstract_source=crossref</w:t>
      </w:r>
    </w:p>
    <w:p>
      <w:pPr>
        <w:spacing w:before="0" w:after="80" w:lineRule="auto" w:line="276"/>
      </w:pPr>
      <w:r>
        <w:rPr>
          <w:b/>
        </w:rPr>
        <w:t xml:space="preserve">摘要（ZH）: </w:t>
      </w:r>
      <w:r>
        <w:t>机械超材料具有双稳态元件，可以存储大量信息，但写入这些记忆需要不切实际的局部控制或冗长的多周期协议。我们通过一种动态控制策略克服了这一限制，该策略通过利用系统对驱动及其时间导数的敏感性，在单个全局驱动周期内访问任何配置。我们在旋转平台上的双稳态梁上实现了这一策略，其中驱动周期成为角速度和加速度控制空间中的轨道。当这些轨道穿过切换阈值时，状态变化发生，我们合理设计这些阈值，以便每个状态都可以通过单个驱动轨道访问。我们构建了一个五位系统，并通过选择驱动轨道来演示其完整的可寻址性，这些轨道写入了字母表中所有26个大写字母的ASCII表示。这种动态控制范式为跨各种物理领域的智能、远程操作设备提供了一条通用途径。</w:t>
      </w:r>
    </w:p>
    <w:p>
      <w:pPr>
        <w:spacing w:before="0" w:after="200" w:lineRule="auto" w:line="276"/>
      </w:pPr>
      <w:r>
        <w:rPr>
          <w:b/>
        </w:rPr>
        <w:t xml:space="preserve">Abstract (EN): </w:t>
      </w:r>
      <w:r>
        <w:t>Mechanical metamaterials with bistable elements can store vast amounts of information, but writing these memories requires impractical local control or lengthy multicycle protocols. We overcome this limitation with a dynamic control strategy that accesses any configuration in a single global drive cycle by leveraging the system’s sensitivity to the drive and its time derivatives. We realize this strategy with bistable beams on a rotating platform, where drive cycles become orbits in a control space of angular velocity and acceleration. State changes occur when these orbits cross switching thresholds, which we rationally design so that each state can be accessed by a single drive orbit. We construct a five-bit system and demonstrate its full addressability by selecting drive orbits that write all 26 uppercase letters of the alphabet in ASCII representation. This dynamic control paradigm offers a general route toward smart, remotely operated devices across various physical domains.</w:t>
      </w:r>
    </w:p>
    <w:p>
      <w:pPr>
        <w:spacing w:before="120" w:after="120"/>
      </w:pPr>
      <w:r>
        <w:rPr>
          <w:sz w:val="18"/>
        </w:rPr>
        <w:t>——————————————————————————————————————————————————————————————————————</w:t>
      </w:r>
    </w:p>
    <w:p>
      <w:pPr>
        <w:spacing w:before="160" w:after="40" w:line="240" w:lineRule="auto"/>
      </w:pPr>
      <w:r>
        <w:rPr>
          <w:b/>
        </w:rPr>
        <w:t xml:space="preserve">[353] </w:t>
      </w:r>
      <w:hyperlink r:id="rId825">
        <w:r>
          <w:rPr>
            <w:color w:val="1155CC"/>
            <w:u w:val="single"/>
          </w:rPr>
          <w:t>Ousiometrics：意义的本质与权力-危险-结构框架一致，而不是效价-唤醒-支配</w:t>
        </w:r>
      </w:hyperlink>
    </w:p>
    <w:p>
      <w:pPr>
        <w:spacing w:before="0" w:after="80"/>
      </w:pPr>
      <w:r>
        <w:rPr>
          <w:i/>
          <w:sz w:val="20"/>
        </w:rPr>
        <w:t>EN: Ousiometrics: The essence of meaning aligns with a power-danger-structure framework instead of valence-arousal-dominance</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26">
        <w:r>
          <w:rPr>
            <w:color w:val="1155CC"/>
            <w:u w:val="single"/>
          </w:rPr>
          <w:t>10.1126/sciadv.adr4039</w:t>
        </w:r>
      </w:hyperlink>
    </w:p>
    <w:p>
      <w:pPr>
        <w:spacing w:before="0" w:after="120"/>
      </w:pPr>
      <w:r>
        <w:rPr>
          <w:b/>
        </w:rPr>
        <w:t xml:space="preserve">Notes: </w:t>
      </w:r>
      <w:r>
        <w:t>abstract_source=crossref</w:t>
      </w:r>
    </w:p>
    <w:p>
      <w:pPr>
        <w:spacing w:before="0" w:after="80" w:lineRule="auto" w:line="276"/>
      </w:pPr>
      <w:r>
        <w:rPr>
          <w:b/>
        </w:rPr>
        <w:t xml:space="preserve">摘要（ZH）: </w:t>
      </w:r>
      <w:r>
        <w:t>从20世纪中期出现的工作中，意义的本质被广泛接受为由效价、唤醒和支配这三个正交维度描述的。这些基本维度已成为许多领域情感分析的基石。通过重新审视英语语言的类型和标记，并通过使用自动注释的直方图——“ousiograms”，我们在此发现，词语传达的意义本质最好由善良-力量-攻击-危险-结构（GPADS）圆周框架描述；大规模英语语料库揭示了对安全、低危险词语的系统偏见；而力量-危险-结构框架是代表基本意义的最小框架。我们发现GPADS框架与其他空间（包括心理状态和虚构原型）之间存在显著的一致性，并构建并演示了一个原型ousiometer。</w:t>
      </w:r>
    </w:p>
    <w:p>
      <w:pPr>
        <w:spacing w:before="0" w:after="200" w:lineRule="auto" w:line="276"/>
      </w:pPr>
      <w:r>
        <w:rPr>
          <w:b/>
        </w:rPr>
        <w:t xml:space="preserve">Abstract (EN): </w:t>
      </w:r>
      <w:r>
        <w:t>From work emerging through the middle of the 20th century, the essence of meaning has become widely accepted as being described by the three orthogonal dimensions of valence, arousal, and dominance. These essential dimensions have become the cornerstone of sentiment analysis across many fields. By reexamining first types and then tokens for the English language, and through the use of automatically annotated histograms—“ousiograms”—we find here that the essence of meaning conveyed by words is instead best described by a goodness-power-aggression-danger-structure (GPADS) circumplex framework; that large-scale English language corpora reveal a systematic bias toward safe, low-danger words; and that the power-danger-structure framework is the minimal framework that represents essential meaning. We find remarkable congruences between the GPADS framework and other spaces including mental states and fictional archetypes, and we construct and demonstrate a prototype ousiometer.</w:t>
      </w:r>
    </w:p>
    <w:p>
      <w:pPr>
        <w:spacing w:before="120" w:after="120"/>
      </w:pPr>
      <w:r>
        <w:rPr>
          <w:sz w:val="18"/>
        </w:rPr>
        <w:t>——————————————————————————————————————————————————————————————————————</w:t>
      </w:r>
    </w:p>
    <w:p>
      <w:pPr>
        <w:spacing w:before="160" w:after="40" w:line="240" w:lineRule="auto"/>
      </w:pPr>
      <w:r>
        <w:rPr>
          <w:b/>
        </w:rPr>
        <w:t xml:space="preserve">[354] </w:t>
      </w:r>
      <w:hyperlink r:id="rId827">
        <w:r>
          <w:rPr>
            <w:color w:val="1155CC"/>
            <w:u w:val="single"/>
          </w:rPr>
          <w:t>化学刺激维持活体光材料的生物发光</w:t>
        </w:r>
      </w:hyperlink>
    </w:p>
    <w:p>
      <w:pPr>
        <w:spacing w:before="0" w:after="80"/>
      </w:pPr>
      <w:r>
        <w:rPr>
          <w:i/>
          <w:sz w:val="20"/>
        </w:rPr>
        <w:t>EN: Chemical stimulation sustains bioluminescence of living light materials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28">
        <w:r>
          <w:rPr>
            <w:color w:val="1155CC"/>
            <w:u w:val="single"/>
          </w:rPr>
          <w:t>10.1126/sciadv.aee3907</w:t>
        </w:r>
      </w:hyperlink>
    </w:p>
    <w:p>
      <w:pPr>
        <w:spacing w:before="0" w:after="120"/>
      </w:pPr>
      <w:r>
        <w:rPr>
          <w:b/>
        </w:rPr>
        <w:t xml:space="preserve">Notes: </w:t>
      </w:r>
      <w:r>
        <w:t>abstract_source=crossref</w:t>
      </w:r>
    </w:p>
    <w:p>
      <w:pPr>
        <w:spacing w:before="0" w:after="80" w:lineRule="auto" w:line="276"/>
      </w:pPr>
      <w:r>
        <w:rPr>
          <w:b/>
        </w:rPr>
        <w:t xml:space="preserve">摘要（ZH）: </w:t>
      </w:r>
      <w:r>
        <w:t>生物发光为活体材料的实时、无标记传感提供了强大的工具。然而，传统方法通常依赖于机械刺激，这很难标准化、局部化和维持。在此，我们介绍了一种化学策略来刺激和维持海洋甲藻</w:t>
      </w:r>
      <w:r>
        <w:t xml:space="preserve"> </w:t>
      </w:r>
      <w:r>
        <w:t>Pyrocystis lunula</w:t>
      </w:r>
      <w:r>
        <w:t xml:space="preserve"> </w:t>
      </w:r>
      <w:r>
        <w:t>的生物发光，使其成为耐用、适应性强的发光活体材料。通过将</w:t>
      </w:r>
      <w:r>
        <w:t xml:space="preserve"> </w:t>
      </w:r>
      <w:r>
        <w:t>P. lunula</w:t>
      </w:r>
      <w:r>
        <w:t xml:space="preserve"> </w:t>
      </w:r>
      <w:r>
        <w:t>嵌入3D打印的海藻酸盐支架中，我们设计了具有长期细胞保留、活力和发光能力的结构稳定构造。暴露于酸性和碱性环境中产生了化学编码的生物发光特征：酸触发局部、持久的发光，而碱诱导弥散的、双相的发光，表明细胞压力。值得注意的是，结合化学和机械刺激导致了增强的总生物发光发射，实现了更大的光发射幅度和持续时间，而不影响细胞的机械响应能力。长达4周的纵向研究表明，我们的材料在重复刺激周期中保持响应性和结构完整性，克服了一次性使用的限制。这些发现共同建立了一个化学控制的平台，用于生物传感、软体机器人和环境监测的发光活体材料。</w:t>
      </w:r>
    </w:p>
    <w:p>
      <w:pPr>
        <w:spacing w:before="0" w:after="200" w:lineRule="auto" w:line="276"/>
      </w:pPr>
      <w:r>
        <w:rPr>
          <w:b/>
        </w:rPr>
        <w:t xml:space="preserve">Abstract (EN): </w:t>
      </w:r>
      <w:r>
        <w:t>Bioluminescence offers a powerful tool for real-time, label-free sensing for living materials. However, conventional approaches often rely on mechanical stimulation, which is difficult to standardize, localize, and sustain. Here, we introduce a chemical strategy to stimulate and sustain bioluminescence in the marine dinoflagellate</w:t>
      </w:r>
      <w:r>
        <w:t xml:space="preserve"> </w:t>
      </w:r>
      <w:r>
        <w:t>Pyrocystis lunula</w:t>
      </w:r>
      <w:r>
        <w:t xml:space="preserve"> </w:t>
      </w:r>
      <w:r>
        <w:t>, enabling durable, adaptive, light-emitting living materials. By embedding</w:t>
      </w:r>
      <w:r>
        <w:t xml:space="preserve"> </w:t>
      </w:r>
      <w:r>
        <w:t>P. lunula</w:t>
      </w:r>
      <w:r>
        <w:t xml:space="preserve"> </w:t>
      </w:r>
      <w:r>
        <w:t>into 3D-printed, alginate scaffolds, we engineered architecturally stable constructs with long-term cellular retention, viability, and light-emitting capacity. Exposure to acidic and basic environments produced chemically encoded bioluminescent signatures: Acid triggered localized, persistent emission, while base induced diffuse, biphasic emission indicative of cellular stress. Notably, combining chemical and mechanical stimulation led to enhanced total bioluminescence emission, achieving greater amplitude and duration of light emission without compromising cell mechanoresponsiveness. Longitudinal studies over 4 weeks demonstrated that our materials retain responsiveness and structural integrity across repeated stimulation cycles, overcoming single-use limitations. Together, these findings establish a chemistry-controlled platform for light-emitting living materials for biosensing, soft robotics, and environmental monitoring.</w:t>
      </w:r>
    </w:p>
    <w:p>
      <w:pPr>
        <w:spacing w:before="120" w:after="120"/>
      </w:pPr>
      <w:r>
        <w:rPr>
          <w:sz w:val="18"/>
        </w:rPr>
        <w:t>——————————————————————————————————————————————————————————————————————</w:t>
      </w:r>
    </w:p>
    <w:p>
      <w:pPr>
        <w:spacing w:before="160" w:after="40" w:line="240" w:lineRule="auto"/>
      </w:pPr>
      <w:r>
        <w:rPr>
          <w:b/>
        </w:rPr>
        <w:t xml:space="preserve">[355] </w:t>
      </w:r>
      <w:hyperlink r:id="rId829">
        <w:r>
          <w:rPr>
            <w:color w:val="1155CC"/>
            <w:u w:val="single"/>
          </w:rPr>
          <w:t>胰岛素抵抗的综合分析揭示了饮食转换引发的卡路里减少后的代谢重塑</w:t>
        </w:r>
      </w:hyperlink>
    </w:p>
    <w:p>
      <w:pPr>
        <w:spacing w:before="0" w:after="80"/>
      </w:pPr>
      <w:r>
        <w:rPr>
          <w:i/>
          <w:sz w:val="20"/>
        </w:rPr>
        <w:t>EN: Integrated analysis of insulin resistance reveals metabolic remodeling following diet switch–triggered calorie reduction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30">
        <w:r>
          <w:rPr>
            <w:color w:val="1155CC"/>
            <w:u w:val="single"/>
          </w:rPr>
          <w:t>10.1126/sciadv.aed0535</w:t>
        </w:r>
      </w:hyperlink>
    </w:p>
    <w:p>
      <w:pPr>
        <w:spacing w:before="0" w:after="120"/>
      </w:pPr>
      <w:r>
        <w:rPr>
          <w:b/>
        </w:rPr>
        <w:t xml:space="preserve">Notes: </w:t>
      </w:r>
      <w:r>
        <w:t>abstract_source=crossref</w:t>
      </w:r>
    </w:p>
    <w:p>
      <w:pPr>
        <w:spacing w:before="0" w:after="80" w:lineRule="auto" w:line="276"/>
      </w:pPr>
      <w:r>
        <w:rPr>
          <w:b/>
        </w:rPr>
        <w:t xml:space="preserve">摘要（ZH）: </w:t>
      </w:r>
      <w:r>
        <w:t>胰岛素抵抗（IR）将肥胖与代谢紊乱联系起来。虽然减肥可以逆转IR，但我们发现卡路里减少（CR）可以在显著减肥前的一天内在肥胖小鼠中实现这一点。与全身IR相比，个别组织在CR后不会恢复到其原始的正常饮食状态。在肝脏中，胰岛素敏感性的改善与三酰基甘油和二酰基甘油以及蛋白激酶Cε活性的降低相关，同时伴随着显著减少的从头脂质生成和增加的酮体。在肌肉中，胰岛素敏感的葡萄糖处理得以恢复，而肥胖相关的脂肪组织变化在CR后大部分持续存在，特别是至少部分由较低的β-肾上腺素能受体3表达介导的空腹脂解活性减少。这与肌肉和肝脏中增强的氧化途径相结合，导致血浆游离脂肪酸水平降低以及肌肉和肝脏脂质减少，从而促进胰岛素刺激的葡萄糖处理，从而恢复胰岛素敏感性。</w:t>
      </w:r>
    </w:p>
    <w:p>
      <w:pPr>
        <w:spacing w:before="0" w:after="200" w:lineRule="auto" w:line="276"/>
      </w:pPr>
      <w:r>
        <w:rPr>
          <w:b/>
        </w:rPr>
        <w:t xml:space="preserve">Abstract (EN): </w:t>
      </w:r>
      <w:r>
        <w:t>Insulin resistance (IR) links obesity to metabolic disorders. While weight loss reverses IR, we show that calorie reduction (CR) can do so in obese mice within a day before significant weight loss. In contrast to whole-body IR, individual tissues do not revert to their original chow diet–fed states after CR. In the liver, improved insulin sensitivity correlates with reduced triacylglycerol and diacylglycerol and protein kinase C epsilon activity, alongside substantially decreased de novo lipogenesis and increased ketones. In muscle, insulin-sensitive glucose disposal was restored, whereas obesity-associated adipose tissue changes largely persisted following CR, specifically the reduction in fasting lipolytic activity mediated at least, in part, by lower β-adrenergic receptor 3 expression. This, combined with enhanced oxidative pathways in muscle and liver, resulted in lowered plasma free fatty acid levels and muscle and liver lipids, facilitating insulin-stimulated glucose disposal and thus restored insulin sensitivity.</w:t>
      </w:r>
    </w:p>
    <w:p>
      <w:pPr>
        <w:spacing w:before="120" w:after="120"/>
      </w:pPr>
      <w:r>
        <w:rPr>
          <w:sz w:val="18"/>
        </w:rPr>
        <w:t>——————————————————————————————————————————————————————————————————————</w:t>
      </w:r>
    </w:p>
    <w:p>
      <w:pPr>
        <w:spacing w:before="160" w:after="40" w:line="240" w:lineRule="auto"/>
      </w:pPr>
      <w:r>
        <w:rPr>
          <w:b/>
        </w:rPr>
        <w:t xml:space="preserve">[356] </w:t>
      </w:r>
      <w:hyperlink r:id="rId831">
        <w:r>
          <w:rPr>
            <w:color w:val="1155CC"/>
            <w:u w:val="single"/>
          </w:rPr>
          <w:t>使用方位希尔伯特变换超表面的光学角点检测</w:t>
        </w:r>
      </w:hyperlink>
    </w:p>
    <w:p>
      <w:pPr>
        <w:spacing w:before="0" w:after="80"/>
      </w:pPr>
      <w:r>
        <w:rPr>
          <w:i/>
          <w:sz w:val="20"/>
        </w:rPr>
        <w:t>EN: Optical corner detection with azimuthal Hilbert transform metasurfaces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32">
        <w:r>
          <w:rPr>
            <w:color w:val="1155CC"/>
            <w:u w:val="single"/>
          </w:rPr>
          <w:t>10.1126/sciadv.aed8301</w:t>
        </w:r>
      </w:hyperlink>
    </w:p>
    <w:p>
      <w:pPr>
        <w:spacing w:before="0" w:after="120"/>
      </w:pPr>
      <w:r>
        <w:rPr>
          <w:b/>
        </w:rPr>
        <w:t xml:space="preserve">Notes: </w:t>
      </w:r>
      <w:r>
        <w:t>abstract_source=crossref</w:t>
      </w:r>
    </w:p>
    <w:p>
      <w:pPr>
        <w:spacing w:before="0" w:after="80" w:lineRule="auto" w:line="276"/>
      </w:pPr>
      <w:r>
        <w:rPr>
          <w:b/>
        </w:rPr>
        <w:t xml:space="preserve">摘要（ZH）: </w:t>
      </w:r>
      <w:r>
        <w:t>许多动物通过检测几何特征如角落来有效地解释其环境，突显了特征提取在减少视觉复杂性方面的力量；同样，随着视觉数据的激增，受自然启发的光学角落检测为节能的信息处理和压缩提供了一个有前途但仍难以捉摸的解决方案。在此，我们提出了一种使用方位希尔伯特变换超表面的通用光学角落成像策略。多个物体，无论其振幅、相位或角度特性如何，都可以通过单个超表面同时检测，具有宽带和全视场特性。评估了空间和角度分辨率之间的权衡，为实施提供了实用指导。我们进一步展示了作为概念验证应用的运动跟踪，利用数据压缩的角落成像框架。这项工作为下一代光学信息处理技术铺平了道路。</w:t>
      </w:r>
    </w:p>
    <w:p>
      <w:pPr>
        <w:spacing w:before="0" w:after="200" w:lineRule="auto" w:line="276"/>
      </w:pPr>
      <w:r>
        <w:rPr>
          <w:b/>
        </w:rPr>
        <w:t xml:space="preserve">Abstract (EN): </w:t>
      </w:r>
      <w:r>
        <w:t>Many animals efficiently interpret their environment by detecting geometric features like corners, highlighting the power of feature extraction for reducing visual complexity; similarly, with the surge in visual data, nature-inspired optical corner detection offers a promising yet still elusive solution for energy-efficient information processing and compression. Here, we propose a universal strategy for optical corner imaging with azimuthal Hilbert transformation metasurfaces. Multiple objects, regardless of their amplitude, phase, or angular characteristics, can be detected simultaneously with a single metasurface, featuring broadband and full–field-of-view properties. Trade-offs between spatial and angular resolution are assessed, offering practical guidance for implementation. We further demonstrate motion tracking as a proof-of-concept application leveraging the data-compressed corner imaging framework. This work paves the way for next-generation optical information processing technologies.</w:t>
      </w:r>
    </w:p>
    <w:p>
      <w:pPr>
        <w:spacing w:before="120" w:after="120"/>
      </w:pPr>
      <w:r>
        <w:rPr>
          <w:sz w:val="18"/>
        </w:rPr>
        <w:t>——————————————————————————————————————————————————————————————————————</w:t>
      </w:r>
    </w:p>
    <w:p>
      <w:pPr>
        <w:spacing w:before="160" w:after="40" w:line="240" w:lineRule="auto"/>
      </w:pPr>
      <w:r>
        <w:rPr>
          <w:b/>
        </w:rPr>
        <w:t xml:space="preserve">[357] </w:t>
      </w:r>
      <w:hyperlink r:id="rId833">
        <w:r>
          <w:rPr>
            <w:color w:val="1155CC"/>
            <w:u w:val="single"/>
          </w:rPr>
          <w:t>在 EGFR 过表达肿瘤中，Cetuximab-IRDye800 结合物的荧光和光声信号的时间动态对比</w:t>
        </w:r>
      </w:hyperlink>
    </w:p>
    <w:p>
      <w:pPr>
        <w:spacing w:before="0" w:after="80"/>
      </w:pPr>
      <w:r>
        <w:rPr>
          <w:i/>
          <w:sz w:val="20"/>
        </w:rPr>
        <w:t>EN: Contrasting temporal dynamics of fluorescence and photoacoustic signals from Cetuximab-IRDye800 conjugate in EGFR-overexpressing tumors</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34">
        <w:r>
          <w:rPr>
            <w:color w:val="1155CC"/>
            <w:u w:val="single"/>
          </w:rPr>
          <w:t>10.1126/sciadv.adv4639</w:t>
        </w:r>
      </w:hyperlink>
    </w:p>
    <w:p>
      <w:pPr>
        <w:spacing w:before="0" w:after="120"/>
      </w:pPr>
      <w:r>
        <w:rPr>
          <w:b/>
        </w:rPr>
        <w:t xml:space="preserve">Notes: </w:t>
      </w:r>
      <w:r>
        <w:t>abstract_source=crossref</w:t>
      </w:r>
    </w:p>
    <w:p>
      <w:pPr>
        <w:spacing w:before="0" w:after="80" w:lineRule="auto" w:line="276"/>
      </w:pPr>
      <w:r>
        <w:rPr>
          <w:b/>
        </w:rPr>
        <w:t xml:space="preserve">摘要（ZH）: </w:t>
      </w:r>
      <w:r>
        <w:t>分子荧光成像对肿瘤诊断有效，但受限于低深度剖析，这可以通过光声（PA）成像来解决。然而，由于微环境对外源对比剂的影响，PA成像的灵敏度较低。因此，应对Cetuximab-IRDye800偶联物的PA对比的时间和生物物理决定因素进行研究，以补充基于荧光的诊断。在这项研究中，我们比较了肿瘤异种移植模型中Cetuximab-IRDye800偶联物的PA和荧光信号的时间动态。我们证明了在给予Cetuximab-IRDye800后，荧光信号随时间稳步增加，而PA信号在早期达到峰值（3小时时高出约75%），随后下降（24小时时高出约24%）。机制分析揭示了Cetuximab-IRDye800偶联形成H-聚集体，导致PA对比增强，而受体介导的内吞作用破坏了这些聚集体，随着时间的推移降低了PA信号强度。这些发现强调了PA和荧光成像的互补性，并强调时间是捕捉肿瘤诊断峰值PA对比的关键因素。</w:t>
      </w:r>
    </w:p>
    <w:p>
      <w:pPr>
        <w:spacing w:before="0" w:after="200" w:lineRule="auto" w:line="276"/>
      </w:pPr>
      <w:r>
        <w:rPr>
          <w:b/>
        </w:rPr>
        <w:t xml:space="preserve">Abstract (EN): </w:t>
      </w:r>
      <w:r>
        <w:t>Molecular fluorescence imaging is effective for tumor diagnosis but limited by low-depth profiling, which can be addressed by photoacoustic (PA) imaging. However, PA imaging has low sensitivity due to microenvironment-induced effects on exogenous contrast agents. Accordingly, the temporal and biophysical determinants of PA contrast in Cetuximab-IRDye800 conjugates should be performed to complement fluorescence-based diagnostics. In this study, we compare the temporal dynamics of PA and fluorescence signals from a Cetuximab-IRDye800 conjugate in a tumor xenograft model. We demonstrate that while fluorescence signal increases steadily over time after administration of Cetuximab-IRDye800, PA signal peaks early (~75% higher at 3 hours), followed by a decrease (~24% higher at 24 hours). Mechanistic analysis revealed formation of H-aggregates with Cetuximab-IRDye800 conjugation, which results in enhanced PA contrast, while receptor-mediated endocytosis disrupts these aggregates, reducing PA signal intensity over time. These findings underscore the complementary nature of PA and fluorescence imaging and emphasize timing as a critical factor for capturing peak PA contrast for tumor diagnostics.</w:t>
      </w:r>
    </w:p>
    <w:p>
      <w:pPr>
        <w:spacing w:before="120" w:after="120"/>
      </w:pPr>
      <w:r>
        <w:rPr>
          <w:sz w:val="18"/>
        </w:rPr>
        <w:t>——————————————————————————————————————————————————————————————————————</w:t>
      </w:r>
    </w:p>
    <w:p>
      <w:pPr>
        <w:spacing w:before="160" w:after="40" w:line="240" w:lineRule="auto"/>
      </w:pPr>
      <w:r>
        <w:rPr>
          <w:b/>
        </w:rPr>
        <w:t xml:space="preserve">[358] </w:t>
      </w:r>
      <w:hyperlink r:id="rId835">
        <w:r>
          <w:rPr>
            <w:color w:val="1155CC"/>
            <w:u w:val="single"/>
          </w:rPr>
          <w:t>全身体内 MPI 细胞计数揭示了注射途径、剂量、细胞大小和疾病依赖的器官分布差异</w:t>
        </w:r>
      </w:hyperlink>
    </w:p>
    <w:p>
      <w:pPr>
        <w:spacing w:before="0" w:after="80"/>
      </w:pPr>
      <w:r>
        <w:rPr>
          <w:i/>
          <w:sz w:val="20"/>
        </w:rPr>
        <w:t>EN: Whole-body in vivo MPI cytometry reveals injection route-, dose-, cell size–, and disease-dependent differences in organ distribution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36">
        <w:r>
          <w:rPr>
            <w:color w:val="1155CC"/>
            <w:u w:val="single"/>
          </w:rPr>
          <w:t>10.1126/sciadv.aec4482</w:t>
        </w:r>
      </w:hyperlink>
    </w:p>
    <w:p>
      <w:pPr>
        <w:spacing w:before="0" w:after="120"/>
      </w:pPr>
      <w:r>
        <w:rPr>
          <w:b/>
        </w:rPr>
        <w:t xml:space="preserve">Notes: </w:t>
      </w:r>
      <w:r>
        <w:t>abstract_source=crossref</w:t>
      </w:r>
    </w:p>
    <w:p>
      <w:pPr>
        <w:spacing w:before="0" w:after="80" w:lineRule="auto" w:line="276"/>
      </w:pPr>
      <w:r>
        <w:rPr>
          <w:b/>
        </w:rPr>
        <w:t xml:space="preserve">摘要（ZH）: </w:t>
      </w:r>
      <w:r>
        <w:t>注射治疗细胞的全身生物分布的稳健量化仍然是一个主要挑战。我们使用磁粒子成像（MPI）进行体内细胞计数，以分钟为时间尺度追踪磁性标记的细胞，具有高灵敏度、零背景信号和简单的线性量化。人类间充质干细胞（hMSCs；~25微米）和人类神经前体细胞（~10微米）用超顺磁性氧化铁纳米颗粒标记，并在正常小鼠中通过静脉或动脉内注射后用MPI进行映射。细胞积累和保留的组织部位和数量取决于细胞大小、剂量、注射频率和注射途径，肺和肝脏是主要的滞留器官。在患有实验性自身免疫性脑脊髓炎的小鼠中，但在正常小鼠中没有，hMSCs也归巢到脾脏。将MPI细胞计数与细胞治疗结合可能有助于进一步优化细胞给药的途径、剂量和频率。</w:t>
      </w:r>
    </w:p>
    <w:p>
      <w:pPr>
        <w:spacing w:before="0" w:after="200" w:lineRule="auto" w:line="276"/>
      </w:pPr>
      <w:r>
        <w:rPr>
          <w:b/>
        </w:rPr>
        <w:t xml:space="preserve">Abstract (EN): </w:t>
      </w:r>
      <w:r>
        <w:t>Robust quantification of the whole-body biodistribution of injected therapeutic cells remains a major challenge. We performed in vivo cytometry using magnetic particle imaging (MPI) to track magnetically labeled cells on a timescale of minutes with high sensitivity, zero background signal, and simple linear quantification. Human mesenchymal stem cells (hMSCs; ~25 micrometers) and human neural precursor cells (~10 micrometers) were labeled with superparamagnetic iron oxide nanoparticles and mapped with MPI after intravenous or intra-arterial injection in normal mice. The tissue site and numbers of cell accumulation and retention were dependent on cell size, dose, injection frequency, and injection route, with the lung and liver serving as the major entrapment organs. In mice with experimental autoimmune encephalomyelitis, but not in normal mice, hMSCs also homed to the spleen. Integrating MPI cytometry with cell therapy may aid in further optimization of the route, dose, and frequency of cell administration.</w:t>
      </w:r>
    </w:p>
    <w:p>
      <w:pPr>
        <w:spacing w:before="120" w:after="120"/>
      </w:pPr>
      <w:r>
        <w:rPr>
          <w:sz w:val="18"/>
        </w:rPr>
        <w:t>——————————————————————————————————————————————————————————————————————</w:t>
      </w:r>
    </w:p>
    <w:p>
      <w:pPr>
        <w:spacing w:before="160" w:after="40" w:line="240" w:lineRule="auto"/>
      </w:pPr>
      <w:r>
        <w:rPr>
          <w:b/>
        </w:rPr>
        <w:t xml:space="preserve">[359] </w:t>
      </w:r>
      <w:hyperlink r:id="rId837">
        <w:r>
          <w:rPr>
            <w:color w:val="1155CC"/>
            <w:u w:val="single"/>
          </w:rPr>
          <w:t>垂直输送机驱动西风带输送的水分整合到亚洲水塔的大气水循环中</w:t>
        </w:r>
      </w:hyperlink>
    </w:p>
    <w:p>
      <w:pPr>
        <w:spacing w:before="0" w:after="80"/>
      </w:pPr>
      <w:r>
        <w:rPr>
          <w:i/>
          <w:sz w:val="20"/>
        </w:rPr>
        <w:t>EN: Vertical conveyor driving the integration of moisture transported by the westerlies to the Asian water towers’ atmospheric water cycle</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38">
        <w:r>
          <w:rPr>
            <w:color w:val="1155CC"/>
            <w:u w:val="single"/>
          </w:rPr>
          <w:t>10.1073/pnas.2529749123</w:t>
        </w:r>
      </w:hyperlink>
    </w:p>
    <w:p>
      <w:pPr>
        <w:spacing w:before="0" w:after="120"/>
      </w:pPr>
      <w:r>
        <w:rPr>
          <w:b/>
        </w:rPr>
        <w:t xml:space="preserve">Notes: </w:t>
      </w:r>
      <w:r>
        <w:t>abstract_source=crossref</w:t>
      </w:r>
    </w:p>
    <w:p>
      <w:pPr>
        <w:spacing w:before="0" w:after="80" w:lineRule="auto" w:line="276"/>
      </w:pPr>
      <w:r>
        <w:rPr>
          <w:b/>
        </w:rPr>
        <w:t xml:space="preserve">摘要（ZH）: </w:t>
      </w:r>
      <w:r>
        <w:t>西风带水汽输送支撑着超过二十亿依赖亚洲水塔（AWTs）的人口的水安全。然而，由于观测空白，西风带输送的大规模水汽如何整合到AWTs的大气水分预算中的机制仍然知之甚少。在此，我们结合大气水汽稳定同位素的三维观测与同位素启用的建模。我们识别出在冬春季节西风带占主导地位时调节垂直水汽输送的传送带机制。明显的垂直同位素梯度显示，大规模西风带输送的水汽主要局限于高空，而局部残留水汽则在地表附近持续存在。我们的结果显示，西风带在夜间的下沉与热力学上不同的局部残留空气相互作用，导致热逆温和凝结，抑制垂直混合，并将自由对流层与大气边界层之间的水汽分离。这个过程构成了在没有降水的情况下将西风带输送的水汽整合到局部水分预算中的主要途径，维持近地表水汽积累。我们的结果为改进大气模型、细化AWTs水循环加剧的气候预测以及推进区域气候档案中同位素记录的解释提供了关键基准。</w:t>
      </w:r>
    </w:p>
    <w:p>
      <w:pPr>
        <w:spacing w:before="0" w:after="200" w:lineRule="auto" w:line="276"/>
      </w:pPr>
      <w:r>
        <w:rPr>
          <w:b/>
        </w:rPr>
        <w:t xml:space="preserve">Abstract (EN): </w:t>
      </w:r>
      <w:r>
        <w:t>The westerlies moisture transport underpins water security for over two billion people dependent on the Asian water towers (AWTs). However, the mechanisms by which large-scale westerlies-advected moisture is integrated into the AWTs’ atmospheric water budget remain poorly understood due to observational gaps. Here, we combine three-dimensional observations of atmospheric water vapor stable isotopes with isotope-enabled modeling. We identify the conveyor mechanism that regulates the vertical moisture transport under calm conditions during the winter-spring period when the westerlies are dominant. Sharp vertical isotopic gradients show that large-scale westerlies-advected moisture is predominantly confined aloft, while local residual moisture persists near the surface. Our results show the interplay of the westerlies’ subsidence at night with thermodynamically distinct local residual air, yielding thermal inversions and condensation that suppresses vertical mixing and decouples moisture between the free troposphere and the atmospheric boundary layer. This process constitutes a primary pathway for integrating westerlies-advected moisture into the local moisture budget without precipitation, sustaining near-surface moisture accumulation. Our results provide critical benchmarks for improving atmospheric models, refining climate projections of the intensifying water cycle over the AWTs, and advancing interpretations of isotopic records in regional climatic archives.</w:t>
      </w:r>
    </w:p>
    <w:p>
      <w:pPr>
        <w:spacing w:before="120" w:after="120"/>
      </w:pPr>
      <w:r>
        <w:rPr>
          <w:sz w:val="18"/>
        </w:rPr>
        <w:t>——————————————————————————————————————————————————————————————————————</w:t>
      </w:r>
    </w:p>
    <w:p>
      <w:pPr>
        <w:spacing w:before="160" w:after="40" w:line="240" w:lineRule="auto"/>
      </w:pPr>
      <w:r>
        <w:rPr>
          <w:b/>
        </w:rPr>
        <w:t xml:space="preserve">[360] </w:t>
      </w:r>
      <w:hyperlink r:id="rId839">
        <w:r>
          <w:rPr>
            <w:color w:val="1155CC"/>
            <w:u w:val="single"/>
          </w:rPr>
          <w:t>核苷酸和功能多样性的关联在肠道细菌中有所不同</w:t>
        </w:r>
      </w:hyperlink>
    </w:p>
    <w:p>
      <w:pPr>
        <w:spacing w:before="0" w:after="80"/>
      </w:pPr>
      <w:r>
        <w:rPr>
          <w:i/>
          <w:sz w:val="20"/>
        </w:rPr>
        <w:t>EN: Linkage of nucleotide and functional diversity varies across gut bacteria</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40">
        <w:r>
          <w:rPr>
            <w:color w:val="1155CC"/>
            <w:u w:val="single"/>
          </w:rPr>
          <w:t>10.1073/pnas.2521012123</w:t>
        </w:r>
      </w:hyperlink>
    </w:p>
    <w:p>
      <w:pPr>
        <w:spacing w:before="0" w:after="120"/>
      </w:pPr>
      <w:r>
        <w:rPr>
          <w:b/>
        </w:rPr>
        <w:t xml:space="preserve">Notes: </w:t>
      </w:r>
      <w:r>
        <w:t>abstract_source=crossref</w:t>
      </w:r>
    </w:p>
    <w:p>
      <w:pPr>
        <w:spacing w:before="0" w:after="80" w:lineRule="auto" w:line="276"/>
      </w:pPr>
      <w:r>
        <w:rPr>
          <w:b/>
        </w:rPr>
        <w:t xml:space="preserve">摘要（ZH）: </w:t>
      </w:r>
      <w:r>
        <w:t>理解塑造细菌物种基因组多样性的力量对于解释微生物组的进化、生态和宿主关联至关重要。在此，我们使用统一人类肠道基因组集合分析了超过一百种常见的肠道细菌物种，以表征种内基因组变异的模式。基因内容的分歧与核心基因组单核苷酸多态性（SNPs）的分歧呈可预测的比例增长，尽管不同物种的进化动态存在显著差异。总体而言，附属基因的连锁衰减速度比核心SNPs快，突显了物种边界内功能谱的流动性。这个信号在移动遗传元素中最为强烈，它们与核心基因组SNPs的连锁最小。我们的研究结果揭示了肠道微生物组中物种特异的重组机制，强调了在微生物组关联研究和进化模型中考虑水平基因转移和基因组可塑性的重要性。</w:t>
      </w:r>
    </w:p>
    <w:p>
      <w:pPr>
        <w:spacing w:before="0" w:after="200" w:lineRule="auto" w:line="276"/>
      </w:pPr>
      <w:r>
        <w:rPr>
          <w:b/>
        </w:rPr>
        <w:t xml:space="preserve">Abstract (EN): </w:t>
      </w:r>
      <w:r>
        <w:t>Understanding the forces shaping genomic diversity within bacterial species is essential for interpreting microbiome evolution, ecology, and host associations. Here, we analyze over one hundred prevalent gut bacterial species using the Unified Human Gut Genome collection to characterize patterns of intraspecific genomic variability. Gene content divergence scales predictably with divergence in core genome single nucleotide polymorphisms (SNPs), though there is substantial variability in evolutionary dynamics across species. Overall, accessory genes exhibit consistently faster linkage decay compared to core SNPs, highlighting the fluidity of functional repertoires within species boundaries. This signal is strongest for mobile genetic elements, which show minimal linkage to core genome SNPs. Together, our findings reveal species-specific recombination regimes in the gut microbiome, underscoring the importance of accounting for horizontal gene transfer and genome plasticity in microbiome-wide association studies and evolutionary models.</w:t>
      </w:r>
    </w:p>
    <w:p>
      <w:pPr>
        <w:spacing w:before="120" w:after="120"/>
      </w:pPr>
      <w:r>
        <w:rPr>
          <w:sz w:val="18"/>
        </w:rPr>
        <w:t>——————————————————————————————————————————————————————————————————————</w:t>
      </w:r>
    </w:p>
    <w:p>
      <w:pPr>
        <w:spacing w:before="160" w:after="40" w:line="240" w:lineRule="auto"/>
      </w:pPr>
      <w:r>
        <w:rPr>
          <w:b/>
        </w:rPr>
        <w:t xml:space="preserve">[361] </w:t>
      </w:r>
      <w:hyperlink r:id="rId841">
        <w:r>
          <w:rPr>
            <w:color w:val="1155CC"/>
            <w:u w:val="single"/>
          </w:rPr>
          <w:t>一个透明的通用信用系统以激励同行评审</w:t>
        </w:r>
      </w:hyperlink>
    </w:p>
    <w:p>
      <w:pPr>
        <w:spacing w:before="0" w:after="80"/>
      </w:pPr>
      <w:r>
        <w:rPr>
          <w:i/>
          <w:sz w:val="20"/>
        </w:rPr>
        <w:t>EN: A transparent universal credit system to incentivize peer review</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42">
        <w:r>
          <w:rPr>
            <w:color w:val="1155CC"/>
            <w:u w:val="single"/>
          </w:rPr>
          <w:t>10.1073/pnas.2506681123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843">
        <w:r>
          <w:rPr>
            <w:color w:val="1155CC"/>
            <w:u w:val="single"/>
          </w:rPr>
          <w:t>3D上皮细胞拓扑调整信号范围以促进精确的模式化</w:t>
        </w:r>
      </w:hyperlink>
    </w:p>
    <w:p>
      <w:pPr>
        <w:spacing w:before="0" w:after="80"/>
      </w:pPr>
      <w:r>
        <w:rPr>
          <w:i/>
          <w:sz w:val="20"/>
        </w:rPr>
        <w:t>EN: 3D epithelial cell topology tunes signaling range to promote precise patterning</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44">
        <w:r>
          <w:rPr>
            <w:color w:val="1155CC"/>
            <w:u w:val="single"/>
          </w:rPr>
          <w:t>10.1073/pnas.2522727123</w:t>
        </w:r>
      </w:hyperlink>
    </w:p>
    <w:p>
      <w:pPr>
        <w:spacing w:before="0" w:after="120"/>
      </w:pPr>
      <w:r>
        <w:rPr>
          <w:b/>
        </w:rPr>
        <w:t xml:space="preserve">Notes: </w:t>
      </w:r>
      <w:r>
        <w:t>abstract_source=crossref</w:t>
      </w:r>
    </w:p>
    <w:p>
      <w:pPr>
        <w:spacing w:before="0" w:after="80" w:lineRule="auto" w:line="276"/>
      </w:pPr>
      <w:r>
        <w:rPr>
          <w:b/>
        </w:rPr>
        <w:t xml:space="preserve">摘要（ZH）: </w:t>
      </w:r>
      <w:r>
        <w:t>多细胞生物中的细胞行为通过可扩散分子和基于直接细胞接触的信号进行协调。所使用的细胞通信模式会影响信号的传播范围。在许多发育中的上皮中，基于接触的Notch-Delta侧向抑制信号用于模式化细胞命运。虽然先前的研究表明细胞可以使用突起来扩展Notch-Delta信号的范围以改变这些模式，但这并不是上皮的一般特征。此外，目前尚不清楚上皮细胞的复杂三维（3D）形状如何影响细胞通信。在探索这个问题时，我们展示了在果蝇翅膀边缘的上皮细胞，这些细胞缺乏基底突起，在其顶-基轴上不同高度接触不同的邻居，有效地增加了每个细胞接触的邻居数量。为了定量评估这种行为，我们开发了一个数学建模框架（多层信号模型）来模拟基于数据的3D细胞拓扑上的Notch-Delta信号。模型预测侧向细胞表面信号对于调整感觉器官前体（SOPs）之间的间距是必不可少的。与此一致，我们展示了在体内扰动皮质刚度和细胞曲折度会改变SOP间距。这些结果强调了3D细胞几何和拓扑在微调信号范围中的重要性。</w:t>
      </w:r>
    </w:p>
    <w:p>
      <w:pPr>
        <w:spacing w:before="0" w:after="200" w:lineRule="auto" w:line="276"/>
      </w:pPr>
      <w:r>
        <w:rPr>
          <w:b/>
        </w:rPr>
        <w:t xml:space="preserve">Abstract (EN): </w:t>
      </w:r>
      <w:r>
        <w:t>Cell behaviors in multicellular organisms are coordinated via both diffusible molecules and by signals based on direct cell–cell contacts. The mode of cell communication used influences the signaling range. In many developing epithelia, contact-based Notch-Delta lateral inhibition signaling is used to pattern cell fates. While previous work revealed that cells can use protrusions to extend the range of Notch-Delta signaling to alter these patterns, this is not a general feature of epithelia. In addition, it is not known how the complex three-dimensional (3D) shapes of epithelial cells influence cell communication. In exploring this question, we show that epithelial cells at the</w:t>
      </w:r>
      <w:r>
        <w:t xml:space="preserve"> </w:t>
      </w:r>
      <w:r>
        <w:t>Drosophila</w:t>
      </w:r>
      <w:r>
        <w:t xml:space="preserve"> </w:t>
      </w:r>
      <w:r>
        <w:t>wing margin, which lack basal protrusions, contact different neighbors at different heights along their apico-basal axis, effectively increasing the number of neighbors each cell touches. To quantitatively assess this behavior, we develop a mathematical modeling framework (Multilayer Signaling Model) to simulate Notch-Delta signaling over data-derived 3D cell topologies. The model predicts that lateral cell surface signaling is essential to tune the spacing between sensory organ precursors (SOPs). In agreement, we show that perturbing cortical stiffness and cell tortuosity in vivo modifies SOP spacing. These results emphasize the importance of 3D cell geometry and topology in fine-tuning signaling range.</w:t>
      </w:r>
    </w:p>
    <w:p>
      <w:pPr>
        <w:spacing w:before="120" w:after="120"/>
      </w:pPr>
      <w:r>
        <w:rPr>
          <w:sz w:val="18"/>
        </w:rPr>
        <w:t>——————————————————————————————————————————————————————————————————————</w:t>
      </w:r>
    </w:p>
    <w:p>
      <w:pPr>
        <w:spacing w:before="160" w:after="40" w:line="240" w:lineRule="auto"/>
      </w:pPr>
      <w:r>
        <w:rPr>
          <w:b/>
        </w:rPr>
        <w:t xml:space="preserve">[363] </w:t>
      </w:r>
      <w:hyperlink r:id="rId845">
        <w:r>
          <w:rPr>
            <w:color w:val="1155CC"/>
            <w:u w:val="single"/>
          </w:rPr>
          <w:t>激励效价在运动启动期间差异性地参与开放和闭环基底神经节回路</w:t>
        </w:r>
      </w:hyperlink>
    </w:p>
    <w:p>
      <w:pPr>
        <w:spacing w:before="0" w:after="80"/>
      </w:pPr>
      <w:r>
        <w:rPr>
          <w:i/>
          <w:sz w:val="20"/>
        </w:rPr>
        <w:t>EN: Incentive valence differentially engages open- and closed-loop basal ganglia circuits during movement initiation</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46">
        <w:r>
          <w:rPr>
            <w:color w:val="1155CC"/>
            <w:u w:val="single"/>
          </w:rPr>
          <w:t>10.1073/pnas.2537314123</w:t>
        </w:r>
      </w:hyperlink>
    </w:p>
    <w:p>
      <w:pPr>
        <w:spacing w:before="0" w:after="120"/>
      </w:pPr>
      <w:r>
        <w:rPr>
          <w:b/>
        </w:rPr>
        <w:t xml:space="preserve">Notes: </w:t>
      </w:r>
      <w:r>
        <w:t>abstract_source=crossref</w:t>
      </w:r>
    </w:p>
    <w:p>
      <w:pPr>
        <w:spacing w:before="0" w:after="80" w:lineRule="auto" w:line="276"/>
      </w:pPr>
      <w:r>
        <w:rPr>
          <w:b/>
        </w:rPr>
        <w:t xml:space="preserve">摘要（ZH）: </w:t>
      </w:r>
      <w:r>
        <w:t>激励调节自愿运动，但将这些信号传递到运动输出的电路仍不清楚。经典模型强调一个闭环电路（CLC），将背侧壳核（PUTd）与运动皮层连接，但该路径在解剖上与情感处理区域隔离。解剖学和临床证据指出另一种可能性：一个开放环路电路（OLC）从腹侧壳核（PUTv）可能将情感信号传递到运动皮层。在此，我们进行了两个实验以测试人类中是否存在功能性OLC以及它是否在激励条件下被差异性激活。首先，在7 T静息态fMRI（多回波）中，PUTv显示出与情感和运动区域的强大功能连接，包括扣带运动区，即使在考虑PUTd方差后也是如此。这种连接模式支持了一个独立路径将情感基底神经节区域连接到运动皮层的可能性。其次，在3 T任务fMRI（激励性到达）中，大奖（高奖励）和强盗（高损失避免）激励条件产生了不同的行为和神经特征。大奖产生了速度-准确性权衡，启动速度更快但错误启动更多。在神经上，这与CLC节点的参与减少（与启动速度相关的BOLD反应）一致，但在OLC中没有。相反，强盗消除了OLC和CLC节点的参与，而是招募了与停止相关的区域（例如，丘脑下核），与避免现象学一致。这些发现共同支持了一个多功能的OLC。</w:t>
      </w:r>
    </w:p>
    <w:p>
      <w:pPr>
        <w:spacing w:before="0" w:after="200" w:lineRule="auto" w:line="276"/>
      </w:pPr>
      <w:r>
        <w:rPr>
          <w:b/>
        </w:rPr>
        <w:t xml:space="preserve">Abstract (EN): </w:t>
      </w:r>
      <w:r>
        <w:t>Incentives modulate voluntary movement, yet the circuitry channeling these signals into motor output remains unclear. Classical models emphasize a closed-loop circuit (CLC) linking dorsal putamen (PUTd) with the motor cortex, but this pathway is anatomically segregated from affective processing regions. Anatomical and clinical evidence point to an alternative: an open-loop circuit (OLC) from ventral putamen (PUTv) that may route affective signals to the motor cortex. Here, we conducted two experiments to test whether a functional OLC exists in humans and whether it is differentially engaged by incentive conditions. First, in 7 T resting-state fMRI (multi-echo), PUTv showed robust functional connectivity with both affective and motor regions, including the cingulate motor area, even after accounting for PUTd variance. This connectivity pattern supports the plausibility of an independent pathway linking affective basal ganglia regions to the motor cortex. Second, in 3 T task fMRI (incentivized reaching), jackpot (high-reward) and robber (high-loss avoidance) incentive conditions produced distinct behavioral and neural signatures. Jackpot produced a speed–accuracy trade-off, with faster movement initiation but more false starts. Neurally, this coincided with reduced engagement (BOLD responses relevant for initiation speed) in CLC nodes but not in OLC. Robber, in contrast, eliminated engagement in both OLC and CLC nodes, instead recruiting stopping-related regions (e.g., subthalamic nucleus), consistent with an avoidance phenomenology. Together, these findings support a versatile architecture for movement initiation that flexibly engages distinct cortico-subcortical circuits depending on incentive phenomenology, and offer a candidate mechanism through which affective salience and valence modulate voluntary movement.</w:t>
      </w:r>
    </w:p>
    <w:p>
      <w:pPr>
        <w:spacing w:before="120" w:after="120"/>
      </w:pPr>
      <w:r>
        <w:rPr>
          <w:sz w:val="18"/>
        </w:rPr>
        <w:t>——————————————————————————————————————————————————————————————————————</w:t>
      </w:r>
    </w:p>
    <w:p>
      <w:pPr>
        <w:spacing w:before="160" w:after="40" w:line="240" w:lineRule="auto"/>
      </w:pPr>
      <w:r>
        <w:rPr>
          <w:b/>
        </w:rPr>
        <w:t xml:space="preserve">[364] </w:t>
      </w:r>
      <w:hyperlink r:id="rId847">
        <w:r>
          <w:rPr>
            <w:color w:val="1155CC"/>
            <w:u w:val="single"/>
          </w:rPr>
          <w:t>通过原子力显微镜实时跟踪碳腐蚀揭示缺陷地形对降解动态的影响</w:t>
        </w:r>
      </w:hyperlink>
    </w:p>
    <w:p>
      <w:pPr>
        <w:spacing w:before="0" w:after="80"/>
      </w:pPr>
      <w:r>
        <w:rPr>
          <w:i/>
          <w:sz w:val="20"/>
        </w:rPr>
        <w:t>EN: Real-time tracking of carbon corrosion by atomic force microscopy reveals the impact of defect topography on degradation dynamics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48">
        <w:r>
          <w:rPr>
            <w:color w:val="1155CC"/>
            <w:u w:val="single"/>
          </w:rPr>
          <w:t>10.1073/pnas.2538040123</w:t>
        </w:r>
      </w:hyperlink>
    </w:p>
    <w:p>
      <w:pPr>
        <w:spacing w:before="0" w:after="120"/>
      </w:pPr>
      <w:r>
        <w:rPr>
          <w:b/>
        </w:rPr>
        <w:t xml:space="preserve">Notes: </w:t>
      </w:r>
      <w:r>
        <w:t>abstract_source=crossref</w:t>
      </w:r>
    </w:p>
    <w:p>
      <w:pPr>
        <w:spacing w:before="0" w:after="80" w:lineRule="auto" w:line="276"/>
      </w:pPr>
      <w:r>
        <w:rPr>
          <w:b/>
        </w:rPr>
        <w:t xml:space="preserve">摘要（ZH）: </w:t>
      </w:r>
      <w:r>
        <w:t>碳材料广泛应用于电化学能源技术中；然而，其耐久性背后的纳米级机制仍未完全理解。我们报告了使用原位原子力显微镜在水性酸性环境中高度定向热解石墨的腐蚀动态的可视化。通过实时跟踪地形，我们将局部腐蚀动力学与特定缺陷类别相关联。三个显著发现浮现：i）腐蚀优先通过点和线缺陷发生，ii）单个缺陷的腐蚀速率随施加电位而变化，iii）较深的缺陷传播较慢。我们进一步表明，腐蚀速率从缺陷开始比从体碳开始更快。这些结果表明缺陷决定了高度晶体碳的腐蚀敏感性，并且腐蚀传播速率取决于缺陷几何形状。我们的发现提供了缺陷介导的碳材料腐蚀的证据，并揭示了缺陷几何如何决定腐蚀动态，将纳米级异质性与电化学耐久性联系起来。</w:t>
      </w:r>
    </w:p>
    <w:p>
      <w:pPr>
        <w:spacing w:before="0" w:after="200" w:lineRule="auto" w:line="276"/>
      </w:pPr>
      <w:r>
        <w:rPr>
          <w:b/>
        </w:rPr>
        <w:t xml:space="preserve">Abstract (EN): </w:t>
      </w:r>
      <w:r>
        <w:t>Carbon materials are widely deployed in electrochemical energy technologies; however, the nanoscale mechanisms underlying their durability remain incompletely understood. We report the visualization of the corrosion dynamics of highly oriented pyrolytic graphite in aqueous acidic environments using in situ atomic force microscopy. By tracking topography in real time, we correlate local corrosion kinetics with specific defect classes. Three salient findings emerge: i) corrosion preferentially occurs through point and line defects, ii) the corrosion rate at individual defects scales with applied potential, and iii) deeper defects propagate more slowly. We further show that corrosion rates are faster when originating from defects than from bulk carbon. These results demonstrate that defects govern corrosion susceptibility in highly crystalline carbon and that the corrosion propagation rate depends on defect geometry. Our findings provide evidence of defect-mediated corrosion in carbon materials and reveal how defect geometry dictates corrosion dynamics, linking nanoscale heterogeneity to electrochemical durability.</w:t>
      </w:r>
    </w:p>
    <w:p>
      <w:pPr>
        <w:spacing w:before="120" w:after="120"/>
      </w:pPr>
      <w:r>
        <w:rPr>
          <w:sz w:val="18"/>
        </w:rPr>
        <w:t>——————————————————————————————————————————————————————————————————————</w:t>
      </w:r>
    </w:p>
    <w:p>
      <w:pPr>
        <w:spacing w:before="160" w:after="40" w:line="240" w:lineRule="auto"/>
      </w:pPr>
      <w:r>
        <w:rPr>
          <w:b/>
        </w:rPr>
        <w:t xml:space="preserve">[365] </w:t>
      </w:r>
      <w:hyperlink r:id="rId849">
        <w:r>
          <w:rPr>
            <w:color w:val="1155CC"/>
            <w:u w:val="single"/>
          </w:rPr>
          <w:t>前额叶投射中的不同活动促进动作的时间控制</w:t>
        </w:r>
      </w:hyperlink>
    </w:p>
    <w:p>
      <w:pPr>
        <w:spacing w:before="0" w:after="80"/>
      </w:pPr>
      <w:r>
        <w:rPr>
          <w:i/>
          <w:sz w:val="20"/>
        </w:rPr>
        <w:t>EN: Distinct activity in prefrontal projections promotes temporal control of action</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50">
        <w:r>
          <w:rPr>
            <w:color w:val="1155CC"/>
            <w:u w:val="single"/>
          </w:rPr>
          <w:t>10.1073/pnas.2538059123</w:t>
        </w:r>
      </w:hyperlink>
    </w:p>
    <w:p>
      <w:pPr>
        <w:spacing w:before="0" w:after="120"/>
      </w:pPr>
      <w:r>
        <w:rPr>
          <w:b/>
        </w:rPr>
        <w:t xml:space="preserve">Notes: </w:t>
      </w:r>
      <w:r>
        <w:t>abstract_source=crossref</w:t>
      </w:r>
    </w:p>
    <w:p>
      <w:pPr>
        <w:spacing w:before="0" w:after="80" w:lineRule="auto" w:line="276"/>
      </w:pPr>
      <w:r>
        <w:rPr>
          <w:b/>
        </w:rPr>
        <w:t xml:space="preserve">摘要（ZH）: </w:t>
      </w:r>
      <w:r>
        <w:t>前额叶神经元在认知功能（如工作记忆、注意力和时间感知）中表现出多样的活动；然而，这种异质性的重要性尚不清楚。我们的目标是通过解剖连接更好地理解前额叶活动的多样性。我们利用小鼠中的特定电路工具来捕捉间隔计时期间前额叶投射内的活动，这是一种高度可转化的认知过程，需要工作记忆来处理时间规则，并注意时间的流逝以估计几秒钟的时间间隔。我们使用神经元记录来捕捉间隔计时期间的前额叶活动，主要模式特征为在时间间隔内单调的时间依赖性上升。然后，我们利用逆行病毒来研究前额叶皮层（PFC）到内侧背核（PFC-MD）和背内侧纹状体（PFC-DMS）的投射。我们报告了三个主要发现。首先，电路特定的光纤光度法揭示了PFC-MD和PFC-DMS活动编码了不同的时间信号，PFC-MD投射在间隔计时响应时间内下降，而PFC-DMS则上升。其次，电路特定的失活实验表明，抑制PFC-DMS投射会扰乱动物对时间的内部估计。第三，电路特定的单核RNA测序揭示了投射定义的前额叶神经元的不同转录组特征，PFC-MD和PFC-DMS投射中富集了皮层层相关基因以及诸如Cux2、Camk2n1、Htr4等基因。</w:t>
      </w:r>
    </w:p>
    <w:p>
      <w:pPr>
        <w:spacing w:before="0" w:after="200" w:lineRule="auto" w:line="276"/>
      </w:pPr>
      <w:r>
        <w:rPr>
          <w:b/>
        </w:rPr>
        <w:t xml:space="preserve">Abstract (EN): </w:t>
      </w:r>
      <w:r>
        <w:t>Prefrontal neurons exhibit diverse activity during cognitive functions such as working memory, attention, and timing; however, the importance of this heterogeneity is unclear. Our goal was to better understand the diversity of prefrontal activity through anatomical connectivity. We harnessed circuit-specific tools in mice to capture activity within prefrontal projections during interval timing, a highly translational cognitive process that requires working memory for temporal rules and attention to the passage of time to estimate a temporal interval of several seconds. We used neuronal recordings to capture prefrontal activity during interval timing, with major patterns characterized by monotonic time-dependent ramping over a temporal interval. We then leveraged retrograde viruses to interrogate prefrontal cortex (PFC) projections to the mediodorsal thalamus (PFC-MD) and the dorsomedial striatum (PFC-DMS). We report three main findings. First, circuit-specific fiber photometry revealed that PFC-MD and PFC-DMS activity encoded distinct temporal signals, with PFC-MD projections ramping down and PFC-DMS ramping up to interval timing response times. Second, circuit-specific inactivation revealed that suppressing PFC-DMS projections disrupted animals’ internal estimates of time. Third, circuit-specific single-nucleus RNA sequencing of projection-defined prefrontal neurons revealed distinct transcriptomic profiles of PFC-MD and PFC-DMS projections, with enrichment of cortical layer-associated genes as well as genes such as</w:t>
      </w:r>
      <w:r>
        <w:t xml:space="preserve"> </w:t>
      </w:r>
      <w:r>
        <w:t>Cux2, Camk2n1, Htr4,</w:t>
      </w:r>
      <w:r>
        <w:t xml:space="preserve"> </w:t>
      </w:r>
      <w:r>
        <w:t>and</w:t>
      </w:r>
      <w:r>
        <w:t xml:space="preserve"> </w:t>
      </w:r>
      <w:r>
        <w:t>Foxp2</w:t>
      </w:r>
      <w:r>
        <w:t xml:space="preserve"> </w:t>
      </w:r>
      <w:r>
        <w:t>. These data suggest that differences in gene expression and connectivity distinguish prefrontal activity during interval timing. These findings advance our fundamental understanding of prefrontal function and dysfunction in human disease.</w:t>
      </w:r>
    </w:p>
    <w:p>
      <w:pPr>
        <w:spacing w:before="120" w:after="120"/>
      </w:pPr>
      <w:r>
        <w:rPr>
          <w:sz w:val="18"/>
        </w:rPr>
        <w:t>——————————————————————————————————————————————————————————————————————</w:t>
      </w:r>
    </w:p>
    <w:p>
      <w:pPr>
        <w:spacing w:before="160" w:after="40" w:line="240" w:lineRule="auto"/>
      </w:pPr>
      <w:r>
        <w:rPr>
          <w:b/>
        </w:rPr>
        <w:t xml:space="preserve">[366] </w:t>
      </w:r>
      <w:hyperlink r:id="rId851">
        <w:r>
          <w:rPr>
            <w:color w:val="1155CC"/>
            <w:u w:val="single"/>
          </w:rPr>
          <w:t>选举选择背景和对民主规范的支持</w:t>
        </w:r>
      </w:hyperlink>
    </w:p>
    <w:p>
      <w:pPr>
        <w:spacing w:before="0" w:after="80"/>
      </w:pPr>
      <w:r>
        <w:rPr>
          <w:i/>
          <w:sz w:val="20"/>
        </w:rPr>
        <w:t>EN: The electoral choice context and support for democratic norms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52">
        <w:r>
          <w:rPr>
            <w:color w:val="1155CC"/>
            <w:u w:val="single"/>
          </w:rPr>
          <w:t>10.1073/pnas.2521380123</w:t>
        </w:r>
      </w:hyperlink>
    </w:p>
    <w:p>
      <w:pPr>
        <w:spacing w:before="0" w:after="120"/>
      </w:pPr>
      <w:r>
        <w:rPr>
          <w:b/>
        </w:rPr>
        <w:t xml:space="preserve">Notes: </w:t>
      </w:r>
      <w:r>
        <w:t>abstract_source=crossref</w:t>
      </w:r>
    </w:p>
    <w:p>
      <w:pPr>
        <w:spacing w:before="0" w:after="80" w:lineRule="auto" w:line="276"/>
      </w:pPr>
      <w:r>
        <w:rPr>
          <w:b/>
        </w:rPr>
        <w:t xml:space="preserve">摘要（ZH）: </w:t>
      </w:r>
      <w:r>
        <w:t>在本文中，我们探讨了不同的选择环境是否会影响选民将民主置于党派和政策之上的意愿。通过一系列候选人选择实验，我们不仅操控候选人属性，还操控选票上的竞选数量，发现当选民能够在选票上投票给多个竞选时，他们更有可能惩罚反民主候选人，而不是仅有一次投票机会时。我们将这种效应称为“民主平衡”。实质上，我们的实验表明，总惩罚效应的幅度从单一竞选环境中的11%增加到多竞选环境中的17.9%。这种效应在不同候选人平台、调查的不同波次、不同类型的规范违反中保持大致一致，并且对不同的选举竞赛组合和不同的信息环境具有鲁棒性。2022年美国中期选举的观察数据进一步证实了我们的实验发现。对于研究人员来说，我们的结果强调了考虑选民决策的制度背景的重要性。对于关心民主倒退的公民来说，我们的结果提供了一些安慰：在选票上出现多个竞选的更现实的选举环境中，受访者愿意为其偏好的政策和党派而牺牲民主的意愿有所减弱。</w:t>
      </w:r>
    </w:p>
    <w:p>
      <w:pPr>
        <w:spacing w:before="0" w:after="200" w:lineRule="auto" w:line="276"/>
      </w:pPr>
      <w:r>
        <w:rPr>
          <w:b/>
        </w:rPr>
        <w:t xml:space="preserve">Abstract (EN): </w:t>
      </w:r>
      <w:r>
        <w:t>In this paper, we explore whether different choice environments affect voters’ willingness to put democracy over party and policy. Using a series of candidate choice experiments in which we manipulate not only candidate attributes, but also the number of races on the ballot, we find that when voters are able to vote in multiple races on a ballot they are substantially more likely to punish antidemocratic candidates than when they are only given the opportunity to cast one vote. We refer to this effect as “democratic balancing.” Substantively, our experiments show that the magnitude of the total punishment effect increases from 11% in single-race ballot settings to 17.9% in multirace ballot settings. Such effects remain largely consistent across different candidate platforms, separate waves of the survey, different types of norm violations, and are robust to different electoral race combinations and different information environments. Observational data from the 2022 U.S. midterm elections further corroborates our experimental findings. For researchers, our results underscore the importance of taking into account the institutional context in which voters make decisions. For citizens concerned with democratic backsliding, our results offer some reassurance: Moving to a more realistic electoral context in which multiple races appear on the ballot tempers the willingness of respondents to trade off democracy for their preferred policies and party.</w:t>
      </w:r>
    </w:p>
    <w:p>
      <w:pPr>
        <w:spacing w:before="120" w:after="120"/>
      </w:pPr>
      <w:r>
        <w:rPr>
          <w:sz w:val="18"/>
        </w:rPr>
        <w:t>——————————————————————————————————————————————————————————————————————</w:t>
      </w:r>
    </w:p>
    <w:p>
      <w:pPr>
        <w:spacing w:before="160" w:after="40" w:line="240" w:lineRule="auto"/>
      </w:pPr>
      <w:r>
        <w:rPr>
          <w:b/>
        </w:rPr>
        <w:t xml:space="preserve">[367] </w:t>
      </w:r>
      <w:hyperlink r:id="rId853">
        <w:r>
          <w:rPr>
            <w:color w:val="1155CC"/>
            <w:u w:val="single"/>
          </w:rPr>
          <w:t>一个多植物转录组图谱揭示了对灰葡萄孢菌响应中的保守和谱系特异性防御结构</w:t>
        </w:r>
      </w:hyperlink>
    </w:p>
    <w:p>
      <w:pPr>
        <w:spacing w:before="0" w:after="80"/>
      </w:pPr>
      <w:r>
        <w:rPr>
          <w:i/>
          <w:sz w:val="20"/>
        </w:rPr>
        <w:t>EN: A multiplant transcriptomic atlas reveals conserved and lineage-specific defense architectures in response to Botrytis cinerea</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54">
        <w:r>
          <w:rPr>
            <w:color w:val="1155CC"/>
            <w:u w:val="single"/>
          </w:rPr>
          <w:t>10.1073/pnas.2601719123</w:t>
        </w:r>
      </w:hyperlink>
    </w:p>
    <w:p>
      <w:pPr>
        <w:spacing w:before="0" w:after="120"/>
      </w:pPr>
      <w:r>
        <w:rPr>
          <w:b/>
        </w:rPr>
        <w:t xml:space="preserve">Notes: </w:t>
      </w:r>
      <w:r>
        <w:t>abstract_source=crossref</w:t>
      </w:r>
    </w:p>
    <w:p>
      <w:pPr>
        <w:spacing w:before="0" w:after="80" w:lineRule="auto" w:line="276"/>
      </w:pPr>
      <w:r>
        <w:rPr>
          <w:b/>
        </w:rPr>
        <w:t xml:space="preserve">摘要（ZH）: </w:t>
      </w:r>
      <w:r>
        <w:t>广谱病原体通过感染多种宿主并拥有广泛的种内遗传变异对植物免疫构成挑战。进化上遥远的植物谱系在面对这些同一病原体物种的遗传变异成员时，是依赖共享的免疫策略还是部署独特的谱系特异性防御，仍未解决。在此，我们采用大规模共转录组学方法绘制了感染72个遗传上不同的灰霉菌（Botrytis cinerea）分离株的10种多样的双子叶植物的免疫景观。我们识别出有限的进化保守防御直系同源物，以及广泛的谱系依赖性调控基因景观。宿主共享广泛的生理结果，如代谢重编程、细胞壁修饰和生长相关过程的抑制，但与这些反应相关的调控途径在很大程度上是谱系依赖的。关键是，这种免疫景观是由病原体多样性动态塑造的。近四分之三的宿主转录反应是分离株依赖的，转录重编程的幅度由特定的宿主-分离株组合定义，而不是普遍的物种级反应。即使是与共享毒力因子相关的宿主转录反应，包括广泛表达的病原体植物毒素，也是谱系特异的。这些发现表明，植物对广谱病原体的免疫是建立在保守的生理结果之上的，这些结果似乎是通过进化的谱系依赖性调控途径实现的。</w:t>
      </w:r>
    </w:p>
    <w:p>
      <w:pPr>
        <w:spacing w:before="0" w:after="200" w:lineRule="auto" w:line="276"/>
      </w:pPr>
      <w:r>
        <w:rPr>
          <w:b/>
        </w:rPr>
        <w:t xml:space="preserve">Abstract (EN): </w:t>
      </w:r>
      <w:r>
        <w:t>Generalist pathogens pose a challenge to plant immunity by infecting diverse hosts while harboring extensive intraspecific genetic variation. Whether evolutionary distant plant lineages rely on a shared immune strategy or deploy distinct, lineage-specific defenses when confronted by these genetically variable members of the same pathogen species remains unresolved. Here, we employed a large-scale cotranscriptomic approach to map the immune landscape of 10 diverse eudicot species infected with 72 genetically distinct</w:t>
      </w:r>
      <w:r>
        <w:t xml:space="preserve"> </w:t>
      </w:r>
      <w:r>
        <w:t>Botrytis cinerea</w:t>
      </w:r>
      <w:r>
        <w:t xml:space="preserve"> </w:t>
      </w:r>
      <w:r>
        <w:t>isolates. We identified a limited core of evolutionarily conserved defense orthologs, along with a vast landscape of lineage-dependent regulatory genes. Host shared the broad physiological outcome such as metabolic reprogramming, cell wall modification, and suppression of growth-associated processes, yet the regulatory pathways associated with these responses were largely lineage-dependent. Crucially, this immune landscape is dynamically shaped by pathogen diversity. Nearly three-quarters of host transcriptional responses were isolate dependent, with the magnitude of transcriptional reprogramming defined by specific host–isolate combinations rather than a universal species-level response. Even host transcriptional responses correlated with shared virulence factors, including broadly expressed pathogens phytotoxins, were lineage specific. These findings suggest that plant immunity to generalist pathogens is built on conserved physiological outcomes that appear to occur by evolving lineage-dependent regulatory mechanisms. The causal relationship between these lineage-dependent components and the conserved outcomes require further mechanistic investigation. This distinct regulatory architecture creates an immune landscape heavily modulated by specific host–isolate combinations, highlighting the necessity of integrating pathogen diversity into models of plant defense evolution and resistance breeding.</w:t>
      </w:r>
    </w:p>
    <w:p>
      <w:pPr>
        <w:spacing w:before="120" w:after="120"/>
      </w:pPr>
      <w:r>
        <w:rPr>
          <w:sz w:val="18"/>
        </w:rPr>
        <w:t>——————————————————————————————————————————————————————————————————————</w:t>
      </w:r>
    </w:p>
    <w:p>
      <w:pPr>
        <w:spacing w:before="160" w:after="40" w:line="240" w:lineRule="auto"/>
      </w:pPr>
      <w:r>
        <w:rPr>
          <w:b/>
        </w:rPr>
        <w:t xml:space="preserve">[368] </w:t>
      </w:r>
      <w:hyperlink r:id="rId855">
        <w:r>
          <w:rPr>
            <w:color w:val="1155CC"/>
            <w:u w:val="single"/>
          </w:rPr>
          <w:t>基底外侧杏仁核和伏隔核对维持而不仅仅是启动认知努力的贡献</w:t>
        </w:r>
      </w:hyperlink>
    </w:p>
    <w:p>
      <w:pPr>
        <w:spacing w:before="0" w:after="80"/>
      </w:pPr>
      <w:r>
        <w:rPr>
          <w:i/>
          <w:sz w:val="20"/>
        </w:rPr>
        <w:t>EN: Contributions of the basolateral amygdala and nucleus accumbens to sustaining not just initiating cognitive effort</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56">
        <w:r>
          <w:rPr>
            <w:color w:val="1155CC"/>
            <w:u w:val="single"/>
          </w:rPr>
          <w:t>10.1073/pnas.2601231123</w:t>
        </w:r>
      </w:hyperlink>
    </w:p>
    <w:p>
      <w:pPr>
        <w:spacing w:before="0" w:after="120"/>
      </w:pPr>
      <w:r>
        <w:rPr>
          <w:b/>
        </w:rPr>
        <w:t xml:space="preserve">Notes: </w:t>
      </w:r>
      <w:r>
        <w:t>abstract_source=crossref</w:t>
      </w:r>
    </w:p>
    <w:p>
      <w:pPr>
        <w:spacing w:before="0" w:after="80" w:lineRule="auto" w:line="276"/>
      </w:pPr>
      <w:r>
        <w:rPr>
          <w:b/>
        </w:rPr>
        <w:t xml:space="preserve">摘要（ZH）: </w:t>
      </w:r>
      <w:r>
        <w:t>人们常常需要维持认知努力以实现重要目标。尽管当前的模型认识到皮层下估值区域对于启动这种努力很重要，但它们并未将其视为在整个任务执行过程中维持努力的有意义角色。在此，我们证明了核心皮层下估值区域——基底外侧杏仁核（BLA）和伏隔核（NAcc）——在一个具有挑战性的工作记忆任务中对维持认知努力的贡献。首先，汇聚的单变量和多变量分析揭示了BLA和NAcc在每个任务阶段（编码、维持和探测/响应）中代表了激励价值、认知努力需求或两者。其次，BLA/NAcc多变量价值编码的试验间波动预测了额顶叶皮层参与的强度和行为表现。第三，BLA和NAcc在整个任务中与额顶叶区域功能性互动，表明它们以协调的方式工作。这些发现揭示了皮层下估值区域在维持认知努力中的连续和动态角色。</w:t>
      </w:r>
    </w:p>
    <w:p>
      <w:pPr>
        <w:spacing w:before="0" w:after="200" w:lineRule="auto" w:line="276"/>
      </w:pPr>
      <w:r>
        <w:rPr>
          <w:b/>
        </w:rPr>
        <w:t xml:space="preserve">Abstract (EN): </w:t>
      </w:r>
      <w:r>
        <w:t>People must often sustain cognitive effort to achieve important goals. Although current models recognize that subcortical valuation regions are important for initiating such effort, they have not seen them as playing meaningful roles in sustaining effort throughout task performance. Here, we demonstrate that core subcortical valuation regions—the basolateral amygdala (BLA) and nucleus accumbens (NAcc)—contribute to sustaining cognitive effort on a challenging working memory task. First, convergent univariate and multivariate analyses revealed that the BLA and NAcc represented incentive value, cognitive effort demands, or both, during every task period (encoding, maintenance, and probe/response). Second, trial-to-trial fluctuations in BLA/NAcc multivariate value coding predicted both the strength of frontoparietal cortical engagement and behavioral performance. Third, the BLA and NAcc functionally interacted with frontoparietal regions throughout the task, suggesting that they work in a coordinated manner. These findings reveal a continuous and dynamic role for subcortical valuation regions in sustaining cognitive effort.</w:t>
      </w:r>
    </w:p>
    <w:p>
      <w:pPr>
        <w:spacing w:before="120" w:after="120"/>
      </w:pPr>
      <w:r>
        <w:rPr>
          <w:sz w:val="18"/>
        </w:rPr>
        <w:t>——————————————————————————————————————————————————————————————————————</w:t>
      </w:r>
    </w:p>
    <w:p>
      <w:pPr>
        <w:spacing w:before="160" w:after="40" w:line="240" w:lineRule="auto"/>
      </w:pPr>
      <w:r>
        <w:rPr>
          <w:b/>
        </w:rPr>
        <w:t xml:space="preserve">[369] </w:t>
      </w:r>
      <w:hyperlink r:id="rId857">
        <w:r>
          <w:rPr>
            <w:color w:val="1155CC"/>
            <w:u w:val="single"/>
          </w:rPr>
          <w:t>HSPCs和Treg细胞合作以在慢性炎症下维持髓外造血</w:t>
        </w:r>
      </w:hyperlink>
    </w:p>
    <w:p>
      <w:pPr>
        <w:spacing w:before="0" w:after="80"/>
      </w:pPr>
      <w:r>
        <w:rPr>
          <w:i/>
          <w:sz w:val="20"/>
        </w:rPr>
        <w:t>EN: HSPCs and Treg cells cooperate to preserve extramedullary hematopoiesis under chronic inflammation</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58">
        <w:r>
          <w:rPr>
            <w:color w:val="1155CC"/>
            <w:u w:val="single"/>
          </w:rPr>
          <w:t>10.1126/sciadv.adv9351</w:t>
        </w:r>
      </w:hyperlink>
    </w:p>
    <w:p>
      <w:pPr>
        <w:spacing w:before="0" w:after="120"/>
      </w:pPr>
      <w:r>
        <w:rPr>
          <w:b/>
        </w:rPr>
        <w:t xml:space="preserve">Notes: </w:t>
      </w:r>
      <w:r>
        <w:t>abstract_source=crossref</w:t>
      </w:r>
    </w:p>
    <w:p>
      <w:pPr>
        <w:spacing w:before="0" w:after="80" w:lineRule="auto" w:line="276"/>
      </w:pPr>
      <w:r>
        <w:rPr>
          <w:b/>
        </w:rPr>
        <w:t xml:space="preserve">摘要（ZH）: </w:t>
      </w:r>
      <w:r>
        <w:t>造血干细胞和祖细胞（HSPCs）位于骨髓（BM）的特定小生境中。然而，在血液疾病或感染期间，这些细胞在BM中的功能受到损害，导致髓外造血（EMH）。慢性炎症驱动EMH，但其对BM外HSPCs的影响尚不清楚。使用慢性自身炎症疾病的小鼠模型，我们证明了血液、脾脏以及发炎的尾部和爪子中存在髓外HSPCs。单细胞转录组学揭示了髓外HSCs的独特表达谱，显著上调了Cd53、MHCII相关和免疫抑制基因。我们进一步证明，髓外CD53+ HSPCs作为抗原呈递细胞，促进调节性T细胞（Treg细胞）的发育，以控制髓外部位的慢性炎症。相反，Treg细胞对髓外HSPCs发挥保护作用。总之，我们的研究揭示了在慢性炎症期间，HSPCs和T细胞在发炎组织中独特子集之间的相互支持关系。</w:t>
      </w:r>
    </w:p>
    <w:p>
      <w:pPr>
        <w:spacing w:before="0" w:after="200" w:lineRule="auto" w:line="276"/>
      </w:pPr>
      <w:r>
        <w:rPr>
          <w:b/>
        </w:rPr>
        <w:t xml:space="preserve">Abstract (EN): </w:t>
      </w:r>
      <w:r>
        <w:t>Hematopoietic stem and progenitor cells (HSPCs) are localized within specialized niches of the bone marrow (BM). However, during hematological disorders or infections, the functionality of these cells in the BM is compromised, leading to extramedullary hematopoiesis (EMH). Chronic inflammation drives EMH, yet its impact on HSPCs outside the BM is poorly understood. Using a mouse model of chronic autoinflammatory disease, we demonstrated the presence of extramedullary HSPCs in blood, spleen, and inflamed tails and paws. Single-cell transcriptomics revealed a unique expression profile in extramedullary HSCs, with significant up-regulation of</w:t>
      </w:r>
      <w:r>
        <w:t xml:space="preserve"> </w:t>
      </w:r>
      <w:r>
        <w:t>Cd53</w:t>
      </w:r>
      <w:r>
        <w:t xml:space="preserve"> </w:t>
      </w:r>
      <w:r>
        <w:t>, MHCII-associated, and immunosuppressive genes. We further demonstrated that extramedullary CD53</w:t>
      </w:r>
      <w:r>
        <w:t xml:space="preserve"> </w:t>
      </w:r>
      <w:r>
        <w:t>+</w:t>
      </w:r>
      <w:r>
        <w:t xml:space="preserve"> </w:t>
      </w:r>
      <w:r>
        <w:t>HSPCs act as antigen-presenting cells, promoting the development of regulatory T cells (T</w:t>
      </w:r>
      <w:r>
        <w:t xml:space="preserve"> </w:t>
      </w:r>
      <w:r>
        <w:t>reg</w:t>
      </w:r>
      <w:r>
        <w:t xml:space="preserve"> </w:t>
      </w:r>
      <w:r>
        <w:t>cells) to control chronic inflammation at extramedullary sites. Conversely, T</w:t>
      </w:r>
      <w:r>
        <w:t xml:space="preserve"> </w:t>
      </w:r>
      <w:r>
        <w:t>reg</w:t>
      </w:r>
      <w:r>
        <w:t xml:space="preserve"> </w:t>
      </w:r>
      <w:r>
        <w:t>cells exert a protective role on extramedullary HSPCs. Together, our findings revealed a mutually supportive relationship between a unique subset of HSPCs and T cells in inflamed tissues during chronic inflammation.</w:t>
      </w:r>
    </w:p>
    <w:p>
      <w:pPr>
        <w:spacing w:before="120" w:after="120"/>
      </w:pPr>
      <w:r>
        <w:rPr>
          <w:sz w:val="18"/>
        </w:rPr>
        <w:t>——————————————————————————————————————————————————————————————————————</w:t>
      </w:r>
    </w:p>
    <w:p>
      <w:pPr>
        <w:spacing w:before="160" w:after="40" w:line="240" w:lineRule="auto"/>
      </w:pPr>
      <w:r>
        <w:rPr>
          <w:b/>
        </w:rPr>
        <w:t xml:space="preserve">[370] </w:t>
      </w:r>
      <w:hyperlink r:id="rId859">
        <w:r>
          <w:rPr>
            <w:color w:val="1155CC"/>
            <w:u w:val="single"/>
          </w:rPr>
          <w:t>Konstantoulea等人的更正，吞噬细胞作为斑块催化剂：人类巨噬细胞生成具有交叉播种活性的种子胜任Aβ42纤维</w:t>
        </w:r>
      </w:hyperlink>
    </w:p>
    <w:p>
      <w:pPr>
        <w:spacing w:before="0" w:after="80"/>
      </w:pPr>
      <w:r>
        <w:rPr>
          <w:i/>
          <w:sz w:val="20"/>
        </w:rPr>
        <w:t>EN: Correction for Konstantoulea et al., Phagocytes as plaque catalysts: Human macrophages generate seeding-competent Aβ42 fibrils with cross-seeding activity</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60">
        <w:r>
          <w:rPr>
            <w:color w:val="1155CC"/>
            <w:u w:val="single"/>
          </w:rPr>
          <w:t>10.1073/pnas.2613397123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861">
        <w:r>
          <w:rPr>
            <w:color w:val="1155CC"/>
            <w:u w:val="single"/>
          </w:rPr>
          <w:t>Andrews等人的更正，SARS-CoV-2对人类皮质星形胶质细胞的嗜性</w:t>
        </w:r>
      </w:hyperlink>
    </w:p>
    <w:p>
      <w:pPr>
        <w:spacing w:before="0" w:after="80"/>
      </w:pPr>
      <w:r>
        <w:rPr>
          <w:i/>
          <w:sz w:val="20"/>
        </w:rPr>
        <w:t>EN: Correction for Andrews et al., Tropism of SARS-CoV-2 for human cortical astrocytes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62">
        <w:r>
          <w:rPr>
            <w:color w:val="1155CC"/>
            <w:u w:val="single"/>
          </w:rPr>
          <w:t>10.1073/pnas.2613717123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863">
        <w:r>
          <w:rPr>
            <w:color w:val="1155CC"/>
            <w:u w:val="single"/>
          </w:rPr>
          <w:t>随机迭代轨迹重加权用于无离散化误差的稳态分布</w:t>
        </w:r>
      </w:hyperlink>
    </w:p>
    <w:p>
      <w:pPr>
        <w:spacing w:before="0" w:after="80"/>
      </w:pPr>
      <w:r>
        <w:rPr>
          <w:i/>
          <w:sz w:val="20"/>
        </w:rPr>
        <w:t>EN: Randomized iterative trajectory reweighting for steady-state distributions without discretization error</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64">
        <w:r>
          <w:rPr>
            <w:color w:val="1155CC"/>
            <w:u w:val="single"/>
          </w:rPr>
          <w:t>10.1073/pnas.2529246123</w:t>
        </w:r>
      </w:hyperlink>
    </w:p>
    <w:p>
      <w:pPr>
        <w:spacing w:before="0" w:after="120"/>
      </w:pPr>
      <w:r>
        <w:rPr>
          <w:b/>
        </w:rPr>
        <w:t xml:space="preserve">Notes: </w:t>
      </w:r>
      <w:r>
        <w:t>abstract_source=crossref</w:t>
      </w:r>
    </w:p>
    <w:p>
      <w:pPr>
        <w:spacing w:before="0" w:after="80" w:lineRule="auto" w:line="276"/>
      </w:pPr>
      <w:r>
        <w:rPr>
          <w:b/>
        </w:rPr>
        <w:t xml:space="preserve">摘要（ZH）: </w:t>
      </w:r>
      <w:r>
        <w:t>分子动力学（MD）模拟中的一个重大挑战是确保采样的构型收敛到感兴趣的平衡或非平衡稳态分布。缺乏收敛限制了自由能的估计以及分子转变的速率和机制。在此，我们介绍了“随机化迭代轨迹重加权”（RiteWeight）算法，以从未收敛的模拟数据中估计稳态分布。该方法通过求解马尔可夫状态模型（MSM）的稳态分布，更新段权重，并在每次迭代中采用新的随机聚类，以自洽的方式迭代重加权轨迹段。重复聚类减轻了现有轨迹重加权技术中固有的配置空间离散化误差，并产生准连续的配置空间分布。RiteWeight即使在集群级别不需要马尔可夫性质的情况下，也能准确恢复稳态分布。我们对RiteWeight的固定点进行了数学分析。我们使用合成MD Trp-cage轨迹（其稳态解是精确可计算的）和从长参考模拟中提取的标准原子MD Trp-cage轨迹对该方法进行了实证验证。在这两个测试系统中，RiteWeight纠正了有缺陷的分布，并为平衡和非平衡稳态生成了准确的可观测量。结果突出了纠正基础轨迹分布而不是使用标准MSM的价值。</w:t>
      </w:r>
    </w:p>
    <w:p>
      <w:pPr>
        <w:spacing w:before="0" w:after="200" w:lineRule="auto" w:line="276"/>
      </w:pPr>
      <w:r>
        <w:rPr>
          <w:b/>
        </w:rPr>
        <w:t xml:space="preserve">Abstract (EN): </w:t>
      </w:r>
      <w:r>
        <w:t>A significant challenge in molecular dynamics (MD) simulations is ensuring that sampled configurations converge to the equilibrium or nonequilibrium stationary distribution of interest. Lack of convergence constrains the estimation of free energies and of rates and mechanisms for molecular transitions. Here, we introduce the “Randomized ITErative trajectory reWeighting” (RiteWeight) algorithm to estimate a stationary distribution from unconverged simulation data. This method iteratively reweights trajectory segments in a self-consistent way by solving for the stationary distribution of a Markov state model (MSM), updating segment weights, and employing a new random clustering in each iteration. The repeated clustering mitigates the configuration-space discretization error inherent in existing trajectory reweighting techniques and yields quasi-continuous configuration-space distributions. RiteWeight accurately recovers the stationary distribution even without requiring the Markov property at the cluster level. We present mathematical analysis of the RiteWeight fixed point. We empirically validate the method using both synthetic MD Trp-cage trajectories, for which the stationary solution is exactly calculable, and standard atomistic MD Trp-cage trajectories, which are extracted from a long reference simulation. In both test systems, RiteWeight corrects flawed distributions and generates accurate observables for equilibrium and nonequilibrium steady states. The results highlight the value of correcting the underlying trajectory distribution rather than using a standard MSM.</w:t>
      </w:r>
    </w:p>
    <w:p>
      <w:pPr>
        <w:spacing w:before="120" w:after="120"/>
      </w:pPr>
      <w:r>
        <w:rPr>
          <w:sz w:val="18"/>
        </w:rPr>
        <w:t>——————————————————————————————————————————————————————————————————————</w:t>
      </w:r>
    </w:p>
    <w:p>
      <w:pPr>
        <w:spacing w:before="160" w:after="40" w:line="240" w:lineRule="auto"/>
      </w:pPr>
      <w:r>
        <w:rPr>
          <w:b/>
        </w:rPr>
        <w:t xml:space="preserve">[373] </w:t>
      </w:r>
      <w:hyperlink r:id="rId865">
        <w:r>
          <w:rPr>
            <w:color w:val="1155CC"/>
            <w:u w:val="single"/>
          </w:rPr>
          <w:t>SPOP的功能性氨基酸水平解剖揭示了肿瘤发生过程中变体的全面功能景观</w:t>
        </w:r>
      </w:hyperlink>
    </w:p>
    <w:p>
      <w:pPr>
        <w:spacing w:before="0" w:after="80"/>
      </w:pPr>
      <w:r>
        <w:rPr>
          <w:i/>
          <w:sz w:val="20"/>
        </w:rPr>
        <w:t>EN: Functional dissection of SPOP at the amino acid level reveals a comprehensive functional landscape of variants during tumorigenesis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66">
        <w:r>
          <w:rPr>
            <w:color w:val="1155CC"/>
            <w:u w:val="single"/>
          </w:rPr>
          <w:t>10.1073/pnas.2523210123</w:t>
        </w:r>
      </w:hyperlink>
    </w:p>
    <w:p>
      <w:pPr>
        <w:spacing w:before="0" w:after="120"/>
      </w:pPr>
      <w:r>
        <w:rPr>
          <w:b/>
        </w:rPr>
        <w:t xml:space="preserve">Notes: </w:t>
      </w:r>
      <w:r>
        <w:t>abstract_source=crossref</w:t>
      </w:r>
    </w:p>
    <w:p>
      <w:pPr>
        <w:spacing w:before="0" w:after="80" w:lineRule="auto" w:line="276"/>
      </w:pPr>
      <w:r>
        <w:rPr>
          <w:b/>
        </w:rPr>
        <w:t xml:space="preserve">摘要（ZH）: </w:t>
      </w:r>
      <w:r>
        <w:t>许多蛋白质在不同的临床背景下显示出多效性功能。然而，这种效应的分子机制很少被理解。斑点型POZ蛋白（SPOP）是一个典型的例子，在不同的肿瘤类型中根据不同的氨基酸变化表现出抑制肿瘤或促进肿瘤的效应；具体来说，SPOP中的两组不同变体通常在前列腺癌和子宫内膜癌患者的子集中发现。为了全面表征SPOP改变的功能景观，我们进行了深度突变筛选（DMS），阐明了8,228种可能的单一氨基酸变化中的7,933种的功能（覆盖率为96.4%）。利用人类SPOP过表达导致酵母生长停滞的观察，我们使用酵母增殖测定评估了每种变体的功能。此外，我们的方法结合了长读和短读测序。最后，我们的DMS模型能够清晰地区分在前列腺癌中富集的可能功能丧失变体，并揭示它们在蛋白质结构和遗传评估中的不同特征。这些结果证明了我们的方法在高分辨率映射和氨基酸水平解释蛋白质功能方面的实用性。</w:t>
      </w:r>
    </w:p>
    <w:p>
      <w:pPr>
        <w:spacing w:before="0" w:after="200" w:lineRule="auto" w:line="276"/>
      </w:pPr>
      <w:r>
        <w:rPr>
          <w:b/>
        </w:rPr>
        <w:t xml:space="preserve">Abstract (EN): </w:t>
      </w:r>
      <w:r>
        <w:t>Numerous proteins display pleiotropic functions in different clinical contexts. However, the molecular mechanism underlying such effects is rarely understood. Speckle-type POZ protein (</w:t>
      </w:r>
      <w:r>
        <w:t xml:space="preserve"> </w:t>
      </w:r>
      <w:r>
        <w:t>SPOP</w:t>
      </w:r>
      <w:r>
        <w:t xml:space="preserve"> </w:t>
      </w:r>
      <w:r>
        <w:t>) is a typical example, exhibiting tumor-suppressing or tumor-promoting effects in different tumor types in accordance with different amino acid changes; specifically, two distinct sets of variants in</w:t>
      </w:r>
      <w:r>
        <w:t xml:space="preserve"> </w:t>
      </w:r>
      <w:r>
        <w:t>SPOP</w:t>
      </w:r>
      <w:r>
        <w:t xml:space="preserve"> </w:t>
      </w:r>
      <w:r>
        <w:t>are commonly found in subsets of prostate cancer and endometrial cancer patients. To comprehensively characterize the functional landscape of</w:t>
      </w:r>
      <w:r>
        <w:t xml:space="preserve"> </w:t>
      </w:r>
      <w:r>
        <w:t>SPOP</w:t>
      </w:r>
      <w:r>
        <w:t xml:space="preserve"> </w:t>
      </w:r>
      <w:r>
        <w:t>alteration, we performed a deep mutational screening (DMS), elucidating the functionality of 7,933 out of 8,228 possible single amino acid changes (96.4% coverage). Leveraging the observation that overexpression of human</w:t>
      </w:r>
      <w:r>
        <w:t xml:space="preserve"> </w:t>
      </w:r>
      <w:r>
        <w:t>SPOP</w:t>
      </w:r>
      <w:r>
        <w:t xml:space="preserve"> </w:t>
      </w:r>
      <w:r>
        <w:t>leads to yeast growth arrest, we assessed the functionality of each variant using a yeast proliferation assay. In addition, our approach combined long-read and short-read sequencing. Finally, our DMS model enables a clear distinction of likely-loss-of-function variants that are enriched in prostate cancers and reveals their differential characteristics in both protein structure and genetic assessments. These results demonstrate the utility of our approach in high-resolution mapping and amino acid–level interpretation of protein function.</w:t>
      </w:r>
    </w:p>
    <w:p>
      <w:pPr>
        <w:spacing w:before="120" w:after="120"/>
      </w:pPr>
      <w:r>
        <w:rPr>
          <w:sz w:val="18"/>
        </w:rPr>
        <w:t>——————————————————————————————————————————————————————————————————————</w:t>
      </w:r>
    </w:p>
    <w:p>
      <w:pPr>
        <w:spacing w:before="160" w:after="40" w:line="240" w:lineRule="auto"/>
      </w:pPr>
      <w:r>
        <w:rPr>
          <w:b/>
        </w:rPr>
        <w:t xml:space="preserve">[374] </w:t>
      </w:r>
      <w:hyperlink r:id="rId867">
        <w:r>
          <w:rPr>
            <w:color w:val="1155CC"/>
            <w:u w:val="single"/>
          </w:rPr>
          <w:t>IL-33诱导的ILC2效应细胞因子反应促进红髓巨噬细胞的扩增</w:t>
        </w:r>
      </w:hyperlink>
    </w:p>
    <w:p>
      <w:pPr>
        <w:spacing w:before="0" w:after="80"/>
      </w:pPr>
      <w:r>
        <w:rPr>
          <w:i/>
          <w:sz w:val="20"/>
        </w:rPr>
        <w:t>EN: IL-33-induced ILC2 effector cytokine responses promote the expansion of red pulp macrophages</w:t>
      </w:r>
    </w:p>
    <w:p>
      <w:pPr>
        <w:spacing w:before="0" w:after="120"/>
      </w:pPr>
      <w:r>
        <w:rPr>
          <w:b/>
        </w:rPr>
        <w:t xml:space="preserve">Source: </w:t>
      </w:r>
      <w:r>
        <w:t>Proceedings of the National Academy of Sciences: Keyword search for query</w:t>
      </w:r>
      <w:r>
        <w:t xml:space="preserve">    </w:t>
      </w:r>
      <w:r>
        <w:rPr>
          <w:b/>
        </w:rPr>
        <w:t xml:space="preserve">Pub date: </w:t>
      </w:r>
      <w:r>
        <w:t>2026-05-06 07:00:00+00:00</w:t>
      </w:r>
      <w:r>
        <w:t xml:space="preserve">    </w:t>
      </w:r>
      <w:r>
        <w:rPr>
          <w:b/>
        </w:rPr>
        <w:t xml:space="preserve">DOI: </w:t>
      </w:r>
      <w:hyperlink r:id="rId868">
        <w:r>
          <w:rPr>
            <w:color w:val="1155CC"/>
            <w:u w:val="single"/>
          </w:rPr>
          <w:t>10.1073/pnas.2609716123</w:t>
        </w:r>
      </w:hyperlink>
    </w:p>
    <w:p>
      <w:pPr>
        <w:spacing w:before="0" w:after="120"/>
      </w:pPr>
      <w:r>
        <w:rPr>
          <w:b/>
        </w:rPr>
        <w:t xml:space="preserve">Notes: </w:t>
      </w:r>
      <w:r>
        <w:t>abstract_source=crossref</w:t>
      </w:r>
    </w:p>
    <w:p>
      <w:pPr>
        <w:spacing w:before="0" w:after="80" w:lineRule="auto" w:line="276"/>
      </w:pPr>
      <w:r>
        <w:rPr>
          <w:b/>
        </w:rPr>
        <w:t xml:space="preserve">摘要（ZH）: </w:t>
      </w:r>
      <w:r>
        <w:t>红髓巨噬细胞（RPMs）从循环中去除衰老的红细胞，并回收其铁用于红细胞生成。RPMs的发展由微环境信号引导，通过诱导转录因子（包括Spi-C和PPARγ）促进扩展和组织适应。在此，我们展示了感染线虫Nippostrongylus brasiliensis或用IL-33处理导致活化的2型先天淋巴细胞（ILC2s）在脾脏中积累。由IL-33激活的ILC2s通过分泌效应细胞因子IL-4/IL-13和GM-CSF驱动RPMs的扩展。相比之下，我们显示IL-33在稳态条件下对RPM的发展和功能是可有可无的。总体而言，我们的工作揭示了ILC2s和RPMs在2型免疫反应期间之间一种先前未被认识的串扰。</w:t>
      </w:r>
    </w:p>
    <w:p>
      <w:pPr>
        <w:spacing w:before="0" w:after="200" w:lineRule="auto" w:line="276"/>
      </w:pPr>
      <w:r>
        <w:rPr>
          <w:b/>
        </w:rPr>
        <w:t xml:space="preserve">Abstract (EN): </w:t>
      </w:r>
      <w:r>
        <w:t>Red pulp macrophages (RPMs) remove senescent erythrocytes from the circulation and recycle their iron for erythropoiesis. The development of RPMs is guided by signals from the microenvironment, which promote expansion and tissue adaptation through the induction of transcription factors, including Spi-C and PPARγ. Here, we show that infection with the nematode</w:t>
      </w:r>
      <w:r>
        <w:t xml:space="preserve"> </w:t>
      </w:r>
      <w:r>
        <w:t>Nippostrongylus brasiliensis</w:t>
      </w:r>
      <w:r>
        <w:t xml:space="preserve"> </w:t>
      </w:r>
      <w:r>
        <w:t>or treatment with IL-33 results in the accumulation of activated group 2 innate lymphocytes (ILC2s) in the spleen. ILC2s activated by IL-33 drive the expansion of RPMs by secretion of the effector cytokines IL-4/IL-13 and GM-CSF. By contrast, we show that IL-33 is dispensable for RPM development and function under homeostatic conditions. Overall, our work uncovers a previously unrecognized crosstalk between ILC2s and RPMs during type 2 immune responses.</w:t>
      </w:r>
    </w:p>
    <w:p>
      <w:pPr>
        <w:spacing w:before="120" w:after="120"/>
      </w:pPr>
      <w:r>
        <w:rPr>
          <w:sz w:val="18"/>
        </w:rPr>
        <w:t>——————————————————————————————————————————————————————————————————————</w:t>
      </w:r>
    </w:p>
    <w:p>
      <w:pPr>
        <w:spacing w:before="160" w:after="40" w:line="240" w:lineRule="auto"/>
      </w:pPr>
      <w:r>
        <w:rPr>
          <w:b/>
        </w:rPr>
        <w:t xml:space="preserve">[375] </w:t>
      </w:r>
      <w:hyperlink r:id="rId869">
        <w:r>
          <w:rPr>
            <w:color w:val="1155CC"/>
            <w:u w:val="single"/>
          </w:rPr>
          <w:t>自身免疫风险基因TREX1的缺失揭示了促进免疫耐受丧失和抗肿瘤免疫的机制收敛</w:t>
        </w:r>
      </w:hyperlink>
    </w:p>
    <w:p>
      <w:pPr>
        <w:spacing w:before="0" w:after="80"/>
      </w:pPr>
      <w:r>
        <w:rPr>
          <w:i/>
          <w:sz w:val="20"/>
        </w:rPr>
        <w:t>EN: Loss of the autoimmune risk gene TREX1 reveals a convergence of mechanisms promoting immune tolerance loss and antitumor immunity</w:t>
      </w:r>
    </w:p>
    <w:p>
      <w:pPr>
        <w:spacing w:before="0" w:after="120"/>
      </w:pPr>
      <w:r>
        <w:rPr>
          <w:b/>
        </w:rPr>
        <w:t xml:space="preserve">Source: </w:t>
      </w:r>
      <w:r>
        <w:t>AAAS: Science Advances: Table of Contents</w:t>
      </w:r>
      <w:r>
        <w:t xml:space="preserve">    </w:t>
      </w:r>
      <w:r>
        <w:rPr>
          <w:b/>
        </w:rPr>
        <w:t xml:space="preserve">Pub date: </w:t>
      </w:r>
      <w:r>
        <w:t>2026-05-06 07:00:00+00:00</w:t>
      </w:r>
      <w:r>
        <w:t xml:space="preserve">    </w:t>
      </w:r>
      <w:r>
        <w:rPr>
          <w:b/>
        </w:rPr>
        <w:t xml:space="preserve">DOI: </w:t>
      </w:r>
      <w:hyperlink r:id="rId870">
        <w:r>
          <w:rPr>
            <w:color w:val="1155CC"/>
            <w:u w:val="single"/>
          </w:rPr>
          <w:t>10.1126/sciadv.aea6842</w:t>
        </w:r>
      </w:hyperlink>
    </w:p>
    <w:p>
      <w:pPr>
        <w:spacing w:before="0" w:after="120"/>
      </w:pPr>
      <w:r>
        <w:rPr>
          <w:b/>
        </w:rPr>
        <w:t xml:space="preserve">Notes: </w:t>
      </w:r>
      <w:r>
        <w:t>abstract_source=crossref</w:t>
      </w:r>
    </w:p>
    <w:p>
      <w:pPr>
        <w:spacing w:before="0" w:after="80" w:lineRule="auto" w:line="276"/>
      </w:pPr>
      <w:r>
        <w:rPr>
          <w:b/>
        </w:rPr>
        <w:t xml:space="preserve">摘要（ZH）: </w:t>
      </w:r>
      <w:r>
        <w:t>靶向PD-1和CTLA-4的检查点抑制剂已经改变了癌症治疗。两者都与自身免疫性疾病有遗传关联。此外，某些免疫相关不良事件和自身免疫风险变体与检查点抑制的临床疗效有关。这些关联表明了成功的癌症免疫疗法和自身免疫易感性之间的共同原则。在此，我们展示了细胞质DNA外切酶TREX1的消除使小鼠易患自身免疫，同时促进强大的抗肿瘤免疫。持续的TREX1缺失导致早发性自身免疫，其特征是多器官CD8+ T细胞浸润、心肌炎和类干燥综合征疾病。相反，诱导的系统性TREX1消除是可以耐受的，并促进有效的CD8+ T细胞驱动的抗肿瘤免疫。详细的表型研究揭示了有效抗肿瘤和致病性自身免疫CD8+ T细胞反应之间的显著重叠。总之，我们提供了自身免疫和成功癌症免疫疗法之间相关机制的机制证据，揭示了适应性T细胞和先天免疫检查点之间的关键相似之处，并建议靶向自身免疫风险基因代表了癌症免疫疗法的一个有前途的未来途径。</w:t>
      </w:r>
    </w:p>
    <w:p>
      <w:pPr>
        <w:spacing w:before="0" w:after="200" w:lineRule="auto" w:line="276"/>
      </w:pPr>
      <w:r>
        <w:rPr>
          <w:b/>
        </w:rPr>
        <w:t xml:space="preserve">Abstract (EN): </w:t>
      </w:r>
      <w:r>
        <w:t>Checkpoint inhibitors targeting PD-1 and CTLA-4 have transformed cancer therapy. Both are genetically associated with autoimmune disorders. Moreover, certain immune-related adverse events and autoimmune risk variants are linked to the clinical efficacy of checkpoint inhibition. These associations suggest common principles governing successful cancer immunotherapy and autoimmune susceptibility. Here, we show that ablation of the cytosolic DNA exonuclease TREX1 predisposes mice to autoimmunity while promoting robust antitumor immunity. Constitutive TREX1 loss leads to early onset autoimmunity, characterized by multiorgan CD8+ T cell infiltration, myocarditis, and Sjögren’s syndrome–like disease. In contrast, induced systemic TREX1 ablation is well tolerated and promotes effective CD8+ T cell–driven antitumor immunity. Detailed phenotypic studies revealed a notable overlap between productive antitumor and pathogenic autoimmune CD8+ T cell responses. Collectively, we provide mechanistic evidence for interrelated mechanisms underlying autoimmunity and successful cancer immunotherapy, uncover key parallels between adaptive T cell and innate immune checkpoints, and suggest that targeting autoimmune risk genes represents a promising future avenue for cancer immunotherapy.</w:t>
      </w:r>
    </w:p>
    <w:p>
      <w:pPr>
        <w:spacing w:before="120" w:after="120"/>
      </w:pPr>
      <w:r>
        <w:rPr>
          <w:sz w:val="18"/>
        </w:rPr>
        <w:t>——————————————————————————————————————————————————————————————————————</w:t>
      </w:r>
    </w:p>
    <w:p>
      <w:pPr>
        <w:spacing w:before="160" w:after="40" w:line="240" w:lineRule="auto"/>
      </w:pPr>
      <w:r>
        <w:rPr>
          <w:b/>
        </w:rPr>
        <w:t xml:space="preserve">[376] </w:t>
      </w:r>
      <w:hyperlink r:id="rId871">
        <w:r>
          <w:rPr>
            <w:color w:val="1155CC"/>
            <w:u w:val="single"/>
          </w:rPr>
          <w:t>通过混合锰卤化物中的不对称氢键网络实现的抗热猝灭双色可调圆偏振发光</w:t>
        </w:r>
      </w:hyperlink>
    </w:p>
    <w:p>
      <w:pPr>
        <w:spacing w:before="0" w:after="80"/>
      </w:pPr>
      <w:r>
        <w:rPr>
          <w:i/>
          <w:sz w:val="20"/>
        </w:rPr>
        <w:t>EN: Dual‐Color Tunable Circularly Polarized Luminescence With Anti‐Thermal‐Quenching Enabled by Asymmetric Hydrogen‐Bonding Networks in Hybrid Manganese Halides</w:t>
      </w:r>
    </w:p>
    <w:p>
      <w:pPr>
        <w:spacing w:before="0" w:after="120"/>
      </w:pPr>
      <w:r>
        <w:rPr>
          <w:b/>
        </w:rPr>
        <w:t xml:space="preserve">Source: </w:t>
      </w:r>
      <w:r>
        <w:t>Wiley: Advanced Materials: Table of Contents</w:t>
      </w:r>
      <w:r>
        <w:t xml:space="preserve">    </w:t>
      </w:r>
      <w:r>
        <w:rPr>
          <w:b/>
        </w:rPr>
        <w:t xml:space="preserve">Pub date: </w:t>
      </w:r>
      <w:r>
        <w:t>2026-05-06 08:32:30+00:00</w:t>
      </w:r>
      <w:r>
        <w:t xml:space="preserve">    </w:t>
      </w:r>
      <w:r>
        <w:rPr>
          <w:b/>
        </w:rPr>
        <w:t xml:space="preserve">DOI: </w:t>
      </w:r>
      <w:hyperlink r:id="rId872">
        <w:r>
          <w:rPr>
            <w:color w:val="1155CC"/>
            <w:u w:val="single"/>
          </w:rPr>
          <w:t>10.1002/adma.73285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不依赖手性有机阳离子的手性金属卤化物提供了卓越的成分和结构自由度，但由于对结构手性起源的理解有限，其合理设计仍然具有挑战性。在此，通过采用非手性的4-苄基哌啶（4-BPP）阳离子并控制结晶路径，我们获得了两种不同的锰溴化物多晶型：中心对称的α-(4-BPP)2MnBr4（空间群I2/a）和手性的β-(4-BPP)2MnBr4（空间群P21）。详细的晶体学分析揭示了β-(4-BPP)2MnBr4的有机-无机界面的不对称氢键相互作用放大了[MnBr4]2−四面体的畸变，驱动对称性破坏并产生固有的手性。结果的手性相表现出反热猝灭的绿-红双重发射，其中红色成分源于畸变诱导的自陷激子，并通过来自绿色发光的Mn2+中心的能量转移进一步调节。因此，双色可调循环</w:t>
      </w:r>
    </w:p>
    <w:p>
      <w:pPr>
        <w:spacing w:before="0" w:after="200" w:lineRule="auto" w:line="276"/>
      </w:pPr>
      <w:r>
        <w:rPr>
          <w:b/>
        </w:rPr>
        <w:t xml:space="preserve">Abstract (EN): </w:t>
      </w:r>
      <w:r>
        <w:t>Constructing chiral metal halides without relying on chiral organic cations offers exceptional compositional and structural freedom, yet their rational design remains challenging due to the limited understanding of the origins of structural chirality. Here, by employing the achiral 4‐benzylpiperidine (4‐BPP) cation and controlling the crystallization pathways, we access two distinct manganese bromide polymorphs: centrosymmetric α‐(4‐BPP)</w:t>
      </w:r>
      <w:r>
        <w:rPr>
          <w:vertAlign w:val="subscript"/>
        </w:rPr>
        <w:t>2</w:t>
      </w:r>
      <w:r>
        <w:t>MnBr</w:t>
      </w:r>
      <w:r>
        <w:rPr>
          <w:vertAlign w:val="subscript"/>
        </w:rPr>
        <w:t>4</w:t>
      </w:r>
      <w:r>
        <w:t>(space group</w:t>
      </w:r>
      <w:r>
        <w:t xml:space="preserve"> </w:t>
      </w:r>
      <w:r>
        <w:t>I</w:t>
      </w:r>
      <w:r>
        <w:t xml:space="preserve"> </w:t>
      </w:r>
      <w:r>
        <w:t>2/a) and chiral β‐(4‐BPP)</w:t>
      </w:r>
      <w:r>
        <w:rPr>
          <w:vertAlign w:val="subscript"/>
        </w:rPr>
        <w:t>2</w:t>
      </w:r>
      <w:r>
        <w:t>MnBr</w:t>
      </w:r>
      <w:r>
        <w:rPr>
          <w:vertAlign w:val="subscript"/>
        </w:rPr>
        <w:t>4</w:t>
      </w:r>
      <w:r>
        <w:t>(space group</w:t>
      </w:r>
      <w:r>
        <w:t xml:space="preserve"> </w:t>
      </w:r>
      <w:r>
        <w:t>P</w:t>
      </w:r>
      <w:r>
        <w:rPr>
          <w:vertAlign w:val="subscript"/>
        </w:rPr>
        <w:t>2</w:t>
      </w:r>
      <w:r>
        <w:rPr>
          <w:vertAlign w:val="subscript"/>
        </w:rPr>
        <w:t>1</w:t>
      </w:r>
      <w:r>
        <w:t>). Detailed crystallographic analysis reveals that asymmetric hydrogen‐bonding interactions at the organic‐inorganic interface of β‐(4‐BPP)</w:t>
      </w:r>
      <w:r>
        <w:rPr>
          <w:vertAlign w:val="subscript"/>
        </w:rPr>
        <w:t>2</w:t>
      </w:r>
      <w:r>
        <w:t>MnBr</w:t>
      </w:r>
      <w:r>
        <w:rPr>
          <w:vertAlign w:val="subscript"/>
        </w:rPr>
        <w:t>4</w:t>
      </w:r>
      <w:r>
        <w:t>amplify the distortion of [MnBr</w:t>
      </w:r>
      <w:r>
        <w:rPr>
          <w:vertAlign w:val="subscript"/>
        </w:rPr>
        <w:t>4</w:t>
      </w:r>
      <w:r>
        <w:t>]</w:t>
      </w:r>
      <w:r>
        <w:t xml:space="preserve"> </w:t>
      </w:r>
      <w:r>
        <w:t>2−</w:t>
      </w:r>
      <w:r>
        <w:t>tetrahedra, driving symmetry breaking and giving rise to inherent chirality. The resulting chiral phase exhibits anti‐thermal‐quenching green‐red dual emission, in which the red component originates from distortion‐induced self‐trapped excitons and is further modulated via energy transfer from green‐emissive Mn</w:t>
      </w:r>
      <w:r>
        <w:t xml:space="preserve"> </w:t>
      </w:r>
      <w:r>
        <w:t>2+</w:t>
      </w:r>
      <w:r>
        <w:t xml:space="preserve"> </w:t>
      </w:r>
      <w:r>
        <w:t>centers. Consequently, dual‐color tunable circularly polarized luminescence (CPL) is realized in chiral metal halides for the first time, featuring a large dissymmetry factor (g</w:t>
      </w:r>
      <w:r>
        <w:t xml:space="preserve"> </w:t>
      </w:r>
      <w:r>
        <w:t>lum</w:t>
      </w:r>
      <w:r>
        <w:t xml:space="preserve"> </w:t>
      </w:r>
      <w:r>
        <w:t>) of 7 × 10</w:t>
      </w:r>
      <w:r>
        <w:t xml:space="preserve"> </w:t>
      </w:r>
      <w:r>
        <w:t>−2</w:t>
      </w:r>
      <w:r>
        <w:t xml:space="preserve"> </w:t>
      </w:r>
      <w:r>
        <w:t>. Moreover, the non‐centrosymmetric crystal structure enables efficient second‐ and third‐harmonic generation. These findings elucidate how hydrogen‐bonding interactions govern structural chirality at the molecular level and establish a general design principle for engineering chiroptical and nonlinear optical properties in metal halides.</w:t>
      </w:r>
    </w:p>
    <w:p>
      <w:pPr>
        <w:spacing w:before="120" w:after="120"/>
      </w:pPr>
      <w:r>
        <w:rPr>
          <w:sz w:val="18"/>
        </w:rPr>
        <w:t>——————————————————————————————————————————————————————————————————————</w:t>
      </w:r>
    </w:p>
    <w:p>
      <w:pPr>
        <w:spacing w:before="160" w:after="40" w:line="240" w:lineRule="auto"/>
      </w:pPr>
      <w:r>
        <w:rPr>
          <w:b/>
        </w:rPr>
        <w:t xml:space="preserve">[377] </w:t>
      </w:r>
      <w:hyperlink r:id="rId873">
        <w:r>
          <w:rPr>
            <w:color w:val="1155CC"/>
            <w:u w:val="single"/>
          </w:rPr>
          <w:t>用于姑息性肿瘤治疗的4D打印三明治结构超材料肠道支架</w:t>
        </w:r>
      </w:hyperlink>
    </w:p>
    <w:p>
      <w:pPr>
        <w:spacing w:before="0" w:after="80"/>
      </w:pPr>
      <w:r>
        <w:rPr>
          <w:i/>
          <w:sz w:val="20"/>
        </w:rPr>
        <w:t>EN: 4D‐Printed Sandwich‐Structured Metamaterial Intestinal Stents for Palliative Tumor Therapy</w:t>
      </w:r>
    </w:p>
    <w:p>
      <w:pPr>
        <w:spacing w:before="0" w:after="120"/>
      </w:pPr>
      <w:r>
        <w:rPr>
          <w:b/>
        </w:rPr>
        <w:t xml:space="preserve">Source: </w:t>
      </w:r>
      <w:r>
        <w:t>Wiley: Advanced Materials: Table of Contents</w:t>
      </w:r>
      <w:r>
        <w:t xml:space="preserve">    </w:t>
      </w:r>
      <w:r>
        <w:rPr>
          <w:b/>
        </w:rPr>
        <w:t xml:space="preserve">Pub date: </w:t>
      </w:r>
      <w:r>
        <w:t>2026-05-06 08:36:06+00:00</w:t>
      </w:r>
      <w:r>
        <w:t xml:space="preserve">    </w:t>
      </w:r>
      <w:r>
        <w:rPr>
          <w:b/>
        </w:rPr>
        <w:t xml:space="preserve">DOI: </w:t>
      </w:r>
      <w:hyperlink r:id="rId874">
        <w:r>
          <w:rPr>
            <w:color w:val="1155CC"/>
            <w:u w:val="single"/>
          </w:rPr>
          <w:t>10.1002/adma.202518990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肠梗阻是结直肠癌引起的常见并发症，支架植入已成为不适合手术患者不可或缺的姑息治疗策略。然而，由于配置或变形差异导致的持续抗肿瘤效力不足和磨损，导致狭窄复发，给临床治疗带来了重大挑战。在此，我们报道了一种肠道特异性、应用驱动的4D打印三明治结构超材料肠道支架平台，实现了持续抗肿瘤效果、定制化配置和性能以及快速缓解肠梗阻的三重目标。具体而言，该平台包括一个外层Janus层，旨在实现协同光热和药物抗肿瘤效果，一个用于结构支撑和协调变形的仿生梯度超材料中间层，以及一个疏水内层以降低再狭窄风险。总体而言，本研究提出了一种基于可扩展设计范式的多功能肠道支架，为个性化结直肠癌管理提供了一种创新且可临床转化的治疗策略。</w:t>
      </w:r>
    </w:p>
    <w:p>
      <w:pPr>
        <w:spacing w:before="0" w:after="200" w:lineRule="auto" w:line="276"/>
      </w:pPr>
      <w:r>
        <w:rPr>
          <w:b/>
        </w:rPr>
        <w:t xml:space="preserve">Abstract (EN): </w:t>
      </w:r>
      <w:r>
        <w:t>Intestinal obstruction is a common complication caused by colorectal cancer, and the implantation of stents has become an indispensable palliative treatment strategy for non‐surgical eligible patients. However, the lack of sustained anti‐tumor efficacy and wear caused by configuration or deformation discrepancies has led to the recurrence of stenosis, posing a significant challenge in clinical treatment. Here, we reported an intestine‐specific, application‐driven 4D‐printed sandwich‐structured metamaterial intestinal stent platform, achieving the triple goals of sustained anti‐tumor effects, customized configuration and performance, and rapid relief of intestinal obstruction. Specifically, the platform comprised an outer Janus layer designed for synergistic photothermal‐and‐drug anti‐tumor effects, an intermediate layer of biomimetic gradient metamaterials for structural support and coordinated deformation, and a hydrophobic inner layer to mitigate the risk of restenosis. Overall, this study presented a multifunctional intestinal stent built upon a scalable design paradigm, offering an innovative and clinically translatable therapeutic strategy for personalized colorectal cancer management.</w:t>
      </w:r>
    </w:p>
    <w:p>
      <w:pPr>
        <w:spacing w:before="120" w:after="120"/>
      </w:pPr>
      <w:r>
        <w:rPr>
          <w:sz w:val="18"/>
        </w:rPr>
        <w:t>——————————————————————————————————————————————————————————————————————</w:t>
      </w:r>
    </w:p>
    <w:p>
      <w:pPr>
        <w:spacing w:before="160" w:after="40" w:line="240" w:lineRule="auto"/>
      </w:pPr>
      <w:r>
        <w:rPr>
          <w:b/>
        </w:rPr>
        <w:t xml:space="preserve">[378] </w:t>
      </w:r>
      <w:hyperlink r:id="rId875">
        <w:r>
          <w:rPr>
            <w:color w:val="1155CC"/>
            <w:u w:val="single"/>
          </w:rPr>
          <w:t>色胺终止的低维界面实现高性能钙钛矿/硅串联太阳能电池</w:t>
        </w:r>
      </w:hyperlink>
    </w:p>
    <w:p>
      <w:pPr>
        <w:spacing w:before="0" w:after="80"/>
      </w:pPr>
      <w:r>
        <w:rPr>
          <w:i/>
          <w:sz w:val="20"/>
        </w:rPr>
        <w:t>EN: Tryptamine Terminated Low‐Dimensional Interfaces Enabled High Performance Perovskite/Silicon Tandem Solar Cells</w:t>
      </w:r>
    </w:p>
    <w:p>
      <w:pPr>
        <w:spacing w:before="0" w:after="120"/>
      </w:pPr>
      <w:r>
        <w:rPr>
          <w:b/>
        </w:rPr>
        <w:t xml:space="preserve">Source: </w:t>
      </w:r>
      <w:r>
        <w:t>Wiley: Advanced Materials: Table of Contents</w:t>
      </w:r>
      <w:r>
        <w:t xml:space="preserve">    </w:t>
      </w:r>
      <w:r>
        <w:rPr>
          <w:b/>
        </w:rPr>
        <w:t xml:space="preserve">Pub date: </w:t>
      </w:r>
      <w:r>
        <w:t>2026-05-06 08:38:44+00:00</w:t>
      </w:r>
      <w:r>
        <w:t xml:space="preserve">    </w:t>
      </w:r>
      <w:r>
        <w:rPr>
          <w:b/>
        </w:rPr>
        <w:t xml:space="preserve">DOI: </w:t>
      </w:r>
      <w:hyperlink r:id="rId876">
        <w:r>
          <w:rPr>
            <w:color w:val="1155CC"/>
            <w:u w:val="single"/>
          </w:rPr>
          <w:t>10.1002/adma.202523069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具有优良表面钝化和载流子传输的高质量界面对太阳能电池的器件性能至关重要。低维钙钛矿结构因其有效抑制界面缺陷和增强环境稳定性而被广泛探索用于表面钝化。虽然用于构建低维结构的末端分子提供了优良的钝化效果，但如果能级不匹配，可能会引入电荷传输的潜在障碍。在此，探索了一种色胺分子作为构建低维结构的末端分子，用于钝化钙钛矿太阳能电池的埋藏界面。基于芳香杂环结构中氮原子的引入，末端分子显示出提升的HOMO能级，与钙钛矿骨架良好对齐，从而增强了轨道耦合。因此，这种低维结构能够同时实现优良的表面钝化和界面载流子传输，产生高达1.266 V的开路电压（VOC）和23.53%的单结宽带隙（1.68 eV）钙钛矿太阳能电池效率。这一改进使得钙钛矿/硅串联太阳能电池的效率达到33.22%（第三方评估为32.88%）和VOC为1.987 V。此外，快速载流子</w:t>
      </w:r>
    </w:p>
    <w:p>
      <w:pPr>
        <w:spacing w:before="0" w:after="200" w:lineRule="auto" w:line="276"/>
      </w:pPr>
      <w:r>
        <w:rPr>
          <w:b/>
        </w:rPr>
        <w:t xml:space="preserve">Abstract (EN): </w:t>
      </w:r>
      <w:r>
        <w:t>The construction of a high‐quality interface with excellent surface passivation and carrier transport is critical to the device performance of solar cells. Low‐dimensional perovskite structures are widely explored for surface passivation due to their effective suppression of interfacial defects and enhanced environmental stability. While terminal molecules for constructing low‐dimensional structures provide excellent passivation, they can introduce potential barriers for charge transport if the energy levels are not well‐aligned. Herein, a tryptamine molecule is explored as the terminal molecule for the construction of a low‐dimensional structure for passivating the buried interface of perovskite solar cells. Based on the inclusion of nitrogen atoms in the aromatic heterocyclic structure, the terminal molecule shows an uplifted HOMO level that aligns well with the perovskite skeleton, giving rise to enhanced orbit coupling. Therefore, this low‐dimensional structure enables excellent surface passivation and interfacial carrier transport simultaneously, generating an outstanding open‐circuit voltage (</w:t>
      </w:r>
      <w:r>
        <w:t xml:space="preserve"> </w:t>
      </w:r>
      <w:r>
        <w:t>V</w:t>
      </w:r>
      <w:r>
        <w:t xml:space="preserve"> </w:t>
      </w:r>
      <w:r>
        <w:t>OC</w:t>
      </w:r>
      <w:r>
        <w:t xml:space="preserve"> </w:t>
      </w:r>
      <w:r>
        <w:t>) up to 1.266 V and an efficiency of 23.53% for single‐junction wide‐bandgap (1.68 eV) perovskite solar cells. This improvement enables the fabrication of the perovskite/silicon tandem solar cell with an efficiency of 33.22% (32.88% assessed by a third party) and a</w:t>
      </w:r>
      <w:r>
        <w:t xml:space="preserve"> </w:t>
      </w:r>
      <w:r>
        <w:t>V</w:t>
      </w:r>
      <w:r>
        <w:t xml:space="preserve"> </w:t>
      </w:r>
      <w:r>
        <w:t>OC</w:t>
      </w:r>
      <w:r>
        <w:t xml:space="preserve"> </w:t>
      </w:r>
      <w:r>
        <w:t>of 1.987 V. Moreover, the fast carrier transport at the interface suppressed the halide phase segregation, bringing much enhanced operation stability.</w:t>
      </w:r>
    </w:p>
    <w:p>
      <w:pPr>
        <w:spacing w:before="120" w:after="120"/>
      </w:pPr>
      <w:r>
        <w:rPr>
          <w:sz w:val="18"/>
        </w:rPr>
        <w:t>——————————————————————————————————————————————————————————————————————</w:t>
      </w:r>
    </w:p>
    <w:p>
      <w:pPr>
        <w:spacing w:before="160" w:after="40" w:line="240" w:lineRule="auto"/>
      </w:pPr>
      <w:r>
        <w:rPr>
          <w:b/>
        </w:rPr>
        <w:t xml:space="preserve">[379] </w:t>
      </w:r>
      <w:hyperlink r:id="rId877">
        <w:r>
          <w:rPr>
            <w:color w:val="1155CC"/>
            <w:u w:val="single"/>
          </w:rPr>
          <w:t>仿生酶样机制实现蓝色能量收集的自适应局部电荷调制</w:t>
        </w:r>
      </w:hyperlink>
    </w:p>
    <w:p>
      <w:pPr>
        <w:spacing w:before="0" w:after="80"/>
      </w:pPr>
      <w:r>
        <w:rPr>
          <w:i/>
          <w:sz w:val="20"/>
        </w:rPr>
        <w:t>EN: Bioinspired Enzyme‐Like Mechanism Enables Adaptive Local Charge Modulation for Blue Energy Harvesting</w:t>
      </w:r>
    </w:p>
    <w:p>
      <w:pPr>
        <w:spacing w:before="0" w:after="120"/>
      </w:pPr>
      <w:r>
        <w:rPr>
          <w:b/>
        </w:rPr>
        <w:t xml:space="preserve">Source: </w:t>
      </w:r>
      <w:r>
        <w:t>Wiley: Advanced Materials: Table of Contents</w:t>
      </w:r>
      <w:r>
        <w:t xml:space="preserve">    </w:t>
      </w:r>
      <w:r>
        <w:rPr>
          <w:b/>
        </w:rPr>
        <w:t xml:space="preserve">Pub date: </w:t>
      </w:r>
      <w:r>
        <w:t>2026-05-06 08:42:19+00:00</w:t>
      </w:r>
      <w:r>
        <w:t xml:space="preserve">    </w:t>
      </w:r>
      <w:r>
        <w:rPr>
          <w:b/>
        </w:rPr>
        <w:t xml:space="preserve">DOI: </w:t>
      </w:r>
      <w:hyperlink r:id="rId878">
        <w:r>
          <w:rPr>
            <w:color w:val="1155CC"/>
            <w:u w:val="single"/>
          </w:rPr>
          <w:t>10.1002/adma.73299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强离子选择性膜的性能对于实现高效渗透能量转换至关重要。然而，现有的电荷调节策略难以适应动态变化的离子传输环境。受天然细胞色素c氧化酶（CcO）的启发，本研究展示了原子级精确的异核FeCo双原子纳米酶（FeCo-DACs）可以通过类似氧化酶的机制动态调节活性位点的局部电荷分布，从而增强渗透能量转换。通过调整异核和同核双原子位点的配位环境，优化了酶样活性和离子选择性。将Fe─Co键合纳米酶直接掺入细菌纤维素（BC/FeCo-DACs）的仿生复合膜在天然河水和海水混合时实现了15.4 W m−2的功率密度，无需外部刺激。综合实验和理论分析表明，具有最佳金属-金属键长的异核FeCo构型在平衡氧吸附/解吸的同时，建立了最有利的质子消耗路径，实现了自发的动态局部电荷调节和改进的渗透能量转换性能。</w:t>
      </w:r>
    </w:p>
    <w:p>
      <w:pPr>
        <w:spacing w:before="0" w:after="200" w:lineRule="auto" w:line="276"/>
      </w:pPr>
      <w:r>
        <w:rPr>
          <w:b/>
        </w:rPr>
        <w:t xml:space="preserve">Abstract (EN): </w:t>
      </w:r>
      <w:r>
        <w:t>Enhancing the performance of ion‐selective membranes is critical for achieving efficient osmotic energy conversion. However, existing charge‐regulation strategies struggle to adapt to dynamically changing ion‐transport environments. Inspired by natural cytochrome</w:t>
      </w:r>
      <w:r>
        <w:t xml:space="preserve"> </w:t>
      </w:r>
      <w:r>
        <w:t>c</w:t>
      </w:r>
      <w:r>
        <w:t xml:space="preserve"> </w:t>
      </w:r>
      <w:r>
        <w:t>oxidase (C</w:t>
      </w:r>
      <w:r>
        <w:t xml:space="preserve"> </w:t>
      </w:r>
      <w:r>
        <w:t>c</w:t>
      </w:r>
      <w:r>
        <w:t xml:space="preserve"> </w:t>
      </w:r>
      <w:r>
        <w:t>O), this work demonstrates that atomically precise heteronuclear FeCo dual‐atom nanozymes (FeCo‐DACs) can dynamically modulate the local charge distribution at active sites via an oxidase‐like mechanism, thereby enhancing osmotic energy conversion. By tailoring the coordination environments of heteronuclear and homonuclear dual‐atom sites, enzyme‐like activity and ion selectivity are optimized. The bioinspired composite membrane incorporating Fe─Co bonded nanozymes directly into bacterial cellulose (BC/FeCo‐DACs) achieves a power density of 15.4 W m</w:t>
      </w:r>
      <w:r>
        <w:t xml:space="preserve"> </w:t>
      </w:r>
      <w:r>
        <w:t>−2</w:t>
      </w:r>
      <w:r>
        <w:t xml:space="preserve"> </w:t>
      </w:r>
      <w:r>
        <w:t>during the mixing of natural river water and seawater, without external stimuli. Combined experimental and theoretical analyses reveal that the heteronuclear FeCo configuration, with an optimal metal–metal bond length, balances oxygen adsorption/desorption while establishing the most energetically favorable proton‐consumption pathway, enabling spontaneous dynamic local charge regulation and improved osmotic energy conversion performance.</w:t>
      </w:r>
    </w:p>
    <w:p>
      <w:pPr>
        <w:spacing w:before="120" w:after="120"/>
      </w:pPr>
      <w:r>
        <w:rPr>
          <w:sz w:val="18"/>
        </w:rPr>
        <w:t>——————————————————————————————————————————————————————————————————————</w:t>
      </w:r>
    </w:p>
    <w:p>
      <w:pPr>
        <w:spacing w:before="160" w:after="40" w:line="240" w:lineRule="auto"/>
      </w:pPr>
      <w:r>
        <w:rPr>
          <w:b/>
        </w:rPr>
        <w:t xml:space="preserve">[380] </w:t>
      </w:r>
      <w:hyperlink r:id="rId879">
        <w:r>
          <w:rPr>
            <w:color w:val="1155CC"/>
            <w:u w:val="single"/>
          </w:rPr>
          <w:t>动态共价肽药物偶联物解决阿尔茨海默病进程中的异质性</w:t>
        </w:r>
      </w:hyperlink>
    </w:p>
    <w:p>
      <w:pPr>
        <w:spacing w:before="0" w:after="80"/>
      </w:pPr>
      <w:r>
        <w:rPr>
          <w:i/>
          <w:sz w:val="20"/>
        </w:rPr>
        <w:t>EN: Dynamic Covalent Peptide‐Drug Conjugates Address the Heterogeneity in Alzheimer's Disease Progression</w:t>
      </w:r>
    </w:p>
    <w:p>
      <w:pPr>
        <w:spacing w:before="0" w:after="120"/>
      </w:pPr>
      <w:r>
        <w:rPr>
          <w:b/>
        </w:rPr>
        <w:t xml:space="preserve">Source: </w:t>
      </w:r>
      <w:r>
        <w:t>Wiley: Advanced Materials: Table of Contents</w:t>
      </w:r>
      <w:r>
        <w:t xml:space="preserve">    </w:t>
      </w:r>
      <w:r>
        <w:rPr>
          <w:b/>
        </w:rPr>
        <w:t xml:space="preserve">Pub date: </w:t>
      </w:r>
      <w:r>
        <w:t>2026-05-06 08:46:05+00:00</w:t>
      </w:r>
      <w:r>
        <w:t xml:space="preserve">    </w:t>
      </w:r>
      <w:r>
        <w:rPr>
          <w:b/>
        </w:rPr>
        <w:t xml:space="preserve">DOI: </w:t>
      </w:r>
      <w:hyperlink r:id="rId880">
        <w:r>
          <w:rPr>
            <w:color w:val="1155CC"/>
            <w:u w:val="single"/>
          </w:rPr>
          <w:t>10.1002/adma.202516343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阿尔茨海默病（AD）病理生理演变的日益深入理解强调了其进展中的异质性是削弱各种候选干预措施成功的关键因素，并使建立有效的药物治疗方案变得复杂。在此，我们介绍了一种分层响应的治疗剂的开发，该治疗剂由苯硼酸酯连接的Tjernberg的KLVFF肽-姜黄素共轭物（CPKNAs）自组装而成，旨在动态追踪与AD进展异质性相关的生物标志物的时空坐标。动态共价苯硼酸酯键根据淀粉样β、活性氧和葡萄糖的时间演变模式进行不同程度的解离，这三个关键指标用于分期AD进展，从而实现药物分布和剂量的自适应调节，针对特定表型量身定制。通过使用七种细胞模型和三种模拟不同AD阶段的转基因小鼠，我们证明了CPKNAs有效地将过度或不足治疗的风险降至最低，在减轻细胞损伤和改善脑功能障碍方面实现了一致的治疗效果。</w:t>
      </w:r>
    </w:p>
    <w:p>
      <w:pPr>
        <w:spacing w:before="0" w:after="200" w:lineRule="auto" w:line="276"/>
      </w:pPr>
      <w:r>
        <w:rPr>
          <w:b/>
        </w:rPr>
        <w:t xml:space="preserve">Abstract (EN): </w:t>
      </w:r>
      <w:r>
        <w:t>A growing understanding of the pathophysiological evolution of Alzheimer's disease (AD) underscores the heterogeneity in its progression as a critical factor undermining the success of various candidate interventions and complicating the establishment of effective pharmacotherapeutic regimens. Here, we introduce the development of a hierarchical‐responsive therapeutic agent self‐assembled from phenylboronate ester‐linked Tjernberg's KLVFF peptide‐curcumin conjugates (CPKNAs), which is designed to dynamically track the spatiotemporal coordinates of biomarkers associated with AD heterogeneity in progression. The dynamic covalent phenylboronate ester bond undergoes varying degrees of dissociation in response to the temporal evolution patterns of amyloid‐β, reactive oxygen species, and glucose, three key indicators for staging AD progression, enabling self‐adaptive regulation of drug distribution and dosing tailored to specific phenotypes. Employing seven cellular models and three types of transgenic mice simulating different AD stages, we demonstrate that CPKNAs effectively minimize the risks of under‐ or overtreatment, achieving consistent therapeutic outcomes in mitigating cellular damage and improving brain dysfunction.</w:t>
      </w:r>
    </w:p>
    <w:p>
      <w:pPr>
        <w:spacing w:before="120" w:after="120"/>
      </w:pPr>
      <w:r>
        <w:rPr>
          <w:sz w:val="18"/>
        </w:rPr>
        <w:t>——————————————————————————————————————————————————————————————————————</w:t>
      </w:r>
    </w:p>
    <w:p>
      <w:pPr>
        <w:spacing w:before="160" w:after="40" w:line="240" w:lineRule="auto"/>
      </w:pPr>
      <w:r>
        <w:rPr>
          <w:b/>
        </w:rPr>
        <w:t xml:space="preserve">[381] </w:t>
      </w:r>
      <w:hyperlink r:id="rId881">
        <w:r>
          <w:rPr>
            <w:color w:val="1155CC"/>
            <w:u w:val="single"/>
          </w:rPr>
          <w:t>显示零下液晶特性的Clustomesogen：Cs2[Mo6Ii8(OCOC2F5)6]与含六乙烯氧基的介晶二聚体之间的超分子组装</w:t>
        </w:r>
      </w:hyperlink>
    </w:p>
    <w:p>
      <w:pPr>
        <w:spacing w:before="0" w:after="80"/>
      </w:pPr>
      <w:r>
        <w:rPr>
          <w:i/>
          <w:sz w:val="20"/>
        </w:rPr>
        <w:t>EN: Clustomesogen Showing Sub‐Zero Liquid Crystal Properties: Supramolecular Assembly Between Cs2[Mo6Ii8(OCOC2F5)6] and Hexaethylenoxide Containing Mesogenic Dimers</w:t>
      </w:r>
    </w:p>
    <w:p>
      <w:pPr>
        <w:spacing w:before="0" w:after="120"/>
      </w:pPr>
      <w:r>
        <w:rPr>
          <w:b/>
        </w:rPr>
        <w:t xml:space="preserve">Source: </w:t>
      </w:r>
      <w:r>
        <w:t>Wiley: Advanced Materials: Table of Contents</w:t>
      </w:r>
      <w:r>
        <w:t xml:space="preserve">    </w:t>
      </w:r>
      <w:r>
        <w:rPr>
          <w:b/>
        </w:rPr>
        <w:t xml:space="preserve">Pub date: </w:t>
      </w:r>
      <w:r>
        <w:t>2026-05-06 08:51:53+00:00</w:t>
      </w:r>
      <w:r>
        <w:t xml:space="preserve">    </w:t>
      </w:r>
      <w:r>
        <w:rPr>
          <w:b/>
        </w:rPr>
        <w:t xml:space="preserve">DOI: </w:t>
      </w:r>
      <w:hyperlink r:id="rId882">
        <w:r>
          <w:rPr>
            <w:color w:val="1155CC"/>
            <w:u w:val="single"/>
          </w:rPr>
          <w:t>10.1002/adma.202523618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一种磷光钼八面体簇合物通过弱超分子相互作用均匀地与有机液晶结合，掺杂浓度高达45.8 wt.%。偏光显微镜、差示扫描量热法和X射线散射实验表明，这类新化合物在低温下甚至在0°C以下表现出类似于钙钛矿液晶的行为。光物理研究揭示了在红外-近红外区域的强发射，并具有高氧敏感性。这种首创材料在光电子学、传感和光子学领域提供了有前景的前景。</w:t>
      </w:r>
    </w:p>
    <w:p>
      <w:pPr>
        <w:spacing w:before="0" w:after="200" w:lineRule="auto" w:line="276"/>
      </w:pPr>
      <w:r>
        <w:rPr>
          <w:b/>
        </w:rPr>
        <w:t xml:space="preserve">Abstract (EN): </w:t>
      </w:r>
      <w:r>
        <w:t>A phosphorescent molybdenum octahedral cluster compound is homogeneously associated with organic liquid crystals by means of weak supramolecular interactions up to a doping concentration of 45.8 wt.%. Polarized Optical Microscopy, Differential Scanning Calorimetry, and x‐ray scattering experiments demonstrate that such class of new compounds shows a calamitic liquid crystal‐like behavior at low temperature, even below 0°C. Photophysical studies reveal a strong emission in the red‐NIR with a high oxygen sensitivity. This first of its kind material offers promising perspectives in the field of optoelectronics, sensing, and photonics.</w:t>
      </w:r>
    </w:p>
    <w:p>
      <w:pPr>
        <w:spacing w:before="120" w:after="120"/>
      </w:pPr>
      <w:r>
        <w:rPr>
          <w:sz w:val="18"/>
        </w:rPr>
        <w:t>——————————————————————————————————————————————————————————————————————</w:t>
      </w:r>
    </w:p>
    <w:p>
      <w:pPr>
        <w:spacing w:before="160" w:after="40" w:line="240" w:lineRule="auto"/>
      </w:pPr>
      <w:r>
        <w:rPr>
          <w:b/>
        </w:rPr>
        <w:t xml:space="preserve">[382] </w:t>
      </w:r>
      <w:hyperlink r:id="rId883">
        <w:r>
          <w:rPr>
            <w:color w:val="1155CC"/>
            <w:u w:val="single"/>
          </w:rPr>
          <w:t>通过限制水重新分布打破电子反应性和离子迁移率的权衡，用于氢氧根离子存储</w:t>
        </w:r>
      </w:hyperlink>
    </w:p>
    <w:p>
      <w:pPr>
        <w:spacing w:before="0" w:after="80"/>
      </w:pPr>
      <w:r>
        <w:rPr>
          <w:i/>
          <w:sz w:val="20"/>
        </w:rPr>
        <w:t>EN: Breaking the Electronic Reactivity and Ionic Mobility Trade‐off via Confined Water Redistribution for Hydroxide‐ion Storage</w:t>
      </w:r>
    </w:p>
    <w:p>
      <w:pPr>
        <w:spacing w:before="0" w:after="120"/>
      </w:pPr>
      <w:r>
        <w:rPr>
          <w:b/>
        </w:rPr>
        <w:t xml:space="preserve">Source: </w:t>
      </w:r>
      <w:r>
        <w:t>Wiley: Advanced Energy Materials: Table of Contents</w:t>
      </w:r>
      <w:r>
        <w:t xml:space="preserve">    </w:t>
      </w:r>
      <w:r>
        <w:rPr>
          <w:b/>
        </w:rPr>
        <w:t xml:space="preserve">Pub date: </w:t>
      </w:r>
      <w:r>
        <w:t>2026-05-06 08:56:23+00:00</w:t>
      </w:r>
      <w:r>
        <w:t xml:space="preserve">    </w:t>
      </w:r>
      <w:r>
        <w:rPr>
          <w:b/>
        </w:rPr>
        <w:t xml:space="preserve">DOI: </w:t>
      </w:r>
      <w:hyperlink r:id="rId884">
        <w:r>
          <w:rPr>
            <w:color w:val="1155CC"/>
            <w:u w:val="single"/>
          </w:rPr>
          <w:t>10.1002/aenm.71021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同时增强电子导电性/反应性和离子迁移性仍然是电化学能量存储中的长期挑战。在此，我们报告了一种受水管理启发的策略，该策略能够调节水合层状过渡金属氢氧化物层间画廊中的限制水。作为推动Ni-Fe电池复兴的有前途的电极，α-Ni(OH)2持有的层间水可以通过退火与NiO6板块协调。基于一系列光谱和理论分析，随着与NiO6板块相互作用的协调水增加，NiO6八面体的扭曲加剧，e_g*带宽加宽以增强电子反应性。相反，减少层间水重构氢键网络，促进OH–迁移。在170°C时，电子反应性和离子迁移性达到平衡，显著提高性能（1 A g−1时为321.8 mAh g−1；16 A g−1时为167.9 mAh g−1），循环稳定性提高48%。我们的工作强调了微观尺度的水管理策略。</w:t>
      </w:r>
    </w:p>
    <w:p>
      <w:pPr>
        <w:spacing w:before="0" w:after="200" w:lineRule="auto" w:line="276"/>
      </w:pPr>
      <w:r>
        <w:rPr>
          <w:b/>
        </w:rPr>
        <w:t xml:space="preserve">Abstract (EN): </w:t>
      </w:r>
      <w:r>
        <w:t>Simultaneously enhancing electronic conductivity/reactivity, and ionic mobility remains a longstanding challenge in electrochemical energy storage. Herein, we report a water‐management‐inspired strategy, that enables the regulation of confined water within the interlayer gallery of hydrous layered transition‐metal hydroxides. As a promising electrode driving the</w:t>
      </w:r>
      <w:r>
        <w:t xml:space="preserve"> </w:t>
      </w:r>
      <w:r>
        <w:t>Renaissance</w:t>
      </w:r>
      <w:r>
        <w:t xml:space="preserve"> </w:t>
      </w:r>
      <w:r>
        <w:t>of Ni‐Fe batteries, α‐Ni(OH)</w:t>
      </w:r>
      <w:r>
        <w:rPr>
          <w:vertAlign w:val="subscript"/>
        </w:rPr>
        <w:t>2</w:t>
      </w:r>
      <w:r>
        <w:t>holds interlayer water that can be coordinated to the NiO</w:t>
      </w:r>
      <w:r>
        <w:rPr>
          <w:vertAlign w:val="subscript"/>
        </w:rPr>
        <w:t>6</w:t>
      </w:r>
      <w:r>
        <w:t>slabs via annealing. Based on a series of spectroscopic and theoretical analyses, as a consequence of increasing coordinated water that interacts with NiO</w:t>
      </w:r>
      <w:r>
        <w:rPr>
          <w:vertAlign w:val="subscript"/>
        </w:rPr>
        <w:t>6</w:t>
      </w:r>
      <w:r>
        <w:t>slabs, NiO</w:t>
      </w:r>
      <w:r>
        <w:rPr>
          <w:vertAlign w:val="subscript"/>
        </w:rPr>
        <w:t>6</w:t>
      </w:r>
      <w:r>
        <w:t>octahedron distortion was intensified, and the e</w:t>
      </w:r>
      <w:r>
        <w:t xml:space="preserve"> </w:t>
      </w:r>
      <w:r>
        <w:t>g</w:t>
      </w:r>
      <w:r>
        <w:t xml:space="preserve"> </w:t>
      </w:r>
      <w:r>
        <w:t>*</w:t>
      </w:r>
      <w:r>
        <w:t xml:space="preserve"> </w:t>
      </w:r>
      <w:r>
        <w:t>band was broadened to enhance electronic reactivity. In contrast, decreasing interlayer water reconstructs hydrogen‐bonding networks, facilitating OH</w:t>
      </w:r>
      <w:r>
        <w:t xml:space="preserve"> </w:t>
      </w:r>
      <w:r>
        <w:t>–</w:t>
      </w:r>
      <w:r>
        <w:t xml:space="preserve"> </w:t>
      </w:r>
      <w:r>
        <w:t>mobility. At 170°C, the electronic reactivity and ionic mobility are balanced, markedly improving performance (321.8 mAh g</w:t>
      </w:r>
      <w:r>
        <w:t xml:space="preserve"> </w:t>
      </w:r>
      <w:r>
        <w:t>−1</w:t>
      </w:r>
      <w:r>
        <w:t xml:space="preserve"> </w:t>
      </w:r>
      <w:r>
        <w:t>at 1 A g</w:t>
      </w:r>
      <w:r>
        <w:t xml:space="preserve"> </w:t>
      </w:r>
      <w:r>
        <w:t>−1</w:t>
      </w:r>
      <w:r>
        <w:t xml:space="preserve"> </w:t>
      </w:r>
      <w:r>
        <w:t>; 167.9 mAh g</w:t>
      </w:r>
      <w:r>
        <w:t xml:space="preserve"> </w:t>
      </w:r>
      <w:r>
        <w:t>−1</w:t>
      </w:r>
      <w:r>
        <w:t xml:space="preserve"> </w:t>
      </w:r>
      <w:r>
        <w:t>at 16 A g</w:t>
      </w:r>
      <w:r>
        <w:t xml:space="preserve"> </w:t>
      </w:r>
      <w:r>
        <w:t>−1</w:t>
      </w:r>
      <w:r>
        <w:t xml:space="preserve"> </w:t>
      </w:r>
      <w:r>
        <w:t>), with a 48% increase in cycling stability. Our work highlights a micro‐scale water management paradigm that harmonizes electron reactivity and ion transport for superior electrochemical performance.</w:t>
      </w:r>
    </w:p>
    <w:p>
      <w:pPr>
        <w:spacing w:before="120" w:after="120"/>
      </w:pPr>
      <w:r>
        <w:rPr>
          <w:sz w:val="18"/>
        </w:rPr>
        <w:t>——————————————————————————————————————————————————————————————————————</w:t>
      </w:r>
    </w:p>
    <w:p>
      <w:pPr>
        <w:spacing w:before="160" w:after="40" w:line="240" w:lineRule="auto"/>
      </w:pPr>
      <w:r>
        <w:rPr>
          <w:b/>
        </w:rPr>
        <w:t xml:space="preserve">[383] </w:t>
      </w:r>
      <w:hyperlink r:id="rId885">
        <w:r>
          <w:rPr>
            <w:color w:val="1155CC"/>
            <w:u w:val="single"/>
          </w:rPr>
          <w:t>使用X-打包共晶催化剂增强过氧化氢光合成</w:t>
        </w:r>
      </w:hyperlink>
    </w:p>
    <w:p>
      <w:pPr>
        <w:spacing w:before="0" w:after="80"/>
      </w:pPr>
      <w:r>
        <w:rPr>
          <w:i/>
          <w:sz w:val="20"/>
        </w:rPr>
        <w:t>EN: Enhanced Hydrogen Peroxide Photosynthesis Using X‐Packed Cocrystal Catalysts</w:t>
      </w:r>
    </w:p>
    <w:p>
      <w:pPr>
        <w:spacing w:before="0" w:after="120"/>
      </w:pPr>
      <w:r>
        <w:rPr>
          <w:b/>
        </w:rPr>
        <w:t xml:space="preserve">Source: </w:t>
      </w:r>
      <w:r>
        <w:t>Wiley: Advanced Materials: Table of Contents</w:t>
      </w:r>
      <w:r>
        <w:t xml:space="preserve">    </w:t>
      </w:r>
      <w:r>
        <w:rPr>
          <w:b/>
        </w:rPr>
        <w:t xml:space="preserve">Pub date: </w:t>
      </w:r>
      <w:r>
        <w:t>2026-05-06 09:00:01+00:00</w:t>
      </w:r>
      <w:r>
        <w:t xml:space="preserve">    </w:t>
      </w:r>
      <w:r>
        <w:rPr>
          <w:b/>
        </w:rPr>
        <w:t xml:space="preserve">DOI: </w:t>
      </w:r>
      <w:hyperlink r:id="rId886">
        <w:r>
          <w:rPr>
            <w:color w:val="1155CC"/>
            <w:u w:val="single"/>
          </w:rPr>
          <w:t>10.1002/adma.73295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氢（H2O2）是一种重要的化学物质和强效的能量载体。通过太阳能和无金属光催化剂生产过氧化氢是理想的。作为新一代半导体，有机半导体可以形成合适的过渡态中间体，在提高光催化H2O2生成的效率和选择性方面表现出很大的能力，提供了一种无金属、绿色和更经济的解决方案。然而，较小的Frenkel激子半径和较大的激子库仑结合能导致激子解离能力受限，阻碍了基于有机半导体的光催化剂的发展。在此，我们通过共晶工程克服了这一瓶颈。设计并合成了一种具有X‐堆积的共晶光催化剂，由于能量分裂的减少，允许所有激发态光学允许，增强了激子在H2O2光合成中的参与，提供了更高效的单重态激子解离和激子利用。实际上，X‐堆积的共晶显示出从O2和H2O光合成H2O2的速率为2.65 mmol h−1。</w:t>
      </w:r>
    </w:p>
    <w:p>
      <w:pPr>
        <w:spacing w:before="0" w:after="200" w:lineRule="auto" w:line="276"/>
      </w:pPr>
      <w:r>
        <w:rPr>
          <w:b/>
        </w:rPr>
        <w:t xml:space="preserve">Abstract (EN): </w:t>
      </w:r>
      <w:r>
        <w:t>Hydrogen peroxide (H</w:t>
      </w:r>
      <w:r>
        <w:rPr>
          <w:vertAlign w:val="subscript"/>
        </w:rPr>
        <w:t>2</w:t>
      </w:r>
      <w:r>
        <w:t>O</w:t>
      </w:r>
      <w:r>
        <w:rPr>
          <w:vertAlign w:val="subscript"/>
        </w:rPr>
        <w:t>2</w:t>
      </w:r>
      <w:r>
        <w:t>) is an essential chemical and potent energy carrier. Its production through solar energy and metal‐free photocatalysts is desirable. Organic semiconductors, as a new generation of semiconductors, can form suitable transition state intermediates showing great ability in enhancing the efficiency and selectivity of photocatalytic H</w:t>
      </w:r>
      <w:r>
        <w:rPr>
          <w:vertAlign w:val="subscript"/>
        </w:rPr>
        <w:t>2</w:t>
      </w:r>
      <w:r>
        <w:t>O</w:t>
      </w:r>
      <w:r>
        <w:rPr>
          <w:vertAlign w:val="subscript"/>
        </w:rPr>
        <w:t>2</w:t>
      </w:r>
      <w:r>
        <w:t>generation, offering a metal‐free, green, and more economical solution. However, the smaller Frenkel exciton radius and larger exciton Coulomb binding energy lead to a constrained capacity for exciton dissociation, blocking the way of photocatalysts based on organic semiconductors. Here, we overcome the bottleneck by cocrystal engineering. A kind of cocrystal photocatalysts with X‐packing are designed and synthesized, which permit all excited states to be optically allowed due to reduced energy splitting, enhancing the exciton participation in photosynthesis of H</w:t>
      </w:r>
      <w:r>
        <w:rPr>
          <w:vertAlign w:val="subscript"/>
        </w:rPr>
        <w:t>2</w:t>
      </w:r>
      <w:r>
        <w:t>O</w:t>
      </w:r>
      <w:r>
        <w:rPr>
          <w:vertAlign w:val="subscript"/>
        </w:rPr>
        <w:t>2</w:t>
      </w:r>
      <w:r>
        <w:t>giving much more efficient singlet exciton dissociation and exciton utilization. Indeed, the X‐packed cocrystals show photosynthesis of H</w:t>
      </w:r>
      <w:r>
        <w:rPr>
          <w:vertAlign w:val="subscript"/>
        </w:rPr>
        <w:t>2</w:t>
      </w:r>
      <w:r>
        <w:t>O</w:t>
      </w:r>
      <w:r>
        <w:rPr>
          <w:vertAlign w:val="subscript"/>
        </w:rPr>
        <w:t>2</w:t>
      </w:r>
      <w:r>
        <w:t>from O</w:t>
      </w:r>
      <w:r>
        <w:rPr>
          <w:vertAlign w:val="subscript"/>
        </w:rPr>
        <w:t>2</w:t>
      </w:r>
      <w:r>
        <w:t>and H</w:t>
      </w:r>
      <w:r>
        <w:rPr>
          <w:vertAlign w:val="subscript"/>
        </w:rPr>
        <w:t>2</w:t>
      </w:r>
      <w:r>
        <w:t>O at a rate of 2.65 mmol h</w:t>
      </w:r>
      <w:r>
        <w:t xml:space="preserve"> </w:t>
      </w:r>
      <w:r>
        <w:t>−1</w:t>
      </w:r>
      <w:r>
        <w:t xml:space="preserve"> </w:t>
      </w:r>
      <w:r>
        <w:t>g</w:t>
      </w:r>
      <w:r>
        <w:t xml:space="preserve"> </w:t>
      </w:r>
      <w:r>
        <w:t>−1</w:t>
      </w:r>
      <w:r>
        <w:t xml:space="preserve"> </w:t>
      </w:r>
      <w:r>
        <w:t>and a solar‐chemical energy conversion efficiency of 0.42%, which can be further improved to 13.3 mmol h</w:t>
      </w:r>
      <w:r>
        <w:t xml:space="preserve"> </w:t>
      </w:r>
      <w:r>
        <w:t>−1</w:t>
      </w:r>
      <w:r>
        <w:t xml:space="preserve"> </w:t>
      </w:r>
      <w:r>
        <w:t>g</w:t>
      </w:r>
      <w:r>
        <w:t xml:space="preserve"> </w:t>
      </w:r>
      <w:r>
        <w:t>−1</w:t>
      </w:r>
      <w:r>
        <w:t xml:space="preserve"> </w:t>
      </w:r>
      <w:r>
        <w:t>with a hole sacrificial agent. This work seems to open a new door for high solar exciton utilization with organic semiconductors by cocrystal engineering.</w:t>
      </w:r>
    </w:p>
    <w:p>
      <w:pPr>
        <w:spacing w:before="120" w:after="120"/>
      </w:pPr>
      <w:r>
        <w:rPr>
          <w:sz w:val="18"/>
        </w:rPr>
        <w:t>——————————————————————————————————————————————————————————————————————</w:t>
      </w:r>
    </w:p>
    <w:p>
      <w:pPr>
        <w:spacing w:before="160" w:after="40" w:line="240" w:lineRule="auto"/>
      </w:pPr>
      <w:r>
        <w:rPr>
          <w:b/>
        </w:rPr>
        <w:t xml:space="preserve">[384] </w:t>
      </w:r>
      <w:hyperlink r:id="rId887">
        <w:r>
          <w:rPr>
            <w:color w:val="1155CC"/>
            <w:u w:val="single"/>
          </w:rPr>
          <w:t>通过VOx-NiOx复合接触在四端钙钛矿/硅串联太阳能电池中实现稳定的自组装单分子层锚定和增强的抗反射</w:t>
        </w:r>
      </w:hyperlink>
    </w:p>
    <w:p>
      <w:pPr>
        <w:spacing w:before="0" w:after="80"/>
      </w:pPr>
      <w:r>
        <w:rPr>
          <w:i/>
          <w:sz w:val="20"/>
        </w:rPr>
        <w:t>EN: Stable Self‐Assembled Monolayers Anchoring and Enhanced Antireflection in Four‐Terminal Perovskite/Silicon Tandem Solar Cells via a VOx‐NiOx Composite Contact</w:t>
      </w:r>
    </w:p>
    <w:p>
      <w:pPr>
        <w:spacing w:before="0" w:after="120"/>
      </w:pPr>
      <w:r>
        <w:rPr>
          <w:b/>
        </w:rPr>
        <w:t xml:space="preserve">Source: </w:t>
      </w:r>
      <w:r>
        <w:t>Wiley: Advanced Energy Materials: Table of Contents</w:t>
      </w:r>
      <w:r>
        <w:t xml:space="preserve">    </w:t>
      </w:r>
      <w:r>
        <w:rPr>
          <w:b/>
        </w:rPr>
        <w:t xml:space="preserve">Pub date: </w:t>
      </w:r>
      <w:r>
        <w:t>2026-05-06 09:03:59+00:00</w:t>
      </w:r>
      <w:r>
        <w:t xml:space="preserve">    </w:t>
      </w:r>
      <w:r>
        <w:rPr>
          <w:b/>
        </w:rPr>
        <w:t xml:space="preserve">DOI: </w:t>
      </w:r>
      <w:hyperlink r:id="rId888">
        <w:r>
          <w:rPr>
            <w:color w:val="1155CC"/>
            <w:u w:val="single"/>
          </w:rPr>
          <w:t>10.1002/aenm.71036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自组装单分子层（SAMs）显著提高了钙钛矿太阳能电池（PSCs）的光电转换效率（PCE），但脆弱的界面锚定极大地限制了其操作稳定性。为了改善SAM锚定，NiO</w:t>
      </w:r>
      <w:r>
        <w:t xml:space="preserve"> </w:t>
      </w:r>
      <w:r>
        <w:t>x</w:t>
      </w:r>
      <w:r>
        <w:t xml:space="preserve"> </w:t>
      </w:r>
      <w:r>
        <w:t>被广泛用作基础平台。然而，有利于强结合的NiO</w:t>
      </w:r>
      <w:r>
        <w:t xml:space="preserve"> </w:t>
      </w:r>
      <w:r>
        <w:t>x</w:t>
      </w:r>
      <w:r>
        <w:t xml:space="preserve"> </w:t>
      </w:r>
      <w:r>
        <w:t>表面通常更氧化且富含羟基，这也可能增加寄生吸收和界面损耗，特别是在半透明和四端串联设备中变得至关重要。在此，通过将富含羟基的VO</w:t>
      </w:r>
      <w:r>
        <w:t xml:space="preserve"> </w:t>
      </w:r>
      <w:r>
        <w:t>x</w:t>
      </w:r>
      <w:r>
        <w:t xml:space="preserve"> </w:t>
      </w:r>
      <w:r>
        <w:t>纳米簇与致密的NiO</w:t>
      </w:r>
      <w:r>
        <w:t xml:space="preserve"> </w:t>
      </w:r>
      <w:r>
        <w:t>x</w:t>
      </w:r>
      <w:r>
        <w:t xml:space="preserve"> </w:t>
      </w:r>
      <w:r>
        <w:t>覆盖层集成，开发了一种VO</w:t>
      </w:r>
      <w:r>
        <w:t xml:space="preserve"> </w:t>
      </w:r>
      <w:r>
        <w:t>x</w:t>
      </w:r>
      <w:r>
        <w:t xml:space="preserve"> </w:t>
      </w:r>
      <w:r>
        <w:t>-NiO</w:t>
      </w:r>
      <w:r>
        <w:t xml:space="preserve"> </w:t>
      </w:r>
      <w:r>
        <w:t>x</w:t>
      </w:r>
      <w:r>
        <w:t xml:space="preserve"> </w:t>
      </w:r>
      <w:r>
        <w:t>复合空穴传输结构。该复合界面为稳健的SAM锚定提供了密集且化学均匀的反应位点，同时保持了有利的能量对齐以进行空穴提取，并抑制反射和寄生吸收。因此，带有1.67 eV带隙的0.148 cm</w:t>
      </w:r>
      <w:r>
        <w:rPr>
          <w:vertAlign w:val="subscript"/>
        </w:rPr>
        <w:t>2</w:t>
      </w:r>
      <w:r>
        <w:t>半透明PSCs提供了21.68%的PCE，并在25°C下经过1472小时的一太阳最大功率点跟踪后保留了98%的初始效率，在85°C下经过1000小时的黑暗老化后保留了90%。集成在四端钙钛矿/硅串联中，在1 cm上实现了31.25%的PCE。</w:t>
      </w:r>
    </w:p>
    <w:p>
      <w:pPr>
        <w:spacing w:before="0" w:after="200" w:lineRule="auto" w:line="276"/>
      </w:pPr>
      <w:r>
        <w:rPr>
          <w:b/>
        </w:rPr>
        <w:t xml:space="preserve">Abstract (EN): </w:t>
      </w:r>
      <w:r>
        <w:t>Self‐assembled monolayers (SAMs) have significantly boosted the power conversion efficiency (PCE) of perovskite solar cells (PSCs), but fragile interfacial anchoring has substantially limited their operational stability. To improve SAM anchoring, NiO</w:t>
      </w:r>
      <w:r>
        <w:t xml:space="preserve"> </w:t>
      </w:r>
      <w:r>
        <w:t>x</w:t>
      </w:r>
      <w:r>
        <w:t xml:space="preserve"> </w:t>
      </w:r>
      <w:r>
        <w:t>is widely used as the underlying platform. However, NiO</w:t>
      </w:r>
      <w:r>
        <w:t xml:space="preserve"> </w:t>
      </w:r>
      <w:r>
        <w:t>x</w:t>
      </w:r>
      <w:r>
        <w:t xml:space="preserve"> </w:t>
      </w:r>
      <w:r>
        <w:t>surfaces that favor strong binding are typically more oxidized and hydroxyl‐rich, which can also raise parasitic absorption and interfacial losses and becomes particularly critical for semitransparent and four‐terminal tandem devices. Here, a VO</w:t>
      </w:r>
      <w:r>
        <w:t xml:space="preserve"> </w:t>
      </w:r>
      <w:r>
        <w:t>x</w:t>
      </w:r>
      <w:r>
        <w:t xml:space="preserve"> </w:t>
      </w:r>
      <w:r>
        <w:t>‐NiO</w:t>
      </w:r>
      <w:r>
        <w:t xml:space="preserve"> </w:t>
      </w:r>
      <w:r>
        <w:t>x</w:t>
      </w:r>
      <w:r>
        <w:t xml:space="preserve"> </w:t>
      </w:r>
      <w:r>
        <w:t>composite hole‐transporting architecture by integrating hydroxyl‐rich VO</w:t>
      </w:r>
      <w:r>
        <w:t xml:space="preserve"> </w:t>
      </w:r>
      <w:r>
        <w:t>x</w:t>
      </w:r>
      <w:r>
        <w:t xml:space="preserve"> </w:t>
      </w:r>
      <w:r>
        <w:t>nanoclusters with a compact NiO</w:t>
      </w:r>
      <w:r>
        <w:t xml:space="preserve"> </w:t>
      </w:r>
      <w:r>
        <w:t>x</w:t>
      </w:r>
      <w:r>
        <w:t xml:space="preserve"> </w:t>
      </w:r>
      <w:r>
        <w:t>overlayer is developed. This composite interface provides dense and chemically uniform reactive sites for robust SAM anchoring while preserving favorable energetic alignment for hole extraction and suppressing reflection and parasitic absorption. As a result, 0.148 cm</w:t>
      </w:r>
      <w:r>
        <w:rPr>
          <w:vertAlign w:val="subscript"/>
        </w:rPr>
        <w:t>2</w:t>
      </w:r>
      <w:r>
        <w:t>semitransparent PSCs with a bandgap of 1.67 eV deliver PCEs of 21.68% and retain 98% of the initial efficiency after 1472 h of one‐sun maximum power point tracking at 25°C and 90% after 1000 h of dark aging at 85°C. Integrated in four‐terminal perovskite/silicon tandems, a PCE of 31.25% is achieved on 1 cm</w:t>
      </w:r>
      <w:r>
        <w:rPr>
          <w:vertAlign w:val="subscript"/>
        </w:rPr>
        <w:t>2</w:t>
      </w:r>
      <w:r>
        <w:t>devices. By decoupling anchoring from optical losses, this work offers a scalable interface design principle for perovskite tandem photovoltaics.</w:t>
      </w:r>
    </w:p>
    <w:p>
      <w:pPr>
        <w:spacing w:before="120" w:after="120"/>
      </w:pPr>
      <w:r>
        <w:rPr>
          <w:sz w:val="18"/>
        </w:rPr>
        <w:t>——————————————————————————————————————————————————————————————————————</w:t>
      </w:r>
    </w:p>
    <w:p>
      <w:pPr>
        <w:spacing w:before="160" w:after="40" w:line="240" w:lineRule="auto"/>
      </w:pPr>
      <w:r>
        <w:rPr>
          <w:b/>
        </w:rPr>
        <w:t xml:space="preserve">[385] </w:t>
      </w:r>
      <w:hyperlink r:id="rId889">
        <w:r>
          <w:rPr>
            <w:color w:val="1155CC"/>
            <w:u w:val="single"/>
          </w:rPr>
          <w:t>通过基于电弧的摩擦电纳米发电机在超低刺激速度下实现超过2000倍的电流增强，用于身份识别</w:t>
        </w:r>
      </w:hyperlink>
    </w:p>
    <w:p>
      <w:pPr>
        <w:spacing w:before="0" w:after="80"/>
      </w:pPr>
      <w:r>
        <w:rPr>
          <w:i/>
          <w:sz w:val="20"/>
        </w:rPr>
        <w:t>EN: Over 2000‐Fold Current Enhancement via Arc‐Based Triboelectric Nanogenerator at Ultra‐Low Stimulation Speed for Identity Recognition</w:t>
      </w:r>
    </w:p>
    <w:p>
      <w:pPr>
        <w:spacing w:before="0" w:after="120"/>
      </w:pPr>
      <w:r>
        <w:rPr>
          <w:b/>
        </w:rPr>
        <w:t xml:space="preserve">Source: </w:t>
      </w:r>
      <w:r>
        <w:t>Wiley: Advanced Energy Materials: Table of Contents</w:t>
      </w:r>
      <w:r>
        <w:t xml:space="preserve">    </w:t>
      </w:r>
      <w:r>
        <w:rPr>
          <w:b/>
        </w:rPr>
        <w:t xml:space="preserve">Pub date: </w:t>
      </w:r>
      <w:r>
        <w:t>2026-05-06 09:05:46+00:00</w:t>
      </w:r>
      <w:r>
        <w:t xml:space="preserve">    </w:t>
      </w:r>
      <w:r>
        <w:rPr>
          <w:b/>
        </w:rPr>
        <w:t xml:space="preserve">DOI: </w:t>
      </w:r>
      <w:hyperlink r:id="rId890">
        <w:r>
          <w:rPr>
            <w:color w:val="1155CC"/>
            <w:u w:val="single"/>
          </w:rPr>
          <w:t>10.1002/aenm.71034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摩擦电纳米发电机（TENGs）是物联网的有前途的能源和自供电传感器，但输出电流强烈依赖于机械刺激速度，在超低速条件下严重限制了性能。尽管已经探索了各种策略将相对低速的机械输入转化为高速运动，但在超低刺激速度下实现足够的电流增强仍然是一个重大挑战。在此，我们提出了一种基于弧形的摩擦电纳米发电机（A-TENG），通过弧形结构启用的弹性能量存储和释放，将超低速输入转化为高速运动，从而克服了这一限制。A-TENG在0.1 mm s</w:t>
      </w:r>
      <w:r>
        <w:t xml:space="preserve"> </w:t>
      </w:r>
      <w:r>
        <w:t>−1</w:t>
      </w:r>
      <w:r>
        <w:t xml:space="preserve"> </w:t>
      </w:r>
      <w:r>
        <w:t>的刺激速度下，与具有平面结构的传统垂直接触-分离TENG相比，实现了超过2000倍的电流增强。为了展示其实用性，A-TENG被用作摩尔斯电码输入和身份识别的自供电电报键。这一设计策略为在超低频机械能量收集和传感场景中启用TENGs提供了一条有效途径。</w:t>
      </w:r>
    </w:p>
    <w:p>
      <w:pPr>
        <w:spacing w:before="0" w:after="200" w:lineRule="auto" w:line="276"/>
      </w:pPr>
      <w:r>
        <w:rPr>
          <w:b/>
        </w:rPr>
        <w:t xml:space="preserve">Abstract (EN): </w:t>
      </w:r>
      <w:r>
        <w:t>Triboelectric nanogenerators (TENGs) are promising energy sources and self‐powered sensors for the Internet of Things, yet the output current strongly depends on mechanical stimulation speed, severely limiting performance under ultra‐low‐speed conditions. Although various strategies have been explored to convert relatively low‐speed mechanical inputs into high‐speed motions, achieving enough current enhancement at ultra‐low stimulation speeds remains a significant challenge. Here, we present an arc‐based triboelectric nanogenerator (A‐TENG) that overcomes this limitation by converting ultra‐low‐speed inputs into high‐speed motions through elastic energy storage and release enabled by an arc structure. The A‐TENG achieves a current enhancement exceeding 2000 fold compared with a conventional vertical contact–separation TENG with planar structures at a stimulation speed of 0.1 mm s</w:t>
      </w:r>
      <w:r>
        <w:t xml:space="preserve"> </w:t>
      </w:r>
      <w:r>
        <w:t>−1</w:t>
      </w:r>
      <w:r>
        <w:t xml:space="preserve"> </w:t>
      </w:r>
      <w:r>
        <w:t>. To demonstrate its practical utility, the A‐TENG is implemented as a self‐powered telegraph key for Morse code input and identity recognition. This design strategy provides an effective route for enabling TENGs in ultra‐low‐frequency mechanical energy harvesting and sensing scenarios.</w:t>
      </w:r>
    </w:p>
    <w:p>
      <w:pPr>
        <w:spacing w:before="120" w:after="120"/>
      </w:pPr>
      <w:r>
        <w:rPr>
          <w:sz w:val="18"/>
        </w:rPr>
        <w:t>——————————————————————————————————————————————————————————————————————</w:t>
      </w:r>
    </w:p>
    <w:p>
      <w:pPr>
        <w:spacing w:before="160" w:after="40" w:line="240" w:lineRule="auto"/>
      </w:pPr>
      <w:r>
        <w:rPr>
          <w:b/>
        </w:rPr>
        <w:t xml:space="preserve">[386] </w:t>
      </w:r>
      <w:hyperlink r:id="rId891">
        <w:r>
          <w:rPr>
            <w:color w:val="1155CC"/>
            <w:u w:val="single"/>
          </w:rPr>
          <w:t>金属有机复合物工程化的人工金属酶，通过协同位点和级联ROS消除治疗脑缺血再灌注损伤</w:t>
        </w:r>
      </w:hyperlink>
    </w:p>
    <w:p>
      <w:pPr>
        <w:spacing w:before="0" w:after="80"/>
      </w:pPr>
      <w:r>
        <w:rPr>
          <w:i/>
          <w:sz w:val="20"/>
        </w:rPr>
        <w:t>EN: Metal‐Organic Complex‐Engineered Artificial Metalloenzymes With Synergistic Site and Cascade ROS Elimination to Treat Cerebral Ischemic‐Reperfusion Injury</w:t>
      </w:r>
    </w:p>
    <w:p>
      <w:pPr>
        <w:spacing w:before="0" w:after="120"/>
      </w:pPr>
      <w:r>
        <w:rPr>
          <w:b/>
        </w:rPr>
        <w:t xml:space="preserve">Source: </w:t>
      </w:r>
      <w:r>
        <w:t>Wiley: Angewandte Chemie International Edition: Table of Contents</w:t>
      </w:r>
      <w:r>
        <w:t xml:space="preserve">    </w:t>
      </w:r>
      <w:r>
        <w:rPr>
          <w:b/>
        </w:rPr>
        <w:t xml:space="preserve">Pub date: </w:t>
      </w:r>
      <w:r>
        <w:t>2026-05-06 09:08:20+00:00</w:t>
      </w:r>
      <w:r>
        <w:t xml:space="preserve">    </w:t>
      </w:r>
      <w:r>
        <w:rPr>
          <w:b/>
        </w:rPr>
        <w:t xml:space="preserve">DOI: </w:t>
      </w:r>
      <w:hyperlink r:id="rId892">
        <w:r>
          <w:rPr>
            <w:color w:val="1155CC"/>
            <w:u w:val="single"/>
          </w:rPr>
          <w:t>10.1002/anie.1441985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缺血性中风是一种致命的脑血管疾病，再灌注是恢复血液供应的主要方法，但可能导致显著的氧化应激和随后的脑血管系统损伤。开发强效抗氧化剂可能是一个解决方案，但仍然是一个艰巨的挑战。在此，受天然Mn-超氧化物歧化酶的三维配位结构和活性中心的启发，结合在抗氧化酶中发现的协同单原子/簇位点，我们提出了Mn-有机复合物支持的Ru簇（MnCP-Ru）的全新设计，作为级联消除活性氧（ROS）的人工金属酶，旨在保护脑缺血再灌注损伤。我们的研究表明，Mn-有机配体增加了Ru簇的电子密度，从而改善了它们与氧物种的结合，导致有效的级联抗氧化酶活性。因此，MnCP-Ru可以通过减轻ROS诱导的细胞损伤来减少凋亡神经元的数量，并通过抑制脂质过氧化、脑组织中的小胶质细胞和星形胶质细胞激活来发挥强大的抗炎作用，从而提供强大的脑缺血再灌注损伤保护和修复。我们相信，具有协同位点和级联ROS消除的MnCP-Ru生物催化剂提供了有效的抗氧化性能，为开发治疗缺血再灌注损伤和其他氧化应激相关疾病的材料铺平了道路。</w:t>
      </w:r>
    </w:p>
    <w:p>
      <w:pPr>
        <w:spacing w:before="0" w:after="200" w:lineRule="auto" w:line="276"/>
      </w:pPr>
      <w:r>
        <w:rPr>
          <w:b/>
        </w:rPr>
        <w:t xml:space="preserve">Abstract (EN): </w:t>
      </w:r>
      <w:r>
        <w:t>Ischemic stroke is a fatal cerebrovascular disease, and reperfusion, the primary approach for restoring blood supply, can lead to significant oxidative stress and subsequent damage to the cerebrovascular system. Developing strong antioxidant agents could be a solution, but it remains a Herculean challenge. Herein, inspired by the three‐dimensional coordination structures and active center of natural Mn‐superoxide dismutase, coupled with the synergistic monoatom/cluster sites found in antioxidases, we propose the de novo design of Mn‐organic complex‐supported Ru clusters (MnCP‐Ru) to function as an artificial metalloenzyme for cascade elimination of reactive oxygen species (ROS), aimed at protecting against cerebral ischemic‐reperfusion injury. Our studies show that Mn‐organic ligands increase the electron density of Ru clusters, thereby improving their binding to oxygen species and resulting in effective, cascade‐like antioxidase activities. Accordingly, the MnCP‐Ru can reduce the number of apoptotic neurons by attenuating ROS‐induced cell damage and exert powerful anti‐inflammatory effects by inhibiting lipid peroxidation, microglial and astrocyte activation in brain tissues, thus leading to powerful protection and repair of cerebral ischemia‐reperfusion injury. We believe the MnCP‐Ru biocatalyst, with its synergistic sites and cascade ROS elimination, offers effective antioxidative performance, paving the way for developing materials to treat ischemic‐reperfusion injury and other oxidative stress‐related diseases.</w:t>
      </w:r>
    </w:p>
    <w:p>
      <w:pPr>
        <w:spacing w:before="120" w:after="120"/>
      </w:pPr>
      <w:r>
        <w:rPr>
          <w:sz w:val="18"/>
        </w:rPr>
        <w:t>——————————————————————————————————————————————————————————————————————</w:t>
      </w:r>
    </w:p>
    <w:p>
      <w:pPr>
        <w:spacing w:before="160" w:after="40" w:line="240" w:lineRule="auto"/>
      </w:pPr>
      <w:r>
        <w:rPr>
          <w:b/>
        </w:rPr>
        <w:t xml:space="preserve">[387] </w:t>
      </w:r>
      <w:hyperlink r:id="rId893">
        <w:r>
          <w:rPr>
            <w:color w:val="1155CC"/>
            <w:u w:val="single"/>
          </w:rPr>
          <w:t>使用硅纳米透析质谱平台在体内测量哺乳动物皮层中的局部化学梯度</w:t>
        </w:r>
      </w:hyperlink>
    </w:p>
    <w:p>
      <w:pPr>
        <w:spacing w:before="0" w:after="80"/>
      </w:pPr>
      <w:r>
        <w:rPr>
          <w:i/>
          <w:sz w:val="20"/>
        </w:rPr>
        <w:t>EN: Local Chemical Gradients in a Mammalian Cortex Measured In Vivo With a Silicon Nanodialysis Mass Spectrometry Platform</w:t>
      </w:r>
    </w:p>
    <w:p>
      <w:pPr>
        <w:spacing w:before="0" w:after="120"/>
      </w:pPr>
      <w:r>
        <w:rPr>
          <w:b/>
        </w:rPr>
        <w:t xml:space="preserve">Source: </w:t>
      </w:r>
      <w:r>
        <w:t>Wiley: Angewandte Chemie International Edition: Table of Contents</w:t>
      </w:r>
      <w:r>
        <w:t xml:space="preserve">    </w:t>
      </w:r>
      <w:r>
        <w:rPr>
          <w:b/>
        </w:rPr>
        <w:t xml:space="preserve">Pub date: </w:t>
      </w:r>
      <w:r>
        <w:t>2026-05-06 09:09:21+00:00</w:t>
      </w:r>
      <w:r>
        <w:t xml:space="preserve">    </w:t>
      </w:r>
      <w:r>
        <w:rPr>
          <w:b/>
        </w:rPr>
        <w:t xml:space="preserve">DOI: </w:t>
      </w:r>
      <w:hyperlink r:id="rId894">
        <w:r>
          <w:rPr>
            <w:color w:val="1155CC"/>
            <w:u w:val="single"/>
          </w:rPr>
          <w:t>10.1002/anie.3609448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哺乳动物大脑中的化学突触外信号通过调节神经活动来控制行为，通过引导轴突生长来连接大脑，通过定位药物的药理作用，以及通过调节神经炎症来发挥作用。由于神经元和胶质细胞之间复杂的相互作用导致的复杂时空动态，大脑中各种神经化学物质的局部梯度在体内研究起来很困难。在此，为了直接同时测量多种神经递质和代谢物的体内梯度，我们利用了一个开放流动的硅纳米透析采样平台，结合灵敏的质谱分析。结果显示，在小鼠皮层中，神经递质、神经调节剂和星形胶质调节剂的浓度存在强烈的毫米级空间梯度。这种局部化学隔室的形成和维持表明，胶质细胞与神经元的相互作用对大脑神经化学的强烈调节，可能会严重影响大脑功能的生理和病理生理调节。</w:t>
      </w:r>
    </w:p>
    <w:p>
      <w:pPr>
        <w:spacing w:before="0" w:after="200" w:lineRule="auto" w:line="276"/>
      </w:pPr>
      <w:r>
        <w:rPr>
          <w:b/>
        </w:rPr>
        <w:t xml:space="preserve">Abstract (EN): </w:t>
      </w:r>
      <w:r>
        <w:t>Chemical extrasynaptic signaling in the mammalian brain is involved in the control of behavior via modulation of neural activity, in wiring the brain by directing the axonal growth, in localization of pharmacological effects of drugs, and in regulating the neuroinflammation. Local gradients of various neurochemicals in the brain are difficult to study in vivo due to their complex spatiotemporal dynamics induced by intricate interactions between neurons and glial cells that are not well understood. Here, to directly measure in vivo gradients of multiple neurotransmitters and metabolites simultaneously, we utilize an open‐flow silicon nanodialysis sampling platform coupled with sensitive mass spectrometry. Results reveal strong millimeter‐scale spatial gradients in concentration of neurotransmitters, neuromodulators, and astroglial modulators in a mouse cortex. Formation and maintenance of such local chemical compartments indicate strong regulation of brain neurochemistry by glial‐neuron interactions that may heavily influence physiological and pathophysiological modulation of brain functions.</w:t>
      </w:r>
    </w:p>
    <w:p>
      <w:pPr>
        <w:spacing w:before="120" w:after="120"/>
      </w:pPr>
      <w:r>
        <w:rPr>
          <w:sz w:val="18"/>
        </w:rPr>
        <w:t>——————————————————————————————————————————————————————————————————————</w:t>
      </w:r>
    </w:p>
    <w:p>
      <w:pPr>
        <w:spacing w:before="160" w:after="40" w:line="240" w:lineRule="auto"/>
      </w:pPr>
      <w:r>
        <w:rPr>
          <w:b/>
        </w:rPr>
        <w:t xml:space="preserve">[388] </w:t>
      </w:r>
      <w:hyperlink r:id="rId895">
        <w:r>
          <w:rPr>
            <w:color w:val="1155CC"/>
            <w:u w:val="single"/>
          </w:rPr>
          <w:t>实时单分子观察化学反应重塑分子穿梭器的能量景观</w:t>
        </w:r>
      </w:hyperlink>
    </w:p>
    <w:p>
      <w:pPr>
        <w:spacing w:before="0" w:after="80"/>
      </w:pPr>
      <w:r>
        <w:rPr>
          <w:i/>
          <w:sz w:val="20"/>
        </w:rPr>
        <w:t>EN: Real‐Time Single‐Molecule Observation of a Chemical Reaction Reshaping the Energy Landscape of a Molecular Shuttle</w:t>
      </w:r>
    </w:p>
    <w:p>
      <w:pPr>
        <w:spacing w:before="0" w:after="120"/>
      </w:pPr>
      <w:r>
        <w:rPr>
          <w:b/>
        </w:rPr>
        <w:t xml:space="preserve">Source: </w:t>
      </w:r>
      <w:r>
        <w:t>Wiley: Angewandte Chemie International Edition: Table of Contents</w:t>
      </w:r>
      <w:r>
        <w:t xml:space="preserve">    </w:t>
      </w:r>
      <w:r>
        <w:rPr>
          <w:b/>
        </w:rPr>
        <w:t xml:space="preserve">Pub date: </w:t>
      </w:r>
      <w:r>
        <w:t>2026-05-06 09:11:21+00:00</w:t>
      </w:r>
      <w:r>
        <w:t xml:space="preserve">    </w:t>
      </w:r>
      <w:r>
        <w:rPr>
          <w:b/>
        </w:rPr>
        <w:t xml:space="preserve">DOI: </w:t>
      </w:r>
      <w:hyperlink r:id="rId896">
        <w:r>
          <w:rPr>
            <w:color w:val="1155CC"/>
            <w:u w:val="single"/>
          </w:rPr>
          <w:t>10.1002/anie.3232767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分子机器通常依赖化学刺激在功能状态之间切换，但这些转变的实时动态在很大程度上被集合平均所掩盖。我们描述了一个不可逆改变二站[2]轮烷共构象空间的Diels–Alder反应的实时单分子追踪。通过在光镊中系住单个穿梭体，我们观察到在水环境中，富马酰胺结合位点转变为非结合加合物。这种共价修饰触发了大环位置偏好的快速转变，有效地抹去了热力学上有利的状态，仅留下次级琥珀酰胺酯站作为唯一的锚定位点。我们的分析使我们能够重建化学事件前后的能量景观，揭示转变重塑了热力学势而没有显著扰动内在动力学。该研究强调了力谱学在原位表征化学驱动的单个分子设备功能变化中的潜力。</w:t>
      </w:r>
    </w:p>
    <w:p>
      <w:pPr>
        <w:spacing w:before="0" w:after="200" w:lineRule="auto" w:line="276"/>
      </w:pPr>
      <w:r>
        <w:rPr>
          <w:b/>
        </w:rPr>
        <w:t xml:space="preserve">Abstract (EN): </w:t>
      </w:r>
      <w:r>
        <w:t>Artificial molecular machines often rely on chemical stimuli to switch between functional states, yet the real‐time dynamics of these transitions remain largely obscured by ensemble averaging. We describe the real‐time single‐molecule tracking of a Diels–Alder reaction that irreversibly alters the co‐conformational space of a two‐station [2]rotaxane. By tethering individual shuttles in optical tweezers, we observe the transformation of a fumaramide binding site into a non‐binding adduct in an aqueous environment. This covalent modification triggers a brisk shift in the macrocycle's positional preference, effectively erasing the thermodynamically favored state and leaving the secondary succinic amide‐ester station as the sole anchoring site. Our analysis allows us to reconstruct the energy landscape before and after the chemical event, revealing that the transformation reshapes the thermodynamic potential without measurably perturbing the intrinsic kinetics. This study highlights the potential of force spectroscopy for the in‐situ characterization of chemically driven changes in the function of individual molecular devices.</w:t>
      </w:r>
    </w:p>
    <w:p>
      <w:pPr>
        <w:spacing w:before="120" w:after="120"/>
      </w:pPr>
      <w:r>
        <w:rPr>
          <w:sz w:val="18"/>
        </w:rPr>
        <w:t>——————————————————————————————————————————————————————————————————————</w:t>
      </w:r>
    </w:p>
    <w:p>
      <w:pPr>
        <w:spacing w:before="160" w:after="40" w:line="240" w:lineRule="auto"/>
      </w:pPr>
      <w:r>
        <w:rPr>
          <w:b/>
        </w:rPr>
        <w:t xml:space="preserve">[389] </w:t>
      </w:r>
      <w:hyperlink r:id="rId897">
        <w:r>
          <w:rPr>
            <w:color w:val="1155CC"/>
            <w:u w:val="single"/>
          </w:rPr>
          <w:t>超越性能的有机光电化学电池：界面和催化剂工程以提高耐久性</w:t>
        </w:r>
      </w:hyperlink>
    </w:p>
    <w:p>
      <w:pPr>
        <w:spacing w:before="0" w:after="80"/>
      </w:pPr>
      <w:r>
        <w:rPr>
          <w:i/>
          <w:sz w:val="20"/>
        </w:rPr>
        <w:t>EN: Organic Photoelectrochemical Cells Beyond Performance: Interface and Catalyst Engineering for Durability</w:t>
      </w:r>
    </w:p>
    <w:p>
      <w:pPr>
        <w:spacing w:before="0" w:after="120"/>
      </w:pPr>
      <w:r>
        <w:rPr>
          <w:b/>
        </w:rPr>
        <w:t xml:space="preserve">Source: </w:t>
      </w:r>
      <w:r>
        <w:t>Wiley: Advanced Energy Materials: Table of Contents</w:t>
      </w:r>
      <w:r>
        <w:t xml:space="preserve">    </w:t>
      </w:r>
      <w:r>
        <w:rPr>
          <w:b/>
        </w:rPr>
        <w:t xml:space="preserve">Pub date: </w:t>
      </w:r>
      <w:r>
        <w:t>2026-05-06 09:11:35+00:00</w:t>
      </w:r>
      <w:r>
        <w:t xml:space="preserve">    </w:t>
      </w:r>
      <w:r>
        <w:rPr>
          <w:b/>
        </w:rPr>
        <w:t xml:space="preserve">DOI: </w:t>
      </w:r>
      <w:hyperlink r:id="rId898">
        <w:r>
          <w:rPr>
            <w:color w:val="1155CC"/>
            <w:u w:val="single"/>
          </w:rPr>
          <w:t>10.1002/aenm.71031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向碳中和能源系统的过渡加剧了对直接将太阳能转化为化学燃料和增值产品的技术的兴趣。在这些技术中，光电化学（PEC）系统在单一设备架构中集成了光吸收、光电压和光电流生成以及电化学催化。除了传统的无机半导体，基于π共轭半导体的有机光电化学电池（OPECs）通过利用无机半导体难以实现的特性而受到关注。本综述重点介绍了OPECs的最新进展，特别是用于氢和氧演化的水分解系统。我们首先总结了基本的操作原理、关键设备架构和性能指标，然后介绍了p型和n型有机光电极的最新进展。界面工程和催化剂集成策略在与有机基材的兼容性及其对电荷转移动力学的影响方面进行了讨论。还研究了在水性操作下的稳定性挑战和新兴的缓解策略。最后，探讨了串联配置、无偏操作以及超越水分解的扩展，包括CO</w:t>
      </w:r>
      <w:r>
        <w:rPr>
          <w:vertAlign w:val="subscript"/>
        </w:rPr>
        <w:t>2</w:t>
      </w:r>
      <w:r>
        <w:t>还原和选择性有机转化。确定了关键的科学和工程挑战，以指导OPECs从实验室演示向可扩展的太阳能燃料技术的过渡。</w:t>
      </w:r>
    </w:p>
    <w:p>
      <w:pPr>
        <w:spacing w:before="0" w:after="200" w:lineRule="auto" w:line="276"/>
      </w:pPr>
      <w:r>
        <w:rPr>
          <w:b/>
        </w:rPr>
        <w:t xml:space="preserve">Abstract (EN): </w:t>
      </w:r>
      <w:r>
        <w:t>The transition toward carbon‐neutral energy systems has intensified interest in technologies that directly convert solar energy into chemical fuels and value‐added products. Among these, photoelectrochemical (PEC) systems integrate light absorption, photovoltage, and photocurrent generation, and electrochemical catalysis within a single device architecture. Beyond conventional inorganic semiconductors, organic photoelectrochemical cells (OPECs) based on π‐conjugated semiconductors are gaining attention by exploiting features difficult to achieve in inorganic counterparts. This review highlights recent advances in OPECs, focusing on water splitting systems for hydrogen and oxygen evolution. We first summarize fundamental operating principles, key device architectures, and performance metrics, followed by recent progress in p‐ and n‐type organic photoelectrodes. Interfacial engineering and catalyst integration strategies are discussed in terms of their compatibility with organic substrates and impact on charge‐transfer kinetics. Stability challenges under aqueous operation and emerging mitigation strategies are also examined. Finally, tandem configurations, bias‐free operation, and extensions beyond water splitting, including CO</w:t>
      </w:r>
      <w:r>
        <w:rPr>
          <w:vertAlign w:val="subscript"/>
        </w:rPr>
        <w:t>2</w:t>
      </w:r>
      <w:r>
        <w:t>reduction and selective organic transformations, are addressed. Key scientific and engineering challenges are identified to guide the transition of OPECs from laboratory demonstrations to scalable solar fuel technologies.</w:t>
      </w:r>
    </w:p>
    <w:p>
      <w:pPr>
        <w:spacing w:before="120" w:after="120"/>
      </w:pPr>
      <w:r>
        <w:rPr>
          <w:sz w:val="18"/>
        </w:rPr>
        <w:t>——————————————————————————————————————————————————————————————————————</w:t>
      </w:r>
    </w:p>
    <w:p>
      <w:pPr>
        <w:spacing w:before="160" w:after="40" w:line="240" w:lineRule="auto"/>
      </w:pPr>
      <w:r>
        <w:rPr>
          <w:b/>
        </w:rPr>
        <w:t xml:space="preserve">[390] </w:t>
      </w:r>
      <w:hyperlink r:id="rId899">
        <w:r>
          <w:rPr>
            <w:color w:val="1155CC"/>
            <w:u w:val="single"/>
          </w:rPr>
          <w:t>精确合成高分支的白芷多糖多达66个单位揭示伤口修复的最小基序</w:t>
        </w:r>
      </w:hyperlink>
    </w:p>
    <w:p>
      <w:pPr>
        <w:spacing w:before="0" w:after="80"/>
      </w:pPr>
      <w:r>
        <w:rPr>
          <w:i/>
          <w:sz w:val="20"/>
        </w:rPr>
        <w:t>EN: Precise Synthesis of Highly Branched Angelica dahurica Polysaccharides up to 66 Units Reveals a Minimal Motif for Wound Repair</w:t>
      </w:r>
    </w:p>
    <w:p>
      <w:pPr>
        <w:spacing w:before="0" w:after="120"/>
      </w:pPr>
      <w:r>
        <w:rPr>
          <w:b/>
        </w:rPr>
        <w:t xml:space="preserve">Source: </w:t>
      </w:r>
      <w:r>
        <w:t>Wiley: Angewandte Chemie International Edition: Table of Contents</w:t>
      </w:r>
      <w:r>
        <w:t xml:space="preserve">    </w:t>
      </w:r>
      <w:r>
        <w:rPr>
          <w:b/>
        </w:rPr>
        <w:t xml:space="preserve">Pub date: </w:t>
      </w:r>
      <w:r>
        <w:t>2026-05-06 09:12:30+00:00</w:t>
      </w:r>
      <w:r>
        <w:t xml:space="preserve">    </w:t>
      </w:r>
      <w:r>
        <w:rPr>
          <w:b/>
        </w:rPr>
        <w:t xml:space="preserve">DOI: </w:t>
      </w:r>
      <w:hyperlink r:id="rId900">
        <w:r>
          <w:rPr>
            <w:color w:val="1155CC"/>
            <w:u w:val="single"/>
          </w:rPr>
          <w:t>10.1002/anie.5220143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w:t>
      </w:r>
      <w:r>
        <w:t xml:space="preserve"> </w:t>
      </w:r>
      <w:r>
        <w:t>白芷</w:t>
      </w:r>
      <w:r>
        <w:t xml:space="preserve"> </w:t>
      </w:r>
      <w:r>
        <w:t>中提取的多糖表现出强大的伤口愈合活性，但天然提取物的显著结构异质性模糊了活性基序的身份，并阻碍了临床转化。在此，我们报告了一种基于糖基供体预活化的汇聚式单锅[22+22+22]糖基化策略，使得66单位</w:t>
      </w:r>
      <w:r>
        <w:t xml:space="preserve"> </w:t>
      </w:r>
      <w:r>
        <w:t>白芷</w:t>
      </w:r>
      <w:r>
        <w:t xml:space="preserve"> </w:t>
      </w:r>
      <w:r>
        <w:t>多糖的精确化学合成成为可能。这种方法促进了从四糖到全长66聚糖的全面糖库的高效组装，允许系统的生物学评估。功能筛选确定了还原端六糖为负责伤口愈合活性的最小活性基序。机制分析揭示，合成的六糖和十二糖促进成纤维细胞和角质形成细胞的增殖和迁移，同时重新编程巨噬细胞极化。至关重要的是，两个糖的克级合成使得体内评估成为可能，显示通过减轻过度炎症和促进有序胶原沉积显著加速伤口闭合。总体而言，这些发现建立了一种通过结构明确的糖类的从头合成来解构异质天然多糖提取物的通用范式，作为精确设计的伤口愈合治疗剂。</w:t>
      </w:r>
    </w:p>
    <w:p>
      <w:pPr>
        <w:spacing w:before="0" w:after="200" w:lineRule="auto" w:line="276"/>
      </w:pPr>
      <w:r>
        <w:rPr>
          <w:b/>
        </w:rPr>
        <w:t xml:space="preserve">Abstract (EN): </w:t>
      </w:r>
      <w:r>
        <w:t>Polysaccharides derived from</w:t>
      </w:r>
      <w:r>
        <w:t xml:space="preserve"> </w:t>
      </w:r>
      <w:r>
        <w:t>Angelica dahurica</w:t>
      </w:r>
      <w:r>
        <w:t xml:space="preserve"> </w:t>
      </w:r>
      <w:r>
        <w:t>exhibit potent wound healing activity, yet the pronounced structural heterogeneity of natural extracts has obscured the identity of the active motif and hindered clinical translation. Here we report a convergent, one‐pot [22+22+22] glycosylation strategy based on glycosyl donor preactivation that enables the precise chemical synthesis of a 66‐unit</w:t>
      </w:r>
      <w:r>
        <w:t xml:space="preserve"> </w:t>
      </w:r>
      <w:r>
        <w:t>A. dahurica</w:t>
      </w:r>
      <w:r>
        <w:t xml:space="preserve"> </w:t>
      </w:r>
      <w:r>
        <w:t>polysaccharide. This approach facilitates the efficient assembly of a comprehensive glycan library spanning tetrasaccharides to the full‐length 66‐mer polysaccharide, allowing for systematic biological evaluation. Functional screening identifies the reducing end hexasaccharide as the minimal active motif responsible for wound healing activity. Mechanistic analyses reveal that the synthetic hexa‐ and dodecasaccharides promote fibroblast and keratinocyte proliferation and migration, while concurrently reprogramming macrophage polarization. Crucially, gram‐scale synthesis of both glycans enables definitive in vivo evaluation, demonstrating significantly accelerated wound closure through attenuation of excessive inflammation and promotion of organized collagen deposition. Collectively, these findings establish a general paradigm for deconvoluting heterogeneous natural polysaccharide extracts through de novo synthesis of structurally well‐defined glycans as precision‐engineered wound healing therapeutics.</w:t>
      </w:r>
    </w:p>
    <w:p>
      <w:pPr>
        <w:spacing w:before="120" w:after="120"/>
      </w:pPr>
      <w:r>
        <w:rPr>
          <w:sz w:val="18"/>
        </w:rPr>
        <w:t>——————————————————————————————————————————————————————————————————————</w:t>
      </w:r>
    </w:p>
    <w:p>
      <w:pPr>
        <w:spacing w:before="160" w:after="40" w:line="240" w:lineRule="auto"/>
      </w:pPr>
      <w:r>
        <w:rPr>
          <w:b/>
        </w:rPr>
        <w:t xml:space="preserve">[391] </w:t>
      </w:r>
      <w:hyperlink r:id="rId901">
        <w:r>
          <w:rPr>
            <w:color w:val="1155CC"/>
            <w:u w:val="single"/>
          </w:rPr>
          <w:t>让光来吧！光作为合成细胞中的引擎和调节器</w:t>
        </w:r>
      </w:hyperlink>
    </w:p>
    <w:p>
      <w:pPr>
        <w:spacing w:before="0" w:after="80"/>
      </w:pPr>
      <w:r>
        <w:rPr>
          <w:i/>
          <w:sz w:val="20"/>
        </w:rPr>
        <w:t>EN: Let There be Light! Light as an Engine and Regulator in Synthetic Cells</w:t>
      </w:r>
    </w:p>
    <w:p>
      <w:pPr>
        <w:spacing w:before="0" w:after="120"/>
      </w:pPr>
      <w:r>
        <w:rPr>
          <w:b/>
        </w:rPr>
        <w:t xml:space="preserve">Source: </w:t>
      </w:r>
      <w:r>
        <w:t>Wiley: Angewandte Chemie International Edition: Table of Contents</w:t>
      </w:r>
      <w:r>
        <w:t xml:space="preserve">    </w:t>
      </w:r>
      <w:r>
        <w:rPr>
          <w:b/>
        </w:rPr>
        <w:t xml:space="preserve">Pub date: </w:t>
      </w:r>
      <w:r>
        <w:t>2026-05-06 09:13:27+00:00</w:t>
      </w:r>
      <w:r>
        <w:t xml:space="preserve">    </w:t>
      </w:r>
      <w:r>
        <w:rPr>
          <w:b/>
        </w:rPr>
        <w:t xml:space="preserve">DOI: </w:t>
      </w:r>
      <w:hyperlink r:id="rId902">
        <w:r>
          <w:rPr>
            <w:color w:val="1155CC"/>
            <w:u w:val="single"/>
          </w:rPr>
          <w:t>10.1002/anie.4174230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细胞由定义的分子组件组装而成，旨在模拟活细胞的特征、形态和功能。光作为一种独特的精确、生物正交和非侵入性刺激，已成为调节和激活这些系统的工具，使化学不均匀性和非平衡状态成为许多细胞过程的核心。本综述重点介绍了光在合成细胞中帮助重现的生物行为和功能，包括分隔、能量供应和代谢、蛋白质合成、通信、增长、形状变化和分裂以及运动。我们调查了合成细胞中纳入的光响应组件的广度，涵盖了光开关和光切割的小分子、光开关蛋白、光催化剂、纳米颗粒以及光合有机体或生物体。最后，我们提供了关于关键设计考虑因素的观点，如波长、可逆性、集成、生物相容性、多色调控和生物混合策略。这些进展共同描绘了通向更动态、能量自主和可编程合成细胞的有前途的路线，这将加深我们对细胞功能的理解，并推动新兴生物技术应用。</w:t>
      </w:r>
    </w:p>
    <w:p>
      <w:pPr>
        <w:spacing w:before="0" w:after="200" w:lineRule="auto" w:line="276"/>
      </w:pPr>
      <w:r>
        <w:rPr>
          <w:b/>
        </w:rPr>
        <w:t xml:space="preserve">Abstract (EN): </w:t>
      </w:r>
      <w:r>
        <w:t>Synthetic cells, assembled from defined molecular components, are designed to mimic the features, form, and function of living cells. Light has emerged as a uniquely precise, biorthogonal, and non‐invasive stimulus for regulating and energizing these systems, enabling chemical inhomogeneity and an out‐of‐equilibrium state central to many cellular processes. This review highlights the biological behaviors and functions that light has helped recreate in synthetic cells, including compartmentalization, energy supply and metabolism, protein synthesis, communication, growth, shape change and division, and motility. We survey the breadth of light‐responsive components incorporated into synthetic cells, spanning photoswitchable and photocleavable small molecules, photoswitchable proteins, photocatalysts, nanoparticles, and photosynthetic organelles or organisms. Finally, we offer a perspective on key design considerations such as wavelength, reversibility, integration, biocompatibility, multicolor regulation, and biohybrid strategies. Together, these advances chart promising routes toward more dynamic, energy‐autonomous, and programmable synthetic cells that will deepen our understanding of cellular functions and enable emerging biotechnological applications.</w:t>
      </w:r>
    </w:p>
    <w:p>
      <w:pPr>
        <w:spacing w:before="120" w:after="120"/>
      </w:pPr>
      <w:r>
        <w:rPr>
          <w:sz w:val="18"/>
        </w:rPr>
        <w:t>——————————————————————————————————————————————————————————————————————</w:t>
      </w:r>
    </w:p>
    <w:p>
      <w:pPr>
        <w:spacing w:before="160" w:after="40" w:line="240" w:lineRule="auto"/>
      </w:pPr>
      <w:r>
        <w:rPr>
          <w:b/>
        </w:rPr>
        <w:t xml:space="preserve">[392] </w:t>
      </w:r>
      <w:hyperlink r:id="rId903">
        <w:r>
          <w:rPr>
            <w:color w:val="1155CC"/>
            <w:u w:val="single"/>
          </w:rPr>
          <w:t>SrTiO3@COF‐TaTp异质结中孔限铋纳米簇用于高效H2O2光合成</w:t>
        </w:r>
      </w:hyperlink>
    </w:p>
    <w:p>
      <w:pPr>
        <w:spacing w:before="0" w:after="80"/>
      </w:pPr>
      <w:r>
        <w:rPr>
          <w:i/>
          <w:sz w:val="20"/>
        </w:rPr>
        <w:t>EN: Pore‐Confined Bismuth Nanoclusters in a SrTiO3@COF‐TaTp Heterojunction for Efficient H2O2 Photosynthesis</w:t>
      </w:r>
    </w:p>
    <w:p>
      <w:pPr>
        <w:spacing w:before="0" w:after="120"/>
      </w:pPr>
      <w:r>
        <w:rPr>
          <w:b/>
        </w:rPr>
        <w:t xml:space="preserve">Source: </w:t>
      </w:r>
      <w:r>
        <w:t>Wiley: Advanced Energy Materials: Table of Contents</w:t>
      </w:r>
      <w:r>
        <w:t xml:space="preserve">    </w:t>
      </w:r>
      <w:r>
        <w:rPr>
          <w:b/>
        </w:rPr>
        <w:t xml:space="preserve">Pub date: </w:t>
      </w:r>
      <w:r>
        <w:t>2026-05-06 09:15:41+00:00</w:t>
      </w:r>
      <w:r>
        <w:t xml:space="preserve">    </w:t>
      </w:r>
      <w:r>
        <w:rPr>
          <w:b/>
        </w:rPr>
        <w:t xml:space="preserve">DOI: </w:t>
      </w:r>
      <w:hyperlink r:id="rId904">
        <w:r>
          <w:rPr>
            <w:color w:val="1155CC"/>
            <w:u w:val="single"/>
          </w:rPr>
          <w:t>10.1002/aenm.71035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通过人工光合作用生产H</w:t>
      </w:r>
      <w:r>
        <w:rPr>
          <w:vertAlign w:val="subscript"/>
        </w:rPr>
        <w:t>2</w:t>
      </w:r>
      <w:r>
        <w:t>O</w:t>
      </w:r>
      <w:r>
        <w:rPr>
          <w:vertAlign w:val="subscript"/>
        </w:rPr>
        <w:t>2</w:t>
      </w:r>
      <w:r>
        <w:t>代表了一条绿色合成的有前途的路线，但其效率通常受到催化效率不足和低太阳能到化学能转换的限制。在此，我们报告了一种三元SrTiO</w:t>
      </w:r>
      <w:r>
        <w:rPr>
          <w:vertAlign w:val="subscript"/>
        </w:rPr>
        <w:t>3</w:t>
      </w:r>
      <w:r>
        <w:t>@COF‐TaTp（TaTp = 对苯二甲醛）/铋纳米簇（Bi NCs）复合材料，通过在SrTiO</w:t>
      </w:r>
      <w:r>
        <w:rPr>
          <w:vertAlign w:val="subscript"/>
        </w:rPr>
        <w:t>3</w:t>
      </w:r>
      <w:r>
        <w:t>上原位生长超薄COF‐TaTp壳层，然后在COF‐TaTp孔内精确限制超细Bi NCs来制造。该设计利用COF‐TaTp同时拓宽可见光吸收并建立S型异质结以实现高效电荷分离，而孔限制的超细Bi纳米簇作为高活性共催化剂加速表面反应。优化的复合材料在纯水中实现了5.76 mmol g</w:t>
      </w:r>
      <w:r>
        <w:t xml:space="preserve"> </w:t>
      </w:r>
      <w:r>
        <w:t>−</w:t>
      </w:r>
      <w:r>
        <w:rPr>
          <w:vertAlign w:val="subscript"/>
        </w:rPr>
        <w:t>1</w:t>
      </w:r>
      <w:r>
        <w:t>h</w:t>
      </w:r>
      <w:r>
        <w:t xml:space="preserve"> </w:t>
      </w:r>
      <w:r>
        <w:t>−</w:t>
      </w:r>
      <w:r>
        <w:rPr>
          <w:vertAlign w:val="subscript"/>
        </w:rPr>
        <w:t>1</w:t>
      </w:r>
      <w:r>
        <w:t>的显著H</w:t>
      </w:r>
      <w:r>
        <w:rPr>
          <w:vertAlign w:val="subscript"/>
        </w:rPr>
        <w:t>2</w:t>
      </w:r>
      <w:r>
        <w:t>O</w:t>
      </w:r>
      <w:r>
        <w:rPr>
          <w:vertAlign w:val="subscript"/>
        </w:rPr>
        <w:t>2</w:t>
      </w:r>
      <w:r>
        <w:t>生产率，无需牺牲剂，显著优于其单独组件（SrTiO</w:t>
      </w:r>
      <w:r>
        <w:rPr>
          <w:vertAlign w:val="subscript"/>
        </w:rPr>
        <w:t>3</w:t>
      </w:r>
      <w:r>
        <w:t>：0.15，COF‐TaTp：0.68，SrTiO</w:t>
      </w:r>
      <w:r>
        <w:rPr>
          <w:vertAlign w:val="subscript"/>
        </w:rPr>
        <w:t>3</w:t>
      </w:r>
      <w:r>
        <w:t>@COF‐TaTp：1.75 mmol g</w:t>
      </w:r>
      <w:r>
        <w:t xml:space="preserve"> </w:t>
      </w:r>
      <w:r>
        <w:t>−</w:t>
      </w:r>
      <w:r>
        <w:rPr>
          <w:vertAlign w:val="subscript"/>
        </w:rPr>
        <w:t>1</w:t>
      </w:r>
      <w:r>
        <w:t>h</w:t>
      </w:r>
      <w:r>
        <w:t xml:space="preserve"> </w:t>
      </w:r>
      <w:r>
        <w:t>−</w:t>
      </w:r>
    </w:p>
    <w:p>
      <w:pPr>
        <w:spacing w:before="0" w:after="200" w:lineRule="auto" w:line="276"/>
      </w:pPr>
      <w:r>
        <w:rPr>
          <w:b/>
        </w:rPr>
        <w:t xml:space="preserve">Abstract (EN): </w:t>
      </w:r>
      <w:r>
        <w:t>H</w:t>
      </w:r>
      <w:r>
        <w:rPr>
          <w:vertAlign w:val="subscript"/>
        </w:rPr>
        <w:t>2</w:t>
      </w:r>
      <w:r>
        <w:t>O</w:t>
      </w:r>
      <w:r>
        <w:rPr>
          <w:vertAlign w:val="subscript"/>
        </w:rPr>
        <w:t>2</w:t>
      </w:r>
      <w:r>
        <w:t>production via artificial photosynthesis represents a promising route to green synthesis, but its efficiency is often constrained by insufficient catalytic efficiency and low solar‐to‐chemical conversion. Here, we report a ternary SrTiO</w:t>
      </w:r>
      <w:r>
        <w:rPr>
          <w:vertAlign w:val="subscript"/>
        </w:rPr>
        <w:t>3</w:t>
      </w:r>
      <w:r>
        <w:t>@COF‐TaTp (TaTp = terephthalaldehyde)/bismuth nanoclusters (Bi NCs) composite, fabricated through in situ growth of an ultrathin COF‐TaTp shell on SrTiO</w:t>
      </w:r>
      <w:r>
        <w:rPr>
          <w:vertAlign w:val="subscript"/>
        </w:rPr>
        <w:t>3</w:t>
      </w:r>
      <w:r>
        <w:t>, followed by the precise confinement of ultrafine Bi NCs within the COF‐TaTp pores. This design leverages the COF‐TaTp to simultaneously broaden visible‐light absorption and establish an S‐scheme heterojunction for efficient charge separation, while the pore‐confined ultrafine Bi nanoclusters act as highly active cocatalysts to accelerate surface reactions. The optimized composite achieves a remarkable H</w:t>
      </w:r>
      <w:r>
        <w:rPr>
          <w:vertAlign w:val="subscript"/>
        </w:rPr>
        <w:t>2</w:t>
      </w:r>
      <w:r>
        <w:t>O</w:t>
      </w:r>
      <w:r>
        <w:rPr>
          <w:vertAlign w:val="subscript"/>
        </w:rPr>
        <w:t>2</w:t>
      </w:r>
      <w:r>
        <w:t>production rate of 5.76 mmol g</w:t>
      </w:r>
      <w:r>
        <w:t xml:space="preserve"> </w:t>
      </w:r>
      <w:r>
        <w:t>−</w:t>
      </w:r>
      <w:r>
        <w:rPr>
          <w:vertAlign w:val="subscript"/>
        </w:rPr>
        <w:t>1</w:t>
      </w:r>
      <w:r>
        <w:t>h</w:t>
      </w:r>
      <w:r>
        <w:t xml:space="preserve"> </w:t>
      </w:r>
      <w:r>
        <w:t>−</w:t>
      </w:r>
      <w:r>
        <w:rPr>
          <w:vertAlign w:val="subscript"/>
        </w:rPr>
        <w:t>1</w:t>
      </w:r>
      <w:r>
        <w:t>in pure water without sacrificial agents, substantially outperforming its individual components (SrTiO</w:t>
      </w:r>
      <w:r>
        <w:rPr>
          <w:vertAlign w:val="subscript"/>
        </w:rPr>
        <w:t>3</w:t>
      </w:r>
      <w:r>
        <w:t>: 0.15, COF‐TaTp: 0.68, SrTiO</w:t>
      </w:r>
      <w:r>
        <w:rPr>
          <w:vertAlign w:val="subscript"/>
        </w:rPr>
        <w:t>3</w:t>
      </w:r>
      <w:r>
        <w:t>@COF‐TaTp: 1.75 mmol g</w:t>
      </w:r>
      <w:r>
        <w:t xml:space="preserve"> </w:t>
      </w:r>
      <w:r>
        <w:t>−</w:t>
      </w:r>
      <w:r>
        <w:rPr>
          <w:vertAlign w:val="subscript"/>
        </w:rPr>
        <w:t>1</w:t>
      </w:r>
      <w:r>
        <w:t>h</w:t>
      </w:r>
      <w:r>
        <w:t xml:space="preserve"> </w:t>
      </w:r>
      <w:r>
        <w:t>−</w:t>
      </w:r>
      <w:r>
        <w:rPr>
          <w:vertAlign w:val="subscript"/>
        </w:rPr>
        <w:t>1</w:t>
      </w:r>
      <w:r>
        <w:t>) and maintains &amp;gt;98.9% activity over 30 cycles, demonstrating exceptional stability. This work introduces the synergistic integration of perovskite oxides, COFs, and metal nanoclusters, offering new design principles for efficient photocatalytic H</w:t>
      </w:r>
      <w:r>
        <w:rPr>
          <w:vertAlign w:val="subscript"/>
        </w:rPr>
        <w:t>2</w:t>
      </w:r>
      <w:r>
        <w:t>O</w:t>
      </w:r>
      <w:r>
        <w:rPr>
          <w:vertAlign w:val="subscript"/>
        </w:rPr>
        <w:t>2</w:t>
      </w:r>
      <w:r>
        <w:t>synthesis.</w:t>
      </w:r>
    </w:p>
    <w:p>
      <w:pPr>
        <w:spacing w:before="120" w:after="120"/>
      </w:pPr>
      <w:r>
        <w:rPr>
          <w:sz w:val="18"/>
        </w:rPr>
        <w:t>——————————————————————————————————————————————————————————————————————</w:t>
      </w:r>
    </w:p>
    <w:p>
      <w:pPr>
        <w:spacing w:before="160" w:after="40" w:line="240" w:lineRule="auto"/>
      </w:pPr>
      <w:r>
        <w:rPr>
          <w:b/>
        </w:rPr>
        <w:t xml:space="preserve">[393] </w:t>
      </w:r>
      <w:hyperlink r:id="rId905">
        <w:r>
          <w:rPr>
            <w:color w:val="1155CC"/>
            <w:u w:val="single"/>
          </w:rPr>
          <w:t>通过电化学发光显微镜揭示Au(111)上阳离子自由基寿命调节异常信号波动</w:t>
        </w:r>
      </w:hyperlink>
    </w:p>
    <w:p>
      <w:pPr>
        <w:spacing w:before="0" w:after="80"/>
      </w:pPr>
      <w:r>
        <w:rPr>
          <w:i/>
          <w:sz w:val="20"/>
        </w:rPr>
        <w:t>EN: Radical Cation Lifetime Regulating Anomalous Signal Fluctuation on Au(111) Unveiled by Electrochemiluminescence Microscopy</w:t>
      </w:r>
    </w:p>
    <w:p>
      <w:pPr>
        <w:spacing w:before="0" w:after="120"/>
      </w:pPr>
      <w:r>
        <w:rPr>
          <w:b/>
        </w:rPr>
        <w:t xml:space="preserve">Source: </w:t>
      </w:r>
      <w:r>
        <w:t>Wiley: Angewandte Chemie International Edition: Table of Contents</w:t>
      </w:r>
      <w:r>
        <w:t xml:space="preserve">    </w:t>
      </w:r>
      <w:r>
        <w:rPr>
          <w:b/>
        </w:rPr>
        <w:t xml:space="preserve">Pub date: </w:t>
      </w:r>
      <w:r>
        <w:t>2026-05-06 09:15:46+00:00</w:t>
      </w:r>
      <w:r>
        <w:t xml:space="preserve">    </w:t>
      </w:r>
      <w:r>
        <w:rPr>
          <w:b/>
        </w:rPr>
        <w:t xml:space="preserve">DOI: </w:t>
      </w:r>
      <w:hyperlink r:id="rId906">
        <w:r>
          <w:rPr>
            <w:color w:val="1155CC"/>
            <w:u w:val="single"/>
          </w:rPr>
          <w:t>10.1002/anie.6521672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的电催化活性本质上由其表面化学状态决定，然而，由于电催化过程中表面氧化，活性常常退化。因此，提高金属材料的抗氧化性以改善催化性能是一个关键挑战。在此，我们报告了一种通过在电催化过程中原位生成的高还原性自由基化学还原氧化的Au(111)晶面的策略。利用电化学发光显微镜（ECLM），我们实现了对Au(111)晶面在ECL反应过程中异常信号波动的实时可视化，这源于持续的表面氧化还原动态。结合电化学发光自干涉光谱（ECLIS）和有限元模拟，我们揭示了共反应物自由基阳离子的寿命强烈调节了Au表面氧化物的还原动力学，并且局部Au氧化物还原由共反应物自由基的表面分布控制。我们首次捕捉到了基于ECLM的电催化过程中Au(111)晶面表面氧化还原过程的实时图像，时间分辨率为100 ms。这项工作强调了ECLM在原位监测电催化反应的潜力，并建立了一种利用反应衍生的高还原性自由基恢复Au(111)催化活性的策略。</w:t>
      </w:r>
    </w:p>
    <w:p>
      <w:pPr>
        <w:spacing w:before="0" w:after="200" w:lineRule="auto" w:line="276"/>
      </w:pPr>
      <w:r>
        <w:rPr>
          <w:b/>
        </w:rPr>
        <w:t xml:space="preserve">Abstract (EN): </w:t>
      </w:r>
      <w:r>
        <w:t>The electrocatalytic activity of metals is intrinsically governed by their surface chemical states, which, however, often degrades due to surface oxidation during electrocatalysis. Thus, enhancing oxidation resistance to improve the catalytic performance of metal materials is a pivotal challenge. Herein, we report a strategy to revive the catalytic activity of oxidized Au(111) facets via chemical reduction by highly reductive radicals in situ generated during electrocatalysis. Using electrochemiluminescence microscopy (ECLM), we achieved the real‐time visualization of an anomalous signal fluctuation on Au(111) facets during ECL reactions, which arises from the continuous surface redox dynamics. In conjunction with electrochemiluminescence self‐interference spectroscopy (ECLIS) and finite element simulations, we reveal that the lifetime of co‐reactant radical cations strongly modulates the reduction kinetics of Au surface oxides and that the localized Au oxide reduction is governed by the surface distribution of co‐reactant radicals. For the first time, we capture the ECLM‐based real‐time images of the surface redox processes on Au(111) facets during electrocatalysis with a temporal resolution of 100 ms. This work underscores the potential of ECLM for in situ monitoring of electrocatalytic reactions and establishes a new strategy for reviving the catalytic activity of Au(111) using reaction‐derived highly reductive radicals.</w:t>
      </w:r>
    </w:p>
    <w:p>
      <w:pPr>
        <w:spacing w:before="120" w:after="120"/>
      </w:pPr>
      <w:r>
        <w:rPr>
          <w:sz w:val="18"/>
        </w:rPr>
        <w:t>——————————————————————————————————————————————————————————————————————</w:t>
      </w:r>
    </w:p>
    <w:p>
      <w:pPr>
        <w:spacing w:before="160" w:after="40" w:line="240" w:lineRule="auto"/>
      </w:pPr>
      <w:r>
        <w:rPr>
          <w:b/>
        </w:rPr>
        <w:t xml:space="preserve">[394] </w:t>
      </w:r>
      <w:hyperlink r:id="rId907">
        <w:r>
          <w:rPr>
            <w:color w:val="1155CC"/>
            <w:u w:val="single"/>
          </w:rPr>
          <w:t>角度依赖的气泡流动及其对水电解中气体演化的影响</w:t>
        </w:r>
      </w:hyperlink>
    </w:p>
    <w:p>
      <w:pPr>
        <w:spacing w:before="0" w:after="80"/>
      </w:pPr>
      <w:r>
        <w:rPr>
          <w:i/>
          <w:sz w:val="20"/>
        </w:rPr>
        <w:t>EN: Angle‐Dependent Bubbly Flow and the Effects on Gas Evolution in Water Electrolysis</w:t>
      </w:r>
    </w:p>
    <w:p>
      <w:pPr>
        <w:spacing w:before="0" w:after="120"/>
      </w:pPr>
      <w:r>
        <w:rPr>
          <w:b/>
        </w:rPr>
        <w:t xml:space="preserve">Source: </w:t>
      </w:r>
      <w:r>
        <w:t>Wiley: Advanced Energy Materials: Table of Contents</w:t>
      </w:r>
      <w:r>
        <w:t xml:space="preserve">    </w:t>
      </w:r>
      <w:r>
        <w:rPr>
          <w:b/>
        </w:rPr>
        <w:t xml:space="preserve">Pub date: </w:t>
      </w:r>
      <w:r>
        <w:t>2026-05-06 09:16:43+00:00</w:t>
      </w:r>
      <w:r>
        <w:t xml:space="preserve">    </w:t>
      </w:r>
      <w:r>
        <w:rPr>
          <w:b/>
        </w:rPr>
        <w:t xml:space="preserve">DOI: </w:t>
      </w:r>
      <w:hyperlink r:id="rId908">
        <w:r>
          <w:rPr>
            <w:color w:val="1155CC"/>
            <w:u w:val="single"/>
          </w:rPr>
          <w:t>10.1002/aenm.71032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紧凑组装的水电解装置，集成电极不仅作为催化剂支撑，还作为气体扩散的组件。尽管在高电流密度下，集成电极内的气泡管理已被认为是限制性能的关键因素，但由于对浮力和电极倾斜缺乏全面的理解。在此，我们提出电极倾斜角度与浮力对氢气析出反应（HER）气泡脱附动力学的协同效应。受到将商业镍网（NM）电极倾斜至45°后性能改善的启发，我们通过高速成像和电化学分析系统地研究了气泡动力学对Ni线模型电极的角度依赖性，并明确了优化的倾斜角度为45°及其产生的平面气泡流场。基于这些发现，提出的具有开放结构倾斜的角度穿孔镍电极（APNE）在2 V下实现了4.38 A cm</w:t>
      </w:r>
      <w:r>
        <w:t xml:space="preserve"> </w:t>
      </w:r>
      <w:r>
        <w:t>−</w:t>
      </w:r>
      <w:r>
        <w:rPr>
          <w:vertAlign w:val="subscript"/>
        </w:rPr>
        <w:t>2</w:t>
      </w:r>
      <w:r>
        <w:t>的电流密度，用于阴离子交换膜水电解（AEMWE），性能优于NM 35%和镍泡沫（NF）25%，即使有效反应面积小于NF，因其优越的气泡脱附行为。该研究表明，战略性电极角度调整可以从根本上改变气泡传输路径，为高性能水电解提供可扩展的解决方案。</w:t>
      </w:r>
    </w:p>
    <w:p>
      <w:pPr>
        <w:spacing w:before="0" w:after="200" w:lineRule="auto" w:line="276"/>
      </w:pPr>
      <w:r>
        <w:rPr>
          <w:b/>
        </w:rPr>
        <w:t xml:space="preserve">Abstract (EN): </w:t>
      </w:r>
      <w:r>
        <w:t>For tight assembly water electrolysis devices, integrated electrodes serve as the catalyst support but also the component for gas diffusion. While bubble management within integrated electrodes has been recognized as a critical performance‐limiting factor at high current densities, due to the lack of a comprehensive understanding of buoyancy and electrode tilt. Here, we propose a synergistic effect between electrode tilt angle and buoyancy forces on hydrogen evolution reaction (HER) bubble detachment kinetics. As inspired by the improved performance as tilting commercial nickel mesh (NM) electrode to 45°, we systematically investigate the angular dependence of bubble dynamics on a Ni‐wire model electrode through high‐speed imaging and electrochemical analysis, and clarify the optimized tilt angle of 45° and the resultant in‐plane bubbly flow field. Based on the findings, the proposed angular‐perforated nickel electrode (APNE) with an open‐structured inclination achieves a current density of 4.38 A cm</w:t>
      </w:r>
      <w:r>
        <w:t xml:space="preserve"> </w:t>
      </w:r>
      <w:r>
        <w:t>−</w:t>
      </w:r>
      <w:r>
        <w:rPr>
          <w:vertAlign w:val="subscript"/>
        </w:rPr>
        <w:t>2</w:t>
      </w:r>
      <w:r>
        <w:t>at 2 V for anion exchange membrane water electrolysis (AEMWE), outperforming NM by 35% and nickel foam (NF) by 25%, even though the effective reaction area is smaller than that of NF, due to superior bubble detachment behavior. This work demonstrates that strategic electrode angulation can fundamentally alter bubble transport pathways, offering a scalable solution for high‐performance water electrolysis.</w:t>
      </w:r>
    </w:p>
    <w:p>
      <w:pPr>
        <w:spacing w:before="120" w:after="120"/>
      </w:pPr>
      <w:r>
        <w:rPr>
          <w:sz w:val="18"/>
        </w:rPr>
        <w:t>——————————————————————————————————————————————————————————————————————</w:t>
      </w:r>
    </w:p>
    <w:p>
      <w:pPr>
        <w:spacing w:before="160" w:after="40" w:line="240" w:lineRule="auto"/>
      </w:pPr>
      <w:r>
        <w:rPr>
          <w:b/>
        </w:rPr>
        <w:t xml:space="preserve">[395] </w:t>
      </w:r>
      <w:hyperlink r:id="rId909">
        <w:r>
          <w:rPr>
            <w:color w:val="1155CC"/>
            <w:u w:val="single"/>
          </w:rPr>
          <w:t>PSD@HKUST‐1的核壳工程与分级通道用于加速SF6/N2分离</w:t>
        </w:r>
      </w:hyperlink>
    </w:p>
    <w:p>
      <w:pPr>
        <w:spacing w:before="0" w:after="80"/>
      </w:pPr>
      <w:r>
        <w:rPr>
          <w:i/>
          <w:sz w:val="20"/>
        </w:rPr>
        <w:t>EN: Core‐Shell Engineering of PSD@HKUST‐1 With Hierarchical Channels for Accelerated SF6/N2 Separation</w:t>
      </w:r>
    </w:p>
    <w:p>
      <w:pPr>
        <w:spacing w:before="0" w:after="120"/>
      </w:pPr>
      <w:r>
        <w:rPr>
          <w:b/>
        </w:rPr>
        <w:t xml:space="preserve">Source: </w:t>
      </w:r>
      <w:r>
        <w:t>Wiley: Angewandte Chemie International Edition: Table of Contents</w:t>
      </w:r>
      <w:r>
        <w:t xml:space="preserve">    </w:t>
      </w:r>
      <w:r>
        <w:rPr>
          <w:b/>
        </w:rPr>
        <w:t xml:space="preserve">Pub date: </w:t>
      </w:r>
      <w:r>
        <w:t>2026-05-06 09:20:48+00:00</w:t>
      </w:r>
      <w:r>
        <w:t xml:space="preserve">    </w:t>
      </w:r>
      <w:r>
        <w:rPr>
          <w:b/>
        </w:rPr>
        <w:t xml:space="preserve">DOI: </w:t>
      </w:r>
      <w:hyperlink r:id="rId910">
        <w:r>
          <w:rPr>
            <w:color w:val="1155CC"/>
            <w:u w:val="single"/>
          </w:rPr>
          <w:t>10.1002/anie.6909416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由于尺寸相似性，六氟化硫（SF</w:t>
      </w:r>
      <w:r>
        <w:rPr>
          <w:vertAlign w:val="subscript"/>
        </w:rPr>
        <w:t>6</w:t>
      </w:r>
      <w:r>
        <w:t>）与氮气（N</w:t>
      </w:r>
      <w:r>
        <w:rPr>
          <w:vertAlign w:val="subscript"/>
        </w:rPr>
        <w:t>2</w:t>
      </w:r>
      <w:r>
        <w:t>）的分离是半导体工业气体净化的一个重要挑战。虽然微孔吸附剂表现出高度选择性的吸附，但其高容量导致更大的传质阻力、更长的分离时间和再生期间增加的能耗。通过可调节的壳厚度，采用原位生长方法合成了核壳结构的PSD@HKUST-1。受益于外层气体富集效应，优化的PSD@HKUST-1-AcOH的SF</w:t>
      </w:r>
      <w:r>
        <w:rPr>
          <w:vertAlign w:val="subscript"/>
        </w:rPr>
        <w:t>6</w:t>
      </w:r>
      <w:r>
        <w:t>/N</w:t>
      </w:r>
      <w:r>
        <w:rPr>
          <w:vertAlign w:val="subscript"/>
        </w:rPr>
        <w:t>2</w:t>
      </w:r>
      <w:r>
        <w:t>IAST选择性提升至924，显著高于原始HKUST-1，成本降低约25%。通过利用薄微孔壳保持高SF</w:t>
      </w:r>
      <w:r>
        <w:rPr>
          <w:vertAlign w:val="subscript"/>
        </w:rPr>
        <w:t>6</w:t>
      </w:r>
      <w:r>
        <w:t>/N</w:t>
      </w:r>
      <w:r>
        <w:rPr>
          <w:vertAlign w:val="subscript"/>
        </w:rPr>
        <w:t>2</w:t>
      </w:r>
      <w:r>
        <w:t>选择性，同时利用介孔核加速气体扩散，PSD@HKUST-1实现了更短的分离时间并展示了强大的循环稳定性。该研究强调了PSD@HKUST-1作为半导体相关SF</w:t>
      </w:r>
      <w:r>
        <w:rPr>
          <w:vertAlign w:val="subscript"/>
        </w:rPr>
        <w:t>6</w:t>
      </w:r>
      <w:r>
        <w:t>/N</w:t>
      </w:r>
      <w:r>
        <w:rPr>
          <w:vertAlign w:val="subscript"/>
        </w:rPr>
        <w:t>2</w:t>
      </w:r>
      <w:r>
        <w:t>分离的成本效益高性能候选者，并展示了一种通过核壳设计和传质优化的有前景的策略。</w:t>
      </w:r>
    </w:p>
    <w:p>
      <w:pPr>
        <w:spacing w:before="0" w:after="200" w:lineRule="auto" w:line="276"/>
      </w:pPr>
      <w:r>
        <w:rPr>
          <w:b/>
        </w:rPr>
        <w:t xml:space="preserve">Abstract (EN): </w:t>
      </w:r>
      <w:r>
        <w:t>The separation of sulfur hexafluoride (SF</w:t>
      </w:r>
      <w:r>
        <w:rPr>
          <w:vertAlign w:val="subscript"/>
        </w:rPr>
        <w:t>6</w:t>
      </w:r>
      <w:r>
        <w:t>) from nitrogen (N</w:t>
      </w:r>
      <w:r>
        <w:rPr>
          <w:vertAlign w:val="subscript"/>
        </w:rPr>
        <w:t>2</w:t>
      </w:r>
      <w:r>
        <w:t>) is an essential challenge for semiconductor industrial gas purification due to the size similarity. While microporous adsorbents exhibit highly selective adsorption, their high‐capacity results in greater mass transfer resistance, longer separation times, and increased energy consumption during regeneration. Featuring a tunable shell thickness, core‐shell structured PSD@HKUST‐1s were synthesized via an in ‐situ growth approach. Benefiting from the outer‐layer gas enrichment effect, the SF</w:t>
      </w:r>
      <w:r>
        <w:rPr>
          <w:vertAlign w:val="subscript"/>
        </w:rPr>
        <w:t>6</w:t>
      </w:r>
      <w:r>
        <w:t>/N</w:t>
      </w:r>
      <w:r>
        <w:rPr>
          <w:vertAlign w:val="subscript"/>
        </w:rPr>
        <w:t>2</w:t>
      </w:r>
      <w:r>
        <w:t>IAST selectivity of optimized PSD@HKUST‐1‐AcOH boosts to 924, which is significantly higher than that of pristine HKUST‐1, with about 25% lower cost. By leveraging a thin microporous shell to retain high SF</w:t>
      </w:r>
      <w:r>
        <w:rPr>
          <w:vertAlign w:val="subscript"/>
        </w:rPr>
        <w:t>6</w:t>
      </w:r>
      <w:r>
        <w:t>/N</w:t>
      </w:r>
      <w:r>
        <w:rPr>
          <w:vertAlign w:val="subscript"/>
        </w:rPr>
        <w:t>2</w:t>
      </w:r>
      <w:r>
        <w:t>selectivity while utilizing a mesoporous core to accelerate gas diffusion, PSD@HKUST‐1s enable shorter separation times and demonstrate robust cyclic stability. This work highlights PSD@HKUST‐1s as cost‐effective, high‐performance candidates for semiconductor‐related SF</w:t>
      </w:r>
      <w:r>
        <w:rPr>
          <w:vertAlign w:val="subscript"/>
        </w:rPr>
        <w:t>6</w:t>
      </w:r>
      <w:r>
        <w:t>/N</w:t>
      </w:r>
      <w:r>
        <w:rPr>
          <w:vertAlign w:val="subscript"/>
        </w:rPr>
        <w:t>2</w:t>
      </w:r>
      <w:r>
        <w:t>separation and demonstrates a promising strategy via core‐shell design and mass transfer optimization.</w:t>
      </w:r>
    </w:p>
    <w:p>
      <w:pPr>
        <w:spacing w:before="120" w:after="120"/>
      </w:pPr>
      <w:r>
        <w:rPr>
          <w:sz w:val="18"/>
        </w:rPr>
        <w:t>——————————————————————————————————————————————————————————————————————</w:t>
      </w:r>
    </w:p>
    <w:p>
      <w:pPr>
        <w:spacing w:before="160" w:after="40" w:line="240" w:lineRule="auto"/>
      </w:pPr>
      <w:r>
        <w:rPr>
          <w:b/>
        </w:rPr>
        <w:t xml:space="preserve">[396] </w:t>
      </w:r>
      <w:hyperlink r:id="rId911">
        <w:r>
          <w:rPr>
            <w:color w:val="1155CC"/>
            <w:u w:val="single"/>
          </w:rPr>
          <w:t>[ASAP] 由光驱动耗散自组装共价有机框架实现的时间演变可逆圆偏振发光</w:t>
        </w:r>
      </w:hyperlink>
    </w:p>
    <w:p>
      <w:pPr>
        <w:spacing w:before="0" w:after="80"/>
      </w:pPr>
      <w:r>
        <w:rPr>
          <w:i/>
          <w:sz w:val="20"/>
        </w:rPr>
        <w:t>EN: [ASAP] Time-Evolving Reversible Circularly Polarized Luminescence Enabled by Light-Fueled Dissipative Self-Assembly of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2026-05-06 11:31:43+00:00</w:t>
      </w:r>
      <w:r>
        <w:t xml:space="preserve">    </w:t>
      </w:r>
      <w:r>
        <w:rPr>
          <w:b/>
        </w:rPr>
        <w:t xml:space="preserve">DOI: </w:t>
      </w:r>
      <w:hyperlink r:id="rId912">
        <w:r>
          <w:rPr>
            <w:color w:val="1155CC"/>
            <w:u w:val="single"/>
          </w:rPr>
          <w:t>10.1021/jacs.6c01804</w:t>
        </w:r>
      </w:hyperlink>
    </w:p>
    <w:p>
      <w:pPr>
        <w:spacing w:before="0" w:after="120"/>
      </w:pPr>
      <w:r>
        <w:rPr>
          <w:b/>
        </w:rPr>
        <w:t xml:space="preserve">Notes: </w:t>
      </w:r>
      <w:r>
        <w:t>abstract_source=pubmed</w:t>
      </w:r>
    </w:p>
    <w:p>
      <w:pPr>
        <w:spacing w:before="0" w:after="80" w:lineRule="auto" w:line="276"/>
      </w:pPr>
      <w:r>
        <w:rPr>
          <w:b/>
        </w:rPr>
        <w:t xml:space="preserve">摘要（ZH）: </w:t>
      </w:r>
      <w:r>
        <w:t>智能圆偏振发光（CPL）材料的发展面临重大挑战，主要集中在实现高发光不对称因子（glum）以及广泛可调的响应。在此，我们报告了一种基于共价有机框架（COFs）的手性支架，用于高性能和自适应光控时间演变CPL，实现可识别和加密的手性光学输出。修饰在COF上的环糊精通过与荧光团的非共价相互作用产生多色CPL发射。将修饰的COF和荧光团与聚乙二醇（PEG）混合，得到透明的混合基质薄膜，表现出高glum为-0.027和绝对量子产率（39%）。随后，引入磺酸盐-变色龙，一种光致变色开关，以调节系统的发射，使可逆的CPL信号具有光燃料可调性和时间依赖的动态演变。值得注意的是，我们制造了混合基质薄膜以放大光控CPL信号，其中glum在420 nm辐照和热松弛下变化在-0.009到-0.044之间。实现了glum ≈0.035的动态调制范围，这是动态COF基CPL材料中报告的一个显著值。此外，实现了具有光控、自擦除矢量发光信号的薄膜，用于双模式防伪。这项工作为智能发光材料的设计提供了见解。</w:t>
      </w:r>
    </w:p>
    <w:p>
      <w:pPr>
        <w:spacing w:before="0" w:after="200" w:lineRule="auto" w:line="276"/>
      </w:pPr>
      <w:r>
        <w:rPr>
          <w:b/>
        </w:rPr>
        <w:t xml:space="preserve">Abstract (EN): </w:t>
      </w:r>
      <w:r>
        <w:t>The development of smart circularly polarized luminescence (CPL) materials faces significant challenges, primarily centered on achieving high luminescence dissymmetry factors (glum) alongside broadly tunable responses. Here, we report a chiral scaffold based on covalent organic frameworks (COFs) for high-performance and adaptive photocontrollable time-evolving CPL, enabling identifiable and encrypted chiroptical outputs. Cyclodextrin modified on the COF generates multicolor CPL emission through noncovalent interaction with fluorophores. Blending the modified COF and fluorophores with polyethylene glycol (PEG) yields transparent mixed-matrix films exhibiting a high glum of -0.027 and absolute quantum yield (39%). Subsequently, sulfonato-merocyanine, a photochromic switch, is introduced to modulate the system's emission, endowing the reversible CPL signals with light-fueled tunability and time-dependent dynamic evolution. Notably, we fabricate mixed-matrix films to amplify the light-controllable CPL signals, where the glum varies between -0.009 and -0.044 upon 420 nm irradiation and thermal relaxation. A dynamic modulation range of glum ≈0.035 is achieved, which is a remarkable value reported among dynamic COF-based CPL materials. Furthermore, films featuring photocontrollable, self-erasable vector luminescent signals are achieved for dual-mode anticounterfeiting. This work provides insight into the design of intelligent luminescent materials.</w:t>
      </w:r>
    </w:p>
    <w:p>
      <w:pPr>
        <w:spacing w:before="120" w:after="120"/>
      </w:pPr>
      <w:r>
        <w:rPr>
          <w:sz w:val="18"/>
        </w:rPr>
        <w:t>——————————————————————————————————————————————————————————————————————</w:t>
      </w:r>
    </w:p>
    <w:p>
      <w:pPr>
        <w:spacing w:before="160" w:after="40" w:line="240" w:lineRule="auto"/>
      </w:pPr>
      <w:r>
        <w:rPr>
          <w:b/>
        </w:rPr>
        <w:t xml:space="preserve">[397] </w:t>
      </w:r>
      <w:hyperlink r:id="rId913">
        <w:r>
          <w:rPr>
            <w:color w:val="1155CC"/>
            <w:u w:val="single"/>
          </w:rPr>
          <w:t>[ASAP] VHL-PROTAC复合物的界面结构架构（有和没有Cullin-2）</w:t>
        </w:r>
      </w:hyperlink>
    </w:p>
    <w:p>
      <w:pPr>
        <w:spacing w:before="0" w:after="80"/>
      </w:pPr>
      <w:r>
        <w:rPr>
          <w:i/>
          <w:sz w:val="20"/>
        </w:rPr>
        <w:t>EN: [ASAP] Interface Architecture of a VHL-PROTAC Complex with and without Cullin-2</w:t>
      </w:r>
    </w:p>
    <w:p>
      <w:pPr>
        <w:spacing w:before="0" w:after="120"/>
      </w:pPr>
      <w:r>
        <w:rPr>
          <w:b/>
        </w:rPr>
        <w:t xml:space="preserve">Source: </w:t>
      </w:r>
      <w:r>
        <w:t>Journal of the American Chemical Society: Latest Articles (ACS Publications)</w:t>
      </w:r>
      <w:r>
        <w:t xml:space="preserve">    </w:t>
      </w:r>
      <w:r>
        <w:rPr>
          <w:b/>
        </w:rPr>
        <w:t xml:space="preserve">Pub date: </w:t>
      </w:r>
      <w:r>
        <w:t>2026-05-06 11:45:14+00:00</w:t>
      </w:r>
      <w:r>
        <w:t xml:space="preserve">    </w:t>
      </w:r>
      <w:r>
        <w:rPr>
          <w:b/>
        </w:rPr>
        <w:t xml:space="preserve">DOI: </w:t>
      </w:r>
      <w:hyperlink r:id="rId914">
        <w:r>
          <w:rPr>
            <w:color w:val="1155CC"/>
            <w:u w:val="single"/>
          </w:rPr>
          <w:t>10.1021/jacs.6c01509</w:t>
        </w:r>
      </w:hyperlink>
    </w:p>
    <w:p>
      <w:pPr>
        <w:spacing w:before="0" w:after="120"/>
      </w:pPr>
      <w:r>
        <w:rPr>
          <w:b/>
        </w:rPr>
        <w:t xml:space="preserve">Notes: </w:t>
      </w:r>
      <w:r>
        <w:t>abstract_source=pubmed</w:t>
      </w:r>
    </w:p>
    <w:p>
      <w:pPr>
        <w:spacing w:before="0" w:after="80" w:lineRule="auto" w:line="276"/>
      </w:pPr>
      <w:r>
        <w:rPr>
          <w:b/>
        </w:rPr>
        <w:t xml:space="preserve">摘要（ZH）: </w:t>
      </w:r>
      <w:r>
        <w:t>蛋白水解靶向嵌合体（PROTACs）是连接目标蛋白与E3连接酶的双特异性分子，导致泛素化和随后的降解。它们的效力取决于其形成三元复合物进行目标泛素化的能力，这受蛋白质-蛋白质相互作用的影响。原生质谱结合表面诱导解离（SID）是一种快速评估蛋白质结构的敏感技术，包括化学计量和界面强度。原生质谱还可以在气相中捕获多种构象状态，反映许多蛋白质组装体的内在灵活性。这种解析结构异质性和瞬态亚群的能力提供了通过晶体学、冷冻电镜或其他集合平均测定法不易获得的补充见解。通过将原生质谱与表面诱导解离结合，探测了拓扑特征，特别是相对界面强度和亚复合物排列，使用和不使用支架蛋白Cullin-2添加到PROTAC介导的三元复合物中。PROTAC介导的三元复合物产生丰富的SID碎片，形成多个亚复合物。对于缺乏Cullin-2的PROTAC组装复合物观察到的广泛碎片化表明，这种无Cullin的三元复合物在构象上更具灵活性，能够实现多种可访问的亚复合物拓扑结构。尽管PROTACs促进了目标蛋白与E3连接酶之间的强非共价相互作用，添加Cullin-2减少了构象</w:t>
      </w:r>
    </w:p>
    <w:p>
      <w:pPr>
        <w:spacing w:before="0" w:after="200" w:lineRule="auto" w:line="276"/>
      </w:pPr>
      <w:r>
        <w:rPr>
          <w:b/>
        </w:rPr>
        <w:t xml:space="preserve">Abstract (EN): </w:t>
      </w:r>
      <w:r>
        <w:t>Proteolysis Targeting Chimeras (PROTACs) are bispecific molecules that link a target protein to an E3 ligase, leading to ubiquitination and subsequent degradation. Their efficacy depends on their ability to form ternary complexes for target ubiquitination, which is influenced by protein-protein interactions. Native mass spectrometry combined with surface-induced dissociation (SID) is a sensitive technique for rapidly assessing protein structures, including stoichiometry and interfacial strengths. Native mass spectrometry can also capture a variety of conformational states in the gas phase, reflecting the intrinsic flexibility of many protein assemblies. This ability to resolve structural heterogeneity and transient subpopulations provides complementary insights not as readily accessible through crystallography, cryo-EM, or other ensemble-averaging assays. By coupling native mass spectrometry with surface-induced dissociation, topological features, specifically relative interfacial strengths and subcomplex arrangements, were probed with and without the scaffold protein Cullin-2 added to a PROTAC-mediated ternary complex. PROTAC-mediated ternary complexes yield rich SID fragmentation into several subcomplexes. The extensive fragmentation observed for the PROTAC-assembled complex lacking Cullin-2 suggests that this Cullin-free ternary complex is more conformationally flexible, enabling multiple accessible subcomplex topologies. Although PROTACs facilitate strong, noncovalent interactions between the target protein and the E3 ligase, the addition of Cullin-2 reduced the conformational flexibility of the E3 ligase complex. This results in a pronounced reduction in fragmentation and offers critical insight into the hierarchical connectivity of the ternary complex.</w:t>
      </w:r>
    </w:p>
    <w:p>
      <w:pPr>
        <w:spacing w:before="120" w:after="120"/>
      </w:pPr>
      <w:r>
        <w:rPr>
          <w:sz w:val="18"/>
        </w:rPr>
        <w:t>——————————————————————————————————————————————————————————————————————</w:t>
      </w:r>
    </w:p>
    <w:p>
      <w:pPr>
        <w:spacing w:before="160" w:after="40" w:line="240" w:lineRule="auto"/>
      </w:pPr>
      <w:r>
        <w:rPr>
          <w:b/>
        </w:rPr>
        <w:t xml:space="preserve">[398] </w:t>
      </w:r>
      <w:hyperlink r:id="rId915">
        <w:r>
          <w:rPr>
            <w:color w:val="1155CC"/>
            <w:u w:val="single"/>
          </w:rPr>
          <w:t>[ASAP] T形环境中的有机磷化物</w:t>
        </w:r>
      </w:hyperlink>
    </w:p>
    <w:p>
      <w:pPr>
        <w:spacing w:before="0" w:after="80"/>
      </w:pPr>
      <w:r>
        <w:rPr>
          <w:i/>
          <w:sz w:val="20"/>
        </w:rPr>
        <w:t>EN: [ASAP] Organophosphinidene in a T-Shaped Environment</w:t>
      </w:r>
    </w:p>
    <w:p>
      <w:pPr>
        <w:spacing w:before="0" w:after="120"/>
      </w:pPr>
      <w:r>
        <w:rPr>
          <w:b/>
        </w:rPr>
        <w:t xml:space="preserve">Source: </w:t>
      </w:r>
      <w:r>
        <w:t>Journal of the American Chemical Society: Latest Articles (ACS Publications)</w:t>
      </w:r>
      <w:r>
        <w:t xml:space="preserve">    </w:t>
      </w:r>
      <w:r>
        <w:rPr>
          <w:b/>
        </w:rPr>
        <w:t xml:space="preserve">Pub date: </w:t>
      </w:r>
      <w:r>
        <w:t>2026-05-06 12:33:29+00:00</w:t>
      </w:r>
      <w:r>
        <w:t xml:space="preserve">    </w:t>
      </w:r>
      <w:r>
        <w:rPr>
          <w:b/>
        </w:rPr>
        <w:t xml:space="preserve">DOI: </w:t>
      </w:r>
      <w:hyperlink r:id="rId916">
        <w:r>
          <w:rPr>
            <w:color w:val="1155CC"/>
            <w:u w:val="single"/>
          </w:rPr>
          <w:t>10.1021/jacs.6c03373</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由刚性1,8-二取代蒽基团支持的单线态有机磷化物的分离和表征。该配体骨架通过两个侧翼胺和中心P原子之间的弱、超长分子内P···N相互作用，弱稳定P(+1)状态。通过深入的计算分析和针对性的反应性研究描述了该化合物的电子结构和磷化物性质，揭示了与单线态磷化物源行为密切类似的特性。</w:t>
      </w:r>
    </w:p>
    <w:p>
      <w:pPr>
        <w:spacing w:before="0" w:after="200" w:lineRule="auto" w:line="276"/>
      </w:pPr>
      <w:r>
        <w:rPr>
          <w:b/>
        </w:rPr>
        <w:t xml:space="preserve">Abstract (EN): </w:t>
      </w:r>
      <w:r>
        <w:t>We report the isolation and characterization of a singlet organophosphinidene supported by a rigid 1,8-disubstituted anthracenyl group. This ligand scaffold weakly stabilizes the P(+1) state through weak, ultralong intramolecular P···N interactions among the two flanking amines and the central P atom. The electronic structure and phosphinidene nature of the compound are described by an in-depth computational analysis and targeted reactivity studies, which reveal behavior closely analogous to that of singlet phosphinidene sources.</w:t>
      </w:r>
    </w:p>
    <w:p>
      <w:pPr>
        <w:spacing w:before="120" w:after="120"/>
      </w:pPr>
      <w:r>
        <w:rPr>
          <w:sz w:val="18"/>
        </w:rPr>
        <w:t>——————————————————————————————————————————————————————————————————————</w:t>
      </w:r>
    </w:p>
    <w:p>
      <w:pPr>
        <w:spacing w:before="160" w:after="40" w:line="240" w:lineRule="auto"/>
      </w:pPr>
      <w:r>
        <w:rPr>
          <w:b/>
        </w:rPr>
        <w:t xml:space="preserve">[399] </w:t>
      </w:r>
      <w:hyperlink r:id="rId917">
        <w:r>
          <w:rPr>
            <w:color w:val="1155CC"/>
            <w:u w:val="single"/>
          </w:rPr>
          <w:t>基于铬掺杂稀土硫化物的下一代短波红外LED荧光粉</w:t>
        </w:r>
      </w:hyperlink>
    </w:p>
    <w:p>
      <w:pPr>
        <w:spacing w:before="0" w:after="80"/>
      </w:pPr>
      <w:r>
        <w:rPr>
          <w:i/>
          <w:sz w:val="20"/>
        </w:rPr>
        <w:t>EN: Next‐Generation Short‐Wave Infrared LED Phosphors Based on Chromium Doped Rare Earth Sulfides</w:t>
      </w:r>
    </w:p>
    <w:p>
      <w:pPr>
        <w:spacing w:before="0" w:after="120"/>
      </w:pPr>
      <w:r>
        <w:rPr>
          <w:b/>
        </w:rPr>
        <w:t xml:space="preserve">Source: </w:t>
      </w:r>
      <w:r>
        <w:t>Wiley: Advanced Materials: Table of Contents</w:t>
      </w:r>
      <w:r>
        <w:t xml:space="preserve">    </w:t>
      </w:r>
      <w:r>
        <w:rPr>
          <w:b/>
        </w:rPr>
        <w:t xml:space="preserve">Pub date: </w:t>
      </w:r>
      <w:r>
        <w:t>2026-05-06 13:12:20+00:00</w:t>
      </w:r>
      <w:r>
        <w:t xml:space="preserve">    </w:t>
      </w:r>
      <w:r>
        <w:rPr>
          <w:b/>
        </w:rPr>
        <w:t xml:space="preserve">DOI: </w:t>
      </w:r>
      <w:hyperlink r:id="rId918">
        <w:r>
          <w:rPr>
            <w:color w:val="1155CC"/>
            <w:u w:val="single"/>
          </w:rPr>
          <w:t>10.1002/adma.73305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外部量子效率（EQE）和荧光粉的热稳定性是下一代短波红外（SWIR）荧光粉转换发光器件（pc-LEDs）的两个关键参数。然而，开发同时具有高EQE和优异热稳定性的SWIR发光荧光粉仍然是一个重大挑战。在此，通过利用硫化物的强共价性、低声子能量和结构对称性，我们成功实现了硫化物荧光粉NaLnS2: Cr3+（Ln = Lu, Y, Gd）中高性能可调SWIR发射，峰值分别为980、1020和1080 nm。值得注意的是，NaLuS2: Cr3+同时实现了创纪录的61.55%的高EQE以及优越的热稳定性，而在NaGdS2: Cr3+中在1080 nm也展示了48.55%的EQE。相应的SWIR pc-LED在350 mA下提供了169.2 mW的高SWIR输出功率，显著优于商业设备。最后，成功展示了先进的掌静脉识别和便携式无损检测。这项研究为开发高性能SWIR发光材料以用于先进光子应用提供了新的见解和有效的材料平台。</w:t>
      </w:r>
    </w:p>
    <w:p>
      <w:pPr>
        <w:spacing w:before="0" w:after="200" w:lineRule="auto" w:line="276"/>
      </w:pPr>
      <w:r>
        <w:rPr>
          <w:b/>
        </w:rPr>
        <w:t xml:space="preserve">Abstract (EN): </w:t>
      </w:r>
      <w:r>
        <w:t>External quantum efficiency (EQE) and thermal stability of phosphors are two critical parameters for next‐generation short‐wave infrared (SWIR) phosphor‐converted light‐emitting devices (pc‐LEDs). However, it remains a significant challenge to develop SWIR‐emitting phosphors that simultaneously exhibit high EQE and excellent thermal stability. Here, by leveraging the strong covalency, low phonon energy and structural symmetry of sulfides, we successfully realize high‐performance tunable SWIR emission in sulfide phosphors NaLnS</w:t>
      </w:r>
      <w:r>
        <w:rPr>
          <w:vertAlign w:val="subscript"/>
        </w:rPr>
        <w:t>2</w:t>
      </w:r>
      <w:r>
        <w:t>: Cr</w:t>
      </w:r>
      <w:r>
        <w:t xml:space="preserve"> </w:t>
      </w:r>
      <w:r>
        <w:t>3+</w:t>
      </w:r>
      <w:r>
        <w:t xml:space="preserve"> </w:t>
      </w:r>
      <w:r>
        <w:t>(Ln = Lu, Y, Gd), peaking at 980, 1020, and 1080 nm, respectively. Notably, NaLuS</w:t>
      </w:r>
      <w:r>
        <w:rPr>
          <w:vertAlign w:val="subscript"/>
        </w:rPr>
        <w:t>2</w:t>
      </w:r>
      <w:r>
        <w:t>: Cr</w:t>
      </w:r>
      <w:r>
        <w:t xml:space="preserve"> </w:t>
      </w:r>
      <w:r>
        <w:t>3+</w:t>
      </w:r>
      <w:r>
        <w:t xml:space="preserve"> </w:t>
      </w:r>
      <w:r>
        <w:t>simultaneously achieves a record ‐ high EQE of 61.55% along with superior thermal stability, while an EQE of 48.55% is also demonstrated at 1080 nm in NaGdS</w:t>
      </w:r>
      <w:r>
        <w:rPr>
          <w:vertAlign w:val="subscript"/>
        </w:rPr>
        <w:t>2</w:t>
      </w:r>
      <w:r>
        <w:t>: Cr</w:t>
      </w:r>
      <w:r>
        <w:t xml:space="preserve"> </w:t>
      </w:r>
      <w:r>
        <w:t>3+</w:t>
      </w:r>
      <w:r>
        <w:t xml:space="preserve"> </w:t>
      </w:r>
      <w:r>
        <w:t>. The corresponding SWIR pc‐LED delivers a high SWIR output power of 169.2 mW@350 mA, significantly outperforming the commercial devices. Finally, advanced palm vein recognition and portable non‐destructive detection are successfully demonstrated. This study provides new insights and an effective materials platform for developing high‐performance SWIR‐emitting materials toward advanced photonic applications.</w:t>
      </w:r>
    </w:p>
    <w:p>
      <w:pPr>
        <w:spacing w:before="120" w:after="120"/>
      </w:pPr>
      <w:r>
        <w:rPr>
          <w:sz w:val="18"/>
        </w:rPr>
        <w:t>——————————————————————————————————————————————————————————————————————</w:t>
      </w:r>
    </w:p>
    <w:p>
      <w:pPr>
        <w:spacing w:before="160" w:after="40" w:line="240" w:lineRule="auto"/>
      </w:pPr>
      <w:r>
        <w:rPr>
          <w:b/>
        </w:rPr>
        <w:t xml:space="preserve">[400] </w:t>
      </w:r>
      <w:hyperlink r:id="rId919">
        <w:r>
          <w:rPr>
            <w:color w:val="1155CC"/>
            <w:u w:val="single"/>
          </w:rPr>
          <w:t>分子极化驱动的协同界面工程用于高性能钙钛矿太阳能电池</w:t>
        </w:r>
      </w:hyperlink>
    </w:p>
    <w:p>
      <w:pPr>
        <w:spacing w:before="0" w:after="80"/>
      </w:pPr>
      <w:r>
        <w:rPr>
          <w:i/>
          <w:sz w:val="20"/>
        </w:rPr>
        <w:t>EN: Molecular Polarization‐Driven Synergistic Interface Engineering for High‐Performance Perovskite Solar Cells</w:t>
      </w:r>
    </w:p>
    <w:p>
      <w:pPr>
        <w:spacing w:before="0" w:after="120"/>
      </w:pPr>
      <w:r>
        <w:rPr>
          <w:b/>
        </w:rPr>
        <w:t xml:space="preserve">Source: </w:t>
      </w:r>
      <w:r>
        <w:t>Wiley: Advanced Materials: Table of Contents</w:t>
      </w:r>
      <w:r>
        <w:t xml:space="preserve">    </w:t>
      </w:r>
      <w:r>
        <w:rPr>
          <w:b/>
        </w:rPr>
        <w:t xml:space="preserve">Pub date: </w:t>
      </w:r>
      <w:r>
        <w:t>2026-05-06 13:15:38+00:00</w:t>
      </w:r>
      <w:r>
        <w:t xml:space="preserve">    </w:t>
      </w:r>
      <w:r>
        <w:rPr>
          <w:b/>
        </w:rPr>
        <w:t xml:space="preserve">DOI: </w:t>
      </w:r>
      <w:hyperlink r:id="rId920">
        <w:r>
          <w:rPr>
            <w:color w:val="1155CC"/>
            <w:u w:val="single"/>
          </w:rPr>
          <w:t>10.1002/adma.73306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倒置钙钛矿太阳能电池（PSCs）的性能通常受到自组装单分子层（SAM）/钙钛矿界面处严重的非辐射复合和载流子传输损失的阻碍，这源于不均匀的SAM分布和与钙钛矿层的弱界面结合。为了解决这些挑战，我们引入了一种通用的协同界面工程策略，采用2-氨基嘧啶-4-羧酸（m-APCA），这是一种在其嘧啶环上具有不对称双功能基团的间位取代分子。这些基团引发显著的分子极化，增强偶极矩并加强与SAM的分子间π–π相互作用，从而减轻SAM聚集并确保均匀的基底覆盖。同时，m-APCA的强偶极场和双功能化学性质使其能够与钙钛矿层形成稳固的化学键，作为调节晶粒生长和钝化埋藏界面缺陷的成核位点。这种双重作用方法降低了界面能垒并提高了空穴传输效率，实现了小面积（正常带隙）、厘米级（正常带隙）和宽带隙PSCs分别为26.77%（认证为26.71%）、26.08%和24.17%的非常高的效率。值得注意的是，优化的PSCs表现出卓越的操作稳定性，在连续1200小时的最大功率点跟踪后保持96%的初始效率。</w:t>
      </w:r>
    </w:p>
    <w:p>
      <w:pPr>
        <w:spacing w:before="0" w:after="200" w:lineRule="auto" w:line="276"/>
      </w:pPr>
      <w:r>
        <w:rPr>
          <w:b/>
        </w:rPr>
        <w:t xml:space="preserve">Abstract (EN): </w:t>
      </w:r>
      <w:r>
        <w:t>The performance of inverted perovskite solar cells (PSCs) is often impeded by severe non‐radiative recombination and carrier transport losses at the self‐assembled monolayer (SAM)/perovskite interface, arising from inhomogeneous SAM distribution and weak interfacial bonding with the perovskite layer. To address these challenges, we introduce a universal synergistic interface engineering strategy employing 2‐aminopyrimidine‐4‐carboxylic acid (m‐APCA), a meta‐substituted molecule featuring asymmetric bifunctional groups on its pyrimidine ring. These groups induce substantial molecular polarization, amplifying the dipole moment and reinforcing intermolecular</w:t>
      </w:r>
      <w:r>
        <w:t xml:space="preserve"> </w:t>
      </w:r>
      <w:r>
        <w:t>π–π</w:t>
      </w:r>
      <w:r>
        <w:t xml:space="preserve"> </w:t>
      </w:r>
      <w:r>
        <w:t>interactions with SAMs, thereby mitigating SAM aggregation and ensuring uniform substrate coverage. Concurrently, the strong dipole field and bifunctional chemistry of m‐APCA enable robust chemical bonding with the perovskite layer, acting as nucleation sites that regulate grain growth and passivate buried interfacial defects. This dual‐action approach reduces interfacial energy barriers and enhances hole transport efficiency, achieving very high efficiencies of 26.77% (certified at 26.71%), 26.08%, and 24.17% for small‐area (normal bandgap), centimeter‐scale (normal bandgap), and wide‐bandgap PSCs, respectively. Notably, optimized PSCs demonstrate exceptional operational stability, retaining 96% of initial efficiency after 1200 h of continuous maximum power point tracking.</w:t>
      </w:r>
    </w:p>
    <w:p>
      <w:pPr>
        <w:spacing w:before="120" w:after="120"/>
      </w:pPr>
      <w:r>
        <w:rPr>
          <w:sz w:val="18"/>
        </w:rPr>
        <w:t>——————————————————————————————————————————————————————————————————————</w:t>
      </w:r>
    </w:p>
    <w:p>
      <w:pPr>
        <w:spacing w:before="160" w:after="40" w:line="240" w:lineRule="auto"/>
      </w:pPr>
      <w:r>
        <w:rPr>
          <w:b/>
        </w:rPr>
        <w:t xml:space="preserve">[401] </w:t>
      </w:r>
      <w:hyperlink r:id="rId921">
        <w:r>
          <w:rPr>
            <w:color w:val="1155CC"/>
            <w:u w:val="single"/>
          </w:rPr>
          <w:t>[ASAP] “零开启”NIR-II光声有机纳米探针用于超精确的癌症免疫治疗反应伴随诊断</w:t>
        </w:r>
      </w:hyperlink>
    </w:p>
    <w:p>
      <w:pPr>
        <w:spacing w:before="0" w:after="80"/>
      </w:pPr>
      <w:r>
        <w:rPr>
          <w:i/>
          <w:sz w:val="20"/>
        </w:rPr>
        <w:t>EN: [ASAP] “Zero-On” NIR-II Photoacoustic Organic Nanoprobes for Ultra-Accurate Companion Diagnostics of Cancer Immunotherapy Response</w:t>
      </w:r>
    </w:p>
    <w:p>
      <w:pPr>
        <w:spacing w:before="0" w:after="120"/>
      </w:pPr>
      <w:r>
        <w:rPr>
          <w:b/>
        </w:rPr>
        <w:t xml:space="preserve">Source: </w:t>
      </w:r>
      <w:r>
        <w:t>Journal of the American Chemical Society: Latest Articles (ACS Publications)</w:t>
      </w:r>
      <w:r>
        <w:t xml:space="preserve">    </w:t>
      </w:r>
      <w:r>
        <w:rPr>
          <w:b/>
        </w:rPr>
        <w:t xml:space="preserve">Pub date: </w:t>
      </w:r>
      <w:r>
        <w:t>2026-05-06 16:17:28+00:00</w:t>
      </w:r>
      <w:r>
        <w:t xml:space="preserve">    </w:t>
      </w:r>
      <w:r>
        <w:rPr>
          <w:b/>
        </w:rPr>
        <w:t xml:space="preserve">DOI: </w:t>
      </w:r>
      <w:hyperlink r:id="rId922">
        <w:r>
          <w:rPr>
            <w:color w:val="1155CC"/>
            <w:u w:val="single"/>
          </w:rPr>
          <w:t>10.1021/jacs.6c02893</w:t>
        </w:r>
      </w:hyperlink>
    </w:p>
    <w:p>
      <w:pPr>
        <w:spacing w:before="0" w:after="120"/>
      </w:pPr>
      <w:r>
        <w:rPr>
          <w:b/>
        </w:rPr>
        <w:t xml:space="preserve">Notes: </w:t>
      </w:r>
      <w:r>
        <w:t>abstract_source=pubmed</w:t>
      </w:r>
    </w:p>
    <w:p>
      <w:pPr>
        <w:spacing w:before="0" w:after="80" w:lineRule="auto" w:line="276"/>
      </w:pPr>
      <w:r>
        <w:rPr>
          <w:b/>
        </w:rPr>
        <w:t xml:space="preserve">摘要（ZH）: </w:t>
      </w:r>
      <w:r>
        <w:t>伴随诊断（CDx）采用生物标志物响应的“关-开”探针实现成像引导的个性化癌症免疫治疗。然而，即使是微弱的关态探针背景信号也会因肿瘤内积累而被放大，并可能与生物标志物激活信号无法区分。在此，我们报告了一种“零-开”近红外-II（1000-1700 nm）光声半导体聚合物纳米探针（SPCDx），在暴露于免疫反应性生物标志物时从非共轭、近红外-II信号静默的“零”状态切换到π共轭、信号活跃的“开”状态。巧妙的非共轭聚合物设计实现了“零”近红外-II探针背景（p &gt; 0.05 vs 水），消除了肿瘤内积累后的探针背景干扰，确保在肿瘤中检测到的信号完全来自真实的生物标志物激活。在体内，SPCDx准确区分不同效力的免疫药物，并在盲研究中以100%的准确率识别低效免疫反应小鼠，优于传统的“关-开”探针（56.3%）。SPCDx进一步准确检测到早期免疫反应，比临床标准流式细胞术活检早&gt;42小时，比可观察到的肿瘤缩小早6天。我们的“零-开”概念为超精确的癌症免疫治疗反应CDx提供了分子蓝图。</w:t>
      </w:r>
    </w:p>
    <w:p>
      <w:pPr>
        <w:spacing w:before="0" w:after="200" w:lineRule="auto" w:line="276"/>
      </w:pPr>
      <w:r>
        <w:rPr>
          <w:b/>
        </w:rPr>
        <w:t xml:space="preserve">Abstract (EN): </w:t>
      </w:r>
      <w:r>
        <w:t>Companion diagnostics (CDx) employing biomarker-responsive "off-on" probes enable imaging-guided personalized cancer immunotherapy. However, CDx accuracy is compromised by even weak off-state probe background signals, which are amplified by intratumoral accumulation and can be indistinguishable from biomarker-activated signals. Here, we report a "zero-on" near-infrared-II (1000-1700 nm) photoacoustic semiconducting polymer nanoprobe (SPCDx) that switches from a nonconjugated, near-infrared-II-signal-silent "zero" state to a π-conjugated, signal-active "on" state upon exposure to immunoreactive biomarkers. Ingeniously nonconjugated polymer design achieves "zero" near-infrared-II probe background (p &gt; 0.05 vs water), eliminating probe background interference after intratumoral accumulation and ensuring detected signals in the tumor exclusively from true biomarker activation. In vivo, SPCDx accurately distinguishes immune drugs of varying efficacy and identifies low-efficacy immune response mice with 100% accuracy in a blind study, outperforming conventional "off-on" probes (56.3%). SPCDx further accurately detects early immune responses &gt;42 h before clinical-standard flow cytometry biopsies and 6 days before observable tumor shrinkage. Our "zero-on" concept offers a molecular blueprint for ultra-accurate CDx of cancer immunotherapy response.</w:t>
      </w:r>
    </w:p>
    <w:p>
      <w:pPr>
        <w:spacing w:before="120" w:after="120"/>
      </w:pPr>
      <w:r>
        <w:rPr>
          <w:sz w:val="18"/>
        </w:rPr>
        <w:t>——————————————————————————————————————————————————————————————————————</w:t>
      </w:r>
    </w:p>
    <w:p>
      <w:pPr>
        <w:spacing w:before="160" w:after="40" w:line="240" w:lineRule="auto"/>
      </w:pPr>
      <w:r>
        <w:rPr>
          <w:b/>
        </w:rPr>
        <w:t xml:space="preserve">[402] </w:t>
      </w:r>
      <w:hyperlink r:id="rId923">
        <w:r>
          <w:rPr>
            <w:color w:val="1155CC"/>
            <w:u w:val="single"/>
          </w:rPr>
          <w:t>[ASAP] 膀胱癌来源的细胞外囊泡的体内代谢工程用于无创癌症检测</w:t>
        </w:r>
      </w:hyperlink>
    </w:p>
    <w:p>
      <w:pPr>
        <w:spacing w:before="0" w:after="80"/>
      </w:pPr>
      <w:r>
        <w:rPr>
          <w:i/>
          <w:sz w:val="20"/>
        </w:rPr>
        <w:t>EN: [ASAP] In Vivo Metabolic Engineering of Bladder Cancer-Derived Extracellular Vesicles for Noninvasive Cancer Detection</w:t>
      </w:r>
    </w:p>
    <w:p>
      <w:pPr>
        <w:spacing w:before="0" w:after="120"/>
      </w:pPr>
      <w:r>
        <w:rPr>
          <w:b/>
        </w:rPr>
        <w:t xml:space="preserve">Source: </w:t>
      </w:r>
      <w:r>
        <w:t>Journal of the American Chemical Society: Latest Articles (ACS Publications)</w:t>
      </w:r>
      <w:r>
        <w:t xml:space="preserve">    </w:t>
      </w:r>
      <w:r>
        <w:rPr>
          <w:b/>
        </w:rPr>
        <w:t xml:space="preserve">Pub date: </w:t>
      </w:r>
      <w:r>
        <w:t>2026-05-06 16:34:50+00:00</w:t>
      </w:r>
      <w:r>
        <w:t xml:space="preserve">    </w:t>
      </w:r>
      <w:r>
        <w:rPr>
          <w:b/>
        </w:rPr>
        <w:t xml:space="preserve">DOI: </w:t>
      </w:r>
      <w:hyperlink r:id="rId924">
        <w:r>
          <w:rPr>
            <w:color w:val="1155CC"/>
            <w:u w:val="single"/>
          </w:rPr>
          <w:t>10.1021/jacs.6c03124</w:t>
        </w:r>
      </w:hyperlink>
    </w:p>
    <w:p>
      <w:pPr>
        <w:spacing w:before="0" w:after="120"/>
      </w:pPr>
      <w:r>
        <w:rPr>
          <w:b/>
        </w:rPr>
        <w:t xml:space="preserve">Notes: </w:t>
      </w:r>
      <w:r>
        <w:t>abstract_source=pubmed</w:t>
      </w:r>
    </w:p>
    <w:p>
      <w:pPr>
        <w:spacing w:before="0" w:after="80" w:lineRule="auto" w:line="276"/>
      </w:pPr>
      <w:r>
        <w:rPr>
          <w:b/>
        </w:rPr>
        <w:t xml:space="preserve">摘要（ZH）: </w:t>
      </w:r>
      <w:r>
        <w:t>膀胱癌（BC）的早期和精确诊断对于改善患者预后至关重要。BC来源的细胞外囊泡（BC-EVs）携带其母体肿瘤细胞的特定分子信息，直接释放到尿液中，作为无创液体活检的目标。然而，BC-EVs的临床应用主要受到其在尿液中含量低和大量非肿瘤EVs干扰的限制。为克服这一障碍，我们提出了一种体内代谢工程策略，利用肿瘤靶向的活性氧（ROS）响应性胶束探针对BC-EVs进行修饰。这些智能探针特异性地积聚在膀胱肿瘤中，并响应氧化微环境释放叠氮胆碱，将叠氮基团共价结合到新生的BC-EV膜中。分泌到尿液中后，这些化学标记的EVs通过生物正交点击化学选择性富集，实现精确的BC诊断，从而有效消除背景干扰。关键是，该平台能够根据标记的生物标志物区分非肌层浸润性BC和肌层浸润性BC。这种代谢编程策略可以通过简单更改靶向和识别基团扩展到其他疾病。</w:t>
      </w:r>
    </w:p>
    <w:p>
      <w:pPr>
        <w:spacing w:before="0" w:after="200" w:lineRule="auto" w:line="276"/>
      </w:pPr>
      <w:r>
        <w:rPr>
          <w:b/>
        </w:rPr>
        <w:t xml:space="preserve">Abstract (EN): </w:t>
      </w:r>
      <w:r>
        <w:t>Early and precise diagnosis of bladder cancer (BC) is crucial for improving patient prognosis. BC-derived extracellular vesicles (BC-EVs), which carry specific molecular information from their parent tumor cells, are directly released into the urine to serve as noninvasive liquid biopsy targets. However, the clinical utility of BC-EVs is largely hindered by their low urinary abundance and high interference from massive nontumor EVs. To overcome this barrier, we present an in vivo metabolic engineering strategy for BC-EVs with a tumor-targeting reactive oxygen species (ROS)-responsive micelle probe. These smart probes specifically accumulate in bladder tumors and release azide-choline in response to the oxidative microenvironment, covalently incorporating azide moieties into nascent BC-EV membranes. Upon secretion into urine, these chemically tagged EVs are selectively enriched for precise BC diagnosis via bioorthogonal click chemistry, thereby effectively eliminating background interference. Crucially, this platform is able to distinguish nonmuscle-invasive BC from muscle-invasive BC based on the profiled biomarkers. This metabolic programming strategy can be extended to other diseases by simply changing the targeting and recognition moieties.</w:t>
      </w:r>
    </w:p>
    <w:p>
      <w:pPr>
        <w:spacing w:before="120" w:after="120"/>
      </w:pPr>
      <w:r>
        <w:rPr>
          <w:sz w:val="18"/>
        </w:rPr>
        <w:t>——————————————————————————————————————————————————————————————————————</w:t>
      </w:r>
    </w:p>
    <w:p>
      <w:pPr>
        <w:spacing w:before="160" w:after="40" w:line="240" w:lineRule="auto"/>
      </w:pPr>
      <w:r>
        <w:rPr>
          <w:b/>
        </w:rPr>
        <w:t xml:space="preserve">[403] </w:t>
      </w:r>
      <w:hyperlink r:id="rId925">
        <w:r>
          <w:rPr>
            <w:color w:val="1155CC"/>
            <w:u w:val="single"/>
          </w:rPr>
          <w:t>[ASAP] 光激发硝基芳烃氧化裂解烯烃的分子机制</w:t>
        </w:r>
      </w:hyperlink>
    </w:p>
    <w:p>
      <w:pPr>
        <w:spacing w:before="0" w:after="80"/>
      </w:pPr>
      <w:r>
        <w:rPr>
          <w:i/>
          <w:sz w:val="20"/>
        </w:rPr>
        <w:t>EN: [ASAP] Molecular Mechanism of the Oxidative Cleavage of Alkenes by Photoexcited Nitroarenes</w:t>
      </w:r>
    </w:p>
    <w:p>
      <w:pPr>
        <w:spacing w:before="0" w:after="120"/>
      </w:pPr>
      <w:r>
        <w:rPr>
          <w:b/>
        </w:rPr>
        <w:t xml:space="preserve">Source: </w:t>
      </w:r>
      <w:r>
        <w:t>Journal of the American Chemical Society: Latest Articles (ACS Publications)</w:t>
      </w:r>
      <w:r>
        <w:t xml:space="preserve">    </w:t>
      </w:r>
      <w:r>
        <w:rPr>
          <w:b/>
        </w:rPr>
        <w:t xml:space="preserve">Pub date: </w:t>
      </w:r>
      <w:r>
        <w:t>2026-05-06 17:49:22+00:00</w:t>
      </w:r>
      <w:r>
        <w:t xml:space="preserve">    </w:t>
      </w:r>
      <w:r>
        <w:rPr>
          <w:b/>
        </w:rPr>
        <w:t xml:space="preserve">DOI: </w:t>
      </w:r>
      <w:hyperlink r:id="rId926">
        <w:r>
          <w:rPr>
            <w:color w:val="1155CC"/>
            <w:u w:val="single"/>
          </w:rPr>
          <w:t>10.1021/jacs.5c22754</w:t>
        </w:r>
      </w:hyperlink>
    </w:p>
    <w:p>
      <w:pPr>
        <w:spacing w:before="0" w:after="120"/>
      </w:pPr>
      <w:r>
        <w:rPr>
          <w:b/>
        </w:rPr>
        <w:t xml:space="preserve">Notes: </w:t>
      </w:r>
      <w:r>
        <w:t>abstract_source=pubmed</w:t>
      </w:r>
    </w:p>
    <w:p>
      <w:pPr>
        <w:spacing w:before="0" w:after="80" w:lineRule="auto" w:line="276"/>
      </w:pPr>
      <w:r>
        <w:rPr>
          <w:b/>
        </w:rPr>
        <w:t xml:space="preserve">摘要（ZH）: </w:t>
      </w:r>
      <w:r>
        <w:t>烯烃的氧化裂解是有机合成中的常见转化。然而，传统方法如臭氧化和Lemieux-Johnson反应存在安全性和选择性问题。最近，Ruffoni等人[Nature 2022, 610 (7930), 81-86]和Wise等人[J. Am. Chem. Soc. 2022, 144 (34), 15437-15442]独立报道了一种新的、安全的、选择性的光化学方法，使用光激发的硝基芳烃，明确聚焦于合成应用。在此，使用稳态UV/vis、NMR和IR，以及飞秒UV/vis和IR吸收光谱，结合量子化学，研究其动力学和涉及的中间体。对于硝基苯/烯烃对（4-氰基硝基苯和环辛烯），确定并分析反应量子产率和速率常数，得到量子化学的支持。研究表明，光反应通过硝基芳烃的三重态进行。该状态被烯烃以6 × 10^9 M^-1 s^-1的双分子速率常数淬灭。形成了一种新物种，我们将其归因于三重态双自由基中间体。只有约10%的淬灭事件导致产物形成。额外的损失通道归因于中间体向起始材料的衰变。消除这一损失通道可以显著提高该反应的效率。</w:t>
      </w:r>
    </w:p>
    <w:p>
      <w:pPr>
        <w:spacing w:before="0" w:after="200" w:lineRule="auto" w:line="276"/>
      </w:pPr>
      <w:r>
        <w:rPr>
          <w:b/>
        </w:rPr>
        <w:t xml:space="preserve">Abstract (EN): </w:t>
      </w:r>
      <w:r>
        <w:t>The oxidative cleavage of alkenes is a common transformation in organic synthesis. However, conventional methods like ozonolysis and the Lemieux-Johnson reaction suffer from safety and selectivity concerns. A new, safe, and selective photochemical method using photoexcited nitroarenes has recently been reported independently by Ruffoni et al. [Nature 2022, 610 (7930), 81-86] and Wise et al. [J. Am. Chem. Soc. 2022, 144 (34), 15437-15442], with a clear focus on synthetic applications. Here, steady-state UV/vis, NMR, and IR, as well as femtosecond UV/vis and IR absorption spectroscopy, along with quantum chemistry, are used to investigate its kinetics and the involved intermediates. For a nitrobenzene/alkene pair (4-cyanonitrobenzene and cyclooctene), reaction quantum yields and rate constants are determined and analyzed with support from quantum chemistry. The photoreaction is shown to proceed via the triplet state of the nitroarene. This state is quenched with a bimolecular rate constant of 6 × 109 M-1 s-1 by the alkene. A new species is formed, which we assign to a triplet biradical intermediate. Only ∼10% of the quenching events result in product formation. The additional loss channel is assigned to the decay of the intermediate to the starting materials. The elimination of this loss channel could significantly improve the efficiency of this reaction.</w:t>
      </w:r>
    </w:p>
    <w:p>
      <w:pPr>
        <w:spacing w:before="120" w:after="120"/>
      </w:pPr>
      <w:r>
        <w:rPr>
          <w:sz w:val="18"/>
        </w:rPr>
        <w:t>——————————————————————————————————————————————————————————————————————</w:t>
      </w:r>
    </w:p>
    <w:p>
      <w:pPr>
        <w:spacing w:before="160" w:after="40" w:line="240" w:lineRule="auto"/>
      </w:pPr>
      <w:r>
        <w:rPr>
          <w:b/>
        </w:rPr>
        <w:t xml:space="preserve">[404] </w:t>
      </w:r>
      <w:hyperlink r:id="rId927">
        <w:r>
          <w:rPr>
            <w:color w:val="1155CC"/>
            <w:u w:val="single"/>
          </w:rPr>
          <w:t>组织-生物电子界面</w:t>
        </w:r>
      </w:hyperlink>
    </w:p>
    <w:p>
      <w:pPr>
        <w:spacing w:before="0" w:after="80"/>
      </w:pPr>
      <w:r>
        <w:rPr>
          <w:i/>
          <w:sz w:val="20"/>
        </w:rPr>
        <w:t>EN: Tissue-bioelectronics interfaces</w:t>
      </w:r>
    </w:p>
    <w:p>
      <w:pPr>
        <w:spacing w:before="0" w:after="120"/>
      </w:pPr>
      <w:r>
        <w:rPr>
          <w:b/>
        </w:rPr>
        <w:t xml:space="preserve">Source: </w:t>
      </w:r>
      <w:r>
        <w:t>RSC - Chem. Soc. Rev. latest articles</w:t>
      </w:r>
      <w:r>
        <w:t xml:space="preserve">    </w:t>
      </w:r>
      <w:r>
        <w:rPr>
          <w:b/>
        </w:rPr>
        <w:t xml:space="preserve">Pub date: </w:t>
      </w:r>
      <w:r>
        <w:t>2026-05-06 23:00:00+00:00</w:t>
      </w:r>
    </w:p>
    <w:p>
      <w:pPr>
        <w:spacing w:before="0" w:after="120"/>
      </w:pPr>
      <w:r>
        <w:rPr>
          <w:b/>
        </w:rPr>
        <w:t xml:space="preserve">Notes: </w:t>
      </w:r>
      <w:r>
        <w:t>abstract_source=rsc_html</w:t>
      </w:r>
    </w:p>
    <w:p>
      <w:pPr>
        <w:spacing w:before="0" w:after="80" w:lineRule="auto" w:line="276"/>
      </w:pPr>
      <w:r>
        <w:rPr>
          <w:b/>
        </w:rPr>
        <w:t xml:space="preserve">摘要（ZH）: </w:t>
      </w:r>
      <w:r>
        <w:t>可穿戴和植入式生物电子设备能够实现连续的生理监测和治疗调节，但其性能关键取决于与柔软和动态生物组织界面的稳定性和贴合性。传统电子材料与活体组织之间的机械和生化不匹配常常导致界面应力、不稳定接触和炎症反应，从而损害生物电子设备的长期功能。本综述通过系统地检查支配设备-组织耦合的物理、化学和生物相互作用，提出了一个机制驱动的框架来理解组织-生物电子界面。我们展示了这些界面机制如何为结构工程和材料开发中的关键设计原则提供信息，从而提高机械顺应性、粘附性和长期界面稳定性。我们进一步强调了支持柔软、贴合和多功能生物电子系统的制造策略的最新进展，以及跨越生理传感和治疗调节的代表性应用。最后，我们讨论了减轻异物反应的新兴策略，并概述了实现持久、适应性和临床可转化的组织-生物电子界面的剩余挑战和机遇。</w:t>
      </w:r>
    </w:p>
    <w:p>
      <w:pPr>
        <w:spacing w:before="0" w:after="200" w:lineRule="auto" w:line="276"/>
      </w:pPr>
      <w:r>
        <w:rPr>
          <w:b/>
        </w:rPr>
        <w:t xml:space="preserve">Abstract (EN): </w:t>
      </w:r>
      <w:r>
        <w:t>Wearable and implantable bioelectronics enable continuous physiological monitoring and therapeutic modulation, yet their performance critically depends on the stability and conformality of the interfaces with soft and dynamic biological tissues. Mechanical and biochemical mismatches between conventional electronic materials and living tissues often lead to interfacial stress, unstable contact, and inflammatory responses that compromise the long-term function of bioelectronics. This review presents a mechanism-driven framework for understanding tissue–bioelectronics interfaces by systematically examining the physical, chemical, and biological interactions that govern device–tissue coupling across temporal and length scales. We show how these interfacial mechanisms inform key design principles in structural engineering and materials development, enabling improved mechanical compliance, adhesion, and long-term interfacial stability. We further highlight recent advances in fabrication strategies that support soft, conformal, and multifunctional bioelectronic systems, together with representative applications spanning physiological sensing and therapeutic modulation. Finally, we discuss emerging strategies for mitigating foreign-body responses and outline remaining challenges and opportunities for achieving durable, adaptive, and clinically translatable tissue–bioelectronics interfaces.</w:t>
      </w:r>
    </w:p>
    <w:p>
      <w:pPr>
        <w:spacing w:before="120" w:after="120"/>
      </w:pPr>
      <w:r>
        <w:rPr>
          <w:sz w:val="18"/>
        </w:rPr>
        <w:t>——————————————————————————————————————————————————————————————————————</w:t>
      </w:r>
    </w:p>
    <w:p>
      <w:pPr>
        <w:spacing w:before="160" w:after="40" w:line="240" w:lineRule="auto"/>
      </w:pPr>
      <w:r>
        <w:rPr>
          <w:b/>
        </w:rPr>
        <w:t xml:space="preserve">[405] </w:t>
      </w:r>
      <w:hyperlink r:id="rId928">
        <w:r>
          <w:rPr>
            <w:color w:val="1155CC"/>
            <w:u w:val="single"/>
          </w:rPr>
          <w:t>作者更正：蛋白酶体引导的血红素信号轴有助于T细胞耗竭</w:t>
        </w:r>
      </w:hyperlink>
    </w:p>
    <w:p>
      <w:pPr>
        <w:spacing w:before="0" w:after="80"/>
      </w:pPr>
      <w:r>
        <w:rPr>
          <w:i/>
          <w:sz w:val="20"/>
        </w:rPr>
        <w:t>EN: Author Correction: Proteasome-guided haem signalling axis contributes to T cell exhaustion</w:t>
      </w:r>
    </w:p>
    <w:p>
      <w:pPr>
        <w:spacing w:before="0" w:after="120"/>
      </w:pPr>
      <w:r>
        <w:rPr>
          <w:b/>
        </w:rPr>
        <w:t xml:space="preserve">Source: </w:t>
      </w:r>
      <w:r>
        <w:t>Nature</w:t>
      </w:r>
      <w:r>
        <w:t xml:space="preserve">    </w:t>
      </w:r>
      <w:r>
        <w:rPr>
          <w:b/>
        </w:rPr>
        <w:t xml:space="preserve">Pub date: </w:t>
      </w:r>
      <w:r>
        <w:t>2026-05-07 00:00:00+00:00</w:t>
      </w:r>
      <w:r>
        <w:t xml:space="preserve">    </w:t>
      </w:r>
      <w:r>
        <w:rPr>
          <w:b/>
        </w:rPr>
        <w:t xml:space="preserve">DOI: </w:t>
      </w:r>
      <w:hyperlink r:id="rId929">
        <w:r>
          <w:rPr>
            <w:color w:val="1155CC"/>
            <w:u w:val="single"/>
          </w:rPr>
          <w:t>10.1038/s41586-026-10608-2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930">
        <w:r>
          <w:rPr>
            <w:color w:val="1155CC"/>
            <w:u w:val="single"/>
          </w:rPr>
          <w:t>通过多重空间相互作用突破非共轭烃的蓝色极限</w:t>
        </w:r>
      </w:hyperlink>
    </w:p>
    <w:p>
      <w:pPr>
        <w:spacing w:before="0" w:after="80"/>
      </w:pPr>
      <w:r>
        <w:rPr>
          <w:i/>
          <w:sz w:val="20"/>
        </w:rPr>
        <w:t>EN: Breaking the blue limit of non-conjugated hydrocarbons via multiple through-space interactions</w:t>
      </w:r>
    </w:p>
    <w:p>
      <w:pPr>
        <w:spacing w:before="0" w:after="120"/>
      </w:pPr>
      <w:r>
        <w:rPr>
          <w:b/>
        </w:rPr>
        <w:t xml:space="preserve">Source: </w:t>
      </w:r>
      <w:r>
        <w:t>National Science Review Advance Access</w:t>
      </w:r>
      <w:r>
        <w:t xml:space="preserve">    </w:t>
      </w:r>
      <w:r>
        <w:rPr>
          <w:b/>
        </w:rPr>
        <w:t xml:space="preserve">Pub date: </w:t>
      </w:r>
      <w:r>
        <w:t>2026-05-07 00:00:00+00:00</w:t>
      </w:r>
      <w:r>
        <w:t xml:space="preserve">    </w:t>
      </w:r>
      <w:r>
        <w:rPr>
          <w:b/>
        </w:rPr>
        <w:t xml:space="preserve">DOI: </w:t>
      </w:r>
      <w:hyperlink r:id="rId931">
        <w:r>
          <w:rPr>
            <w:color w:val="1155CC"/>
            <w:u w:val="single"/>
          </w:rPr>
          <w:t>10.1093/nsr/nwag257</w:t>
        </w:r>
      </w:hyperlink>
    </w:p>
    <w:p>
      <w:pPr>
        <w:spacing w:before="0" w:after="120"/>
      </w:pPr>
      <w:r>
        <w:rPr>
          <w:b/>
        </w:rPr>
        <w:t xml:space="preserve">Notes: </w:t>
      </w:r>
      <w:r>
        <w:t>abstract_source=rss_oup</w:t>
      </w:r>
    </w:p>
    <w:p>
      <w:pPr>
        <w:spacing w:before="0" w:after="80" w:lineRule="auto" w:line="276"/>
      </w:pPr>
      <w:r>
        <w:rPr>
          <w:b/>
        </w:rPr>
        <w:t xml:space="preserve">摘要（ZH）: </w:t>
      </w:r>
      <w:r>
        <w:t>非共轭发光系统的发展革新了传统的通过键共轭（TBC）设计策略，并激发了对分子光物理学的更深入理解。然而，这些非共轭结构面临的一个挑战是纯烃系统的荧光主要局限于蓝色区域（约470 nm），这引发了一个问题：这是否是一个根本的限制。在此，我们通过构建一个由超过50种非共轭芳基烯烃组成的库来突破这一障碍，这些烯烃是通过双核镍催化的烯烃的氢芳基化反应制备的。研究表明，包括分子扭曲调节的分子内TSI与由苯乙烯单元的双键介导的分子间TSI相结合的协同多重空间相互作用（TSI）对于实现这些非共轭结构的超长波长聚集诱导发光至关重要。这使得从蓝色到黄色、橙色，甚至显著地到单一化合物基础的暖白光的可调光发射成为可能。此外，战略性取代将荧光扩展到深红色区域，尾部达到900 nm。这项工作表明，非共轭纯烃可以实现广泛的颜色谱，根本上推进了对非共轭系统发光现象的理解，并为超越传统TBC范式的发光材料提供了一种新颖的设计策略。</w:t>
      </w:r>
    </w:p>
    <w:p>
      <w:pPr>
        <w:spacing w:before="0" w:after="200" w:lineRule="auto" w:line="276"/>
      </w:pPr>
      <w:r>
        <w:rPr>
          <w:b/>
        </w:rPr>
        <w:t xml:space="preserve">Abstract (EN): </w:t>
      </w:r>
      <w:r>
        <w:t>The development of non-conjugated luminescent systems has innovated the traditional design strategy of through-bond conjugation (TBC) and inspired a deeper understanding on molecular photophysics. However, a challenge encountered by these non-conjugated structures is that the fluorescence of pure hydrocarbon systems is largely confined to the blue region (∼470 nm), raising the question of whether this is a fundamental limitation. Herein, we break this barrier by constructing a library of over 50 non-conjugated arylated alkenes via a binuclear nickel-catalyzed hydroarylation of allenes. It is disclosed that synergistic multiple through-space interactions (TSI) including molecular twisting-tuned intramolecular TSI combined with intermolecular TSI mediated by the double bonds of styrene unit are critical for achieving the ultralong-wavelength aggregation-induced emission of these non-conjugated structures. This enables tunable light emission from blue to yellow, orange, and remarkably, even to single-compound-based warm white light. Furthermore, strategic substitution extends the fluorescence into the deep-red region, with a tail reaching 900 nm. This work demonstrates that non-conjugated pure hydrocarbons can achieve a broad spectrum of colors, fundamentally advancing the understanding of the luminescence phenomenon of non-conjugated systems and providing a novel design strategy for luminescent materials beyond the traditional TBC paradigm.</w:t>
      </w:r>
    </w:p>
    <w:p>
      <w:pPr>
        <w:spacing w:before="120" w:after="120"/>
      </w:pPr>
      <w:r>
        <w:rPr>
          <w:sz w:val="18"/>
        </w:rPr>
        <w:t>——————————————————————————————————————————————————————————————————————</w:t>
      </w:r>
    </w:p>
    <w:p>
      <w:pPr>
        <w:spacing w:before="160" w:after="40" w:line="240" w:lineRule="auto"/>
      </w:pPr>
      <w:r>
        <w:rPr>
          <w:b/>
        </w:rPr>
        <w:t xml:space="preserve">[407] </w:t>
      </w:r>
      <w:hyperlink r:id="rId932">
        <w:r>
          <w:rPr>
            <w:color w:val="1155CC"/>
            <w:u w:val="single"/>
          </w:rPr>
          <w:t>致命汉坦病毒尚无疫苗：这对未来疫情爆发意味着什么</w:t>
        </w:r>
      </w:hyperlink>
    </w:p>
    <w:p>
      <w:pPr>
        <w:spacing w:before="0" w:after="80"/>
      </w:pPr>
      <w:r>
        <w:rPr>
          <w:i/>
          <w:sz w:val="20"/>
        </w:rPr>
        <w:t>EN: There is no vaccine for deadly hantavirus: what that means for future outbreaks</w:t>
      </w:r>
    </w:p>
    <w:p>
      <w:pPr>
        <w:spacing w:before="0" w:after="120"/>
      </w:pPr>
      <w:r>
        <w:rPr>
          <w:b/>
        </w:rPr>
        <w:t xml:space="preserve">Source: </w:t>
      </w:r>
      <w:r>
        <w:t>Nature</w:t>
      </w:r>
      <w:r>
        <w:t xml:space="preserve">    </w:t>
      </w:r>
      <w:r>
        <w:rPr>
          <w:b/>
        </w:rPr>
        <w:t xml:space="preserve">Pub date: </w:t>
      </w:r>
      <w:r>
        <w:t>2026-05-07 00:00:00+00:00</w:t>
      </w:r>
      <w:r>
        <w:t xml:space="preserve">    </w:t>
      </w:r>
      <w:r>
        <w:rPr>
          <w:b/>
        </w:rPr>
        <w:t xml:space="preserve">DOI: </w:t>
      </w:r>
      <w:hyperlink r:id="rId933">
        <w:r>
          <w:rPr>
            <w:color w:val="1155CC"/>
            <w:u w:val="single"/>
          </w:rPr>
          <w:t>10.1038/d41586-026-01494-9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[408] </w:t>
      </w:r>
      <w:hyperlink r:id="rId934">
        <w:r>
          <w:rPr>
            <w:color w:val="1155CC"/>
            <w:u w:val="single"/>
          </w:rPr>
          <w:t>利用苯并吡喃化学的过氧亚硝酸盐检测聚合物平台</w:t>
        </w:r>
      </w:hyperlink>
    </w:p>
    <w:p>
      <w:pPr>
        <w:spacing w:before="0" w:after="80"/>
      </w:pPr>
      <w:r>
        <w:rPr>
          <w:i/>
          <w:sz w:val="20"/>
        </w:rPr>
        <w:t>EN: Polymer platform for peroxynitrite detection utilizing benzopyrylium chemistry</w:t>
      </w:r>
    </w:p>
    <w:p>
      <w:pPr>
        <w:spacing w:before="0" w:after="120"/>
      </w:pPr>
      <w:r>
        <w:rPr>
          <w:b/>
        </w:rPr>
        <w:t xml:space="preserve">Source: </w:t>
      </w:r>
      <w:r>
        <w:t>Chem</w:t>
      </w:r>
      <w:r>
        <w:t xml:space="preserve">    </w:t>
      </w:r>
      <w:r>
        <w:rPr>
          <w:b/>
        </w:rPr>
        <w:t xml:space="preserve">Pub date: </w:t>
      </w:r>
      <w:r>
        <w:t>2026-05-07 00:00:00+00:00</w:t>
      </w:r>
      <w:r>
        <w:t xml:space="preserve">    </w:t>
      </w:r>
      <w:r>
        <w:rPr>
          <w:b/>
        </w:rPr>
        <w:t xml:space="preserve">DOI: </w:t>
      </w:r>
      <w:hyperlink r:id="rId935">
        <w:r>
          <w:rPr>
            <w:color w:val="1155CC"/>
            <w:u w:val="single"/>
          </w:rPr>
          <w:t>10.1016/j.chempr.2026.103060</w:t>
        </w:r>
      </w:hyperlink>
    </w:p>
    <w:p>
      <w:pPr>
        <w:spacing w:before="0" w:after="120"/>
      </w:pPr>
      <w:r>
        <w:rPr>
          <w:b/>
        </w:rPr>
        <w:t xml:space="preserve">Notes: </w:t>
      </w:r>
      <w:r>
        <w:t>abstract_source=rss_cell</w:t>
      </w:r>
    </w:p>
    <w:p>
      <w:pPr>
        <w:spacing w:before="0" w:after="80" w:lineRule="auto" w:line="276"/>
      </w:pPr>
      <w:r>
        <w:rPr>
          <w:b/>
        </w:rPr>
        <w:t xml:space="preserve">摘要（ZH）: </w:t>
      </w:r>
      <w:r>
        <w:t>追踪过氧亚硝酸盐等活性氧和氮物种是理解与氧化应激相关的疾病进展的关键，但现有的小分子荧光探针受其功能寿命的限制。这种聚合物设计通过提高稳定性、溶解性和生物相容性克服了这些限制。进一步组装成纳米颗粒，使其能够进行对过氧亚硝酸盐的动态响应的敏感、持久的近红外成像。这项工作强调了可调聚合物设计如何延长探针寿命，并使其能够在复杂生物系统中持续监测与疾病相关的化学反应。</w:t>
      </w:r>
    </w:p>
    <w:p>
      <w:pPr>
        <w:spacing w:before="0" w:after="200" w:lineRule="auto" w:line="276"/>
      </w:pPr>
      <w:r>
        <w:rPr>
          <w:b/>
        </w:rPr>
        <w:t xml:space="preserve">Abstract (EN): </w:t>
      </w:r>
      <w:r>
        <w:t>Tracking reactive oxygen and nitrogen species such as peroxynitrite is key to understanding disease progression linked to oxidative stress, but existing small-molecule fluorescent probes are limited by their functional lifetimes. This polymeric design overcomes these limitations by improving stability, solubility, and biocompatibility. Further assembly into nanoparticles enables sensitive, long-lasting near-infrared imaging with a dynamic response to peroxynitrite. This work highlights how tunable polymeric designs extend probe lifetimes and enable continuous monitoring of disease-relevant chemistry in complex biological systems.</w:t>
      </w:r>
    </w:p>
    <w:p>
      <w:pPr>
        <w:spacing w:before="120" w:after="120"/>
      </w:pPr>
      <w:r>
        <w:rPr>
          <w:sz w:val="18"/>
        </w:rPr>
        <w:t>——————————————————————————————————————————————————————————————————————</w:t>
      </w:r>
    </w:p>
    <w:p>
      <w:pPr>
        <w:spacing w:before="160" w:after="40" w:line="240" w:lineRule="auto"/>
      </w:pPr>
      <w:r>
        <w:rPr>
          <w:b/>
        </w:rPr>
        <w:t xml:space="preserve">[409] </w:t>
      </w:r>
      <w:hyperlink r:id="rId936">
        <w:r>
          <w:rPr>
            <w:color w:val="1155CC"/>
            <w:u w:val="single"/>
          </w:rPr>
          <w:t>通过可逆C–H取样的氧酰胺保护醇的1,2-迁移</w:t>
        </w:r>
      </w:hyperlink>
    </w:p>
    <w:p>
      <w:pPr>
        <w:spacing w:before="0" w:after="80"/>
      </w:pPr>
      <w:r>
        <w:rPr>
          <w:i/>
          <w:sz w:val="20"/>
        </w:rPr>
        <w:t>EN: 1,2-Migration of oxamoyl-protected alcohols via reversible C–H sampling</w:t>
      </w:r>
    </w:p>
    <w:p>
      <w:pPr>
        <w:spacing w:before="0" w:after="120"/>
      </w:pPr>
      <w:r>
        <w:rPr>
          <w:b/>
        </w:rPr>
        <w:t xml:space="preserve">Source: </w:t>
      </w:r>
      <w:r>
        <w:t>National Science Review Advance Access</w:t>
      </w:r>
      <w:r>
        <w:t xml:space="preserve">    </w:t>
      </w:r>
      <w:r>
        <w:rPr>
          <w:b/>
        </w:rPr>
        <w:t xml:space="preserve">Pub date: </w:t>
      </w:r>
      <w:r>
        <w:t>2026-05-07 00:00:00+00:00</w:t>
      </w:r>
      <w:r>
        <w:t xml:space="preserve">    </w:t>
      </w:r>
      <w:r>
        <w:rPr>
          <w:b/>
        </w:rPr>
        <w:t xml:space="preserve">DOI: </w:t>
      </w:r>
      <w:hyperlink r:id="rId937">
        <w:r>
          <w:rPr>
            <w:color w:val="1155CC"/>
            <w:u w:val="single"/>
          </w:rPr>
          <w:t>10.1093/nsr/nwag260</w:t>
        </w:r>
      </w:hyperlink>
    </w:p>
    <w:p>
      <w:pPr>
        <w:spacing w:before="0" w:after="120"/>
      </w:pPr>
      <w:r>
        <w:rPr>
          <w:b/>
        </w:rPr>
        <w:t xml:space="preserve">Notes: </w:t>
      </w:r>
      <w:r>
        <w:t>abstract_source=rss_oup</w:t>
      </w:r>
    </w:p>
    <w:p>
      <w:pPr>
        <w:spacing w:before="0" w:after="80" w:lineRule="auto" w:line="276"/>
      </w:pPr>
      <w:r>
        <w:rPr>
          <w:b/>
        </w:rPr>
        <w:t xml:space="preserve">摘要（ZH）: </w:t>
      </w:r>
      <w:r>
        <w:t>醇类在天然产物中无处不在，并作为多功能的合成手柄；然而，将羟基转移到相邻的C–H位点仍然是一种尚未充分开发但极具价值的转化。在此，我们报告了一种通过可逆C–H采样策略实现的光催化1,2-迁移的羟胺酰保护醇。利用协同氢原子转移催化系统，暂时生成一系列碳自由基，而β-酰氧基烷基自由基选择性地进行1,2-酰氧基转移以获得重排产物。羟胺酰保护基表现出优越的性能，可能加速自由基-酰氧基重排，同时增强β-HAA概率。这种氧化还原中性的方法适用于广泛的底物范围，具有可预测的区域和立体选择性，包括复杂生物活性分子的后期修饰。除了易于水解去除外，羟胺酰氧基手柄可以直接转化为烷基碘化物，为进一步多样化的功能化提供了额外的切入点。</w:t>
      </w:r>
    </w:p>
    <w:p>
      <w:pPr>
        <w:spacing w:before="0" w:after="200" w:lineRule="auto" w:line="276"/>
      </w:pPr>
      <w:r>
        <w:rPr>
          <w:b/>
        </w:rPr>
        <w:t xml:space="preserve">Abstract (EN): </w:t>
      </w:r>
      <w:r>
        <w:t>Alcohols are ubiquitous in natural products and serve as versatile synthetic handles; however, the relocation of a hydroxyl group to an adjacent C–H site remains an underdeveloped yet highly valuable transformation. Herein, we report a photocatalytic 1,2-translocation of oxamoyl-protected alcohols enabled by a reversible C–H sampling strategy. Utilizing a cooperative hydrogen atom transfer catalytic system, a range of carbon radicals are transiently generated, while the β-acyloxy alkyl radical selectively undergoes a 1,2-acyloxy shift to afford the rearranged product. The oxamoyl protecting group exhibits superior performance, likely accelerating the radical-acyloxy rearrangement while simultaneously enhancing β-HAA probability. This redox-neutral methodology accommodates a broad substrate scope with predictable regio- and stereoselectivity, including the late-stage modification of complex bioactive molecules. Beyond facile hydrolytic removal, the oxamoyloxy handle can be directly converted into alkyl iodides, providing an additional entry point for further diverse functionalizations.</w:t>
      </w:r>
    </w:p>
    <w:p>
      <w:pPr>
        <w:spacing w:before="120" w:after="120"/>
      </w:pPr>
      <w:r>
        <w:rPr>
          <w:sz w:val="18"/>
        </w:rPr>
        <w:t>——————————————————————————————————————————————————————————————————————</w:t>
      </w:r>
    </w:p>
    <w:p>
      <w:pPr>
        <w:spacing w:before="160" w:after="40" w:line="240" w:lineRule="auto"/>
      </w:pPr>
      <w:r>
        <w:rPr>
          <w:b/>
        </w:rPr>
        <w:t xml:space="preserve">[410] </w:t>
      </w:r>
      <w:hyperlink r:id="rId938">
        <w:r>
          <w:rPr>
            <w:color w:val="1155CC"/>
            <w:u w:val="single"/>
          </w:rPr>
          <w:t>通过光纤印刷电子策略实现柔性、多模态、电感应-光传输μ纤维传感器</w:t>
        </w:r>
      </w:hyperlink>
    </w:p>
    <w:p>
      <w:pPr>
        <w:spacing w:before="0" w:after="80"/>
      </w:pPr>
      <w:r>
        <w:rPr>
          <w:i/>
          <w:sz w:val="20"/>
        </w:rPr>
        <w:t>EN: Flexible, multimodal, electrical-sensing–optical-transmission μfiber-sensors via an on-fiber printed electronics strategy</w:t>
      </w:r>
    </w:p>
    <w:p>
      <w:pPr>
        <w:spacing w:before="0" w:after="120"/>
      </w:pPr>
      <w:r>
        <w:rPr>
          <w:b/>
        </w:rPr>
        <w:t xml:space="preserve">Source: </w:t>
      </w:r>
      <w:r>
        <w:t>National Science Review Advance Access</w:t>
      </w:r>
      <w:r>
        <w:t xml:space="preserve">    </w:t>
      </w:r>
      <w:r>
        <w:rPr>
          <w:b/>
        </w:rPr>
        <w:t xml:space="preserve">Pub date: </w:t>
      </w:r>
      <w:r>
        <w:t>2026-05-07 00:00:00+00:00</w:t>
      </w:r>
      <w:r>
        <w:t xml:space="preserve">    </w:t>
      </w:r>
      <w:r>
        <w:rPr>
          <w:b/>
        </w:rPr>
        <w:t xml:space="preserve">DOI: </w:t>
      </w:r>
      <w:hyperlink r:id="rId939">
        <w:r>
          <w:rPr>
            <w:color w:val="1155CC"/>
            <w:u w:val="single"/>
          </w:rPr>
          <w:t>10.1093/nsr/nwag250</w:t>
        </w:r>
      </w:hyperlink>
    </w:p>
    <w:p>
      <w:pPr>
        <w:spacing w:before="0" w:after="120"/>
      </w:pPr>
      <w:r>
        <w:rPr>
          <w:b/>
        </w:rPr>
        <w:t xml:space="preserve">Notes: </w:t>
      </w:r>
      <w:r>
        <w:t>abstract_source=rss_oup</w:t>
      </w:r>
    </w:p>
    <w:p>
      <w:pPr>
        <w:spacing w:before="0" w:after="80" w:lineRule="auto" w:line="276"/>
      </w:pPr>
      <w:r>
        <w:rPr>
          <w:b/>
        </w:rPr>
        <w:t xml:space="preserve">摘要（ZH）: </w:t>
      </w:r>
      <w:r>
        <w:t>光纤传感在长距离和无干扰传输方面具有固有优势。然而，它在实现自解耦和多模态检测方面面临重大挑战。在此，受萤火虫生物发光机制的启发，我们提出了一种灵活的、分布式的、多模态电感应-光传输光纤传感器（ESOT FiSensor），可以通过光纤混合电路将多种电感应信号转换为光信号。ESOT FiSensor通过单根光纤实现了四种物理参数（包括振动、压力、温度和应变）的分布式和同时监测，并且可以在0∼1000 Hz范围内保持长距离传输和强电磁干扰免疫，远优于纯电传感器。光纤上的电光电路通过结合共形添加打印和柔性混合电子集成制造，打印技术直接在细如人发（约60 μm）的亚毫米光纤上实现260 nm的分辨率。ESOT FiSensor的性能已在三个代表性场景中得到验证：复杂环境条件下的多模态传感、飞机表皮上的分布式传感以及人机交互的可穿戴传感。ESOT FiSensor为复杂和动态环境中的长距离、多模态信号感知建立了一个强大且可扩展的平台。它为将光纤从被动通信介质转变为主动多模态分布式传感器提供了一条途径。</w:t>
      </w:r>
    </w:p>
    <w:p>
      <w:pPr>
        <w:spacing w:before="0" w:after="200" w:lineRule="auto" w:line="276"/>
      </w:pPr>
      <w:r>
        <w:rPr>
          <w:b/>
        </w:rPr>
        <w:t xml:space="preserve">Abstract (EN): </w:t>
      </w:r>
      <w:r>
        <w:t>Optical fiber sensing offers inherent advantages in long-distance and interference-free transmission. However, it faces a major challenge in achieving self-decoupling and multimodal detection. Here, inspired by the firefly’s bioluminescent mechanism, we propose a flexible, distributed, multimodal electrical-sensing–optical-transmission fiber sensor (ESOT FiSensor) that can convert diverse electrical sensing signals into optical signals through on-fiber hybrid circuits. The ESOT FiSensor realizes distributed and simultaneous monitoring of four physical parameters, including vibration, pressure, temperature, and strain, through only a single optical fiber, and it can maintain long-distance transmission and strong electromagnetic interference immunity within 0∼1000 Hz, far superior to purely electrical sensors. The on-fiber electro-optical circuits were fabricated by combining conformal additive printing and flexible hybrid electronics integration, and the printing technique achieves a resolution of 260 nm directly on submillimeter fibers as fine as human hair (∼60 μm). The performance of such ESOT FiSensor has been validated in three representative scenarios: multimodal sensing under complex environmental conditions, distributed sensing on aircraft skins, and wearable sensing for human-machine interaction. The ESOT FiSensor establishes a powerful and scalable platform for long-distance, multimodal signal perception in complex and dynamic environments. It provides a pathway toward transforming optical fibers from passive communication media into active multimodal distributed sensing networks in the near future.</w:t>
      </w:r>
    </w:p>
    <w:p>
      <w:pPr>
        <w:spacing w:before="120" w:after="120"/>
      </w:pPr>
      <w:r>
        <w:rPr>
          <w:sz w:val="18"/>
        </w:rPr>
        <w:t>——————————————————————————————————————————————————————————————————————</w:t>
      </w:r>
    </w:p>
    <w:p>
      <w:pPr>
        <w:spacing w:before="160" w:after="40" w:line="240" w:lineRule="auto"/>
      </w:pPr>
      <w:r>
        <w:rPr>
          <w:b/>
        </w:rPr>
        <w:t xml:space="preserve">[411] </w:t>
      </w:r>
      <w:hyperlink r:id="rId940">
        <w:r>
          <w:rPr>
            <w:color w:val="1155CC"/>
            <w:u w:val="single"/>
          </w:rPr>
          <w:t>用于可再生燃料的多金属氧酸盐重新加载</w:t>
        </w:r>
      </w:hyperlink>
    </w:p>
    <w:p>
      <w:pPr>
        <w:spacing w:before="0" w:after="80"/>
      </w:pPr>
      <w:r>
        <w:rPr>
          <w:i/>
          <w:sz w:val="20"/>
        </w:rPr>
        <w:t>EN: Polyoxotungstates reloaded for renewable fuels</w:t>
      </w:r>
    </w:p>
    <w:p>
      <w:pPr>
        <w:spacing w:before="0" w:after="120"/>
      </w:pPr>
      <w:r>
        <w:rPr>
          <w:b/>
        </w:rPr>
        <w:t xml:space="preserve">Source: </w:t>
      </w:r>
      <w:r>
        <w:t>Nature Chemistry</w:t>
      </w:r>
      <w:r>
        <w:t xml:space="preserve">    </w:t>
      </w:r>
      <w:r>
        <w:rPr>
          <w:b/>
        </w:rPr>
        <w:t xml:space="preserve">Pub date: </w:t>
      </w:r>
      <w:r>
        <w:t>2026-05-07 00:00:00+00:00</w:t>
      </w:r>
      <w:r>
        <w:t xml:space="preserve">    </w:t>
      </w:r>
      <w:r>
        <w:rPr>
          <w:b/>
        </w:rPr>
        <w:t xml:space="preserve">DOI: </w:t>
      </w:r>
      <w:hyperlink r:id="rId941">
        <w:r>
          <w:rPr>
            <w:color w:val="1155CC"/>
            <w:u w:val="single"/>
          </w:rPr>
          <w:t>10.1038/s41557-026-02144-3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[412] </w:t>
      </w:r>
      <w:hyperlink r:id="rId942">
        <w:r>
          <w:rPr>
            <w:color w:val="1155CC"/>
            <w:u w:val="single"/>
          </w:rPr>
          <w:t>[2+2] 硫酰胺与烯烃的光环加成反应以获得β-磺内酰胺衍生物</w:t>
        </w:r>
      </w:hyperlink>
    </w:p>
    <w:p>
      <w:pPr>
        <w:spacing w:before="0" w:after="80"/>
      </w:pPr>
      <w:r>
        <w:rPr>
          <w:i/>
          <w:sz w:val="20"/>
        </w:rPr>
        <w:t>EN: [2+2] Photocycloaddition reactions of sulfinylamines with alkenes to access β-sultam derivatives</w:t>
      </w:r>
    </w:p>
    <w:p>
      <w:pPr>
        <w:spacing w:before="0" w:after="120"/>
      </w:pPr>
      <w:r>
        <w:rPr>
          <w:b/>
        </w:rPr>
        <w:t xml:space="preserve">Source: </w:t>
      </w:r>
      <w:r>
        <w:t>Nature Chemistry</w:t>
      </w:r>
      <w:r>
        <w:t xml:space="preserve">    </w:t>
      </w:r>
      <w:r>
        <w:rPr>
          <w:b/>
        </w:rPr>
        <w:t xml:space="preserve">Pub date: </w:t>
      </w:r>
      <w:r>
        <w:t>2026-05-07 00:00:00+00:00</w:t>
      </w:r>
      <w:r>
        <w:t xml:space="preserve">    </w:t>
      </w:r>
      <w:r>
        <w:rPr>
          <w:b/>
        </w:rPr>
        <w:t xml:space="preserve">DOI: </w:t>
      </w:r>
      <w:hyperlink r:id="rId943">
        <w:r>
          <w:rPr>
            <w:color w:val="1155CC"/>
            <w:u w:val="single"/>
          </w:rPr>
          <w:t>10.1038/s41557-026-02146-1</w:t>
        </w:r>
      </w:hyperlink>
    </w:p>
    <w:p>
      <w:pPr>
        <w:spacing w:before="0" w:after="120"/>
      </w:pPr>
      <w:r>
        <w:rPr>
          <w:b/>
        </w:rPr>
        <w:t xml:space="preserve">Notes: </w:t>
      </w:r>
      <w:r>
        <w:t>abstract_source=nature_html</w:t>
      </w:r>
    </w:p>
    <w:p>
      <w:pPr>
        <w:spacing w:before="0" w:after="80" w:lineRule="auto" w:line="276"/>
      </w:pPr>
      <w:r>
        <w:rPr>
          <w:b/>
        </w:rPr>
        <w:t xml:space="preserve">摘要（ZH）: </w:t>
      </w:r>
      <w:r>
        <w:t>分子间[2+2]光环加成反应已成为合成四元环化合物的关键方法。然而，通过分子间[2+2]光环加成获得β-磺酰胺或其类似物的通用、高效方案尚不存在。在此，我们介绍了一种非常规的可见光介导的烯烃与亚磺酰胺之间的[2+2]光环加成反应，促进了β-磺酰胺衍生物的高效合成，这些衍生物因其在药物化学中作为共价抑制剂的潜力而备受关注。我们的方法以亚磺酰胺的三重态能量转移为特色，使得通过传统方法无法获得的广泛β-磺酰胺得以实现。通过结合实验和计算技术，我们确定了区域和非对映选择性的起源，揭示了影响反应效率的关键因素。该方法不仅拓宽了可用β-磺酰胺及其衍生物的范围，还突出了亚磺酰胺作为有机合成中多功能试剂的潜力。</w:t>
      </w:r>
    </w:p>
    <w:p>
      <w:pPr>
        <w:spacing w:before="0" w:after="200" w:lineRule="auto" w:line="276"/>
      </w:pPr>
      <w:r>
        <w:rPr>
          <w:b/>
        </w:rPr>
        <w:t xml:space="preserve">Abstract (EN): </w:t>
      </w:r>
      <w:r>
        <w:t>Intermolecular [2+2] photocycloaddition reactions have emerged as a pivotal method for synthesizing four-membered cyclic compounds. However, no general, efficient protocol exists for accessing β-sultams or their analogues through intermolecular [2+2] photocycloaddition. Here we introduce an unconventional visible-light-mediated [2+2] photocycloaddition reaction between alkenes and sulfinylamines, facilitating the efficient synthesis of β-sultam derivatives that have garnered significant interest for their potential as covalent inhibitors in medicinal chemistry. Our approach features triplet energy transfer of sulfinylamines, enabling access to a broad range of β-sultams that were previously deemed inaccessible through conventional methods. Using a combination of experimental and computational techniques, we identify the origins of regio- and diastereo-selectivities, revealing the key factors influencing reaction efficiency. This method not only broadens the scope of available β-sultams and their derivatives but also highlights the potential of sulfinylamines as versatile reagents in organic synthesis.The alternative text for this image may have been generated using AI.</w:t>
      </w:r>
    </w:p>
    <w:p>
      <w:pPr>
        <w:spacing w:before="120" w:after="120"/>
      </w:pPr>
      <w:r>
        <w:rPr>
          <w:sz w:val="18"/>
        </w:rPr>
        <w:t>——————————————————————————————————————————————————————————————————————</w:t>
      </w:r>
    </w:p>
    <w:p>
      <w:pPr>
        <w:spacing w:before="160" w:after="40" w:line="240" w:lineRule="auto"/>
      </w:pPr>
      <w:r>
        <w:rPr>
          <w:b/>
        </w:rPr>
        <w:t xml:space="preserve">[413] </w:t>
      </w:r>
      <w:hyperlink r:id="rId944">
        <w:r>
          <w:rPr>
            <w:color w:val="1155CC"/>
            <w:u w:val="single"/>
          </w:rPr>
          <w:t>不浪费就不缺乏</w:t>
        </w:r>
      </w:hyperlink>
    </w:p>
    <w:p>
      <w:pPr>
        <w:spacing w:before="0" w:after="80"/>
      </w:pPr>
      <w:r>
        <w:rPr>
          <w:i/>
          <w:sz w:val="20"/>
        </w:rPr>
        <w:t>EN: Waste not, want not</w:t>
      </w:r>
    </w:p>
    <w:p>
      <w:pPr>
        <w:spacing w:before="0" w:after="120"/>
      </w:pPr>
      <w:r>
        <w:rPr>
          <w:b/>
        </w:rPr>
        <w:t xml:space="preserve">Source: </w:t>
      </w:r>
      <w:r>
        <w:t>Nature Chemistry</w:t>
      </w:r>
      <w:r>
        <w:t xml:space="preserve">    </w:t>
      </w:r>
      <w:r>
        <w:rPr>
          <w:b/>
        </w:rPr>
        <w:t xml:space="preserve">Pub date: </w:t>
      </w:r>
      <w:r>
        <w:t>2026-05-07 00:00:00+00:00</w:t>
      </w:r>
      <w:r>
        <w:t xml:space="preserve">    </w:t>
      </w:r>
      <w:r>
        <w:rPr>
          <w:b/>
        </w:rPr>
        <w:t xml:space="preserve">DOI: </w:t>
      </w:r>
      <w:hyperlink r:id="rId945">
        <w:r>
          <w:rPr>
            <w:color w:val="1155CC"/>
            <w:u w:val="single"/>
          </w:rPr>
          <w:t>10.1038/s41557-026-02140-7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[414] </w:t>
      </w:r>
      <w:hyperlink r:id="rId946">
        <w:r>
          <w:rPr>
            <w:color w:val="1155CC"/>
            <w:u w:val="single"/>
          </w:rPr>
          <w:t>OpenAI 正在接受刑事调查——为什么聊天机器人不总是遵循法律</w:t>
        </w:r>
      </w:hyperlink>
    </w:p>
    <w:p>
      <w:pPr>
        <w:spacing w:before="0" w:after="80"/>
      </w:pPr>
      <w:r>
        <w:rPr>
          <w:i/>
          <w:sz w:val="20"/>
        </w:rPr>
        <w:t>EN: OpenAI is under criminal investigation — why chatbots don’t always follow the law</w:t>
      </w:r>
    </w:p>
    <w:p>
      <w:pPr>
        <w:spacing w:before="0" w:after="120"/>
      </w:pPr>
      <w:r>
        <w:rPr>
          <w:b/>
        </w:rPr>
        <w:t xml:space="preserve">Source: </w:t>
      </w:r>
      <w:r>
        <w:t>Nature</w:t>
      </w:r>
      <w:r>
        <w:t xml:space="preserve">    </w:t>
      </w:r>
      <w:r>
        <w:rPr>
          <w:b/>
        </w:rPr>
        <w:t xml:space="preserve">Pub date: </w:t>
      </w:r>
      <w:r>
        <w:t>2026-05-07 00:00:00+00:00</w:t>
      </w:r>
      <w:r>
        <w:t xml:space="preserve">    </w:t>
      </w:r>
      <w:r>
        <w:rPr>
          <w:b/>
        </w:rPr>
        <w:t xml:space="preserve">DOI: </w:t>
      </w:r>
      <w:hyperlink r:id="rId947">
        <w:r>
          <w:rPr>
            <w:color w:val="1155CC"/>
            <w:u w:val="single"/>
          </w:rPr>
          <w:t>10.1038/d41586-026-01405-y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948">
        <w:r>
          <w:rPr>
            <w:color w:val="1155CC"/>
            <w:u w:val="single"/>
          </w:rPr>
          <w:t>我的英语技能影响了我在学术出版中的机会——我该如何提高？</w:t>
        </w:r>
      </w:hyperlink>
    </w:p>
    <w:p>
      <w:pPr>
        <w:spacing w:before="0" w:after="80"/>
      </w:pPr>
      <w:r>
        <w:rPr>
          <w:i/>
          <w:sz w:val="20"/>
        </w:rPr>
        <w:t>EN: My English skills are hurting my chances in academic publishing — how can I improve?</w:t>
      </w:r>
    </w:p>
    <w:p>
      <w:pPr>
        <w:spacing w:before="0" w:after="120"/>
      </w:pPr>
      <w:r>
        <w:rPr>
          <w:b/>
        </w:rPr>
        <w:t xml:space="preserve">Source: </w:t>
      </w:r>
      <w:r>
        <w:t>Nature</w:t>
      </w:r>
      <w:r>
        <w:t xml:space="preserve">    </w:t>
      </w:r>
      <w:r>
        <w:rPr>
          <w:b/>
        </w:rPr>
        <w:t xml:space="preserve">Pub date: </w:t>
      </w:r>
      <w:r>
        <w:t>2026-05-07 00:00:00+00:00</w:t>
      </w:r>
      <w:r>
        <w:t xml:space="preserve">    </w:t>
      </w:r>
      <w:r>
        <w:rPr>
          <w:b/>
        </w:rPr>
        <w:t xml:space="preserve">DOI: </w:t>
      </w:r>
      <w:hyperlink r:id="rId949">
        <w:r>
          <w:rPr>
            <w:color w:val="1155CC"/>
            <w:u w:val="single"/>
          </w:rPr>
          <w:t>10.1038/d41586-026-01350-w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[416] </w:t>
      </w:r>
      <w:hyperlink r:id="rId950">
        <w:r>
          <w:rPr>
            <w:color w:val="1155CC"/>
            <w:u w:val="single"/>
          </w:rPr>
          <w:t>用于钙钛矿太阳能电池和模块的分子模板预组装自组装单分子层，具有改进的反向偏压稳定性</w:t>
        </w:r>
      </w:hyperlink>
    </w:p>
    <w:p>
      <w:pPr>
        <w:spacing w:before="0" w:after="80"/>
      </w:pPr>
      <w:r>
        <w:rPr>
          <w:i/>
          <w:sz w:val="20"/>
        </w:rPr>
        <w:t>EN: Molecular-templated pre-assembly of self-assembled monolayer for perovskite solar cells and modules with improved reverse-bias stability</w:t>
      </w:r>
    </w:p>
    <w:p>
      <w:pPr>
        <w:spacing w:before="0" w:after="120"/>
      </w:pPr>
      <w:r>
        <w:rPr>
          <w:b/>
        </w:rPr>
        <w:t xml:space="preserve">Source: </w:t>
      </w:r>
      <w:r>
        <w:t>Nature Energy</w:t>
      </w:r>
      <w:r>
        <w:t xml:space="preserve">    </w:t>
      </w:r>
      <w:r>
        <w:rPr>
          <w:b/>
        </w:rPr>
        <w:t xml:space="preserve">Pub date: </w:t>
      </w:r>
      <w:r>
        <w:t>2026-05-07 00:00:00+00:00</w:t>
      </w:r>
      <w:r>
        <w:t xml:space="preserve">    </w:t>
      </w:r>
      <w:r>
        <w:rPr>
          <w:b/>
        </w:rPr>
        <w:t xml:space="preserve">DOI: </w:t>
      </w:r>
      <w:hyperlink r:id="rId951">
        <w:r>
          <w:rPr>
            <w:color w:val="1155CC"/>
            <w:u w:val="single"/>
          </w:rPr>
          <w:t>10.1038/s41560-026-02014-9</w:t>
        </w:r>
      </w:hyperlink>
    </w:p>
    <w:p>
      <w:pPr>
        <w:spacing w:before="0" w:after="120"/>
      </w:pPr>
      <w:r>
        <w:rPr>
          <w:b/>
        </w:rPr>
        <w:t xml:space="preserve">Notes: </w:t>
      </w:r>
      <w:r>
        <w:t>abstract_source=nature_html</w:t>
      </w:r>
    </w:p>
    <w:p>
      <w:pPr>
        <w:spacing w:before="0" w:after="80" w:lineRule="auto" w:line="276"/>
      </w:pPr>
      <w:r>
        <w:rPr>
          <w:b/>
        </w:rPr>
        <w:t xml:space="preserve">摘要（ZH）: </w:t>
      </w:r>
      <w:r>
        <w:t>钙钛矿太阳能组件，特别是那些使用超薄自组装单分子层（SAM）基空穴传输层的组件，存在反向偏压不稳定性的问题。在此，我们发现不连续的SAM分布导致分流和较低的击穿电压，而氧化铟锡触发的甲脒离子电化学去质子化导致反向偏压条件下的长期稳定性降低。为了解决这些问题，我们开发了一种分子模板预组装策略，通过SAM与聚咔唑模板之间的氢键相互作用驱动。这种方法确保了溶液中的均匀簇和强基板相互作用，形成致密且均匀的层。随后，我们制备了效率为24.0%的小型模块（认证的稳态效率为23.2%）并改善了反向偏压稳定性。小面积器件在−4.8 V下300小时后保持95%的效率，而小型模块在负开路电压应力下表现出312小时的T98寿命。我们展示了一个旁路二极管可以保护至少16个子电池，为可扩展的钙钛矿光伏设定了新的可靠性基准。</w:t>
      </w:r>
    </w:p>
    <w:p>
      <w:pPr>
        <w:spacing w:before="0" w:after="200" w:lineRule="auto" w:line="276"/>
      </w:pPr>
      <w:r>
        <w:rPr>
          <w:b/>
        </w:rPr>
        <w:t xml:space="preserve">Abstract (EN): </w:t>
      </w:r>
      <w:r>
        <w:t>Perovskite solar modules, particularly those using ultrathin self-assembled monolayer (SAM)-based hole transport layers, suffer from reverse-bias instability. Here we identified that discontinuous SAM distribution causes shunting and a lower breakdown voltage, while indium tin oxide-triggered electrochemical deprotonation of formamidinium ions leads to reduced long-term stability under reverse-bias conditions. To address these issues, we developed a molecular-templated pre-assembly strategy driven by hydrogen-bonding interactions between the SAM and a polycarbazole template. This approach ensures homogeneous clusters in solution and strong substrate interactions, yielding dense and uniform layers. Subsequently, we prepared minimodules with 24.0% efficiency (certified steady-state efficiency of 23.2%) and improved reverse-bias stability. Small-area devices retained 95% efficiency after 300 h at −4.8 V, while minimodules exhibited a T98 lifetime of 312 h under negative open-circuit voltage stress. We showed that a single bypass diode can protect at least 16 subcells, setting a new reliability benchmark for scalable perovskite photovoltaics.</w:t>
      </w:r>
    </w:p>
    <w:p>
      <w:pPr>
        <w:spacing w:before="120" w:after="120"/>
      </w:pPr>
      <w:r>
        <w:rPr>
          <w:sz w:val="18"/>
        </w:rPr>
        <w:t>——————————————————————————————————————————————————————————————————————</w:t>
      </w:r>
    </w:p>
    <w:p>
      <w:pPr>
        <w:spacing w:before="160" w:after="40" w:line="240" w:lineRule="auto"/>
      </w:pPr>
      <w:r>
        <w:rPr>
          <w:b/>
        </w:rPr>
        <w:t xml:space="preserve">[417] </w:t>
      </w:r>
      <w:hyperlink r:id="rId952">
        <w:r>
          <w:rPr>
            <w:color w:val="1155CC"/>
            <w:u w:val="single"/>
          </w:rPr>
          <w:t>光耦合扫描探针显微镜的新纪元</w:t>
        </w:r>
      </w:hyperlink>
    </w:p>
    <w:p>
      <w:pPr>
        <w:spacing w:before="0" w:after="80"/>
      </w:pPr>
      <w:r>
        <w:rPr>
          <w:i/>
          <w:sz w:val="20"/>
        </w:rPr>
        <w:t>EN: A new era for optical-coupled scanning probe microscopy</w:t>
      </w:r>
    </w:p>
    <w:p>
      <w:pPr>
        <w:spacing w:before="0" w:after="120"/>
      </w:pPr>
      <w:r>
        <w:rPr>
          <w:b/>
        </w:rPr>
        <w:t xml:space="preserve">Source: </w:t>
      </w:r>
      <w:r>
        <w:t>National Science Review Advance Access</w:t>
      </w:r>
      <w:r>
        <w:t xml:space="preserve">    </w:t>
      </w:r>
      <w:r>
        <w:rPr>
          <w:b/>
        </w:rPr>
        <w:t xml:space="preserve">Pub date: </w:t>
      </w:r>
      <w:r>
        <w:t>2026-05-07 00:00:00+00:00</w:t>
      </w:r>
      <w:r>
        <w:t xml:space="preserve">    </w:t>
      </w:r>
      <w:r>
        <w:rPr>
          <w:b/>
        </w:rPr>
        <w:t xml:space="preserve">DOI: </w:t>
      </w:r>
      <w:hyperlink r:id="rId953">
        <w:r>
          <w:rPr>
            <w:color w:val="1155CC"/>
            <w:u w:val="single"/>
          </w:rPr>
          <w:t>10.1093/nsr/nwag252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954">
        <w:r>
          <w:rPr>
            <w:color w:val="1155CC"/>
            <w:u w:val="single"/>
          </w:rPr>
          <w:t>光合作用的最佳温度在2000年至2019年陆地碳吸收增加中起次要作用</w:t>
        </w:r>
      </w:hyperlink>
    </w:p>
    <w:p>
      <w:pPr>
        <w:spacing w:before="0" w:after="80"/>
      </w:pPr>
      <w:r>
        <w:rPr>
          <w:i/>
          <w:sz w:val="20"/>
        </w:rPr>
        <w:t>EN: Photosynthetic optimum temperature plays a minor role in the increase of terrestrial carbon uptake from 2000 to 2019</w:t>
      </w:r>
    </w:p>
    <w:p>
      <w:pPr>
        <w:spacing w:before="0" w:after="120"/>
      </w:pPr>
      <w:r>
        <w:rPr>
          <w:b/>
        </w:rPr>
        <w:t xml:space="preserve">Source: </w:t>
      </w:r>
      <w:r>
        <w:t>One Earth</w:t>
      </w:r>
      <w:r>
        <w:t xml:space="preserve">    </w:t>
      </w:r>
      <w:r>
        <w:rPr>
          <w:b/>
        </w:rPr>
        <w:t xml:space="preserve">Pub date: </w:t>
      </w:r>
      <w:r>
        <w:t>2026-05-07 00:00:00+00:00</w:t>
      </w:r>
      <w:r>
        <w:t xml:space="preserve">    </w:t>
      </w:r>
      <w:r>
        <w:rPr>
          <w:b/>
        </w:rPr>
        <w:t xml:space="preserve">DOI: </w:t>
      </w:r>
      <w:hyperlink r:id="rId955">
        <w:r>
          <w:rPr>
            <w:color w:val="1155CC"/>
            <w:u w:val="single"/>
          </w:rPr>
          <w:t>10.1016/j.oneear.2026.101703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[419] </w:t>
      </w:r>
      <w:hyperlink r:id="rId956">
        <w:r>
          <w:rPr>
            <w:color w:val="1155CC"/>
            <w:u w:val="single"/>
          </w:rPr>
          <w:t>早期职业研究人员比资深研究人员做更多“颠覆性”科学</w:t>
        </w:r>
      </w:hyperlink>
    </w:p>
    <w:p>
      <w:pPr>
        <w:spacing w:before="0" w:after="80"/>
      </w:pPr>
      <w:r>
        <w:rPr>
          <w:i/>
          <w:sz w:val="20"/>
        </w:rPr>
        <w:t>EN: Early-career researchers do more ‘disruptive’ science than veterans</w:t>
      </w:r>
    </w:p>
    <w:p>
      <w:pPr>
        <w:spacing w:before="0" w:after="120"/>
      </w:pPr>
      <w:r>
        <w:rPr>
          <w:b/>
        </w:rPr>
        <w:t xml:space="preserve">Source: </w:t>
      </w:r>
      <w:r>
        <w:t>Nature</w:t>
      </w:r>
      <w:r>
        <w:t xml:space="preserve">    </w:t>
      </w:r>
      <w:r>
        <w:rPr>
          <w:b/>
        </w:rPr>
        <w:t xml:space="preserve">Pub date: </w:t>
      </w:r>
      <w:r>
        <w:t>2026-05-07 00:00:00+00:00</w:t>
      </w:r>
      <w:r>
        <w:t xml:space="preserve">    </w:t>
      </w:r>
      <w:r>
        <w:rPr>
          <w:b/>
        </w:rPr>
        <w:t xml:space="preserve">DOI: </w:t>
      </w:r>
      <w:hyperlink r:id="rId957">
        <w:r>
          <w:rPr>
            <w:color w:val="1155CC"/>
            <w:u w:val="single"/>
          </w:rPr>
          <w:t>10.1038/d41586-026-01466-z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[420] </w:t>
      </w:r>
      <w:hyperlink r:id="rId958">
        <w:r>
          <w:rPr>
            <w:color w:val="1155CC"/>
            <w:u w:val="single"/>
          </w:rPr>
          <w:t>在冲突中保护水基础设施</w:t>
        </w:r>
      </w:hyperlink>
    </w:p>
    <w:p>
      <w:pPr>
        <w:spacing w:before="0" w:after="80"/>
      </w:pPr>
      <w:r>
        <w:rPr>
          <w:i/>
          <w:sz w:val="20"/>
        </w:rPr>
        <w:t>EN: Safeguard water infrastructure amid conflict</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59">
        <w:r>
          <w:rPr>
            <w:color w:val="1155CC"/>
            <w:u w:val="single"/>
          </w:rPr>
          <w:t>10.1126/science.aeh5255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960">
        <w:r>
          <w:rPr>
            <w:color w:val="1155CC"/>
            <w:u w:val="single"/>
          </w:rPr>
          <w:t>跨尺度预测火山喷发</w:t>
        </w:r>
      </w:hyperlink>
    </w:p>
    <w:p>
      <w:pPr>
        <w:spacing w:before="0" w:after="80"/>
      </w:pPr>
      <w:r>
        <w:rPr>
          <w:i/>
          <w:sz w:val="20"/>
        </w:rPr>
        <w:t>EN: Forecasting volcanic eruptions across scales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61">
        <w:r>
          <w:rPr>
            <w:color w:val="1155CC"/>
            <w:u w:val="single"/>
          </w:rPr>
          <w:t>10.1126/science.adn6821</w:t>
        </w:r>
      </w:hyperlink>
    </w:p>
    <w:p>
      <w:pPr>
        <w:spacing w:before="0" w:after="120"/>
      </w:pPr>
      <w:r>
        <w:rPr>
          <w:b/>
        </w:rPr>
        <w:t xml:space="preserve">Notes: </w:t>
      </w:r>
      <w:r>
        <w:t>abstract_source=crossref</w:t>
      </w:r>
    </w:p>
    <w:p>
      <w:pPr>
        <w:spacing w:before="0" w:after="80" w:lineRule="auto" w:line="276"/>
      </w:pPr>
      <w:r>
        <w:rPr>
          <w:b/>
        </w:rPr>
        <w:t xml:space="preserve">摘要（ZH）: </w:t>
      </w:r>
      <w:r>
        <w:t>预测未来火山喷发需要更好地理解地壳岩浆储存</w:t>
      </w:r>
    </w:p>
    <w:p>
      <w:pPr>
        <w:spacing w:before="0" w:after="200" w:lineRule="auto" w:line="276"/>
      </w:pPr>
      <w:r>
        <w:rPr>
          <w:b/>
        </w:rPr>
        <w:t xml:space="preserve">Abstract (EN): </w:t>
      </w:r>
      <w:r>
        <w:t>Predicting future volcanic eruptions requires better understanding of crustal magma storage</w:t>
      </w:r>
    </w:p>
    <w:p>
      <w:pPr>
        <w:spacing w:before="120" w:after="120"/>
      </w:pPr>
      <w:r>
        <w:rPr>
          <w:sz w:val="18"/>
        </w:rPr>
        <w:t>——————————————————————————————————————————————————————————————————————</w:t>
      </w:r>
    </w:p>
    <w:p>
      <w:pPr>
        <w:spacing w:before="160" w:after="40" w:line="240" w:lineRule="auto"/>
      </w:pPr>
      <w:r>
        <w:rPr>
          <w:b/>
        </w:rPr>
        <w:t xml:space="preserve">[422] </w:t>
      </w:r>
      <w:hyperlink r:id="rId962">
        <w:r>
          <w:rPr>
            <w:color w:val="1155CC"/>
            <w:u w:val="single"/>
          </w:rPr>
          <w:t>开发口服肽类药物</w:t>
        </w:r>
      </w:hyperlink>
    </w:p>
    <w:p>
      <w:pPr>
        <w:spacing w:before="0" w:after="80"/>
      </w:pPr>
      <w:r>
        <w:rPr>
          <w:i/>
          <w:sz w:val="20"/>
        </w:rPr>
        <w:t>EN: Building an oral peptide drug</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63">
        <w:r>
          <w:rPr>
            <w:color w:val="1155CC"/>
            <w:u w:val="single"/>
          </w:rPr>
          <w:t>10.1126/science.aeh1396</w:t>
        </w:r>
      </w:hyperlink>
    </w:p>
    <w:p>
      <w:pPr>
        <w:spacing w:before="0" w:after="120"/>
      </w:pPr>
      <w:r>
        <w:rPr>
          <w:b/>
        </w:rPr>
        <w:t xml:space="preserve">Notes: </w:t>
      </w:r>
      <w:r>
        <w:t>abstract_source=crossref</w:t>
      </w:r>
    </w:p>
    <w:p>
      <w:pPr>
        <w:spacing w:before="0" w:after="80" w:lineRule="auto" w:line="276"/>
      </w:pPr>
      <w:r>
        <w:rPr>
          <w:b/>
        </w:rPr>
        <w:t xml:space="preserve">摘要（ZH）: </w:t>
      </w:r>
      <w:r>
        <w:t>工程化酶实现高胆固醇病症药物的公斤级合成</w:t>
      </w:r>
    </w:p>
    <w:p>
      <w:pPr>
        <w:spacing w:before="0" w:after="200" w:lineRule="auto" w:line="276"/>
      </w:pPr>
      <w:r>
        <w:rPr>
          <w:b/>
        </w:rPr>
        <w:t xml:space="preserve">Abstract (EN): </w:t>
      </w:r>
      <w:r>
        <w:t>Engineered enzymes enable kilogram-scale synthesis of drug for high-cholesterol conditions</w:t>
      </w:r>
    </w:p>
    <w:p>
      <w:pPr>
        <w:spacing w:before="120" w:after="120"/>
      </w:pPr>
      <w:r>
        <w:rPr>
          <w:sz w:val="18"/>
        </w:rPr>
        <w:t>——————————————————————————————————————————————————————————————————————</w:t>
      </w:r>
    </w:p>
    <w:p>
      <w:pPr>
        <w:spacing w:before="160" w:after="40" w:line="240" w:lineRule="auto"/>
      </w:pPr>
      <w:r>
        <w:rPr>
          <w:b/>
        </w:rPr>
        <w:t xml:space="preserve">[423] </w:t>
      </w:r>
      <w:hyperlink r:id="rId964">
        <w:r>
          <w:rPr>
            <w:color w:val="1155CC"/>
            <w:u w:val="single"/>
          </w:rPr>
          <w:t>向肿瘤传递STING</w:t>
        </w:r>
      </w:hyperlink>
    </w:p>
    <w:p>
      <w:pPr>
        <w:spacing w:before="0" w:after="80"/>
      </w:pPr>
      <w:r>
        <w:rPr>
          <w:i/>
          <w:sz w:val="20"/>
        </w:rPr>
        <w:t>EN: Delivering a STING to tumors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65">
        <w:r>
          <w:rPr>
            <w:color w:val="1155CC"/>
            <w:u w:val="single"/>
          </w:rPr>
          <w:t>10.1126/science.aeh3756</w:t>
        </w:r>
      </w:hyperlink>
    </w:p>
    <w:p>
      <w:pPr>
        <w:spacing w:before="0" w:after="120"/>
      </w:pPr>
      <w:r>
        <w:rPr>
          <w:b/>
        </w:rPr>
        <w:t xml:space="preserve">Notes: </w:t>
      </w:r>
      <w:r>
        <w:t>abstract_source=crossref</w:t>
      </w:r>
    </w:p>
    <w:p>
      <w:pPr>
        <w:spacing w:before="0" w:after="80" w:lineRule="auto" w:line="276"/>
      </w:pPr>
      <w:r>
        <w:rPr>
          <w:b/>
        </w:rPr>
        <w:t xml:space="preserve">摘要（ZH）: </w:t>
      </w:r>
      <w:r>
        <w:t>STING激动剂纳米颗粒在小鼠和兔子中触发强效抗肿瘤免疫反应</w:t>
      </w:r>
    </w:p>
    <w:p>
      <w:pPr>
        <w:spacing w:before="0" w:after="200" w:lineRule="auto" w:line="276"/>
      </w:pPr>
      <w:r>
        <w:rPr>
          <w:b/>
        </w:rPr>
        <w:t xml:space="preserve">Abstract (EN): </w:t>
      </w:r>
      <w:r>
        <w:t>STING agonist nanoparticles trigger potent antitumor immunity in mice and rabbits</w:t>
      </w:r>
    </w:p>
    <w:p>
      <w:pPr>
        <w:spacing w:before="120" w:after="120"/>
      </w:pPr>
      <w:r>
        <w:rPr>
          <w:sz w:val="18"/>
        </w:rPr>
        <w:t>——————————————————————————————————————————————————————————————————————</w:t>
      </w:r>
    </w:p>
    <w:p>
      <w:pPr>
        <w:spacing w:before="160" w:after="40" w:line="240" w:lineRule="auto"/>
      </w:pPr>
      <w:r>
        <w:rPr>
          <w:b/>
        </w:rPr>
        <w:t xml:space="preserve">[424] </w:t>
      </w:r>
      <w:hyperlink r:id="rId966">
        <w:r>
          <w:rPr>
            <w:color w:val="1155CC"/>
            <w:u w:val="single"/>
          </w:rPr>
          <w:t>植物灭绝的未来</w:t>
        </w:r>
      </w:hyperlink>
    </w:p>
    <w:p>
      <w:pPr>
        <w:spacing w:before="0" w:after="80"/>
      </w:pPr>
      <w:r>
        <w:rPr>
          <w:i/>
          <w:sz w:val="20"/>
        </w:rPr>
        <w:t>EN: The future of plant extinction</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67">
        <w:r>
          <w:rPr>
            <w:color w:val="1155CC"/>
            <w:u w:val="single"/>
          </w:rPr>
          <w:t>10.1126/science.aeh2866</w:t>
        </w:r>
      </w:hyperlink>
    </w:p>
    <w:p>
      <w:pPr>
        <w:spacing w:before="0" w:after="120"/>
      </w:pPr>
      <w:r>
        <w:rPr>
          <w:b/>
        </w:rPr>
        <w:t xml:space="preserve">Notes: </w:t>
      </w:r>
      <w:r>
        <w:t>abstract_source=crossref</w:t>
      </w:r>
    </w:p>
    <w:p>
      <w:pPr>
        <w:spacing w:before="0" w:after="80" w:lineRule="auto" w:line="276"/>
      </w:pPr>
      <w:r>
        <w:rPr>
          <w:b/>
        </w:rPr>
        <w:t xml:space="preserve">摘要（ZH）: </w:t>
      </w:r>
      <w:r>
        <w:t>对大型数据集的分析呼吁采取紧急行动以保护植物多样性</w:t>
      </w:r>
    </w:p>
    <w:p>
      <w:pPr>
        <w:spacing w:before="0" w:after="200" w:lineRule="auto" w:line="276"/>
      </w:pPr>
      <w:r>
        <w:rPr>
          <w:b/>
        </w:rPr>
        <w:t xml:space="preserve">Abstract (EN): </w:t>
      </w:r>
      <w:r>
        <w:t>Analyses of large-scale datasets call for urgent action to conserve plant diversity</w:t>
      </w:r>
    </w:p>
    <w:p>
      <w:pPr>
        <w:spacing w:before="120" w:after="120"/>
      </w:pPr>
      <w:r>
        <w:rPr>
          <w:sz w:val="18"/>
        </w:rPr>
        <w:t>——————————————————————————————————————————————————————————————————————</w:t>
      </w:r>
    </w:p>
    <w:p>
      <w:pPr>
        <w:spacing w:before="160" w:after="40" w:line="240" w:lineRule="auto"/>
      </w:pPr>
      <w:r>
        <w:rPr>
          <w:b/>
        </w:rPr>
        <w:t xml:space="preserve">[425] </w:t>
      </w:r>
      <w:hyperlink r:id="rId968">
        <w:r>
          <w:rPr>
            <w:color w:val="1155CC"/>
            <w:u w:val="single"/>
          </w:rPr>
          <w:t>冲突危及中东海洋生物</w:t>
        </w:r>
      </w:hyperlink>
    </w:p>
    <w:p>
      <w:pPr>
        <w:spacing w:before="0" w:after="80"/>
      </w:pPr>
      <w:r>
        <w:rPr>
          <w:i/>
          <w:sz w:val="20"/>
        </w:rPr>
        <w:t>EN: Conflict imperils Middle East marine life</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69">
        <w:r>
          <w:rPr>
            <w:color w:val="1155CC"/>
            <w:u w:val="single"/>
          </w:rPr>
          <w:t>10.1126/science.aeh6024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[426] </w:t>
      </w:r>
      <w:hyperlink r:id="rId970">
        <w:r>
          <w:rPr>
            <w:color w:val="1155CC"/>
            <w:u w:val="single"/>
          </w:rPr>
          <w:t>信仰的飞跃</w:t>
        </w:r>
      </w:hyperlink>
    </w:p>
    <w:p>
      <w:pPr>
        <w:spacing w:before="0" w:after="80"/>
      </w:pPr>
      <w:r>
        <w:rPr>
          <w:i/>
          <w:sz w:val="20"/>
        </w:rPr>
        <w:t>EN: Leap of faith</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71">
        <w:r>
          <w:rPr>
            <w:color w:val="1155CC"/>
            <w:u w:val="single"/>
          </w:rPr>
          <w:t>10.1126/science.aei5886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972">
        <w:r>
          <w:rPr>
            <w:color w:val="1155CC"/>
            <w:u w:val="single"/>
          </w:rPr>
          <w:t>鱼的力量</w:t>
        </w:r>
      </w:hyperlink>
    </w:p>
    <w:p>
      <w:pPr>
        <w:spacing w:before="0" w:after="80"/>
      </w:pPr>
      <w:r>
        <w:rPr>
          <w:i/>
          <w:sz w:val="20"/>
        </w:rPr>
        <w:t>EN: The power of a fish</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73">
        <w:r>
          <w:rPr>
            <w:color w:val="1155CC"/>
            <w:u w:val="single"/>
          </w:rPr>
          <w:t>10.1126/science.aei6149</w:t>
        </w:r>
      </w:hyperlink>
    </w:p>
    <w:p>
      <w:pPr>
        <w:spacing w:before="0" w:after="120"/>
      </w:pPr>
      <w:r>
        <w:rPr>
          <w:b/>
        </w:rPr>
        <w:t xml:space="preserve">Notes: </w:t>
      </w:r>
      <w:r>
        <w:t>abstract_source=crossref</w:t>
      </w:r>
    </w:p>
    <w:p>
      <w:pPr>
        <w:spacing w:before="0" w:after="80" w:lineRule="auto" w:line="276"/>
      </w:pPr>
      <w:r>
        <w:rPr>
          <w:b/>
        </w:rPr>
        <w:t xml:space="preserve">摘要（ZH）: </w:t>
      </w:r>
      <w:r>
        <w:t>在亚马逊的偏远地区，科学家们正在与村庄合作，以保护生态系统，同时促进经济发展</w:t>
      </w:r>
    </w:p>
    <w:p>
      <w:pPr>
        <w:spacing w:before="0" w:after="200" w:lineRule="auto" w:line="276"/>
      </w:pPr>
      <w:r>
        <w:rPr>
          <w:b/>
        </w:rPr>
        <w:t xml:space="preserve">Abstract (EN): </w:t>
      </w:r>
      <w:r>
        <w:t>In the remote reaches of the Amazon, scientists are working with villages to protect an ecosystem while boosting the economy</w:t>
      </w:r>
    </w:p>
    <w:p>
      <w:pPr>
        <w:spacing w:before="120" w:after="120"/>
      </w:pPr>
      <w:r>
        <w:rPr>
          <w:sz w:val="18"/>
        </w:rPr>
        <w:t>——————————————————————————————————————————————————————————————————————</w:t>
      </w:r>
    </w:p>
    <w:p>
      <w:pPr>
        <w:spacing w:before="160" w:after="40" w:line="240" w:lineRule="auto"/>
      </w:pPr>
      <w:r>
        <w:rPr>
          <w:b/>
        </w:rPr>
        <w:t xml:space="preserve">[428] </w:t>
      </w:r>
      <w:hyperlink r:id="rId974">
        <w:r>
          <w:rPr>
            <w:color w:val="1155CC"/>
            <w:u w:val="single"/>
          </w:rPr>
          <w:t>深地地图指向失落的美国大陆</w:t>
        </w:r>
      </w:hyperlink>
    </w:p>
    <w:p>
      <w:pPr>
        <w:spacing w:before="0" w:after="80"/>
      </w:pPr>
      <w:r>
        <w:rPr>
          <w:i/>
          <w:sz w:val="20"/>
        </w:rPr>
        <w:t>EN: Deep-Earth map points to a lost U.S. continent</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75">
        <w:r>
          <w:rPr>
            <w:color w:val="1155CC"/>
            <w:u w:val="single"/>
          </w:rPr>
          <w:t>10.1126/science.aei6150</w:t>
        </w:r>
      </w:hyperlink>
    </w:p>
    <w:p>
      <w:pPr>
        <w:spacing w:before="0" w:after="120"/>
      </w:pPr>
      <w:r>
        <w:rPr>
          <w:b/>
        </w:rPr>
        <w:t xml:space="preserve">Notes: </w:t>
      </w:r>
      <w:r>
        <w:t>abstract_source=crossref</w:t>
      </w:r>
    </w:p>
    <w:p>
      <w:pPr>
        <w:spacing w:before="0" w:after="80" w:lineRule="auto" w:line="276"/>
      </w:pPr>
      <w:r>
        <w:rPr>
          <w:b/>
        </w:rPr>
        <w:t xml:space="preserve">摘要（ZH）: </w:t>
      </w:r>
      <w:r>
        <w:t>传感器阵列追踪岩石如何导电，揭示矿产资源、可放大太阳风暴的地壳以及古大陆的碎片</w:t>
      </w:r>
    </w:p>
    <w:p>
      <w:pPr>
        <w:spacing w:before="0" w:after="200" w:lineRule="auto" w:line="276"/>
      </w:pPr>
      <w:r>
        <w:rPr>
          <w:b/>
        </w:rPr>
        <w:t xml:space="preserve">Abstract (EN): </w:t>
      </w:r>
      <w:r>
        <w:t>Sensor array traces how rocks conduct electricity, revealing mineral riches, crust that can amplify solar storms, and fragments of ancient landmasses</w:t>
      </w:r>
    </w:p>
    <w:p>
      <w:pPr>
        <w:spacing w:before="120" w:after="120"/>
      </w:pPr>
      <w:r>
        <w:rPr>
          <w:sz w:val="18"/>
        </w:rPr>
        <w:t>——————————————————————————————————————————————————————————————————————</w:t>
      </w:r>
    </w:p>
    <w:p>
      <w:pPr>
        <w:spacing w:before="160" w:after="40" w:line="240" w:lineRule="auto"/>
      </w:pPr>
      <w:r>
        <w:rPr>
          <w:b/>
        </w:rPr>
        <w:t xml:space="preserve">[429] </w:t>
      </w:r>
      <w:hyperlink r:id="rId976">
        <w:r>
          <w:rPr>
            <w:color w:val="1155CC"/>
            <w:u w:val="single"/>
          </w:rPr>
          <w:t>撤回疫苗研究后，CDC领导呼吁创办新期刊</w:t>
        </w:r>
      </w:hyperlink>
    </w:p>
    <w:p>
      <w:pPr>
        <w:spacing w:before="0" w:after="80"/>
      </w:pPr>
      <w:r>
        <w:rPr>
          <w:i/>
          <w:sz w:val="20"/>
        </w:rPr>
        <w:t>EN: After pulling vaccine study, CDC leader calls for new journal</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77">
        <w:r>
          <w:rPr>
            <w:color w:val="1155CC"/>
            <w:u w:val="single"/>
          </w:rPr>
          <w:t>10.1126/science.aei6151</w:t>
        </w:r>
      </w:hyperlink>
    </w:p>
    <w:p>
      <w:pPr>
        <w:spacing w:before="0" w:after="120"/>
      </w:pPr>
      <w:r>
        <w:rPr>
          <w:b/>
        </w:rPr>
        <w:t xml:space="preserve">Notes: </w:t>
      </w:r>
      <w:r>
        <w:t>abstract_source=crossref</w:t>
      </w:r>
    </w:p>
    <w:p>
      <w:pPr>
        <w:spacing w:before="0" w:after="80" w:lineRule="auto" w:line="276"/>
      </w:pPr>
      <w:r>
        <w:rPr>
          <w:b/>
        </w:rPr>
        <w:t xml:space="preserve">摘要（ZH）: </w:t>
      </w:r>
      <w:r>
        <w:t>Jay Bhattacharya与流行病学家就广泛使用的设计发生冲突</w:t>
      </w:r>
    </w:p>
    <w:p>
      <w:pPr>
        <w:spacing w:before="0" w:after="200" w:lineRule="auto" w:line="276"/>
      </w:pPr>
      <w:r>
        <w:rPr>
          <w:b/>
        </w:rPr>
        <w:t xml:space="preserve">Abstract (EN): </w:t>
      </w:r>
      <w:r>
        <w:t>Jay Bhattacharya clashes with epidemiologists over widely used design</w:t>
      </w:r>
    </w:p>
    <w:p>
      <w:pPr>
        <w:spacing w:before="120" w:after="120"/>
      </w:pPr>
      <w:r>
        <w:rPr>
          <w:sz w:val="18"/>
        </w:rPr>
        <w:t>——————————————————————————————————————————————————————————————————————</w:t>
      </w:r>
    </w:p>
    <w:p>
      <w:pPr>
        <w:spacing w:before="160" w:after="40" w:line="240" w:lineRule="auto"/>
      </w:pPr>
      <w:r>
        <w:rPr>
          <w:b/>
        </w:rPr>
        <w:t xml:space="preserve">[430] </w:t>
      </w:r>
      <w:hyperlink r:id="rId978">
        <w:r>
          <w:rPr>
            <w:color w:val="1155CC"/>
            <w:u w:val="single"/>
          </w:rPr>
          <w:t>中东海水淡化的脆弱性</w:t>
        </w:r>
      </w:hyperlink>
    </w:p>
    <w:p>
      <w:pPr>
        <w:spacing w:before="0" w:after="80"/>
      </w:pPr>
      <w:r>
        <w:rPr>
          <w:i/>
          <w:sz w:val="20"/>
        </w:rPr>
        <w:t>EN: The vulnerability of Middle East desalination</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79">
        <w:r>
          <w:rPr>
            <w:color w:val="1155CC"/>
            <w:u w:val="single"/>
          </w:rPr>
          <w:t>10.1126/science.aeh1136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980">
        <w:r>
          <w:rPr>
            <w:color w:val="1155CC"/>
            <w:u w:val="single"/>
          </w:rPr>
          <w:t>AI科学家代理违反研究诚信规则</w:t>
        </w:r>
      </w:hyperlink>
    </w:p>
    <w:p>
      <w:pPr>
        <w:spacing w:before="0" w:after="80"/>
      </w:pPr>
      <w:r>
        <w:rPr>
          <w:i/>
          <w:sz w:val="20"/>
        </w:rPr>
        <w:t>EN: AI scientist agents violate research integrity rules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81">
        <w:r>
          <w:rPr>
            <w:color w:val="1155CC"/>
            <w:u w:val="single"/>
          </w:rPr>
          <w:t>10.1126/science.aei6154</w:t>
        </w:r>
      </w:hyperlink>
    </w:p>
    <w:p>
      <w:pPr>
        <w:spacing w:before="0" w:after="120"/>
      </w:pPr>
      <w:r>
        <w:rPr>
          <w:b/>
        </w:rPr>
        <w:t xml:space="preserve">Notes: </w:t>
      </w:r>
      <w:r>
        <w:t>abstract_source=crossref</w:t>
      </w:r>
    </w:p>
    <w:p>
      <w:pPr>
        <w:spacing w:before="0" w:after="80" w:lineRule="auto" w:line="276"/>
      </w:pPr>
      <w:r>
        <w:rPr>
          <w:b/>
        </w:rPr>
        <w:t xml:space="preserve">摘要（ZH）: </w:t>
      </w:r>
      <w:r>
        <w:t>高级AI系统被证明会编造数据并“p-hack”其结果</w:t>
      </w:r>
    </w:p>
    <w:p>
      <w:pPr>
        <w:spacing w:before="0" w:after="200" w:lineRule="auto" w:line="276"/>
      </w:pPr>
      <w:r>
        <w:rPr>
          <w:b/>
        </w:rPr>
        <w:t xml:space="preserve">Abstract (EN): </w:t>
      </w:r>
      <w:r>
        <w:t>Advanced AI systems are shown to make up data and “p-hack” their results</w:t>
      </w:r>
    </w:p>
    <w:p>
      <w:pPr>
        <w:spacing w:before="120" w:after="120"/>
      </w:pPr>
      <w:r>
        <w:rPr>
          <w:sz w:val="18"/>
        </w:rPr>
        <w:t>——————————————————————————————————————————————————————————————————————</w:t>
      </w:r>
    </w:p>
    <w:p>
      <w:pPr>
        <w:spacing w:before="160" w:after="40" w:line="240" w:lineRule="auto"/>
      </w:pPr>
      <w:r>
        <w:rPr>
          <w:b/>
        </w:rPr>
        <w:t xml:space="preserve">[432] </w:t>
      </w:r>
      <w:hyperlink r:id="rId982">
        <w:r>
          <w:rPr>
            <w:color w:val="1155CC"/>
            <w:u w:val="single"/>
          </w:rPr>
          <w:t>福奇助手因记录违规被捕被批评为政治行为</w:t>
        </w:r>
      </w:hyperlink>
    </w:p>
    <w:p>
      <w:pPr>
        <w:spacing w:before="0" w:after="80"/>
      </w:pPr>
      <w:r>
        <w:rPr>
          <w:i/>
          <w:sz w:val="20"/>
        </w:rPr>
        <w:t>EN: Arrest of Fauci aide for records violations decried as political</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83">
        <w:r>
          <w:rPr>
            <w:color w:val="1155CC"/>
            <w:u w:val="single"/>
          </w:rPr>
          <w:t>10.1126/science.aei6152</w:t>
        </w:r>
      </w:hyperlink>
    </w:p>
    <w:p>
      <w:pPr>
        <w:spacing w:before="0" w:after="120"/>
      </w:pPr>
      <w:r>
        <w:rPr>
          <w:b/>
        </w:rPr>
        <w:t xml:space="preserve">Notes: </w:t>
      </w:r>
      <w:r>
        <w:t>abstract_source=crossref</w:t>
      </w:r>
    </w:p>
    <w:p>
      <w:pPr>
        <w:spacing w:before="0" w:after="80" w:lineRule="auto" w:line="276"/>
      </w:pPr>
      <w:r>
        <w:rPr>
          <w:b/>
        </w:rPr>
        <w:t xml:space="preserve">摘要（ZH）: </w:t>
      </w:r>
      <w:r>
        <w:t>David Morens的指控集中在他对资助中国研究的非营利组织的帮助上，该研究被指责为大流行的原因</w:t>
      </w:r>
    </w:p>
    <w:p>
      <w:pPr>
        <w:spacing w:before="0" w:after="200" w:lineRule="auto" w:line="276"/>
      </w:pPr>
      <w:r>
        <w:rPr>
          <w:b/>
        </w:rPr>
        <w:t xml:space="preserve">Abstract (EN): </w:t>
      </w:r>
      <w:r>
        <w:t>David Morens’s indictment centers on help he gave nonprofit that funded China research blamed for pandemic</w:t>
      </w:r>
    </w:p>
    <w:p>
      <w:pPr>
        <w:spacing w:before="120" w:after="120"/>
      </w:pPr>
      <w:r>
        <w:rPr>
          <w:sz w:val="18"/>
        </w:rPr>
        <w:t>——————————————————————————————————————————————————————————————————————</w:t>
      </w:r>
    </w:p>
    <w:p>
      <w:pPr>
        <w:spacing w:before="160" w:after="40" w:line="240" w:lineRule="auto"/>
      </w:pPr>
      <w:r>
        <w:rPr>
          <w:b/>
        </w:rPr>
        <w:t xml:space="preserve">[433] </w:t>
      </w:r>
      <w:hyperlink r:id="rId984">
        <w:r>
          <w:rPr>
            <w:color w:val="1155CC"/>
            <w:u w:val="single"/>
          </w:rPr>
          <w:t>将它们埋在官僚主义中</w:t>
        </w:r>
      </w:hyperlink>
    </w:p>
    <w:p>
      <w:pPr>
        <w:spacing w:before="0" w:after="80"/>
      </w:pPr>
      <w:r>
        <w:rPr>
          <w:i/>
          <w:sz w:val="20"/>
        </w:rPr>
        <w:t>EN: Bury them in bureaucracy</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85">
        <w:r>
          <w:rPr>
            <w:color w:val="1155CC"/>
            <w:u w:val="single"/>
          </w:rPr>
          <w:t>10.1126/science.aeg6282</w:t>
        </w:r>
      </w:hyperlink>
    </w:p>
    <w:p>
      <w:pPr>
        <w:spacing w:before="0" w:after="120"/>
      </w:pPr>
      <w:r>
        <w:rPr>
          <w:b/>
        </w:rPr>
        <w:t xml:space="preserve">Notes: </w:t>
      </w:r>
      <w:r>
        <w:t>abstract_source=crossref</w:t>
      </w:r>
    </w:p>
    <w:p>
      <w:pPr>
        <w:spacing w:before="0" w:after="80" w:lineRule="auto" w:line="276"/>
      </w:pPr>
      <w:r>
        <w:rPr>
          <w:b/>
        </w:rPr>
        <w:t xml:space="preserve">摘要（ZH）: </w:t>
      </w:r>
      <w:r>
        <w:t>两位历史学家认为，土著对西班牙殖民者的挑战以深刻的方式塑造了拉丁美洲</w:t>
      </w:r>
    </w:p>
    <w:p>
      <w:pPr>
        <w:spacing w:before="0" w:after="200" w:lineRule="auto" w:line="276"/>
      </w:pPr>
      <w:r>
        <w:rPr>
          <w:b/>
        </w:rPr>
        <w:t xml:space="preserve">Abstract (EN): </w:t>
      </w:r>
      <w:r>
        <w:t>Indigenous challenges to Spanish colonizers shaped Latin America in profound ways, argue two historians</w:t>
      </w:r>
    </w:p>
    <w:p>
      <w:pPr>
        <w:spacing w:before="120" w:after="120"/>
      </w:pPr>
      <w:r>
        <w:rPr>
          <w:sz w:val="18"/>
        </w:rPr>
        <w:t>——————————————————————————————————————————————————————————————————————</w:t>
      </w:r>
    </w:p>
    <w:p>
      <w:pPr>
        <w:spacing w:before="160" w:after="40" w:line="240" w:lineRule="auto"/>
      </w:pPr>
      <w:r>
        <w:rPr>
          <w:b/>
        </w:rPr>
        <w:t xml:space="preserve">[434] </w:t>
      </w:r>
      <w:hyperlink r:id="rId986">
        <w:r>
          <w:rPr>
            <w:color w:val="1155CC"/>
            <w:u w:val="single"/>
          </w:rPr>
          <w:t>神经形态离子计算的知识空白</w:t>
        </w:r>
      </w:hyperlink>
    </w:p>
    <w:p>
      <w:pPr>
        <w:spacing w:before="0" w:after="80"/>
      </w:pPr>
      <w:r>
        <w:rPr>
          <w:i/>
          <w:sz w:val="20"/>
        </w:rPr>
        <w:t>EN: Knowledge gaps for neuromorphic ionic computing</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87">
        <w:r>
          <w:rPr>
            <w:color w:val="1155CC"/>
            <w:u w:val="single"/>
          </w:rPr>
          <w:t>10.1126/science.aea2097</w:t>
        </w:r>
      </w:hyperlink>
    </w:p>
    <w:p>
      <w:pPr>
        <w:spacing w:before="0" w:after="120"/>
      </w:pPr>
      <w:r>
        <w:rPr>
          <w:b/>
        </w:rPr>
        <w:t xml:space="preserve">Notes: </w:t>
      </w:r>
      <w:r>
        <w:t>abstract_source=crossref</w:t>
      </w:r>
    </w:p>
    <w:p>
      <w:pPr>
        <w:spacing w:before="0" w:after="80" w:lineRule="auto" w:line="276"/>
      </w:pPr>
      <w:r>
        <w:rPr>
          <w:b/>
        </w:rPr>
        <w:t xml:space="preserve">摘要（ZH）: </w:t>
      </w:r>
      <w:r>
        <w:t>神经形态离子计算受到大脑使用离子进行超低能量计算的启发——其大规模并行性、适应性和学习能力。这一新兴范式可以通过实现内存和处理的共址、多载体信息流以及大规模三维连接来克服传统硅基计算的局限性。然而，在理解和工程离子传输、能量耗散、材料设计和可扩展设备架构方面仍存在重大知识空白。本综述探讨了这七个关键领域的关键挑战，强调了对新理论方法、材料、设备概念和制造策略的需求。我们认为，推进离子神经形态系统需要一种跨学科的方法，整合生物学和神经科学、纳米流体学、材料科学和系统工程的见解，以实现新一类节能、稳健和可重构的计算技术。</w:t>
      </w:r>
    </w:p>
    <w:p>
      <w:pPr>
        <w:spacing w:before="0" w:after="200" w:lineRule="auto" w:line="276"/>
      </w:pPr>
      <w:r>
        <w:rPr>
          <w:b/>
        </w:rPr>
        <w:t xml:space="preserve">Abstract (EN): </w:t>
      </w:r>
      <w:r>
        <w:t>Neuromorphic ionic computing is inspired by the brain’s use of ions for ultralow-energy computation—its massive parallelism, adaptability, and learning capabilities. This emerging paradigm can overcome limitations of conventional silicon-based computing by enabling colocated memory and processing, multicarrier information streams, and massive three-dimensional connectivity. However, substantial knowledge gaps remain in understanding and engineering ionic transport, energy dissipation, materials design, and scalable device architectures. This Review explores these critical challenges across seven key domains, highlighting the need for new theoretical approaches, materials, device concepts, and fabrication strategies. We argue that advancing ionic neuromorphic systems requires an interdisciplinary approach, integrating insights from biology and neuroscience, nanofluidics, materials science, and systems engineering to enable a new class of energy-efficient, robust, and reconfigurable computing technologies.</w:t>
      </w:r>
    </w:p>
    <w:p>
      <w:pPr>
        <w:spacing w:before="120" w:after="120"/>
      </w:pPr>
      <w:r>
        <w:rPr>
          <w:sz w:val="18"/>
        </w:rPr>
        <w:t>——————————————————————————————————————————————————————————————————————</w:t>
      </w:r>
    </w:p>
    <w:p>
      <w:pPr>
        <w:spacing w:before="160" w:after="40" w:line="240" w:lineRule="auto"/>
      </w:pPr>
      <w:r>
        <w:rPr>
          <w:b/>
        </w:rPr>
        <w:t xml:space="preserve">[435] </w:t>
      </w:r>
      <w:hyperlink r:id="rId988">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89">
        <w:r>
          <w:rPr>
            <w:color w:val="1155CC"/>
            <w:u w:val="single"/>
          </w:rPr>
          <w:t>10.1126/science.aei5885</w:t>
        </w:r>
      </w:hyperlink>
    </w:p>
    <w:p>
      <w:pPr>
        <w:spacing w:before="0" w:after="120"/>
      </w:pPr>
      <w:r>
        <w:rPr>
          <w:b/>
        </w:rPr>
        <w:t xml:space="preserve">Notes: </w:t>
      </w:r>
      <w:r>
        <w:t>abstract_source=crossref</w:t>
      </w:r>
    </w:p>
    <w:p>
      <w:pPr>
        <w:spacing w:before="0" w:after="80" w:lineRule="auto" w:line="276"/>
      </w:pPr>
      <w:r>
        <w:rPr>
          <w:b/>
        </w:rPr>
        <w:t xml:space="preserve">摘要（ZH）: </w:t>
      </w:r>
      <w:r>
        <w:t>编辑从当前科学文献中精选的文章</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[436] </w:t>
      </w:r>
      <w:hyperlink r:id="rId990">
        <w:r>
          <w:rPr>
            <w:color w:val="1155CC"/>
            <w:u w:val="single"/>
          </w:rPr>
          <w:t>老龄化与科学创新的缩减</w:t>
        </w:r>
      </w:hyperlink>
    </w:p>
    <w:p>
      <w:pPr>
        <w:spacing w:before="0" w:after="80"/>
      </w:pPr>
      <w:r>
        <w:rPr>
          <w:i/>
          <w:sz w:val="20"/>
        </w:rPr>
        <w:t>EN: Aging and the narrowing of scientific innovation</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91">
        <w:r>
          <w:rPr>
            <w:color w:val="1155CC"/>
            <w:u w:val="single"/>
          </w:rPr>
          <w:t>10.1126/science.ady8732</w:t>
        </w:r>
      </w:hyperlink>
    </w:p>
    <w:p>
      <w:pPr>
        <w:spacing w:before="0" w:after="120"/>
      </w:pPr>
      <w:r>
        <w:rPr>
          <w:b/>
        </w:rPr>
        <w:t xml:space="preserve">Notes: </w:t>
      </w:r>
      <w:r>
        <w:t>abstract_source=crossref</w:t>
      </w:r>
    </w:p>
    <w:p>
      <w:pPr>
        <w:spacing w:before="0" w:after="80" w:lineRule="auto" w:line="276"/>
      </w:pPr>
      <w:r>
        <w:rPr>
          <w:b/>
        </w:rPr>
        <w:t xml:space="preserve">摘要（ZH）: </w:t>
      </w:r>
      <w:r>
        <w:t>老龄化研究人员和取消退休政策导致科学中的颠覆性创新减少</w:t>
      </w:r>
    </w:p>
    <w:p>
      <w:pPr>
        <w:spacing w:before="0" w:after="200" w:lineRule="auto" w:line="276"/>
      </w:pPr>
      <w:r>
        <w:rPr>
          <w:b/>
        </w:rPr>
        <w:t xml:space="preserve">Abstract (EN): </w:t>
      </w:r>
      <w:r>
        <w:t>Aging researchers and the removal of retirement policies yield decreased disruptive innovation in science</w:t>
      </w:r>
    </w:p>
    <w:p>
      <w:pPr>
        <w:spacing w:before="120" w:after="120"/>
      </w:pPr>
      <w:r>
        <w:rPr>
          <w:sz w:val="18"/>
        </w:rPr>
        <w:t>——————————————————————————————————————————————————————————————————————</w:t>
      </w:r>
    </w:p>
    <w:p>
      <w:pPr>
        <w:spacing w:before="160" w:after="40" w:line="240" w:lineRule="auto"/>
      </w:pPr>
      <w:r>
        <w:rPr>
          <w:b/>
        </w:rPr>
        <w:t xml:space="preserve">[437] </w:t>
      </w:r>
      <w:hyperlink r:id="rId992">
        <w:r>
          <w:rPr>
            <w:color w:val="1155CC"/>
            <w:u w:val="single"/>
          </w:rPr>
          <w:t>从蒂姆·斯奈德那里学到的抵抗经验</w:t>
        </w:r>
      </w:hyperlink>
    </w:p>
    <w:p>
      <w:pPr>
        <w:spacing w:before="0" w:after="80"/>
      </w:pPr>
      <w:r>
        <w:rPr>
          <w:i/>
          <w:sz w:val="20"/>
        </w:rPr>
        <w:t>EN: Lessons in resistance from Tim Snyder</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93">
        <w:r>
          <w:rPr>
            <w:color w:val="1155CC"/>
            <w:u w:val="single"/>
          </w:rPr>
          <w:t>10.1126/science.aei5187</w:t>
        </w:r>
      </w:hyperlink>
    </w:p>
    <w:p>
      <w:pPr>
        <w:spacing w:before="0" w:after="120"/>
      </w:pPr>
      <w:r>
        <w:rPr>
          <w:b/>
        </w:rPr>
        <w:t xml:space="preserve">Notes: </w:t>
      </w:r>
      <w:r>
        <w:t>abstract_source=crossref</w:t>
      </w:r>
    </w:p>
    <w:p>
      <w:pPr>
        <w:spacing w:before="0" w:after="80" w:lineRule="auto" w:line="276"/>
      </w:pPr>
      <w:r>
        <w:rPr>
          <w:b/>
        </w:rPr>
        <w:t xml:space="preserve">摘要（ZH）: </w:t>
      </w:r>
      <w:r>
        <w:t>联邦拨款取消、对外国科学家的移民限制以及试图削减科学资助机构预算60%——过去18个月对美国科学界来说是动荡的。即使在国会恢复预算之后，科学界领导人的成功游说之后，大学仍然受到拨款缓慢分配的阻碍。同时，特朗普政府对科学的持续攻击和带来的不确定性使许多科学家对美国科学事业的未来感到恐惧和焦虑，或者至少对接连不断的失败和胜利感到眩晕。同样令人紧张的是科学界对最佳行动方案的不同看法。</w:t>
      </w:r>
    </w:p>
    <w:p>
      <w:pPr>
        <w:spacing w:before="0" w:after="200" w:lineRule="auto" w:line="276"/>
      </w:pPr>
      <w:r>
        <w:rPr>
          <w:b/>
        </w:rPr>
        <w:t xml:space="preserve">Abstract (EN): </w:t>
      </w:r>
      <w:r>
        <w:t>Federal grant cancellations, restrictions on immigration for foreign scientists, and attempts to cut the budgets of science funding agencies by 60%—the past 18 months have been tumultuous for American science. Even after Congress restored the budgets, following the successful lobbying by leaders of the scientific community, universities are still hampered by the slow dispersal of the appropriated funds. Meanwhile, the continual attacks on science and the uncertainty brought on by the Trump administration have put many scientists in a state of fear and anxiety about the future of the American scientific enterprise, or at the very least, whiplash over the dizzying pace of defeats and victories. Equally nerve-wracking are the differing perspectives across the scientific community on the best course of action.</w:t>
      </w:r>
    </w:p>
    <w:p>
      <w:pPr>
        <w:spacing w:before="120" w:after="120"/>
      </w:pPr>
      <w:r>
        <w:rPr>
          <w:sz w:val="18"/>
        </w:rPr>
        <w:t>——————————————————————————————————————————————————————————————————————</w:t>
      </w:r>
    </w:p>
    <w:p>
      <w:pPr>
        <w:spacing w:before="160" w:after="40" w:line="240" w:lineRule="auto"/>
      </w:pPr>
      <w:r>
        <w:rPr>
          <w:b/>
        </w:rPr>
        <w:t xml:space="preserve">[438] </w:t>
      </w:r>
      <w:hyperlink r:id="rId994">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95">
        <w:r>
          <w:rPr>
            <w:color w:val="1155CC"/>
            <w:u w:val="single"/>
          </w:rPr>
          <w:t>10.1126/science.aei5883</w:t>
        </w:r>
      </w:hyperlink>
    </w:p>
    <w:p>
      <w:pPr>
        <w:spacing w:before="0" w:after="120"/>
      </w:pPr>
      <w:r>
        <w:rPr>
          <w:b/>
        </w:rPr>
        <w:t xml:space="preserve">Notes: </w:t>
      </w:r>
      <w:r>
        <w:t>abstract_source=crossref</w:t>
      </w:r>
    </w:p>
    <w:p>
      <w:pPr>
        <w:spacing w:before="0" w:after="80" w:lineRule="auto" w:line="276"/>
      </w:pPr>
      <w:r>
        <w:rPr>
          <w:b/>
        </w:rPr>
        <w:t xml:space="preserve">摘要（ZH）: </w:t>
      </w:r>
      <w:r>
        <w:t>《科学》期刊家族的亮点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[439] </w:t>
      </w:r>
      <w:hyperlink r:id="rId996">
        <w:r>
          <w:rPr>
            <w:color w:val="1155CC"/>
            <w:u w:val="single"/>
          </w:rPr>
          <w:t>混乱的鲸鱼救援震惊海洋生物学家</w:t>
        </w:r>
      </w:hyperlink>
    </w:p>
    <w:p>
      <w:pPr>
        <w:spacing w:before="0" w:after="80"/>
      </w:pPr>
      <w:r>
        <w:rPr>
          <w:i/>
          <w:sz w:val="20"/>
        </w:rPr>
        <w:t>EN: Chaotic whale rescue shocks marine biologists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97">
        <w:r>
          <w:rPr>
            <w:color w:val="1155CC"/>
            <w:u w:val="single"/>
          </w:rPr>
          <w:t>10.1126/science.aei6153</w:t>
        </w:r>
      </w:hyperlink>
    </w:p>
    <w:p>
      <w:pPr>
        <w:spacing w:before="0" w:after="120"/>
      </w:pPr>
      <w:r>
        <w:rPr>
          <w:b/>
        </w:rPr>
        <w:t xml:space="preserve">Notes: </w:t>
      </w:r>
      <w:r>
        <w:t>abstract_source=crossref</w:t>
      </w:r>
    </w:p>
    <w:p>
      <w:pPr>
        <w:spacing w:before="0" w:after="80" w:lineRule="auto" w:line="276"/>
      </w:pPr>
      <w:r>
        <w:rPr>
          <w:b/>
        </w:rPr>
        <w:t xml:space="preserve">摘要（ZH）: </w:t>
      </w:r>
      <w:r>
        <w:t>蒂米，一只6周前在德国搁浅的座头鲸，在媒体的强烈抗议下被释放。但这只鲸鱼健康状况不佳，可能已经死亡</w:t>
      </w:r>
    </w:p>
    <w:p>
      <w:pPr>
        <w:spacing w:before="0" w:after="200" w:lineRule="auto" w:line="276"/>
      </w:pPr>
      <w:r>
        <w:rPr>
          <w:b/>
        </w:rPr>
        <w:t xml:space="preserve">Abstract (EN): </w:t>
      </w:r>
      <w:r>
        <w:t>Timmy, a humpback stranded in Germany 6 weeks ago, was freed after a media outcry. But the whale was in poor health and may already be dead</w:t>
      </w:r>
    </w:p>
    <w:p>
      <w:pPr>
        <w:spacing w:before="120" w:after="120"/>
      </w:pPr>
      <w:r>
        <w:rPr>
          <w:sz w:val="18"/>
        </w:rPr>
        <w:t>——————————————————————————————————————————————————————————————————————</w:t>
      </w:r>
    </w:p>
    <w:p>
      <w:pPr>
        <w:spacing w:before="160" w:after="40" w:line="240" w:lineRule="auto"/>
      </w:pPr>
      <w:r>
        <w:rPr>
          <w:b/>
        </w:rPr>
        <w:t xml:space="preserve">[440] </w:t>
      </w:r>
      <w:hyperlink r:id="rId998">
        <w:r>
          <w:rPr>
            <w:color w:val="1155CC"/>
            <w:u w:val="single"/>
          </w:rPr>
          <w:t>气候引起的范围转移支持当地植物多样性但不降低灭绝风险</w:t>
        </w:r>
      </w:hyperlink>
    </w:p>
    <w:p>
      <w:pPr>
        <w:spacing w:before="0" w:after="80"/>
      </w:pPr>
      <w:r>
        <w:rPr>
          <w:i/>
          <w:sz w:val="20"/>
        </w:rPr>
        <w:t>EN: Climate-induced range shifts support local plant diversity but don’t reduce extinction risk</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999">
        <w:r>
          <w:rPr>
            <w:color w:val="1155CC"/>
            <w:u w:val="single"/>
          </w:rPr>
          <w:t>10.1126/science.aea1676</w:t>
        </w:r>
      </w:hyperlink>
    </w:p>
    <w:p>
      <w:pPr>
        <w:spacing w:before="0" w:after="120"/>
      </w:pPr>
      <w:r>
        <w:rPr>
          <w:b/>
        </w:rPr>
        <w:t xml:space="preserve">Notes: </w:t>
      </w:r>
      <w:r>
        <w:t>abstract_source=crossref</w:t>
      </w:r>
    </w:p>
    <w:p>
      <w:pPr>
        <w:spacing w:before="0" w:after="80" w:lineRule="auto" w:line="276"/>
      </w:pPr>
      <w:r>
        <w:rPr>
          <w:b/>
        </w:rPr>
        <w:t xml:space="preserve">摘要（ZH）: </w:t>
      </w:r>
      <w:r>
        <w:t>引言</w:t>
      </w:r>
      <w:r>
        <w:t xml:space="preserve"> </w:t>
      </w:r>
      <w:r>
        <w:t>人为气候变化正在重塑植物的生存环境。随着温度和降水模式的变化，许多物种正在迁移以保持在适宜的环境条件内。预测这些范围变化将如何影响未来的生物多样性需要了解适宜栖息地将出现的位置以及物种是否能够到达这些地方。后者具有挑战性，因为物种的扩散能力差异很大，并且取决于景观结构、人为障碍和气候条件。因此，大规模的生物多样性预测通常依赖于过于简单的假设——例如没有扩散、无限扩散或所有物种的移动速率相同——从而增加了预测和保护规划的不确定性。</w:t>
      </w:r>
      <w:r>
        <w:t xml:space="preserve"> </w:t>
      </w:r>
      <w:r>
        <w:t>原理</w:t>
      </w:r>
      <w:r>
        <w:t xml:space="preserve"> </w:t>
      </w:r>
      <w:r>
        <w:t>我们使用了全球最大的植物范围变化观测数据库（BioShifts；涉及6579种植物的14488条记录）来建立预测物种特定范围变化速度的模型。结合680万条植物出现记录、两个表现最佳的栖息地模型的集合以及来自10个全球环流模型的气候预测，我们以8 × 8公里的分辨率绘制了每个物种当前和未来的适宜栖息地——具有有利气候、土壤和土地利用的区域。我们的分析涵盖了已知维管植物物种的18%，在2081至2100年的四种温室气体排放情景下。然后，我们将预测的未来适宜栖息地与物种特定的范围变化速度叠加，以确定是否</w:t>
      </w:r>
    </w:p>
    <w:p>
      <w:pPr>
        <w:spacing w:before="0" w:after="200" w:lineRule="auto" w:line="276"/>
      </w:pPr>
      <w:r>
        <w:rPr>
          <w:b/>
        </w:rPr>
        <w:t xml:space="preserve">Abstract (EN): </w:t>
      </w:r>
      <w:r>
        <w:t>INTRODUCTION</w:t>
      </w:r>
      <w:r>
        <w:t xml:space="preserve"> </w:t>
      </w:r>
      <w:r>
        <w:t>Anthropogenic climate change is reshaping where plants can live. As temperature and precipitation patterns shift, many species are moving to stay within suitable environmental conditions. Predicting how these range shifts will affect future biodiversity requires knowing both where suitable habitats will occur and whether species can reach them. The latter is challenging because dispersal abilities differ widely among species and depend on landscape structure, anthropogenic barriers, and climatic conditions. Large-scale biodiversity forecasts therefore often rely on overly simple assumptions—such as no dispersal, unlimited dispersal, or identical movement rates for all species—thus adding major uncertainty to projections and conservation planning.</w:t>
      </w:r>
      <w:r>
        <w:t xml:space="preserve"> </w:t>
      </w:r>
      <w:r>
        <w:t>RATIONALE</w:t>
      </w:r>
      <w:r>
        <w:t xml:space="preserve"> </w:t>
      </w:r>
      <w:r>
        <w:t>We used the largest global database of observed plant range shifts (BioShifts; 14,488 records across 6579 plant species) to build models that predict species-specific range shift velocities. Combining 6.8 million plant occurrence records, an ensemble of two top-performing habitat models, and climate projections from 10 global circulation models, we mapped current and future suitable habitats—areas with favorable climate, soil, and land use—at 8 × 8 km resolution for each species. Our analysis covers 18% of known vascular plant species under four greenhouse-gas emissions scenarios for 2081 to 2100. We then overlaid the projected future suitable habitats with species-specific range shift velocities to determine where each species is likely to persist or expand by the end of this century. From these results, we estimated global extinction risks, changes in local species richness, and temporal species turnover in community composition.</w:t>
      </w:r>
      <w:r>
        <w:t xml:space="preserve"> </w:t>
      </w:r>
      <w:r>
        <w:t>RESULTS</w:t>
      </w:r>
      <w:r>
        <w:t xml:space="preserve"> </w:t>
      </w:r>
      <w:r>
        <w:t>Overall, 7 to 16% of modeled plant species are projected to lose &amp;gt;90% of their range across emissions scenarios, placing them at high risk of extinction. Most of these losses (70 to 80%) stem from suitable habitats disappearing as a result of climate change, rather than from dispersal limitations, indicating that climate-induced habitat loss, rather than an inability to keep pace with changing climate, is the primary threat.</w:t>
      </w:r>
      <w:r>
        <w:t xml:space="preserve"> </w:t>
      </w:r>
      <w:r>
        <w:t>Although range shifts are unlikely to prevent many global extinctions, they will strongly reshape local species composition. Plant movements into newly suitable habitats are expected to increase local species richness across 28% of Earth’s land surface, maintain latitudinally averaged species richness in the tropics and subtropics (35°S to 35°N), and generate substantial species turnover in mid-latitudes (30° to 50° in both hemispheres). By contrast, in regions north of 50°N, warming is so rapid that most plants cannot keep pace, leading to widespread local extirpations and sharp declines in species richness.</w:t>
      </w:r>
      <w:r>
        <w:t xml:space="preserve"> </w:t>
      </w:r>
      <w:r>
        <w:t>CONCLUSION</w:t>
      </w:r>
      <w:r>
        <w:t xml:space="preserve"> </w:t>
      </w:r>
      <w:r>
        <w:t>Range shifts can help sustain local species richness but are unlikely to provide much relief from global extinctions. To reduce extinction risks, identifying and protecting climate change refugia to safeguard biodiversity, and expanding ex situ conservation efforts, such as global seed bank and botanic garden networks, may be more effective than facilitating migrations. At the same time, conservation strategies should anticipate changing community compositions and ecosystem functioning as new species arrive and ecosystems reorganize. In high-latitude regions where dispersal lags considerably behind the rapid warming, improving habitat connectivity, reducing human-made barriers, and where appropriate, assisting species movement could help maintain local species richness, ecosystem productivity, carbon sequestration, and ecosystem stability.</w:t>
      </w:r>
      <w:r>
        <w:t xml:space="preserve"> </w:t>
      </w:r>
      <w:r>
        <w:t>Future climate-driven plant range shifts and consequences for global species diversity redistribution. [Credits: icons in this figure are from</w:t>
      </w:r>
      <w:r>
        <w:t xml:space="preserve"> </w:t>
      </w:r>
      <w:r>
        <w:t>https://www.flaticon.com/</w:t>
      </w:r>
      <w:r>
        <w:t>]</w:t>
      </w:r>
    </w:p>
    <w:p>
      <w:pPr>
        <w:spacing w:before="120" w:after="120"/>
      </w:pPr>
      <w:r>
        <w:rPr>
          <w:sz w:val="18"/>
        </w:rPr>
        <w:t>——————————————————————————————————————————————————————————————————————</w:t>
      </w:r>
    </w:p>
    <w:p>
      <w:pPr>
        <w:spacing w:before="160" w:after="40" w:line="240" w:lineRule="auto"/>
      </w:pPr>
      <w:r>
        <w:rPr>
          <w:b/>
        </w:rPr>
        <w:t xml:space="preserve">[441] </w:t>
      </w:r>
      <w:hyperlink r:id="rId1000">
        <w:r>
          <w:rPr>
            <w:color w:val="1155CC"/>
            <w:u w:val="single"/>
          </w:rPr>
          <w:t>快速变化世界中的数据驱动决策</w:t>
        </w:r>
      </w:hyperlink>
    </w:p>
    <w:p>
      <w:pPr>
        <w:spacing w:before="0" w:after="80"/>
      </w:pPr>
      <w:r>
        <w:rPr>
          <w:i/>
          <w:sz w:val="20"/>
        </w:rPr>
        <w:t>EN: Data-driven decisions in a fast-and-loose world</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01">
        <w:r>
          <w:rPr>
            <w:color w:val="1155CC"/>
            <w:u w:val="single"/>
          </w:rPr>
          <w:t>10.1126/science.aef6641</w:t>
        </w:r>
      </w:hyperlink>
    </w:p>
    <w:p>
      <w:pPr>
        <w:spacing w:before="0" w:after="120"/>
      </w:pPr>
      <w:r>
        <w:rPr>
          <w:b/>
        </w:rPr>
        <w:t xml:space="preserve">Notes: </w:t>
      </w:r>
      <w:r>
        <w:t>abstract_source=crossref</w:t>
      </w:r>
    </w:p>
    <w:p>
      <w:pPr>
        <w:spacing w:before="0" w:after="80" w:lineRule="auto" w:line="276"/>
      </w:pPr>
      <w:r>
        <w:rPr>
          <w:b/>
        </w:rPr>
        <w:t xml:space="preserve">摘要（ZH）: </w:t>
      </w:r>
      <w:r>
        <w:t>一位记者探究了循证行动的历史和未来</w:t>
      </w:r>
    </w:p>
    <w:p>
      <w:pPr>
        <w:spacing w:before="0" w:after="200" w:lineRule="auto" w:line="276"/>
      </w:pPr>
      <w:r>
        <w:rPr>
          <w:b/>
        </w:rPr>
        <w:t xml:space="preserve">Abstract (EN): </w:t>
      </w:r>
      <w:r>
        <w:t>A journalist probes the history and future of evidence-based action</w:t>
      </w:r>
    </w:p>
    <w:p>
      <w:pPr>
        <w:spacing w:before="120" w:after="120"/>
      </w:pPr>
      <w:r>
        <w:rPr>
          <w:sz w:val="18"/>
        </w:rPr>
        <w:t>——————————————————————————————————————————————————————————————————————</w:t>
      </w:r>
    </w:p>
    <w:p>
      <w:pPr>
        <w:spacing w:before="160" w:after="40" w:line="240" w:lineRule="auto"/>
      </w:pPr>
      <w:r>
        <w:rPr>
          <w:b/>
        </w:rPr>
        <w:t xml:space="preserve">[442] </w:t>
      </w:r>
      <w:hyperlink r:id="rId1002">
        <w:r>
          <w:rPr>
            <w:color w:val="1155CC"/>
            <w:u w:val="single"/>
          </w:rPr>
          <w:t>萨加因断层的动态分段</w:t>
        </w:r>
      </w:hyperlink>
    </w:p>
    <w:p>
      <w:pPr>
        <w:spacing w:before="0" w:after="80"/>
      </w:pPr>
      <w:r>
        <w:rPr>
          <w:i/>
          <w:sz w:val="20"/>
        </w:rPr>
        <w:t>EN: Dynamic segmentation of the Sagaing fault</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03">
        <w:r>
          <w:rPr>
            <w:color w:val="1155CC"/>
            <w:u w:val="single"/>
          </w:rPr>
          <w:t>10.1126/science.ady3237</w:t>
        </w:r>
      </w:hyperlink>
    </w:p>
    <w:p>
      <w:pPr>
        <w:spacing w:before="0" w:after="120"/>
      </w:pPr>
      <w:r>
        <w:rPr>
          <w:b/>
        </w:rPr>
        <w:t xml:space="preserve">Notes: </w:t>
      </w:r>
      <w:r>
        <w:t>abstract_source=crossref</w:t>
      </w:r>
    </w:p>
    <w:p>
      <w:pPr>
        <w:spacing w:before="0" w:after="80" w:lineRule="auto" w:line="276"/>
      </w:pPr>
      <w:r>
        <w:rPr>
          <w:b/>
        </w:rPr>
        <w:t xml:space="preserve">摘要（ZH）: </w:t>
      </w:r>
      <w:r>
        <w:t>结构简单的萨加因断层在2025年矩震级7.7的曼德勒地震中破裂，尽管缺乏主要几何复杂性，但表现出明显的动态分段。利用基于物理的地震周期模拟，我们测试了这样一个假设：萨加因断层的动态分段受到长期滑动速率从18毫米/年增加到28毫米/年的北向增长的影响。结合地理约束的长期滑动速率的模型再现了历史地震的破裂范围和2025年主震的地理推断滑动分布。相邻段之间10%到20%的滑动速率对比产生了足够的异质应力积累以启动动态分段，调节地震复发模式和断层系统的最大震级。这些结果强调了整合地理、地质和地震学观测以改善地震危险评估的价值。</w:t>
      </w:r>
    </w:p>
    <w:p>
      <w:pPr>
        <w:spacing w:before="0" w:after="200" w:lineRule="auto" w:line="276"/>
      </w:pPr>
      <w:r>
        <w:rPr>
          <w:b/>
        </w:rPr>
        <w:t xml:space="preserve">Abstract (EN): </w:t>
      </w:r>
      <w:r>
        <w:t>The structurally simple Sagaing fault, which ruptured during the 2025 moment magnitude 7.7 Mandalay earthquake, exhibits clear dynamic segmentation despite lacking major geometric complexities. Using physics-based seismic cycle simulations, we tested the hypothesis that dynamic segmentation on the Sagaing fault is influenced by a northward increase in long-term slip rates from 18 to 28 millimeter/year. Models incorporating geodetically constrained long-term slip rates reproduced the rupture extent of historical earthquakes and the geodetically inferred slip distribution of the 2025 mainshock. Slip rate contrasts of 10 to 20% between adjacent segments generate sufficient heterogeneous stress accumulation to initiate dynamic segmentation, regulating earthquake recurrence patterns and maximum magnitudes across the fault system. These results highlight the value of integrating geodetic, geological, and seismological observations to improve seismic hazard assessment.</w:t>
      </w:r>
    </w:p>
    <w:p>
      <w:pPr>
        <w:spacing w:before="120" w:after="120"/>
      </w:pPr>
      <w:r>
        <w:rPr>
          <w:sz w:val="18"/>
        </w:rPr>
        <w:t>——————————————————————————————————————————————————————————————————————</w:t>
      </w:r>
    </w:p>
    <w:p>
      <w:pPr>
        <w:spacing w:before="160" w:after="40" w:line="240" w:lineRule="auto"/>
      </w:pPr>
      <w:r>
        <w:rPr>
          <w:b/>
        </w:rPr>
        <w:t xml:space="preserve">[443] </w:t>
      </w:r>
      <w:hyperlink r:id="rId1004">
        <w:r>
          <w:rPr>
            <w:color w:val="1155CC"/>
            <w:u w:val="single"/>
          </w:rPr>
          <w:t>神奇蘑菇化合物在对抗可卡因成瘾方面显示出希望</w:t>
        </w:r>
      </w:hyperlink>
    </w:p>
    <w:p>
      <w:pPr>
        <w:spacing w:before="0" w:after="80"/>
      </w:pPr>
      <w:r>
        <w:rPr>
          <w:i/>
          <w:sz w:val="20"/>
        </w:rPr>
        <w:t>EN: Magic mushroom compound shows promise against cocaine addiction</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05">
        <w:r>
          <w:rPr>
            <w:color w:val="1155CC"/>
            <w:u w:val="single"/>
          </w:rPr>
          <w:t>10.1126/science.aei6155</w:t>
        </w:r>
      </w:hyperlink>
    </w:p>
    <w:p>
      <w:pPr>
        <w:spacing w:before="0" w:after="120"/>
      </w:pPr>
      <w:r>
        <w:rPr>
          <w:b/>
        </w:rPr>
        <w:t xml:space="preserve">Notes: </w:t>
      </w:r>
      <w:r>
        <w:t>abstract_source=crossref</w:t>
      </w:r>
    </w:p>
    <w:p>
      <w:pPr>
        <w:spacing w:before="0" w:after="80" w:lineRule="auto" w:line="276"/>
      </w:pPr>
      <w:r>
        <w:rPr>
          <w:b/>
        </w:rPr>
        <w:t xml:space="preserve">摘要（ZH）: </w:t>
      </w:r>
      <w:r>
        <w:t>优先考虑黑人和低收入参与者的小型研究产生了“显著”结果</w:t>
      </w:r>
    </w:p>
    <w:p>
      <w:pPr>
        <w:spacing w:before="0" w:after="200" w:lineRule="auto" w:line="276"/>
      </w:pPr>
      <w:r>
        <w:rPr>
          <w:b/>
        </w:rPr>
        <w:t xml:space="preserve">Abstract (EN): </w:t>
      </w:r>
      <w:r>
        <w:t>Small study that prioritized Black and low-income participants yields “remarkable” results</w:t>
      </w:r>
    </w:p>
    <w:p>
      <w:pPr>
        <w:spacing w:before="120" w:after="120"/>
      </w:pPr>
      <w:r>
        <w:rPr>
          <w:sz w:val="18"/>
        </w:rPr>
        <w:t>——————————————————————————————————————————————————————————————————————</w:t>
      </w:r>
    </w:p>
    <w:p>
      <w:pPr>
        <w:spacing w:before="160" w:after="40" w:line="240" w:lineRule="auto"/>
      </w:pPr>
      <w:r>
        <w:rPr>
          <w:b/>
        </w:rPr>
        <w:t xml:space="preserve">[444] </w:t>
      </w:r>
      <w:hyperlink r:id="rId1006">
        <w:r>
          <w:rPr>
            <w:color w:val="1155CC"/>
            <w:u w:val="single"/>
          </w:rPr>
          <w:t>野火损害与森林燃料处理的成本效益作用</w:t>
        </w:r>
      </w:hyperlink>
    </w:p>
    <w:p>
      <w:pPr>
        <w:spacing w:before="0" w:after="80"/>
      </w:pPr>
      <w:r>
        <w:rPr>
          <w:i/>
          <w:sz w:val="20"/>
        </w:rPr>
        <w:t>EN: Wildfire damages and the cost-effective role of forest fuel treatments</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07">
        <w:r>
          <w:rPr>
            <w:color w:val="1155CC"/>
            <w:u w:val="single"/>
          </w:rPr>
          <w:t>10.1126/science.aea6463</w:t>
        </w:r>
      </w:hyperlink>
    </w:p>
    <w:p>
      <w:pPr>
        <w:spacing w:before="0" w:after="120"/>
      </w:pPr>
      <w:r>
        <w:rPr>
          <w:b/>
        </w:rPr>
        <w:t xml:space="preserve">Notes: </w:t>
      </w:r>
      <w:r>
        <w:t>abstract_source=crossref</w:t>
      </w:r>
    </w:p>
    <w:p>
      <w:pPr>
        <w:spacing w:before="0" w:after="80" w:lineRule="auto" w:line="276"/>
      </w:pPr>
      <w:r>
        <w:rPr>
          <w:b/>
        </w:rPr>
        <w:t xml:space="preserve">摘要（ZH）: </w:t>
      </w:r>
      <w:r>
        <w:t>野火是21世纪最紧迫的环境挑战之一，由于一个世纪的火灾抑制政策导致森林燃料的积累而加剧。尽管燃料减少处理（“燃料处理”）是减少野火风险的主要工具，但由于其经济价值的有限证据，它们仍未得到充分利用。在这项研究中，我们整合了美国西部地区关于野火、燃料处理、抑制努力和损害的高分辨率数据，以评估其成本效益。使用准实验设计，我们发现燃料处理减少了野火的蔓延和严重性，通过限制结构损失、减少二氧化碳排放和降低细颗粒物（PM2.5）暴露，避免了估计28亿美元的损失。每投资一美元可产生3.73美元的预期收益。我们的研究结果证明了燃料处理投资的价值，并为最大化其效益提供了指导。</w:t>
      </w:r>
    </w:p>
    <w:p>
      <w:pPr>
        <w:spacing w:before="0" w:after="200" w:lineRule="auto" w:line="276"/>
      </w:pPr>
      <w:r>
        <w:rPr>
          <w:b/>
        </w:rPr>
        <w:t xml:space="preserve">Abstract (EN): </w:t>
      </w:r>
      <w:r>
        <w:t>Wildfires are among the most pressing environmental challenges of the 21st century, intensified by the accumulation of forest fuels after a century of fire suppression policies. Although fuel-reduction treatments (“fuel treatments”) are a primary tool for reducing wildfire risk, they remain underutilized, partly owing to limited evidence of their economic value. In this study, we integrated high-resolution data on wildfires, fuel treatments, suppression effort, and damages across the Western United States to assess their cost-effectiveness. Using a quasi-experimental design, we found that fuel treatments reduced wildfire spread and severity, avoiding an estimated $2.8 billion in damages by limiting structure loss, cutting carbon dioxide emissions, and lowering fine particulate matter (PM</w:t>
      </w:r>
      <w:r>
        <w:t xml:space="preserve"> </w:t>
      </w:r>
      <w:r>
        <w:t>2.5</w:t>
      </w:r>
      <w:r>
        <w:t xml:space="preserve"> </w:t>
      </w:r>
      <w:r>
        <w:t>) exposure. Each dollar invested yielded $3.73 in expected benefits. Our findings demonstrate the value of fuel treatment investments and offer guidance for maximizing their effectiveness.</w:t>
      </w:r>
    </w:p>
    <w:p>
      <w:pPr>
        <w:spacing w:before="120" w:after="120"/>
      </w:pPr>
      <w:r>
        <w:rPr>
          <w:sz w:val="18"/>
        </w:rPr>
        <w:t>——————————————————————————————————————————————————————————————————————</w:t>
      </w:r>
    </w:p>
    <w:p>
      <w:pPr>
        <w:spacing w:before="160" w:after="40" w:line="240" w:lineRule="auto"/>
      </w:pPr>
      <w:r>
        <w:rPr>
          <w:b/>
        </w:rPr>
        <w:t xml:space="preserve">[445] </w:t>
      </w:r>
      <w:hyperlink r:id="rId1008">
        <w:r>
          <w:rPr>
            <w:color w:val="1155CC"/>
            <w:u w:val="single"/>
          </w:rPr>
          <w:t>多带哈伯德系统中超冷费米子的铁磁性</w:t>
        </w:r>
      </w:hyperlink>
    </w:p>
    <w:p>
      <w:pPr>
        <w:spacing w:before="0" w:after="80"/>
      </w:pPr>
      <w:r>
        <w:rPr>
          <w:i/>
          <w:sz w:val="20"/>
        </w:rPr>
        <w:t>EN: Ferrimagnetism of ultracold fermions in a multiband Hubbard system</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09">
        <w:r>
          <w:rPr>
            <w:color w:val="1155CC"/>
            <w:u w:val="single"/>
          </w:rPr>
          <w:t>10.1126/science.adq2411</w:t>
        </w:r>
      </w:hyperlink>
    </w:p>
    <w:p>
      <w:pPr>
        <w:spacing w:before="0" w:after="120"/>
      </w:pPr>
      <w:r>
        <w:rPr>
          <w:b/>
        </w:rPr>
        <w:t xml:space="preserve">Notes: </w:t>
      </w:r>
      <w:r>
        <w:t>abstract_source=crossref</w:t>
      </w:r>
    </w:p>
    <w:p>
      <w:pPr>
        <w:spacing w:before="0" w:after="80" w:lineRule="auto" w:line="276"/>
      </w:pPr>
      <w:r>
        <w:rPr>
          <w:b/>
        </w:rPr>
        <w:t xml:space="preserve">摘要（ZH）: </w:t>
      </w:r>
      <w:r>
        <w:t>强关联材料具有多个电子轨道，这对于准确理解其多体性质至关重要。在这样的多带模型中，量子干涉可以导致具有大简并的平坦能带，从而产生巡游磁相。我们报告了在Lieb晶格中实现的铁磁态的特征，该状态由具有反铁磁关联的反向磁矩表征，并伴随着有限的自旋极化。当从弱相互作用增加到海森堡状态时，这些特征仍然保持稳健，并在将晶格单元从方形连续调整到Lieb几何时出现。我们灵活的方法为探索奇异相铺平了道路，例如kagome晶格中的量子自旋液体和Kondo模型中的重费米子行为。</w:t>
      </w:r>
    </w:p>
    <w:p>
      <w:pPr>
        <w:spacing w:before="0" w:after="200" w:lineRule="auto" w:line="276"/>
      </w:pPr>
      <w:r>
        <w:rPr>
          <w:b/>
        </w:rPr>
        <w:t xml:space="preserve">Abstract (EN): </w:t>
      </w:r>
      <w:r>
        <w:t>Strongly correlated materials feature multiple electronic orbitals, which are crucial to accurately understanding their many-body properties. In such multiband models, quantum interference can lead to flat energy bands with large degeneracy that gives rise to itinerant magnetic phases. We report on signatures of a ferrimagnetic state realized in a Lieb lattice with ultracold fermions, characterized by antialigned magnetic moments with antiferromagnetic correlations, and concomitant with a finite spin polarization. The signatures remain robust when increasing repulsive interactions from the weakly interacting to the Heisenberg regime and emerge when continuously tuning the lattice unit cell from a square to a Lieb geometry. Our flexible approach paves the way toward exploring exotic phases, such as quantum spin liquids in kagome lattices and heavy fermion behavior in Kondo models.</w:t>
      </w:r>
    </w:p>
    <w:p>
      <w:pPr>
        <w:spacing w:before="120" w:after="120"/>
      </w:pPr>
      <w:r>
        <w:rPr>
          <w:sz w:val="18"/>
        </w:rPr>
        <w:t>——————————————————————————————————————————————————————————————————————</w:t>
      </w:r>
    </w:p>
    <w:p>
      <w:pPr>
        <w:spacing w:before="160" w:after="40" w:line="240" w:lineRule="auto"/>
      </w:pPr>
      <w:r>
        <w:rPr>
          <w:b/>
        </w:rPr>
        <w:t xml:space="preserve">[446] </w:t>
      </w:r>
      <w:hyperlink r:id="rId1010">
        <w:r>
          <w:rPr>
            <w:color w:val="1155CC"/>
            <w:u w:val="single"/>
          </w:rPr>
          <w:t>生物催化级联反应使大环肽enlicitide的制造成为可能</w:t>
        </w:r>
      </w:hyperlink>
    </w:p>
    <w:p>
      <w:pPr>
        <w:spacing w:before="0" w:after="80"/>
      </w:pPr>
      <w:r>
        <w:rPr>
          <w:i/>
          <w:sz w:val="20"/>
        </w:rPr>
        <w:t>EN: Biocatalytic cascades enable manufacture of the macrocyclic peptide enlicitide</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11">
        <w:r>
          <w:rPr>
            <w:color w:val="1155CC"/>
            <w:u w:val="single"/>
          </w:rPr>
          <w:t>10.1126/science.aed8713</w:t>
        </w:r>
      </w:hyperlink>
    </w:p>
    <w:p>
      <w:pPr>
        <w:spacing w:before="0" w:after="120"/>
      </w:pPr>
      <w:r>
        <w:rPr>
          <w:b/>
        </w:rPr>
        <w:t xml:space="preserve">Notes: </w:t>
      </w:r>
      <w:r>
        <w:t>abstract_source=crossref</w:t>
      </w:r>
    </w:p>
    <w:p>
      <w:pPr>
        <w:spacing w:before="0" w:after="80" w:lineRule="auto" w:line="276"/>
      </w:pPr>
      <w:r>
        <w:rPr>
          <w:b/>
        </w:rPr>
        <w:t xml:space="preserve">摘要（ZH）: </w:t>
      </w:r>
      <w:r>
        <w:t>历史上，许多引人注目的治疗靶点只能通过注射生物药物获得。大环肽，如用于治疗动脉粥样硬化性心血管疾病的前蛋白转化酶枯草杆菌蛋白酶/kexin 9型抑制剂enlicitide，开始解锁这些靶点以实现口服给药疗法，从而使更多患者能够获得治疗。我们报告了通过一套工程化酶催化选择性肽片段形成、偶联和大环化的方式，从简单的构建块中汇聚生物催化组装enlicitide。结合高效的结晶过程，消除了对色谱的需求，这种方法将步骤数量减少了一半以上，与之前的最先进方法相比，解决了长期存在的合成挑战，并为复杂肽治疗剂的可扩展开发提供了可持续的蓝图。</w:t>
      </w:r>
    </w:p>
    <w:p>
      <w:pPr>
        <w:spacing w:before="0" w:after="200" w:lineRule="auto" w:line="276"/>
      </w:pPr>
      <w:r>
        <w:rPr>
          <w:b/>
        </w:rPr>
        <w:t xml:space="preserve">Abstract (EN): </w:t>
      </w:r>
      <w:r>
        <w:t>Historically, many compelling therapeutic targets have been accessible only by injectable biologic drugs. Macrocyclic peptides, such as the proprotein convertase subtilisin/kexin type 9 inhibitor enlicitide for the treatment of atherosclerotic cardiovascular disease, are beginning to unlock these targets to orally administered therapies to enable broader patient access. We report the convergent biocatalytic assembly of enlicitide from simple building blocks enabled by a suite of engineered enzymes to catalyze selective peptide fragment formation, coupling, and macrocyclization in a protecting group–free manner. Together with efficient crystallizations that obviate the need for chromatography, this approach reduces the number of steps by greater than half compared with prior state-of-the-art methods, addressing long-standing synthetic challenges and offering a sustainable blueprint for the scalable development of complex peptide therapeutics.</w:t>
      </w:r>
    </w:p>
    <w:p>
      <w:pPr>
        <w:spacing w:before="120" w:after="120"/>
      </w:pPr>
      <w:r>
        <w:rPr>
          <w:sz w:val="18"/>
        </w:rPr>
        <w:t>——————————————————————————————————————————————————————————————————————</w:t>
      </w:r>
    </w:p>
    <w:p>
      <w:pPr>
        <w:spacing w:before="160" w:after="40" w:line="240" w:lineRule="auto"/>
      </w:pPr>
      <w:r>
        <w:rPr>
          <w:b/>
        </w:rPr>
        <w:t xml:space="preserve">[447] </w:t>
      </w:r>
      <w:hyperlink r:id="rId1012">
        <w:r>
          <w:rPr>
            <w:color w:val="1155CC"/>
            <w:u w:val="single"/>
          </w:rPr>
          <w:t>在二维范德华材料中实现自旋玻璃</w:t>
        </w:r>
      </w:hyperlink>
    </w:p>
    <w:p>
      <w:pPr>
        <w:spacing w:before="0" w:after="80"/>
      </w:pPr>
      <w:r>
        <w:rPr>
          <w:i/>
          <w:sz w:val="20"/>
        </w:rPr>
        <w:t>EN: Realization of a spin glass in a two-dimensional van der Waals material</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13">
        <w:r>
          <w:rPr>
            <w:color w:val="1155CC"/>
            <w:u w:val="single"/>
          </w:rPr>
          <w:t>10.1126/science.adp0091</w:t>
        </w:r>
      </w:hyperlink>
    </w:p>
    <w:p>
      <w:pPr>
        <w:spacing w:before="0" w:after="120"/>
      </w:pPr>
      <w:r>
        <w:rPr>
          <w:b/>
        </w:rPr>
        <w:t xml:space="preserve">Notes: </w:t>
      </w:r>
      <w:r>
        <w:t>abstract_source=crossref</w:t>
      </w:r>
    </w:p>
    <w:p>
      <w:pPr>
        <w:spacing w:before="0" w:after="80" w:lineRule="auto" w:line="276"/>
      </w:pPr>
      <w:r>
        <w:rPr>
          <w:b/>
        </w:rPr>
        <w:t xml:space="preserve">摘要（ZH）: </w:t>
      </w:r>
      <w:r>
        <w:t>近年来，范德华材料的进展激发了人们对维度对磁相变影响的兴趣。尽管已证明有序磁相可以在二维（2D）极限中存活，但在较低维度中寻找具有淬火磁无序的自旋玻璃一直难以实现。在此，我们提供了证据，表明自旋玻璃从Fe</w:t>
      </w:r>
      <w:r>
        <w:rPr>
          <w:vertAlign w:val="subscript"/>
        </w:rPr>
        <w:t>3</w:t>
      </w:r>
      <w:r>
        <w:t>GeTe</w:t>
      </w:r>
      <w:r>
        <w:rPr>
          <w:vertAlign w:val="subscript"/>
        </w:rPr>
        <w:t>2</w:t>
      </w:r>
      <w:r>
        <w:t>(FGT)中随机分布的Fe原子中出现。交流磁化率显示出强烈的频率依赖性，表明自旋动力学缓慢。其他独特现象，包括老化、混沌和记忆效应，进一步证实了玻璃态的存在。值得注意的是，我们发现这种状态即使在单细胞厚的FGT中也能持续存在，从而确认了2D自旋玻璃的存在。</w:t>
      </w:r>
    </w:p>
    <w:p>
      <w:pPr>
        <w:spacing w:before="0" w:after="200" w:lineRule="auto" w:line="276"/>
      </w:pPr>
      <w:r>
        <w:rPr>
          <w:b/>
        </w:rPr>
        <w:t xml:space="preserve">Abstract (EN): </w:t>
      </w:r>
      <w:r>
        <w:t>Recent advances in van der Waals materials have sparked renewed interest in the impact of dimensionality on magnetic phase transitions. Although ordered magnetic phases have been demonstrated to survive in the two-dimensional (2D) limit, the quest for a spin glass with quenched magnetic disorder in lower dimensions has proven elusive. Here, we provide evidence of a spin glass emerging from randomly distributed Fe atoms in Fe</w:t>
      </w:r>
      <w:r>
        <w:rPr>
          <w:vertAlign w:val="subscript"/>
        </w:rPr>
        <w:t>3</w:t>
      </w:r>
      <w:r>
        <w:t>GeTe</w:t>
      </w:r>
      <w:r>
        <w:rPr>
          <w:vertAlign w:val="subscript"/>
        </w:rPr>
        <w:t>2</w:t>
      </w:r>
      <w:r>
        <w:t>(FGT). ac magnetic susceptibility displays a strong frequency dependence indicative of slow spin dynamics. Additional distinctive phenomena, including aging, chaos, and memory effects, further substantiate the existence of a glassy state. Notably, we found that this state persists even in single-cell–thick FGT, thereby confirming the existence of a 2D spin glass.</w:t>
      </w:r>
    </w:p>
    <w:p>
      <w:pPr>
        <w:spacing w:before="120" w:after="120"/>
      </w:pPr>
      <w:r>
        <w:rPr>
          <w:sz w:val="18"/>
        </w:rPr>
        <w:t>——————————————————————————————————————————————————————————————————————</w:t>
      </w:r>
    </w:p>
    <w:p>
      <w:pPr>
        <w:spacing w:before="160" w:after="40" w:line="240" w:lineRule="auto"/>
      </w:pPr>
      <w:r>
        <w:rPr>
          <w:b/>
        </w:rPr>
        <w:t xml:space="preserve">[448] </w:t>
      </w:r>
      <w:hyperlink r:id="rId1014">
        <w:r>
          <w:rPr>
            <w:color w:val="1155CC"/>
            <w:u w:val="single"/>
          </w:rPr>
          <w:t>癫痫大脑中的“尖峰”如何有害——以及如何可能被驯服</w:t>
        </w:r>
      </w:hyperlink>
    </w:p>
    <w:p>
      <w:pPr>
        <w:spacing w:before="0" w:after="80"/>
      </w:pPr>
      <w:r>
        <w:rPr>
          <w:i/>
          <w:sz w:val="20"/>
        </w:rPr>
        <w:t>EN: How ‘spikes’ in the epileptic brain are harmful—and might be tamed</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15">
        <w:r>
          <w:rPr>
            <w:color w:val="1155CC"/>
            <w:u w:val="single"/>
          </w:rPr>
          <w:t>10.1126/science.aei6157</w:t>
        </w:r>
      </w:hyperlink>
    </w:p>
    <w:p>
      <w:pPr>
        <w:spacing w:before="0" w:after="120"/>
      </w:pPr>
      <w:r>
        <w:rPr>
          <w:b/>
        </w:rPr>
        <w:t xml:space="preserve">Notes: </w:t>
      </w:r>
      <w:r>
        <w:t>abstract_source=crossref</w:t>
      </w:r>
    </w:p>
    <w:p>
      <w:pPr>
        <w:spacing w:before="0" w:after="80" w:lineRule="auto" w:line="276"/>
      </w:pPr>
      <w:r>
        <w:rPr>
          <w:b/>
        </w:rPr>
        <w:t xml:space="preserve">摘要（ZH）: </w:t>
      </w:r>
      <w:r>
        <w:t>新的研究发现，异常的电爆发劫持了与认知相关的神经元，并且可以提前1秒预测。</w:t>
      </w:r>
    </w:p>
    <w:p>
      <w:pPr>
        <w:spacing w:before="0" w:after="200" w:lineRule="auto" w:line="276"/>
      </w:pPr>
      <w:r>
        <w:rPr>
          <w:b/>
        </w:rPr>
        <w:t xml:space="preserve">Abstract (EN): </w:t>
      </w:r>
      <w:r>
        <w:t>Abnormal electrical bursts hijack neurons involved in cognition and can be predicted up to 1 second in advance, new study finds</w:t>
      </w:r>
    </w:p>
    <w:p>
      <w:pPr>
        <w:spacing w:before="120" w:after="120"/>
      </w:pPr>
      <w:r>
        <w:rPr>
          <w:sz w:val="18"/>
        </w:rPr>
        <w:t>——————————————————————————————————————————————————————————————————————</w:t>
      </w:r>
    </w:p>
    <w:p>
      <w:pPr>
        <w:spacing w:before="160" w:after="40" w:line="240" w:lineRule="auto"/>
      </w:pPr>
      <w:r>
        <w:rPr>
          <w:b/>
        </w:rPr>
        <w:t xml:space="preserve">[449] </w:t>
      </w:r>
      <w:hyperlink r:id="rId1016">
        <w:r>
          <w:rPr>
            <w:color w:val="1155CC"/>
            <w:u w:val="single"/>
          </w:rPr>
          <w:t>被子植物生命树面临高灭绝风险</w:t>
        </w:r>
      </w:hyperlink>
    </w:p>
    <w:p>
      <w:pPr>
        <w:spacing w:before="0" w:after="80"/>
      </w:pPr>
      <w:r>
        <w:rPr>
          <w:i/>
          <w:sz w:val="20"/>
        </w:rPr>
        <w:t>EN: High risk of extinction across the flowering plant tree of life</w:t>
      </w:r>
    </w:p>
    <w:p>
      <w:pPr>
        <w:spacing w:before="0" w:after="120"/>
      </w:pPr>
      <w:r>
        <w:rPr>
          <w:b/>
        </w:rPr>
        <w:t xml:space="preserve">Source: </w:t>
      </w:r>
      <w:r>
        <w:t>AAAS: Science: Table of Contents</w:t>
      </w:r>
      <w:r>
        <w:t xml:space="preserve">    </w:t>
      </w:r>
      <w:r>
        <w:rPr>
          <w:b/>
        </w:rPr>
        <w:t xml:space="preserve">Pub date: </w:t>
      </w:r>
      <w:r>
        <w:t>2026-05-07 06:00:09+00:00</w:t>
      </w:r>
      <w:r>
        <w:t xml:space="preserve">    </w:t>
      </w:r>
      <w:r>
        <w:rPr>
          <w:b/>
        </w:rPr>
        <w:t xml:space="preserve">DOI: </w:t>
      </w:r>
      <w:hyperlink r:id="rId1017">
        <w:r>
          <w:rPr>
            <w:color w:val="1155CC"/>
            <w:u w:val="single"/>
          </w:rPr>
          <w:t>10.1126/science.adz0773</w:t>
        </w:r>
      </w:hyperlink>
    </w:p>
    <w:p>
      <w:pPr>
        <w:spacing w:before="0" w:after="120"/>
      </w:pPr>
      <w:r>
        <w:rPr>
          <w:b/>
        </w:rPr>
        <w:t xml:space="preserve">Notes: </w:t>
      </w:r>
      <w:r>
        <w:t>abstract_source=crossref</w:t>
      </w:r>
    </w:p>
    <w:p>
      <w:pPr>
        <w:spacing w:before="0" w:after="80" w:lineRule="auto" w:line="276"/>
      </w:pPr>
      <w:r>
        <w:rPr>
          <w:b/>
        </w:rPr>
        <w:t xml:space="preserve">摘要（ZH）: </w:t>
      </w:r>
      <w:r>
        <w:t>全球生物多样性政策承认保护进化谱系的必要性，因为它们的多样性支撑着当前和未来对人类的益处以及地球生命的未来。植物在全球生物多样性评估中基本缺席，导致了几十年来削弱其保护的分类学不平衡。我们展示了一棵生命树和所有开花植物（被子植物）物种的灭绝风险估计，代表了对其受威胁进化历史的全球评估。我们估计21.2%的被子植物进化历史面临灭绝风险，并确定了9945个优先物种，这些物种不成比例地占据了总受威胁的进化历史。这些优先排序有助于纠正植物与动物之间的不平衡，监测保护效果，并在面对人类对生物多样性日益增加的压力时优化资源分配。</w:t>
      </w:r>
    </w:p>
    <w:p>
      <w:pPr>
        <w:spacing w:before="0" w:after="200" w:lineRule="auto" w:line="276"/>
      </w:pPr>
      <w:r>
        <w:rPr>
          <w:b/>
        </w:rPr>
        <w:t xml:space="preserve">Abstract (EN): </w:t>
      </w:r>
      <w:r>
        <w:t>Global biodiversity policies recognize the necessity to preserve evolutionary lineages, as their diversity underpins current and future benefits to people and the future of life on Earth. Plants are largely absent from global biodiversity assessments, resulting in a taxonomic imbalance that has undermined their conservation for decades. We present a tree of life and extinction risk estimates for all species of flowering plants (angiosperms), representing a global assessment of their threatened evolutionary history. We estimate that 21.2% of angiosperm evolutionary history is at risk of extinction and identify 9945 priority species that disproportionately account for total threatened evolutionary history. These prioritizations serve to redress imbalances between plants and animals, monitor conservation effectiveness, and optimize resource allocation in the face of increasing human pressures on biodiversity.</w:t>
      </w:r>
    </w:p>
    <w:p>
      <w:pPr>
        <w:spacing w:before="120" w:after="120"/>
      </w:pPr>
      <w:r>
        <w:rPr>
          <w:sz w:val="18"/>
        </w:rPr>
        <w:t>——————————————————————————————————————————————————————————————————————</w:t>
      </w:r>
    </w:p>
    <w:p>
      <w:pPr>
        <w:spacing w:before="160" w:after="40" w:line="240" w:lineRule="auto"/>
      </w:pPr>
      <w:r>
        <w:rPr>
          <w:b/>
        </w:rPr>
        <w:t xml:space="preserve">[450] </w:t>
      </w:r>
      <w:hyperlink r:id="rId1018">
        <w:r>
          <w:rPr>
            <w:color w:val="1155CC"/>
            <w:u w:val="single"/>
          </w:rPr>
          <w:t>无自偶缺陷的交替共轭聚合物在光疗中增强光敏化作用</w:t>
        </w:r>
      </w:hyperlink>
    </w:p>
    <w:p>
      <w:pPr>
        <w:spacing w:before="0" w:after="80"/>
      </w:pPr>
      <w:r>
        <w:rPr>
          <w:i/>
          <w:sz w:val="20"/>
        </w:rPr>
        <w:t>EN: Homocoupling‐Defect‐Free Alternating Conjugated Polymers With Enhanced Photosensitization for Phototherapy</w:t>
      </w:r>
    </w:p>
    <w:p>
      <w:pPr>
        <w:spacing w:before="0" w:after="120"/>
      </w:pPr>
      <w:r>
        <w:rPr>
          <w:b/>
        </w:rPr>
        <w:t xml:space="preserve">Source: </w:t>
      </w:r>
      <w:r>
        <w:t>Wiley: Advanced Materials: Table of Contents</w:t>
      </w:r>
      <w:r>
        <w:t xml:space="preserve">    </w:t>
      </w:r>
      <w:r>
        <w:rPr>
          <w:b/>
        </w:rPr>
        <w:t xml:space="preserve">Pub date: </w:t>
      </w:r>
      <w:r>
        <w:t>2026-05-07 06:19:10+00:00</w:t>
      </w:r>
      <w:r>
        <w:t xml:space="preserve">    </w:t>
      </w:r>
      <w:r>
        <w:rPr>
          <w:b/>
        </w:rPr>
        <w:t xml:space="preserve">DOI: </w:t>
      </w:r>
      <w:hyperlink r:id="rId1019">
        <w:r>
          <w:rPr>
            <w:color w:val="1155CC"/>
            <w:u w:val="single"/>
          </w:rPr>
          <w:t>10.1002/adma.202520477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材料的合成或制备过程中不可避免地引入缺陷，有时会对性能产生巨大影响。共轭聚合物，特别是供体-受体交替的聚合物，被认为是光疗的良好候选者，因为它们强大的光捕获能力和从单线态到三线态的增加的系间窜越通道可以提高活性氧（ROS）生成效率。这种交替的共轭聚合物通常通过Stille或Suzuki交叉偶联聚合反应制备，供体和受体两种单体之间的反应实际上通常会导致获得的聚合物中供体-供体或受体-受体结构的自偶联缺陷。在这项研究中，我们通过不同的聚合过程制备了一系列供体-受体型交替共轭聚合物光敏剂，发现所有通过直接芳基化偶联聚合（DArP）制备的聚合物在ROS生成效率和荧光强度方面均优于通过Suzuki聚合制备的类似物。详细的机制研究证实，供体-供体或受体-受体缺陷会通过阻碍激子扩散而降低供体-受体交替聚合物在激光照射下的激子寿命，因此由DArP制备的无自偶联缺陷聚合物表现出更好的性能。此外，PTD-DArP，由三</w:t>
      </w:r>
    </w:p>
    <w:p>
      <w:pPr>
        <w:spacing w:before="0" w:after="200" w:lineRule="auto" w:line="276"/>
      </w:pPr>
      <w:r>
        <w:rPr>
          <w:b/>
        </w:rPr>
        <w:t xml:space="preserve">Abstract (EN): </w:t>
      </w:r>
      <w:r>
        <w:t>Defects are inevitably introduced to the materials during the synthesis or preparation process, and sometimes bring out huge effects on the performance. Conjugated polymers, especially the donor‐acceptor alternating ones, have been termed as good candidates in phototherapy, since their strong light‐harvesting ability and increased intersystem crossing channels from singlet to triplet states could improve the reactive oxygen species (ROS) generation efficiency. Such alternating conjugated polymers are usually prepared though Stille or Suzuki cross‐coupling polymerization between two types monomers of donor and acceptor, which in fact usually results in homocoupling defect of donor–donor or acceptor–acceptor structures in obtained polymers. In this contribution, we prepared a series of donor‐acceptor‐type alternating conjugated polymers photosensitizers through different polymerization processes, and found that all the polymers prepared by direct arylation coupling polymerization (DArP) showed much better ROS generation efficiencies and fluorescence intensities than their similar analogues prepared by Suzuki polymerization. Detailed mechanism studies confirmed that the donor‐donor or acceptor‐acceptor defects could decrease the exciton lifetimes of the donor‐acceptor alternating polymers upon laser irradiation through obstructing exciton diffusion, and the homocoupling‐defect‐free polymers prepared by DArP therefore demonstrated better performance. In addition,</w:t>
      </w:r>
      <w:r>
        <w:t xml:space="preserve"> </w:t>
      </w:r>
      <w:r>
        <w:t>PTD‐DArP</w:t>
      </w:r>
      <w:r>
        <w:t xml:space="preserve"> </w:t>
      </w:r>
      <w:r>
        <w:t>, constructed by triphenylamine donor and diketopyrrolopyrrole acceptor, demonstrated much better biodegradation capacity than</w:t>
      </w:r>
      <w:r>
        <w:t xml:space="preserve"> </w:t>
      </w:r>
      <w:r>
        <w:t>PTD‐Suzuki</w:t>
      </w:r>
      <w:r>
        <w:t xml:space="preserve"> </w:t>
      </w:r>
      <w:r>
        <w:t>, and it could also match the 660 nm clinical laser, making it good candidate in phototherapy, which has been further confirmed by both in vitro and in vivo results via two models of tumor and diabetes infection. At last, by using two previously reported high performance conjugated polymer photosensitizers as the models, the universality of our strategy was further verified.</w:t>
      </w:r>
    </w:p>
    <w:p>
      <w:pPr>
        <w:spacing w:before="120" w:after="120"/>
      </w:pPr>
      <w:r>
        <w:rPr>
          <w:sz w:val="18"/>
        </w:rPr>
        <w:t>——————————————————————————————————————————————————————————————————————</w:t>
      </w:r>
    </w:p>
    <w:p>
      <w:pPr>
        <w:spacing w:before="160" w:after="40" w:line="240" w:lineRule="auto"/>
      </w:pPr>
      <w:r>
        <w:rPr>
          <w:b/>
        </w:rPr>
        <w:t xml:space="preserve">[451] </w:t>
      </w:r>
      <w:hyperlink r:id="rId1020">
        <w:r>
          <w:rPr>
            <w:color w:val="1155CC"/>
            <w:u w:val="single"/>
          </w:rPr>
          <w:t>针灸无效且在基于科学的医学中无地位</w:t>
        </w:r>
      </w:hyperlink>
    </w:p>
    <w:p>
      <w:pPr>
        <w:spacing w:before="0" w:after="80"/>
      </w:pPr>
      <w:r>
        <w:rPr>
          <w:i/>
          <w:sz w:val="20"/>
        </w:rPr>
        <w:t>EN: Acupuncture does not work and has no place in science-based medicine</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21">
        <w:r>
          <w:rPr>
            <w:color w:val="1155CC"/>
            <w:u w:val="single"/>
          </w:rPr>
          <w:t>10.1073/pnas.2613544123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[452] </w:t>
      </w:r>
      <w:hyperlink r:id="rId1022">
        <w:r>
          <w:rPr>
            <w:color w:val="1155CC"/>
            <w:u w:val="single"/>
          </w:rPr>
          <w:t>具有半莫比乌斯拓扑的分子</w:t>
        </w:r>
      </w:hyperlink>
    </w:p>
    <w:p>
      <w:pPr>
        <w:spacing w:before="0" w:after="80"/>
      </w:pPr>
      <w:r>
        <w:rPr>
          <w:i/>
          <w:sz w:val="20"/>
        </w:rPr>
        <w:t>EN: A molecule with half-Möbius topology</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23">
        <w:r>
          <w:rPr>
            <w:color w:val="1155CC"/>
            <w:u w:val="single"/>
          </w:rPr>
          <w:t>10.1126/science.aea3321</w:t>
        </w:r>
      </w:hyperlink>
    </w:p>
    <w:p>
      <w:pPr>
        <w:spacing w:before="0" w:after="120"/>
      </w:pPr>
      <w:r>
        <w:rPr>
          <w:b/>
        </w:rPr>
        <w:t xml:space="preserve">Notes: </w:t>
      </w:r>
      <w:r>
        <w:t>abstract_source=crossref</w:t>
      </w:r>
    </w:p>
    <w:p>
      <w:pPr>
        <w:spacing w:before="0" w:after="80" w:lineRule="auto" w:line="276"/>
      </w:pPr>
      <w:r>
        <w:rPr>
          <w:b/>
        </w:rPr>
        <w:t xml:space="preserve">摘要（ZH）: </w:t>
      </w:r>
      <w:r>
        <w:t>C13Cl2的立体异构体在NaCl表面通过原子操控合成，展示了围绕碳原子环的螺旋轨道。我们通过原子力显微镜解析了单线态的对映几何结构，并通过扫描隧道显微镜绘制了它们的螺旋轨道密度。一个在一次循环中旋转90°的螺旋、非平面单线态的π轨道基底与半莫比乌斯拓扑一致。在这种拓扑中，π轨道基底相对于两次环绕改变符号，并且相对于四次环绕是周期性的。具有这种边界条件的环上的准粒子可以被解释为携带π/2的贝里相位。我们展示了在两个相反穿线的半莫比乌斯拓扑单线态和平面、拓扑上平凡的三线态之间的拓扑可逆切换。包括在量子硬件上执行的大规模、基于样本的从头计算的多参考计算揭示了这种切换与螺旋伪-简-泰勒效应相关。</w:t>
      </w:r>
    </w:p>
    <w:p>
      <w:pPr>
        <w:spacing w:before="0" w:after="200" w:lineRule="auto" w:line="276"/>
      </w:pPr>
      <w:r>
        <w:rPr>
          <w:b/>
        </w:rPr>
        <w:t xml:space="preserve">Abstract (EN): </w:t>
      </w:r>
      <w:r>
        <w:t>Stereoisomers of C</w:t>
      </w:r>
      <w:r>
        <w:rPr>
          <w:vertAlign w:val="subscript"/>
        </w:rPr>
        <w:t>13</w:t>
      </w:r>
      <w:r>
        <w:t>Cl</w:t>
      </w:r>
      <w:r>
        <w:rPr>
          <w:vertAlign w:val="subscript"/>
        </w:rPr>
        <w:t>2</w:t>
      </w:r>
      <w:r>
        <w:t>exhibiting helical orbitals around a ring of carbon atoms were synthesized by atom manipulation on NaCl surfaces. We resolved the enantiomeric geometries of the singlet states by atomic force microscopy and mapped their helical orbital densities by scanning tunneling microscopy. A π-orbital basis of the helical, nonplanar singlets that twists by 90° in one circulation is consistent with a half-Möbius topology. In such a topology, the π-orbital basis changes sign with respect to two circumnavigations and is periodic with respect to four circumnavigations. A quasiparticle on a ring with this boundary condition could be interpreted as carrying a Berry phase of π/2. We demonstrate reversible switching of the topology between the two singlets of oppositely threaded half-Möbius topology and the planar, topologically trivial triplet state. Multireference calculations, including large-scale, sample-based ab initio calculations executed on quantum hardware, revealed that the switching is associated with a helical pseudo–Jahn-Teller effect.</w:t>
      </w:r>
    </w:p>
    <w:p>
      <w:pPr>
        <w:spacing w:before="120" w:after="120"/>
      </w:pPr>
      <w:r>
        <w:rPr>
          <w:sz w:val="18"/>
        </w:rPr>
        <w:t>——————————————————————————————————————————————————————————————————————</w:t>
      </w:r>
    </w:p>
    <w:p>
      <w:pPr>
        <w:spacing w:before="160" w:after="40" w:line="240" w:lineRule="auto"/>
      </w:pPr>
      <w:r>
        <w:rPr>
          <w:b/>
        </w:rPr>
        <w:t xml:space="preserve">[453] </w:t>
      </w:r>
      <w:hyperlink r:id="rId1024">
        <w:r>
          <w:rPr>
            <w:color w:val="1155CC"/>
            <w:u w:val="single"/>
          </w:rPr>
          <w:t>关于报告“抗菌凝集素RegIIIγ促进肠道微生物群与宿主的空间分离”的勘误</w:t>
        </w:r>
      </w:hyperlink>
    </w:p>
    <w:p>
      <w:pPr>
        <w:spacing w:before="0" w:after="80"/>
      </w:pPr>
      <w:r>
        <w:rPr>
          <w:i/>
          <w:sz w:val="20"/>
        </w:rPr>
        <w:t>EN: Erratum for the Report “The Antibacterial Lectin RegIIIγ Promotes the Spatial Segregation of Microbiota and Host in the Intestine”</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25">
        <w:r>
          <w:rPr>
            <w:color w:val="1155CC"/>
            <w:u w:val="single"/>
          </w:rPr>
          <w:t>10.1126/science.aei3444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[454] </w:t>
      </w:r>
      <w:hyperlink r:id="rId1026">
        <w:r>
          <w:rPr>
            <w:color w:val="1155CC"/>
            <w:u w:val="single"/>
          </w:rPr>
          <w:t>短RNA伴侣促进抗聚集的TDP-43构象以减轻神经退行性变</w:t>
        </w:r>
      </w:hyperlink>
    </w:p>
    <w:p>
      <w:pPr>
        <w:spacing w:before="0" w:after="80"/>
      </w:pPr>
      <w:r>
        <w:rPr>
          <w:i/>
          <w:sz w:val="20"/>
        </w:rPr>
        <w:t>EN: Short RNA chaperones promote aggregation-resistant TDP-43 conformers to mitigate neurodegeneration</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27">
        <w:r>
          <w:rPr>
            <w:color w:val="1155CC"/>
            <w:u w:val="single"/>
          </w:rPr>
          <w:t>10.1126/science.adv3301</w:t>
        </w:r>
      </w:hyperlink>
    </w:p>
    <w:p>
      <w:pPr>
        <w:spacing w:before="0" w:after="120"/>
      </w:pPr>
      <w:r>
        <w:rPr>
          <w:b/>
        </w:rPr>
        <w:t xml:space="preserve">Notes: </w:t>
      </w:r>
      <w:r>
        <w:t>abstract_source=crossref</w:t>
      </w:r>
    </w:p>
    <w:p>
      <w:pPr>
        <w:spacing w:before="0" w:after="80" w:lineRule="auto" w:line="276"/>
      </w:pPr>
      <w:r>
        <w:rPr>
          <w:b/>
        </w:rPr>
        <w:t xml:space="preserve">摘要（ZH）: </w:t>
      </w:r>
      <w:r>
        <w:t>异常聚集的朊病毒样RNA结合蛋白TDP-43导致多种致命的神经退行性蛋白病，包括肌萎缩侧索硬化症（ALS）。在这项工作中，我们定义了短而特定的RNA如何溶解TDP-43。这些短RNA结合并稳定TDP-43的RNA识别基序，变构地破坏了朊病毒样结构域中的一个保守螺旋区域，从而促进了抗聚集构象。序列空间挖掘识别出具有增强活性的短RNA伴侣，针对TDP-43和疾病相关变体。增强的短RNA伴侣在光遗传学模型和ALS患者衍生的以及对照运动神经元中缓解了异常的TDP-43表型。在具有细胞质TDP-43聚集和运动神经元丧失的小鼠中，增强的短RNA伴侣减少了病理性聚集，恢复了TDP-43功能，并提供了神经保护。这些结果定义了RNA为基础的策略对抗TDP-43蛋白病的机制和治疗框架。</w:t>
      </w:r>
    </w:p>
    <w:p>
      <w:pPr>
        <w:spacing w:before="0" w:after="200" w:lineRule="auto" w:line="276"/>
      </w:pPr>
      <w:r>
        <w:rPr>
          <w:b/>
        </w:rPr>
        <w:t xml:space="preserve">Abstract (EN): </w:t>
      </w:r>
      <w:r>
        <w:t>Aberrant aggregation of the prion-like RNA binding protein TDP-43 drives several fatal neurodegenerative proteinopathies, including amyotrophic lateral sclerosis (ALS). In this work, we define how short, specific RNAs solubilize TDP-43. These short RNAs engage and stabilize the TDP-43 RNA recognition motifs, which allosterically destabilizes a conserved helical region in the prion-like domain, thereby promoting aggregation-resistant conformers. Sequence-space mining identified short RNA chaperones with enhanced activity against TDP-43 and disease-linked variants. Enhanced short RNA chaperones mitigated aberrant TDP-43 phenotypes in optogenetic models and in ALS patient–derived and control motor neurons. In mice with cytoplasmic TDP-43 aggregation and motor neuron loss, an enhanced short RNA chaperone reduced pathological aggregation, restored TDP-43 function, and conferred neuroprotection. These results define a mechanistic and therapeutic framework for RNA-based strategies to counter TDP-43 proteinopathies.</w:t>
      </w:r>
    </w:p>
    <w:p>
      <w:pPr>
        <w:spacing w:before="120" w:after="120"/>
      </w:pPr>
      <w:r>
        <w:rPr>
          <w:sz w:val="18"/>
        </w:rPr>
        <w:t>——————————————————————————————————————————————————————————————————————</w:t>
      </w:r>
    </w:p>
    <w:p>
      <w:pPr>
        <w:spacing w:before="160" w:after="40" w:line="240" w:lineRule="auto"/>
      </w:pPr>
      <w:r>
        <w:rPr>
          <w:b/>
        </w:rPr>
        <w:t xml:space="preserve">[455] </w:t>
      </w:r>
      <w:hyperlink r:id="rId1028">
        <w:r>
          <w:rPr>
            <w:color w:val="1155CC"/>
            <w:u w:val="single"/>
          </w:rPr>
          <w:t>停搏液的选择影响人类心脏组织的代谢组学</w:t>
        </w:r>
      </w:hyperlink>
    </w:p>
    <w:p>
      <w:pPr>
        <w:spacing w:before="0" w:after="80"/>
      </w:pPr>
      <w:r>
        <w:rPr>
          <w:i/>
          <w:sz w:val="20"/>
        </w:rPr>
        <w:t>EN: Choice of cardioplegia influences metabolomics of human cardiac tissue</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29">
        <w:r>
          <w:rPr>
            <w:color w:val="1155CC"/>
            <w:u w:val="single"/>
          </w:rPr>
          <w:t>10.1073/pnas.2602039123</w:t>
        </w:r>
      </w:hyperlink>
    </w:p>
    <w:p>
      <w:pPr>
        <w:spacing w:before="0" w:after="120"/>
      </w:pPr>
      <w:r>
        <w:rPr>
          <w:b/>
        </w:rPr>
        <w:t xml:space="preserve">Notes: </w:t>
      </w:r>
      <w:r>
        <w:t>abstract_source=crossref</w:t>
      </w:r>
    </w:p>
    <w:p>
      <w:pPr>
        <w:spacing w:before="0" w:after="80" w:lineRule="auto" w:line="276"/>
      </w:pPr>
      <w:r>
        <w:rPr>
          <w:b/>
        </w:rPr>
        <w:t xml:space="preserve">摘要（ZH）: </w:t>
      </w:r>
      <w:r>
        <w:t>心脏停搏液常用于获取人类心脏组织之前，以尽量减少温缺血时间，这可能严重影响心脏代谢研究。然而，心脏停搏液有多种选择，这些溶液是否对组织代谢或代谢组学研究产生不同影响尚不清楚。在此，我们对因心肌病移植或来自生命礼物捐赠者的大量心脏进行非靶向代谢组学研究，使用液相色谱-质谱和气相色谱-质谱，并接受不同的心脏停搏液。我们表明，不同的心脏停搏液对心脏代谢和组织代谢组学研究有不同的影响。值得注意的是，这些差异相对于比较衰竭与非衰竭心脏时的差异较小，并且在质谱中识别心脏停搏液成分应能使条件变化的解释更加严格。这些数据展示了心脏停搏液如何可能影响人类心脏样本中的心脏代谢，并强调在研究人类心脏代谢时报告心脏停搏液使用的具体细节的必要性。</w:t>
      </w:r>
    </w:p>
    <w:p>
      <w:pPr>
        <w:spacing w:before="0" w:after="200" w:lineRule="auto" w:line="276"/>
      </w:pPr>
      <w:r>
        <w:rPr>
          <w:b/>
        </w:rPr>
        <w:t xml:space="preserve">Abstract (EN): </w:t>
      </w:r>
      <w:r>
        <w:t>Cardioplegia is often used prior to acquisition of human cardiac tissue to minimize warm ischemia time, which can severely confound studies of cardiac metabolism. However, there are several choices of cardioplegia solutions, and whether these solutions differentially impact tissue metabolism or metabolomic studies is not known. Here, we perform untargeted metabolomics, using both liquid chromatography–mass spectrometry and gas chromatography–mass spectrometry, on a large cohort of hearts transplanted for cardiomyopathy or from gift-of-life donors, and who have received different cardioplegia solutions. We show that different cardioplegia solutions distinctly impact cardiac metabolism and tissue metabolomic studies. Notably, these differences are mild relative to those seen comparing failing to nonfailing hearts, and identification of cardioplegia components in mass spectra should enable rigorous interpretation of changes between conditions. These data demonstrate how cardioplegia solutions may influence cardiac metabolism in human heart samples and underscore the need to report specific details of cardioplegia solution use in studies of human cardiac metabolism.</w:t>
      </w:r>
    </w:p>
    <w:p>
      <w:pPr>
        <w:spacing w:before="120" w:after="120"/>
      </w:pPr>
      <w:r>
        <w:rPr>
          <w:sz w:val="18"/>
        </w:rPr>
        <w:t>——————————————————————————————————————————————————————————————————————</w:t>
      </w:r>
    </w:p>
    <w:p>
      <w:pPr>
        <w:spacing w:before="160" w:after="40" w:line="240" w:lineRule="auto"/>
      </w:pPr>
      <w:r>
        <w:rPr>
          <w:b/>
        </w:rPr>
        <w:t xml:space="preserve">[456] </w:t>
      </w:r>
      <w:hyperlink r:id="rId1030">
        <w:r>
          <w:rPr>
            <w:color w:val="1155CC"/>
            <w:u w:val="single"/>
          </w:rPr>
          <w:t>竞争性反应性驱动多金属纳米晶体的尺寸和成分聚焦</w:t>
        </w:r>
      </w:hyperlink>
    </w:p>
    <w:p>
      <w:pPr>
        <w:spacing w:before="0" w:after="80"/>
      </w:pPr>
      <w:r>
        <w:rPr>
          <w:i/>
          <w:sz w:val="20"/>
        </w:rPr>
        <w:t>EN: Competitive reactivity drives size- and composition-focusing in multimetallic nanocrystals</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31">
        <w:r>
          <w:rPr>
            <w:color w:val="1155CC"/>
            <w:u w:val="single"/>
          </w:rPr>
          <w:t>10.1126/science.aea8044</w:t>
        </w:r>
      </w:hyperlink>
    </w:p>
    <w:p>
      <w:pPr>
        <w:spacing w:before="0" w:after="120"/>
      </w:pPr>
      <w:r>
        <w:rPr>
          <w:b/>
        </w:rPr>
        <w:t xml:space="preserve">Notes: </w:t>
      </w:r>
      <w:r>
        <w:t>abstract_source=crossref</w:t>
      </w:r>
    </w:p>
    <w:p>
      <w:pPr>
        <w:spacing w:before="0" w:after="80" w:lineRule="auto" w:line="276"/>
      </w:pPr>
      <w:r>
        <w:rPr>
          <w:b/>
        </w:rPr>
        <w:t xml:space="preserve">摘要（ZH）: </w:t>
      </w:r>
      <w:r>
        <w:t>多金属纳米晶体（NCs）通过其组成金属之间的协同作用提供了独特的性质。尽管胶体化学可以控制尺寸和组成，但金属前体之间的竞争反应性常常使复杂NCs的合成变得复杂。在这项研究中，我们系统地阐明了如何利用溶液中不同金属的竞争反应性来合成均匀的五金属NCs，尽管存在众多竞争途径。机制研究揭示了异质二聚体作为关键中间体，通过选择性成核介导进一步的金属掺入。值得注意的是，添加更多金属抑制了均相成核，导致尺寸和组成聚焦，产生具有独特多金属域的复杂NCs。当被支持时，这些NCs表现出优异的热稳定性和氨分解催化活性，为设计用于能源相关应用的复杂纳米材料提供了一种有前途的策略。</w:t>
      </w:r>
    </w:p>
    <w:p>
      <w:pPr>
        <w:spacing w:before="0" w:after="200" w:lineRule="auto" w:line="276"/>
      </w:pPr>
      <w:r>
        <w:rPr>
          <w:b/>
        </w:rPr>
        <w:t xml:space="preserve">Abstract (EN): </w:t>
      </w:r>
      <w:r>
        <w:t>Multimetallic nanocrystals (NCs) offer distinctive properties driven by synergistic interactions among their constituent metals. Although colloidal chemistry enables control over size and composition, competing reactivities among metal precursors often complicate the synthesis of complex NCs. In this study, we systematically elucidate how the competitive reactivity of different metals in solution can be exploited to synthesize uniform pentametallic NCs despite numerous competing pathways. Mechanistic studies reveal heterodimers as key intermediates that mediate further metal incorporation through selective nucleation. Notably, the addition of more metals suppresses homogeneous nucleation, resulting in size- and composition-focusing to produce complex NCs with distinct multimetallic domains. When supported, these NCs show excellent thermal stability and catalytic activity for ammonia decomposition, offering a promising strategy for designing complex nanomaterials for energy-related applications.</w:t>
      </w:r>
    </w:p>
    <w:p>
      <w:pPr>
        <w:spacing w:before="120" w:after="120"/>
      </w:pPr>
      <w:r>
        <w:rPr>
          <w:sz w:val="18"/>
        </w:rPr>
        <w:t>——————————————————————————————————————————————————————————————————————</w:t>
      </w:r>
    </w:p>
    <w:p>
      <w:pPr>
        <w:spacing w:before="160" w:after="40" w:line="240" w:lineRule="auto"/>
      </w:pPr>
      <w:r>
        <w:rPr>
          <w:b/>
        </w:rPr>
        <w:t xml:space="preserve">[457] </w:t>
      </w:r>
      <w:hyperlink r:id="rId1032">
        <w:r>
          <w:rPr>
            <w:color w:val="1155CC"/>
            <w:u w:val="single"/>
          </w:rPr>
          <w:t>金属间纳米组装促进系统性STING激活</w:t>
        </w:r>
      </w:hyperlink>
    </w:p>
    <w:p>
      <w:pPr>
        <w:spacing w:before="0" w:after="80"/>
      </w:pPr>
      <w:r>
        <w:rPr>
          <w:i/>
          <w:sz w:val="20"/>
        </w:rPr>
        <w:t>EN: Intermetallic nanoassemblies potentiate systemic STING activation</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33">
        <w:r>
          <w:rPr>
            <w:color w:val="1155CC"/>
            <w:u w:val="single"/>
          </w:rPr>
          <w:t>10.1126/science.adx1893</w:t>
        </w:r>
      </w:hyperlink>
    </w:p>
    <w:p>
      <w:pPr>
        <w:spacing w:before="0" w:after="120"/>
      </w:pPr>
      <w:r>
        <w:rPr>
          <w:b/>
        </w:rPr>
        <w:t xml:space="preserve">Notes: </w:t>
      </w:r>
      <w:r>
        <w:t>abstract_source=crossref</w:t>
      </w:r>
    </w:p>
    <w:p>
      <w:pPr>
        <w:spacing w:before="0" w:after="80" w:lineRule="auto" w:line="276"/>
      </w:pPr>
      <w:r>
        <w:rPr>
          <w:b/>
        </w:rPr>
        <w:t xml:space="preserve">摘要（ZH）: </w:t>
      </w:r>
      <w:r>
        <w:t>自然系统利用金属离子形成有序结构，以调节生物过程，启发了纳米治疗剂的合理设计。环鸟苷单磷酸-腺苷单磷酸合酶-干扰素基因刺激因子（cGAS-STING）通路驱动抗肿瘤免疫，但由于药理学差和毒性，系统性激活一直很困难。在此，我们报告了一种结构有序的金属间纳米颗粒CRYSTAL，用于强效的系统性STING激活。CRYSTAL由锰离子与环二核苷酸插层自组装而成，实现了精确的结构控制。在超低静脉注射剂量（0.003毫克每千克）下，CRYSTAL在小鼠、狗和非人灵长类动物中激活了STING，而没有引发细胞因子释放综合征。CRYSTAL在高级小鼠和兔模型中诱导了强烈的肿瘤退化，重塑了免疫抑制环境，并促进了宿主STING依赖的CD8+ T细胞启动。CRYSTAL在人体头颈部鳞状细胞癌活检中激活了干扰素反应，强调了其在癌症免疫治疗中的转化潜力。</w:t>
      </w:r>
    </w:p>
    <w:p>
      <w:pPr>
        <w:spacing w:before="0" w:after="200" w:lineRule="auto" w:line="276"/>
      </w:pPr>
      <w:r>
        <w:rPr>
          <w:b/>
        </w:rPr>
        <w:t xml:space="preserve">Abstract (EN): </w:t>
      </w:r>
      <w:r>
        <w:t>Natural systems use metal ions to form ordered structures that regulate biological processes, inspiring the rational design of nanotherapeutics. The cyclic guanosine monophosphate–adenosine monophosphate synthase–stimulator of interferon genes (cGAS-STING) pathway drives antitumor immunity but has been difficult to activate systemically owing to poor pharmacology and toxicity. Here, we report CRYSTAL, a structurally ordered intermetallic nanoparticle for potent systemic STING activation. CRYSTAL self-assembles from manganese ions intercalated with cyclic dinucleotides, enabling precise structural control. At an ultralow intravenous dose (0.003 milligrams per kilogram), CRYSTAL activated STING in mice, dogs, and nonhuman primates without cytokine release syndrome. CRYSTAL induced robust tumor regression in advanced murine and rabbit models, remodeled immunosuppressive environments, and promoted host STING–dependent CD8</w:t>
      </w:r>
      <w:r>
        <w:t xml:space="preserve"> </w:t>
      </w:r>
      <w:r>
        <w:t>+</w:t>
      </w:r>
      <w:r>
        <w:t xml:space="preserve"> </w:t>
      </w:r>
      <w:r>
        <w:t>T cell priming. CRYSTAL activated interferon responses in human head and neck squamous cell carcinoma biopsies, underscoring its translational potential for cancer immunotherapy.</w:t>
      </w:r>
    </w:p>
    <w:p>
      <w:pPr>
        <w:spacing w:before="120" w:after="120"/>
      </w:pPr>
      <w:r>
        <w:rPr>
          <w:sz w:val="18"/>
        </w:rPr>
        <w:t>——————————————————————————————————————————————————————————————————————</w:t>
      </w:r>
    </w:p>
    <w:p>
      <w:pPr>
        <w:spacing w:before="160" w:after="40" w:line="240" w:lineRule="auto"/>
      </w:pPr>
      <w:r>
        <w:rPr>
          <w:b/>
        </w:rPr>
        <w:t xml:space="preserve">[458] </w:t>
      </w:r>
      <w:hyperlink r:id="rId1034">
        <w:r>
          <w:rPr>
            <w:color w:val="1155CC"/>
            <w:u w:val="single"/>
          </w:rPr>
          <w:t>额叶运动皮层的簇状树突促进灵活学习</w:t>
        </w:r>
      </w:hyperlink>
    </w:p>
    <w:p>
      <w:pPr>
        <w:spacing w:before="0" w:after="80"/>
      </w:pPr>
      <w:r>
        <w:rPr>
          <w:i/>
          <w:sz w:val="20"/>
        </w:rPr>
        <w:t>EN: Tuft dendrites in frontal motor cortex enable flexible learning</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35">
        <w:r>
          <w:rPr>
            <w:color w:val="1155CC"/>
            <w:u w:val="single"/>
          </w:rPr>
          <w:t>10.1126/science.adx4358</w:t>
        </w:r>
      </w:hyperlink>
    </w:p>
    <w:p>
      <w:pPr>
        <w:spacing w:before="0" w:after="120"/>
      </w:pPr>
      <w:r>
        <w:rPr>
          <w:b/>
        </w:rPr>
        <w:t xml:space="preserve">Notes: </w:t>
      </w:r>
      <w:r>
        <w:t>abstract_source=crossref</w:t>
      </w:r>
    </w:p>
    <w:p>
      <w:pPr>
        <w:spacing w:before="0" w:after="80" w:lineRule="auto" w:line="276"/>
      </w:pPr>
      <w:r>
        <w:rPr>
          <w:b/>
        </w:rPr>
        <w:t xml:space="preserve">摘要（ZH）: </w:t>
      </w:r>
      <w:r>
        <w:t>灵活学习依赖于整合感官和背景信息，以在不同环境中调整行为输出。前外侧运动皮层（ALM）是啮齿动物中对动作选择至关重要的额叶区域。我们发现对决策至关重要的输入在ALM中层5b锥体神经元的顶端树突上汇聚。因此，我们研究了这些树突在规则切换范式中的作用。激活抑制树突的层1中间神经元会损害重新学习，而不影响先前学到的行为。这种抑制深刻地抑制了树突轴中的全局钙活动，但不影响脊柱中的局部瞬变，同时还减少了爆发性放电。此外，顶端树突的兴奋性突触输入表现出规则依赖的聚集。我们得出结论，树突钙信号是灵活学习的关键计算组成部分。</w:t>
      </w:r>
    </w:p>
    <w:p>
      <w:pPr>
        <w:spacing w:before="0" w:after="200" w:lineRule="auto" w:line="276"/>
      </w:pPr>
      <w:r>
        <w:rPr>
          <w:b/>
        </w:rPr>
        <w:t xml:space="preserve">Abstract (EN): </w:t>
      </w:r>
      <w:r>
        <w:t>Flexible learning relies on integrating sensory and contextual information to adjust behavioral output in different environments. The anterolateral motor cortex (ALM) is a frontal area critical for action selection in rodents. We found that inputs critical to decision-making converge on the apical tuft dendrites of layer 5b pyramidal neurons in ALM. We therefore investigated the role of these dendrites in a rule-switching paradigm. Activation of dendrite-inhibiting layer 1 interneurons impaired relearning, without affecting previously learned behavior. This inhibition profoundly suppressed global calcium activity in dendritic shafts but not local transients in spines, while additionally reducing burst firing. Moreover, excitatory synaptic inputs to tuft dendrites exhibited rule-dependent clustering. We conclude that dendritic calcium signaling is a key computational component of flexible learning.</w:t>
      </w:r>
    </w:p>
    <w:p>
      <w:pPr>
        <w:spacing w:before="120" w:after="120"/>
      </w:pPr>
      <w:r>
        <w:rPr>
          <w:sz w:val="18"/>
        </w:rPr>
        <w:t>——————————————————————————————————————————————————————————————————————</w:t>
      </w:r>
    </w:p>
    <w:p>
      <w:pPr>
        <w:spacing w:before="160" w:after="40" w:line="240" w:lineRule="auto"/>
      </w:pPr>
      <w:r>
        <w:rPr>
          <w:b/>
        </w:rPr>
        <w:t xml:space="preserve">[459] </w:t>
      </w:r>
      <w:hyperlink r:id="rId1036">
        <w:r>
          <w:rPr>
            <w:color w:val="1155CC"/>
            <w:u w:val="single"/>
          </w:rPr>
          <w:t>PKA选择性抑制剂捕获PKA催化亚基的开放但更有序构象</w:t>
        </w:r>
      </w:hyperlink>
    </w:p>
    <w:p>
      <w:pPr>
        <w:spacing w:before="0" w:after="80"/>
      </w:pPr>
      <w:r>
        <w:rPr>
          <w:i/>
          <w:sz w:val="20"/>
        </w:rPr>
        <w:t>EN: A PKA-selective inhibitor captures an open but more ordered conformation of the PKA catalytic subunit</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37">
        <w:r>
          <w:rPr>
            <w:color w:val="1155CC"/>
            <w:u w:val="single"/>
          </w:rPr>
          <w:t>10.1073/pnas.2536312123</w:t>
        </w:r>
      </w:hyperlink>
    </w:p>
    <w:p>
      <w:pPr>
        <w:spacing w:before="0" w:after="120"/>
      </w:pPr>
      <w:r>
        <w:rPr>
          <w:b/>
        </w:rPr>
        <w:t xml:space="preserve">Notes: </w:t>
      </w:r>
      <w:r>
        <w:t>abstract_source=crossref</w:t>
      </w:r>
    </w:p>
    <w:p>
      <w:pPr>
        <w:spacing w:before="0" w:after="80" w:lineRule="auto" w:line="276"/>
      </w:pPr>
      <w:r>
        <w:rPr>
          <w:b/>
        </w:rPr>
        <w:t xml:space="preserve">摘要（ZH）: </w:t>
      </w:r>
      <w:r>
        <w:t>cAMP依赖性蛋白激酶（PKA-C）的催化亚基结构是蛋白激酶超家族的原型，为靶向激酶抑制剂的开发奠定了基础。在此，我们描述了PKA-C与BLU0588（一种小型PKA选择性抑制剂）的复合物的结构和生物物理特征。高分辨率晶体结构不仅捕捉了抑制剂不寻常的T形几何形状，还展示了BLU0588的四个环如何作为ATP腺苷和磷酸组织位点的替代物。每个位点包含两个子位点。BLU0588的平面氮杂吲哚和吡啶环埋藏在活性位点裂缝底部的疏水壳中，填充了腺嘌呤和核糖子位点。相反，BLU0588的茚和吡咯烷环填充了磷酸组织位点。茚环占据α/β-磷酸组织位点，而吡咯烷环填充Mg/γ-磷酸组织位点。结构还展示了BLU0588如何在N-和C-叶的整个疏水结构中引发开放但稳定的构象。除了强效阻止磷酸转移活性外，BLU0588还消除了生理假底物抑制剂蛋白激酶抑制剂的协同高亲和力结合。通过表面等离子体驻留测量的BLU0588驻留时间贡献了其皮摩尔亲和力，并且与H89（一种常用但更具多样性的PKA抑制剂）不同。这些分子见解为解析组织提供了宝贵的框架。</w:t>
      </w:r>
    </w:p>
    <w:p>
      <w:pPr>
        <w:spacing w:before="0" w:after="200" w:lineRule="auto" w:line="276"/>
      </w:pPr>
      <w:r>
        <w:rPr>
          <w:b/>
        </w:rPr>
        <w:t xml:space="preserve">Abstract (EN): </w:t>
      </w:r>
      <w:r>
        <w:t>The structure of the catalytic subunit of cAMP-dependent protein kinase (PKA-C), a prototype for the protein kinase superfamily, laid the foundation for the development of targeted kinase inhibitors. Here we describe the structure and biophysical characterization of a PKA-C complex with BLU0588, a small PKA-selective inhibitor. The high-resolution crystal structure not only captures the inhibitor’s unusual T-shaped geometry, but also shows how the four rings of BLU0588 serve as surrogates for ATP’s adenosine and phosphate-organizing sites. Each site contains two subsites. BLU0588’s planar azaindole and pyridine rings, which are buried beneath the glycine-rich loop in a hydrophobic shell at the base of the active site cleft, fill the adenine and ribose subsites. In contrast, BLU0588’s indane and pyrrolidine rings fill the phosphate-organizing site. The indane ring occupies the α/β-phosphate organizing site while the pyrrolidine ring fills the Mg/γ-phosphate organizing site. The structure also shows how BLU0588 nucleates an open but stable conformation of the entire hydrophobic architecture of the N- and C-lobes. In addition to potently blocking phosphoryl transfer activity, BLU0588 also abolishes the synergistic high-affinity binding of the physiological pseudosubstrate inhibitor, protein kinase inhibitor. The residence time of BLU0588, measured by surface plasmon residence, contributes to its picomolar affinity and is distinct from H89, a commonly used but more promiscuous PKA inhibitor. These molecular insights provide a valuable framework for dissecting the organization of the active site cleft as well as different strategies for the rational design of more potent and selective kinase inhibitors in general.</w:t>
      </w:r>
    </w:p>
    <w:p>
      <w:pPr>
        <w:spacing w:before="120" w:after="120"/>
      </w:pPr>
      <w:r>
        <w:rPr>
          <w:sz w:val="18"/>
        </w:rPr>
        <w:t>——————————————————————————————————————————————————————————————————————</w:t>
      </w:r>
    </w:p>
    <w:p>
      <w:pPr>
        <w:spacing w:before="160" w:after="40" w:line="240" w:lineRule="auto"/>
      </w:pPr>
      <w:r>
        <w:rPr>
          <w:b/>
        </w:rPr>
        <w:t xml:space="preserve">[460] </w:t>
      </w:r>
      <w:hyperlink r:id="rId1038">
        <w:r>
          <w:rPr>
            <w:color w:val="1155CC"/>
            <w:u w:val="single"/>
          </w:rPr>
          <w:t>人类DHX29检测非最佳密码子使用以调节mRNA稳定性</w:t>
        </w:r>
      </w:hyperlink>
    </w:p>
    <w:p>
      <w:pPr>
        <w:spacing w:before="0" w:after="80"/>
      </w:pPr>
      <w:r>
        <w:rPr>
          <w:i/>
          <w:sz w:val="20"/>
        </w:rPr>
        <w:t>EN: Human DHX29 detects nonoptimal codon usage to regulate mRNA stability</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39">
        <w:r>
          <w:rPr>
            <w:color w:val="1155CC"/>
            <w:u w:val="single"/>
          </w:rPr>
          <w:t>10.1126/science.adw0288</w:t>
        </w:r>
      </w:hyperlink>
    </w:p>
    <w:p>
      <w:pPr>
        <w:spacing w:before="0" w:after="120"/>
      </w:pPr>
      <w:r>
        <w:rPr>
          <w:b/>
        </w:rPr>
        <w:t xml:space="preserve">Notes: </w:t>
      </w:r>
      <w:r>
        <w:t>abstract_source=crossref</w:t>
      </w:r>
    </w:p>
    <w:p>
      <w:pPr>
        <w:spacing w:before="0" w:after="80" w:lineRule="auto" w:line="276"/>
      </w:pPr>
      <w:r>
        <w:rPr>
          <w:b/>
        </w:rPr>
        <w:t xml:space="preserve">摘要（ZH）: </w:t>
      </w:r>
      <w:r>
        <w:t>同义密码子使用控制着原核和真核物种的全球基因表达。已知非最佳密码子会诱导信使RNA（mRNA）降解；然而，在人类细胞中，其潜在的分子机制仍然知之甚少。通过全基因组CRISPR筛选，我们确定了RNA结合蛋白DHX29是密码子依赖性基因表达的关键调节因子。冷冻电子显微镜和选择性核糖体分析显示，DHX29直接与翻译中的80S核糖体的A位入口相互作用，这是eEF1A•GTP•氨酰-tRNA三元复合物的结合位点，表明其在监测氨酰-tRNA采样中起作用。蛋白质组分析进一步揭示，DHX29招募GIGYF2•4EHP复合物以介导非最佳mRNA的全局抑制。这些发现建立了同义密码子使用与基因表达调控之间的机制联系。</w:t>
      </w:r>
    </w:p>
    <w:p>
      <w:pPr>
        <w:spacing w:before="0" w:after="200" w:lineRule="auto" w:line="276"/>
      </w:pPr>
      <w:r>
        <w:rPr>
          <w:b/>
        </w:rPr>
        <w:t xml:space="preserve">Abstract (EN): </w:t>
      </w:r>
      <w:r>
        <w:t>Synonymous codon usage controls global gene expression in both prokaryotic and eukaryotic species. Nonoptimal codons are known to induce messenger RNA (mRNA) decay; however, the underlying molecular mechanism remains poorly understood in human cells. Through genome-wide CRISPR screening, we identified the RNA binding protein DHX29 as a critical regulator of codon-dependent gene expression. Cryo–electron microscopy and selective ribosome profiling demonstrated that DHX29 directly interacts with the A-site entrance of the translating 80</w:t>
      </w:r>
      <w:r>
        <w:t xml:space="preserve"> </w:t>
      </w:r>
      <w:r>
        <w:t>S</w:t>
      </w:r>
      <w:r>
        <w:t xml:space="preserve"> </w:t>
      </w:r>
      <w:r>
        <w:t>ribosome, the binding site for the eEF1A•GTP•aminoacyl-tRNA ternary complex, suggesting a role in monitoring aminoacyl-tRNA sampling. Proteomic analysis further revealed that DHX29 recruits the GIGYF2•4EHP complex to mediate global suppression of nonoptimal mRNAs. These findings establish a mechanistic link between synonymous codon usage and the regulation of gene expression.</w:t>
      </w:r>
    </w:p>
    <w:p>
      <w:pPr>
        <w:spacing w:before="120" w:after="120"/>
      </w:pPr>
      <w:r>
        <w:rPr>
          <w:sz w:val="18"/>
        </w:rPr>
        <w:t>——————————————————————————————————————————————————————————————————————</w:t>
      </w:r>
    </w:p>
    <w:p>
      <w:pPr>
        <w:spacing w:before="160" w:after="40" w:line="240" w:lineRule="auto"/>
      </w:pPr>
      <w:r>
        <w:rPr>
          <w:b/>
        </w:rPr>
        <w:t xml:space="preserve">[461] </w:t>
      </w:r>
      <w:hyperlink r:id="rId1040">
        <w:r>
          <w:rPr>
            <w:color w:val="1155CC"/>
            <w:u w:val="single"/>
          </w:rPr>
          <w:t>比较逻辑回归的变量选择和模型平均方法</w:t>
        </w:r>
      </w:hyperlink>
    </w:p>
    <w:p>
      <w:pPr>
        <w:spacing w:before="0" w:after="80"/>
      </w:pPr>
      <w:r>
        <w:rPr>
          <w:i/>
          <w:sz w:val="20"/>
        </w:rPr>
        <w:t>EN: Comparing variable selection and model averaging methods for logistic regression</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41">
        <w:r>
          <w:rPr>
            <w:color w:val="1155CC"/>
            <w:u w:val="single"/>
          </w:rPr>
          <w:t>10.1073/pnas.2534552123</w:t>
        </w:r>
      </w:hyperlink>
    </w:p>
    <w:p>
      <w:pPr>
        <w:spacing w:before="0" w:after="120"/>
      </w:pPr>
      <w:r>
        <w:rPr>
          <w:b/>
        </w:rPr>
        <w:t xml:space="preserve">Notes: </w:t>
      </w:r>
      <w:r>
        <w:t>abstract_source=crossref</w:t>
      </w:r>
    </w:p>
    <w:p>
      <w:pPr>
        <w:spacing w:before="0" w:after="80" w:lineRule="auto" w:line="276"/>
      </w:pPr>
      <w:r>
        <w:rPr>
          <w:b/>
        </w:rPr>
        <w:t xml:space="preserve">摘要（ZH）: </w:t>
      </w:r>
      <w:r>
        <w:t>模型不确定性是二元结果统计模型（如逻辑回归）中的一个核心挑战，当不清楚应包含哪些预测变量时就会出现这种情况。已经提出了许多方法来解决逻辑回归中的这个问题，但在现实条件下它们的相对性能仍然知之甚少。因此，我们进行了一个预注册的、基于模拟的比较，比较了28种在模型不确定性下进行变量选择和推断的已建立方法，使用了11个涵盖不同样本大小和预测变量数量的实证数据集，在有分离和无分离的情况下。我们发现基于g–先验的贝叶斯模型平均（BMA）方法，特别是g=max(n,p^2)，在没有分离的情况下表现最强。当发生分离时，惩罚似然方法，尤其是LASSO，提供了最稳定的结果，而BMA与局部经验贝叶斯</w:t>
      </w:r>
    </w:p>
    <w:p>
      <w:pPr>
        <w:spacing w:before="0" w:after="200" w:lineRule="auto" w:line="276"/>
      </w:pPr>
      <w:r>
        <w:rPr>
          <w:b/>
        </w:rPr>
        <w:t xml:space="preserve">Abstract (EN): </w:t>
      </w:r>
      <w:r>
        <w:t>Model uncertainty is a central challenge in statistical models for binary outcomes such as logistic regression, arising when it is unclear which predictors should be included in the model. Many methods have been proposed to address this issue for logistic regression, but their relative performance under realistic conditions remains poorly understood. We therefore conducted a preregistered, simulation-based comparison of 28 established methods for variable selection and inference under model uncertainty, using 11 empirical datasets spanning a range of sample sizes and numbers of predictors, in cases both with and without separation. We found that Bayesian model averaging (BMA) methods based on</w:t>
      </w:r>
      <w:r>
        <w:t xml:space="preserve"> </w:t>
      </w:r>
      <w:r>
        <w:t>g</w:t>
      </w:r>
      <w:r>
        <w:t xml:space="preserve"> </w:t>
      </w:r>
      <w:r>
        <w:t>–priors, particularly</w:t>
      </w:r>
      <w:r>
        <w:t xml:space="preserve"> </w:t>
      </w:r>
      <w:r>
        <w:t>g</w:t>
      </w:r>
      <w:r>
        <w:t xml:space="preserve"> </w:t>
      </w:r>
      <w:r>
        <w:t>=</w:t>
      </w:r>
      <w:r>
        <w:t xml:space="preserve"> </w:t>
      </w:r>
      <w:r>
        <w:t>max</w:t>
      </w:r>
      <w:r>
        <w:t xml:space="preserve"> </w:t>
      </w:r>
      <w:r>
        <w:t>(</w:t>
      </w:r>
      <w:r>
        <w:t xml:space="preserve"> </w:t>
      </w:r>
      <w:r>
        <w:t>n</w:t>
      </w:r>
      <w:r>
        <w:t xml:space="preserve"> </w:t>
      </w:r>
      <w:r>
        <w:t>,</w:t>
      </w:r>
      <w:r>
        <w:t xml:space="preserve"> </w:t>
      </w:r>
      <w:r>
        <w:t>p</w:t>
      </w:r>
      <w:r>
        <w:rPr>
          <w:vertAlign w:val="subscript"/>
        </w:rPr>
        <w:t>2</w:t>
      </w:r>
      <w:r>
        <w:t xml:space="preserve"> </w:t>
      </w:r>
      <w:r>
        <w:t>)</w:t>
      </w:r>
      <w:r>
        <w:t xml:space="preserve"> </w:t>
      </w:r>
      <w:r>
        <w:t>, show the strongest overall performance when separation is absent. When separation occurs, penalized likelihood approaches, especially the LASSO, provide the most stable results, while BMA with the local empirical Bayes (EB-local) prior is competitive in both situations. These findings offer practical guidance for applied researchers on how to effectively address model uncertainty in logistic regression in modern empirical and machine learning research.</w:t>
      </w:r>
    </w:p>
    <w:p>
      <w:pPr>
        <w:spacing w:before="120" w:after="120"/>
      </w:pPr>
      <w:r>
        <w:rPr>
          <w:sz w:val="18"/>
        </w:rPr>
        <w:t>——————————————————————————————————————————————————————————————————————</w:t>
      </w:r>
    </w:p>
    <w:p>
      <w:pPr>
        <w:spacing w:before="160" w:after="40" w:line="240" w:lineRule="auto"/>
      </w:pPr>
      <w:r>
        <w:rPr>
          <w:b/>
        </w:rPr>
        <w:t xml:space="preserve">[462] </w:t>
      </w:r>
      <w:hyperlink r:id="rId1042">
        <w:r>
          <w:rPr>
            <w:color w:val="1155CC"/>
            <w:u w:val="single"/>
          </w:rPr>
          <w:t>力模式驱动听觉上皮中的准分层和分级组织尺度空间秩序</w:t>
        </w:r>
      </w:hyperlink>
    </w:p>
    <w:p>
      <w:pPr>
        <w:spacing w:before="0" w:after="80"/>
      </w:pPr>
      <w:r>
        <w:rPr>
          <w:i/>
          <w:sz w:val="20"/>
        </w:rPr>
        <w:t>EN: Force patterning drives quasistratification and graded tissue-scale spatial order in auditory epithelia</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43">
        <w:r>
          <w:rPr>
            <w:color w:val="1155CC"/>
            <w:u w:val="single"/>
          </w:rPr>
          <w:t>10.1073/pnas.2519341123</w:t>
        </w:r>
      </w:hyperlink>
    </w:p>
    <w:p>
      <w:pPr>
        <w:spacing w:before="0" w:after="120"/>
      </w:pPr>
      <w:r>
        <w:rPr>
          <w:b/>
        </w:rPr>
        <w:t xml:space="preserve">Notes: </w:t>
      </w:r>
      <w:r>
        <w:t>abstract_source=crossref</w:t>
      </w:r>
    </w:p>
    <w:p>
      <w:pPr>
        <w:spacing w:before="0" w:after="80" w:lineRule="auto" w:line="276"/>
      </w:pPr>
      <w:r>
        <w:rPr>
          <w:b/>
        </w:rPr>
        <w:t xml:space="preserve">摘要（ZH）: </w:t>
      </w:r>
      <w:r>
        <w:t>在发育过程中，协调的细胞行为推动上皮形态发生，形成对生理功能至关重要的精确三维结构。在由多种细胞类型组成的上皮中，这种协调如何产生仍不清楚。在此，我们研究了由感觉毛细胞（HCs）和非感觉支持细胞（SCs）组成的鸟类听觉上皮的发育。最初，HCs和SCs通过Notch–Delta信号传导排列成马赛克。随着发育的进行，HCs部分从上皮中挤出，在整个组织中建立了一个十倍的顶面面积梯度，并与SCs重新排列以形成近六边形的顺序。通过结合实验和三维顶点模型，我们表明SCs之间相对于HC–SC连接的顶端连接处的收缩性增加驱动了上皮平面内和顶–基轴上的空间组织。与实验结果一致，我们的模拟显示HC顶端面积扩展的系统性差异产生了HCs和SCs的相反协调运动，建立了HC顶端表面积和密度的梯度，同时保持均匀的六边形顺序。总之，这些结果表明，连接收缩性的空间模式协调了混合上皮平面和深度的细胞行为，产生了准分层结构和组织尺度的三维顺序。</w:t>
      </w:r>
    </w:p>
    <w:p>
      <w:pPr>
        <w:spacing w:before="0" w:after="200" w:lineRule="auto" w:line="276"/>
      </w:pPr>
      <w:r>
        <w:rPr>
          <w:b/>
        </w:rPr>
        <w:t xml:space="preserve">Abstract (EN): </w:t>
      </w:r>
      <w:r>
        <w:t>During development, coordinated cell behaviors drive epithelial morphogenesis toward precise three-dimensional architectures essential for physiological function. How such coordination arises in epithelia composed of multiple cell types remains unclear. Here, we study development of the avian auditory epithelium comprising sensory hair cells (HCs) and nonsensory supporting cells (SCs). Initially, HCs and SCs are arranged into mosaics by Notch–Delta signaling. As development proceeds, HCs partially extrude from the epithelium, establish a tenfold gradient in apical surface area across the tissue, and rearrange with SCs to form near-hexagonal order. Using experiments combined with a three-dimensional vertex model, we show that increased contractility at apical junctions between SCs relative to HC–SC junctions drives spatial organization both within the epithelial plane and along the apical–basal axis. Consistent with experimental findings, our simulation shows systematic differences in HC apical area expansion generate opposing coordinated movements of HCs and SCs, establishing gradients in HC apical surface area and density while maintaining uniform hexagonal order. Together, these results demonstrate that spatial patterning of junctional contractility coordinates cell behavior across both the plane and depth of a mixed epithelium, producing quasi-stratified architecture and tissue-scale three-dimensional order.</w:t>
      </w:r>
    </w:p>
    <w:p>
      <w:pPr>
        <w:spacing w:before="120" w:after="120"/>
      </w:pPr>
      <w:r>
        <w:rPr>
          <w:sz w:val="18"/>
        </w:rPr>
        <w:t>——————————————————————————————————————————————————————————————————————</w:t>
      </w:r>
    </w:p>
    <w:p>
      <w:pPr>
        <w:spacing w:before="160" w:after="40" w:line="240" w:lineRule="auto"/>
      </w:pPr>
      <w:r>
        <w:rPr>
          <w:b/>
        </w:rPr>
        <w:t xml:space="preserve">[463] </w:t>
      </w:r>
      <w:hyperlink r:id="rId1044">
        <w:r>
          <w:rPr>
            <w:color w:val="1155CC"/>
            <w:u w:val="single"/>
          </w:rPr>
          <w:t>低势垒氢键驱动无金属核苷酸还原酶中的长程自由基转移</w:t>
        </w:r>
      </w:hyperlink>
    </w:p>
    <w:p>
      <w:pPr>
        <w:spacing w:before="0" w:after="80"/>
      </w:pPr>
      <w:r>
        <w:rPr>
          <w:i/>
          <w:sz w:val="20"/>
        </w:rPr>
        <w:t>EN: Low-barrier hydrogen bond powers long-range radical transfer in the metal-free ribonucleotide reductase</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45">
        <w:r>
          <w:rPr>
            <w:color w:val="1155CC"/>
            <w:u w:val="single"/>
          </w:rPr>
          <w:t>10.1073/pnas.2529856123</w:t>
        </w:r>
      </w:hyperlink>
    </w:p>
    <w:p>
      <w:pPr>
        <w:spacing w:before="0" w:after="120"/>
      </w:pPr>
      <w:r>
        <w:rPr>
          <w:b/>
        </w:rPr>
        <w:t xml:space="preserve">Notes: </w:t>
      </w:r>
      <w:r>
        <w:t>abstract_source=crossref</w:t>
      </w:r>
    </w:p>
    <w:p>
      <w:pPr>
        <w:spacing w:before="0" w:after="80" w:lineRule="auto" w:line="276"/>
      </w:pPr>
      <w:r>
        <w:rPr>
          <w:b/>
        </w:rPr>
        <w:t xml:space="preserve">摘要（ZH）: </w:t>
      </w:r>
      <w:r>
        <w:t>核糖核苷酸还原酶（RNRs）催化核糖核苷酸（RNA）向脱氧核糖核苷酸（DNA）构建块的转化，这一过程由长距离（&gt;30 Å）质子耦合电子转移（PCET）启动，其机制原则仍存在许多争议。通过结合多尺度量子和经典模拟、定向诱变、X射线晶体学以及振动和电子顺磁共振光谱，我们在此阐明了无金属RNRs如何通过创建高度稳定的3,4-二羟基苯丙氨酸（DOPA）启动子自由基来启动长距离PCET过程的分子原理。我们表明，DOPA•通过低势垒氢键（LBHB）进行氧化还原调节，具有提供核糖核苷酸还原催化能力的离域质子。我们发现LBHB与扩展的氢键网络耦合，远处的突变导致自由基形成的丧失，并为RNRs中的长距离自由基传输机制提供了关键的分子见解。在一般层面上，我们的研究结果支持LBHB在蛋白质化学中的直接参与以及量子效应在酶催化中的重要性。</w:t>
      </w:r>
    </w:p>
    <w:p>
      <w:pPr>
        <w:spacing w:before="0" w:after="200" w:lineRule="auto" w:line="276"/>
      </w:pPr>
      <w:r>
        <w:rPr>
          <w:b/>
        </w:rPr>
        <w:t xml:space="preserve">Abstract (EN): </w:t>
      </w:r>
      <w:r>
        <w:t>Ribonucleotide reductases (RNRs) catalyze the conversion of ribonucleotide (RNA) to deoxyribonucleotide (DNA) building blocks initiated by a long-range (&amp;gt;30 Å) proton-coupled electron transfer (PCET) by mechanistic principles that remain much debated. By combining multiscale quantum and classical simulations with directed mutagenesis, X-ray crystallography, and vibrational and electron paramagnetic resonance spectroscopy, we elucidate here the molecular principles underlying how metal-free RNRs initiate the long-range PCET process by creating a highly stable 3,4-dihydroxyphenylalanine (DOPA) initiator radical. We show that DOPA• is redox-tuned by a low-barrier hydrogen bond (LBHB), with a delocalized proton that provides the catalytic power for the ribonucleotide reduction. We find that the LBHB couples to an extended hydrogen-bonded network, with distant mutations resulting in the loss of radical formation, and providing key molecular insight into the long-range radical transport mechanism in RNRs. On a general level, our findings support the direct involvement of LBHB in protein chemistry and the importance of quantum effects in enzyme catalysis.</w:t>
      </w:r>
    </w:p>
    <w:p>
      <w:pPr>
        <w:spacing w:before="120" w:after="120"/>
      </w:pPr>
      <w:r>
        <w:rPr>
          <w:sz w:val="18"/>
        </w:rPr>
        <w:t>——————————————————————————————————————————————————————————————————————</w:t>
      </w:r>
    </w:p>
    <w:p>
      <w:pPr>
        <w:spacing w:before="160" w:after="40" w:line="240" w:lineRule="auto"/>
      </w:pPr>
      <w:r>
        <w:rPr>
          <w:b/>
        </w:rPr>
        <w:t xml:space="preserve">[464] </w:t>
      </w:r>
      <w:hyperlink r:id="rId1046">
        <w:r>
          <w:rPr>
            <w:color w:val="1155CC"/>
            <w:u w:val="single"/>
          </w:rPr>
          <w:t>海洋光捕获复合物2中光吸收和能量转移之间的权衡</w:t>
        </w:r>
      </w:hyperlink>
    </w:p>
    <w:p>
      <w:pPr>
        <w:spacing w:before="0" w:after="80"/>
      </w:pPr>
      <w:r>
        <w:rPr>
          <w:i/>
          <w:sz w:val="20"/>
        </w:rPr>
        <w:t>EN: Trade-offs between light absorption and energy transfer in a marine light-harvesting complex 2</w:t>
      </w:r>
    </w:p>
    <w:p>
      <w:pPr>
        <w:spacing w:before="0" w:after="120"/>
      </w:pPr>
      <w:r>
        <w:rPr>
          <w:b/>
        </w:rPr>
        <w:t xml:space="preserve">Source: </w:t>
      </w:r>
      <w:r>
        <w:t>Proceedings of the National Academy of Sciences: Keyword search for query</w:t>
      </w:r>
      <w:r>
        <w:t xml:space="preserve">    </w:t>
      </w:r>
      <w:r>
        <w:rPr>
          <w:b/>
        </w:rPr>
        <w:t xml:space="preserve">Pub date: </w:t>
      </w:r>
      <w:r>
        <w:t>2026-05-07 07:00:00+00:00</w:t>
      </w:r>
      <w:r>
        <w:t xml:space="preserve">    </w:t>
      </w:r>
      <w:r>
        <w:rPr>
          <w:b/>
        </w:rPr>
        <w:t xml:space="preserve">DOI: </w:t>
      </w:r>
      <w:hyperlink r:id="rId1047">
        <w:r>
          <w:rPr>
            <w:color w:val="1155CC"/>
            <w:u w:val="single"/>
          </w:rPr>
          <w:t>10.1073/pnas.2531363123</w:t>
        </w:r>
      </w:hyperlink>
    </w:p>
    <w:p>
      <w:pPr>
        <w:spacing w:before="0" w:after="120"/>
      </w:pPr>
      <w:r>
        <w:rPr>
          <w:b/>
        </w:rPr>
        <w:t xml:space="preserve">Notes: </w:t>
      </w:r>
      <w:r>
        <w:t>abstract_source=crossref</w:t>
      </w:r>
    </w:p>
    <w:p>
      <w:pPr>
        <w:spacing w:before="0" w:after="80" w:lineRule="auto" w:line="276"/>
      </w:pPr>
      <w:r>
        <w:rPr>
          <w:b/>
        </w:rPr>
        <w:t xml:space="preserve">摘要（ZH）: </w:t>
      </w:r>
      <w:r>
        <w:t>紫色细菌是一类多样化的光合生物，能够在各种生态环境中以高量子效率捕获和转换光能。它们通过一系列天线蛋白吸收光，主要是光捕获复合物2（LH2），并迅速将能量传输到反应中心，在那里发生电荷分离。LH2通常由八或九个亚基组成，每个亚基包含三个细菌叶绿素和一个类胡萝卜素。在海洋物种Marichromatium（Mch.）purpuratum中，LH2亚基结合了一个额外的类胡萝卜素，提高了在水下太阳光谱峰值的蓝光吸收。为了容纳额外的类胡萝卜素，Mch. purpuratum的LH2仅由七个亚基组成，这在已知的LH2中是独一无二的。使用超快瞬态吸收（TA）光谱、时间分辨荧光和稳态技术，我们研究了这些结构差异对Mch. purpuratum的LH2能量转移动力学的影响。我们的结果显示，相对于其他物种，LH2内的能量转移速率显著较慢，并且激发态多重态可能也会减慢LH2之间的能量转移。因此，Mch. purpuratum的LH2被调节以匹配其生态环境的太阳光谱，这表明这些天线蛋白的分子组织变化可能主要是为了最佳光吸收。</w:t>
      </w:r>
    </w:p>
    <w:p>
      <w:pPr>
        <w:spacing w:before="0" w:after="200" w:lineRule="auto" w:line="276"/>
      </w:pPr>
      <w:r>
        <w:rPr>
          <w:b/>
        </w:rPr>
        <w:t xml:space="preserve">Abstract (EN): </w:t>
      </w:r>
      <w:r>
        <w:t>Purple bacteria are a diverse group of photosynthetic organisms that can capture and convert light energy with high quantum efficiency across a variety of ecological niches. They absorb light via an array of antenna proteins, primarily light-harvesting complex 2 (LH2), and rapidly transport the energy to the reaction center, where charge separation occurs. LH2 typically consists of eight or nine subunits that each contain three bacteriochlorophyll and one carotenoid. In the marine species</w:t>
      </w:r>
      <w:r>
        <w:t xml:space="preserve"> </w:t>
      </w:r>
      <w:r>
        <w:t>Marichromatium (Mch.) purpuratum</w:t>
      </w:r>
      <w:r>
        <w:t xml:space="preserve"> </w:t>
      </w:r>
      <w:r>
        <w:t>, the LH2 subunits bind an additional carotenoid, boosting absorbance in the blue where the underwater solar spectrum peaks. In order to accommodate the additional carotenoid, LH2 from</w:t>
      </w:r>
      <w:r>
        <w:t xml:space="preserve"> </w:t>
      </w:r>
      <w:r>
        <w:t>Mch. purpuratum</w:t>
      </w:r>
      <w:r>
        <w:t xml:space="preserve"> </w:t>
      </w:r>
      <w:r>
        <w:t>consists of only seven subunits, unique among known LH2. Using ultrafast transient absorption (TA) spectroscopy, time-resolved fluorescence, and steady-state techniques, we investigated the effects of these structural differences on the energy transfer dynamics of LH2 from</w:t>
      </w:r>
      <w:r>
        <w:t xml:space="preserve"> </w:t>
      </w:r>
      <w:r>
        <w:t>Mch. purpuratum</w:t>
      </w:r>
      <w:r>
        <w:t xml:space="preserve"> </w:t>
      </w:r>
      <w:r>
        <w:t>. Our results show, relative to other species, significantly slower rates of energy transfer within LH2 and an excited-state manifold likely to also slow energy transfer between LH2. LH2 from</w:t>
      </w:r>
      <w:r>
        <w:t xml:space="preserve"> </w:t>
      </w:r>
      <w:r>
        <w:t>Mch. purpuratum</w:t>
      </w:r>
      <w:r>
        <w:t xml:space="preserve"> </w:t>
      </w:r>
      <w:r>
        <w:t>is therefore tuned to match the solar spectrum of its ecological niche, suggesting that the variations in the molecular organization of these antenna proteins may be primarily for optimal light absorption.</w:t>
      </w:r>
    </w:p>
    <w:p>
      <w:pPr>
        <w:spacing w:before="120" w:after="120"/>
      </w:pPr>
      <w:r>
        <w:rPr>
          <w:sz w:val="18"/>
        </w:rPr>
        <w:t>——————————————————————————————————————————————————————————————————————</w:t>
      </w:r>
    </w:p>
    <w:p>
      <w:pPr>
        <w:spacing w:before="160" w:after="40" w:line="240" w:lineRule="auto"/>
      </w:pPr>
      <w:r>
        <w:rPr>
          <w:b/>
        </w:rPr>
        <w:t xml:space="preserve">[465] </w:t>
      </w:r>
      <w:hyperlink r:id="rId1048">
        <w:r>
          <w:rPr>
            <w:color w:val="1155CC"/>
            <w:u w:val="single"/>
          </w:rPr>
          <w:t>由蛋白质语言模型和表观遗传相互作用指导的快速定向进化</w:t>
        </w:r>
      </w:hyperlink>
    </w:p>
    <w:p>
      <w:pPr>
        <w:spacing w:before="0" w:after="80"/>
      </w:pPr>
      <w:r>
        <w:rPr>
          <w:i/>
          <w:sz w:val="20"/>
        </w:rPr>
        <w:t>EN: Rapid directed evolution guided by protein language models and epistatic interactions</w:t>
      </w:r>
    </w:p>
    <w:p>
      <w:pPr>
        <w:spacing w:before="0" w:after="120"/>
      </w:pPr>
      <w:r>
        <w:rPr>
          <w:b/>
        </w:rPr>
        <w:t xml:space="preserve">Source: </w:t>
      </w:r>
      <w:r>
        <w:t>AAAS: Science: Table of Contents</w:t>
      </w:r>
      <w:r>
        <w:t xml:space="preserve">    </w:t>
      </w:r>
      <w:r>
        <w:rPr>
          <w:b/>
        </w:rPr>
        <w:t xml:space="preserve">Pub date: </w:t>
      </w:r>
      <w:r>
        <w:t>2026-05-07 07:00:00+00:00</w:t>
      </w:r>
      <w:r>
        <w:t xml:space="preserve">    </w:t>
      </w:r>
      <w:r>
        <w:rPr>
          <w:b/>
        </w:rPr>
        <w:t xml:space="preserve">DOI: </w:t>
      </w:r>
      <w:hyperlink r:id="rId1049">
        <w:r>
          <w:rPr>
            <w:color w:val="1155CC"/>
            <w:u w:val="single"/>
          </w:rPr>
          <w:t>10.1126/science.aea1820</w:t>
        </w:r>
      </w:hyperlink>
    </w:p>
    <w:p>
      <w:pPr>
        <w:spacing w:before="0" w:after="120"/>
      </w:pPr>
      <w:r>
        <w:rPr>
          <w:b/>
        </w:rPr>
        <w:t xml:space="preserve">Notes: </w:t>
      </w:r>
      <w:r>
        <w:t>abstract_source=crossref</w:t>
      </w:r>
    </w:p>
    <w:p>
      <w:pPr>
        <w:spacing w:before="0" w:after="80" w:lineRule="auto" w:line="276"/>
      </w:pPr>
      <w:r>
        <w:rPr>
          <w:b/>
        </w:rPr>
        <w:t xml:space="preserve">摘要（ZH）: </w:t>
      </w:r>
      <w:r>
        <w:t>蛋白质工程受到在高维序列空间中低效搜索以找到协同突变组合的限制。传统方法使用逐步突变叠加，而机器学习方法需要大量数据集或多轮实验，并受到昂贵且长度有限的基因合成的瓶颈限制。我们提出了MULTI-evolve（MULTI代表模型指导的、通用的、多突变体的定向安装），这是一种系统工程多突变体的快速进化框架。我们的方法结合蛋白质语言模型或现有功能数据与表观遗传建模来预测协同组合。通过MULTI-assembly构建建议的多突变体，这是一种使多千碱基序列高效组装的诱变方法。将MULTI-evolve应用于三种蛋白质，通过单轮机器学习指导的定向进化实现了高达10倍的改进。MULTI-evolve为广泛的蛋白质类型和功能提供了一种端到端的多突变体工程简化方法。</w:t>
      </w:r>
    </w:p>
    <w:p>
      <w:pPr>
        <w:spacing w:before="0" w:after="200" w:lineRule="auto" w:line="276"/>
      </w:pPr>
      <w:r>
        <w:rPr>
          <w:b/>
        </w:rPr>
        <w:t xml:space="preserve">Abstract (EN): </w:t>
      </w:r>
      <w:r>
        <w:t>Protein engineering is limited by the inefficient search through a high-dimensional sequence space to find combinations of synergistic mutations. Traditional approaches use stepwise mutation stacking, whereas machine learning methods require extensive datasets or multiple experimental rounds and are bottlenecked by costly, length-limited gene synthesis. We present MULTI-evolve (where MULTI stands for model-guided, universal, targeted installation of multimutants), a rapid evolution framework that systematically engineers multimutants. Our approach combines protein language models or existing functional data with epistatic modeling to predict synergistic combinations. Proposed multimutants are built through MULTI-assembly, a mutagenesis method enabling high-efficiency assembly across multikilobase sequences. Applying MULTI-evolve to three proteins achieved up to 10-fold improvements with a single round of machine learning–guided directed evolution. MULTI-evolve provides a streamlined approach for end-to-end, multimutant engineering for a broad range of protein types and functions.</w:t>
      </w:r>
    </w:p>
    <w:p>
      <w:pPr>
        <w:spacing w:before="120" w:after="120"/>
      </w:pPr>
      <w:r>
        <w:rPr>
          <w:sz w:val="18"/>
        </w:rPr>
        <w:t>——————————————————————————————————————————————————————————————————————</w:t>
      </w:r>
    </w:p>
    <w:p>
      <w:pPr>
        <w:spacing w:before="160" w:after="40" w:line="240" w:lineRule="auto"/>
      </w:pPr>
      <w:r>
        <w:rPr>
          <w:b/>
        </w:rPr>
        <w:t xml:space="preserve">[466] </w:t>
      </w:r>
      <w:hyperlink r:id="rId1050">
        <w:r>
          <w:rPr>
            <w:color w:val="1155CC"/>
            <w:u w:val="single"/>
          </w:rPr>
          <w:t>[ASAP] 手性转移、记忆和传感通过超分子手性辅助方法在纳米结构、互变异构前手性三苯并咪唑中激活</w:t>
        </w:r>
      </w:hyperlink>
    </w:p>
    <w:p>
      <w:pPr>
        <w:spacing w:before="0" w:after="80"/>
      </w:pPr>
      <w:r>
        <w:rPr>
          <w:i/>
          <w:sz w:val="20"/>
        </w:rPr>
        <w:t>EN: [ASAP] Chirality Transfer, Memory and Sensing Activated by a Supramolecular Chiral Auxiliary Approach in Nanostructured, Tautomerically Prochiral Triptycene-Fused Benzimidazoles</w:t>
      </w:r>
    </w:p>
    <w:p>
      <w:pPr>
        <w:spacing w:before="0" w:after="120"/>
      </w:pPr>
      <w:r>
        <w:rPr>
          <w:b/>
        </w:rPr>
        <w:t xml:space="preserve">Source: </w:t>
      </w:r>
      <w:r>
        <w:t>Journal of the American Chemical Society: Latest Articles (ACS Publications)</w:t>
      </w:r>
      <w:r>
        <w:t xml:space="preserve">    </w:t>
      </w:r>
      <w:r>
        <w:rPr>
          <w:b/>
        </w:rPr>
        <w:t xml:space="preserve">Pub date: </w:t>
      </w:r>
      <w:r>
        <w:t>2026-05-07 08:13:35+00:00</w:t>
      </w:r>
      <w:r>
        <w:t xml:space="preserve">    </w:t>
      </w:r>
      <w:r>
        <w:rPr>
          <w:b/>
        </w:rPr>
        <w:t xml:space="preserve">DOI: </w:t>
      </w:r>
      <w:hyperlink r:id="rId1051">
        <w:r>
          <w:rPr>
            <w:color w:val="1155CC"/>
            <w:u w:val="single"/>
          </w:rPr>
          <w:t>10.1021/jacs.6c03689</w:t>
        </w:r>
      </w:hyperlink>
    </w:p>
    <w:p>
      <w:pPr>
        <w:spacing w:before="0" w:after="120"/>
      </w:pPr>
      <w:r>
        <w:rPr>
          <w:b/>
        </w:rPr>
        <w:t xml:space="preserve">Notes: </w:t>
      </w:r>
      <w:r>
        <w:t>abstract_source=pubmed</w:t>
      </w:r>
    </w:p>
    <w:p>
      <w:pPr>
        <w:spacing w:before="0" w:after="80" w:lineRule="auto" w:line="276"/>
      </w:pPr>
      <w:r>
        <w:rPr>
          <w:b/>
        </w:rPr>
        <w:t xml:space="preserve">摘要（ZH）: </w:t>
      </w:r>
      <w:r>
        <w:t>我们报告了刺激响应、自适应有机手性纳米颗粒的合成和表征，这些纳米颗粒是通过使用“立体化学流体”的三苯并咪唑组装而成的，通过与光学纯酒石酸的非共价相互作用被手性光学激活，后者充当“超分子手性辅助剂”。在适当的实验条件下，手性超分子聚集体的形成表现出显著的手性光学特性（电子圆二色性，ECD，和圆偏振发光，CPL），并有可能实现其受控操作、状态之间的反转和手性记忆特性。此外，该纳米结构系统能够通过调节其手性光学特性选择性地检测Cu2+离子。通过这种方式，我们提供了一种前所未有的方法，将手性引入三苯并咪唑骨架，以组装尺寸为数百纳米的明确手性纳米颗粒，并可逆地存储手性信息和激活手性光学传感特性。</w:t>
      </w:r>
    </w:p>
    <w:p>
      <w:pPr>
        <w:spacing w:before="0" w:after="200" w:lineRule="auto" w:line="276"/>
      </w:pPr>
      <w:r>
        <w:rPr>
          <w:b/>
        </w:rPr>
        <w:t xml:space="preserve">Abstract (EN): </w:t>
      </w:r>
      <w:r>
        <w:t>We report the synthesis and characterization of stimuli responsive, adaptive organic chiral nanoparticles assembled using a "stereochemically fluid", triptycene-fused benzimidazole, which is chiroptically activated by the noncovalent interaction with enantiopure tartaric acid, acting as a "supramolecular chiral auxiliary". Under appropriate experimental conditions, the formation of chiral supramolecular aggregates exhibits remarkable chiroptical properties (electronic circular dichroism, ECD, and circularly polarized luminescence, CPL) with the possibility of addressing their controlled manipulation, reversion between the states, and chirality memory properties. Furthermore, the nanostructured system is capable of selective sensing of the Cu2+ ion through the modulation of its chiroptical properties. In this manner, we provide an unprecedented way to introduce chirality onto the triptycene skeleton to assemble well-defined chiral nanoparticles with dimensions of several hundred nanometers and to reversibly store chiral information and activate chiroptical sensing properties.</w:t>
      </w:r>
    </w:p>
    <w:p>
      <w:pPr>
        <w:spacing w:before="120" w:after="120"/>
      </w:pPr>
      <w:r>
        <w:rPr>
          <w:sz w:val="18"/>
        </w:rPr>
        <w:t>——————————————————————————————————————————————————————————————————————</w:t>
      </w:r>
    </w:p>
    <w:p>
      <w:pPr>
        <w:spacing w:before="160" w:after="40" w:line="240" w:lineRule="auto"/>
      </w:pPr>
      <w:r>
        <w:rPr>
          <w:b/>
        </w:rPr>
        <w:t xml:space="preserve">[467] </w:t>
      </w:r>
      <w:hyperlink r:id="rId1052">
        <w:r>
          <w:rPr>
            <w:color w:val="1155CC"/>
            <w:u w:val="single"/>
          </w:rPr>
          <w:t>[ASAP] 溶液中镝配合物的电子和核自旋动力学</w:t>
        </w:r>
      </w:hyperlink>
    </w:p>
    <w:p>
      <w:pPr>
        <w:spacing w:before="0" w:after="80"/>
      </w:pPr>
      <w:r>
        <w:rPr>
          <w:i/>
          <w:sz w:val="20"/>
        </w:rPr>
        <w:t>EN: [ASAP] Electron and Nuclear Spin Dynamics of a Dysprosium Complex in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2026-05-07 08:41:51+00:00</w:t>
      </w:r>
      <w:r>
        <w:t xml:space="preserve">    </w:t>
      </w:r>
      <w:r>
        <w:rPr>
          <w:b/>
        </w:rPr>
        <w:t xml:space="preserve">DOI: </w:t>
      </w:r>
      <w:hyperlink r:id="rId1053">
        <w:r>
          <w:rPr>
            <w:color w:val="1155CC"/>
            <w:u w:val="single"/>
          </w:rPr>
          <w:t>10.1021/jacs.5c20971</w:t>
        </w:r>
      </w:hyperlink>
    </w:p>
    <w:p>
      <w:pPr>
        <w:spacing w:before="0" w:after="120"/>
      </w:pPr>
      <w:r>
        <w:rPr>
          <w:b/>
        </w:rPr>
        <w:t xml:space="preserve">Notes: </w:t>
      </w:r>
      <w:r>
        <w:t>abstract_source=pubmed</w:t>
      </w:r>
    </w:p>
    <w:p>
      <w:pPr>
        <w:spacing w:before="0" w:after="80" w:lineRule="auto" w:line="276"/>
      </w:pPr>
      <w:r>
        <w:rPr>
          <w:b/>
        </w:rPr>
        <w:t xml:space="preserve">摘要（ZH）: </w:t>
      </w:r>
      <w:r>
        <w:t>镧系元素配合物在溶液中的电子自旋动力学及其对核自旋动力学的影响是包括用作高灵敏度MRI对比剂在内的关键应用的基础。然而，由于配体场势的复杂时间依赖性和标准假设的失败，这是一个极其困难的问题。事实上，溶液中的电子自旋动力学从未使用完全从头算方法进行研究，因此仍然理解不充分。在这项工作中，我们对溶液中的镝配合物进行了时域电子自旋动力学模拟，以解决这一难题并直接预测核自旋弛豫速率。所研究的系统是一个PARASHIFT剂，一种对比剂，通过调节电子自旋动力学有可能提高信号强度。配体场的变化通过一个90 ps的DFT分子动力学轨迹描述，并在每个时间步进行CASSCF-SO计算。我们的模拟与实验核自旋弛豫速率显示出极好的一致性，并提供了关于这一具有挑战性系统中电子自旋动力学的前所未有的细节，这与传统的Solomon-Bloembergen-Morgan理论有质的偏离。在低磁场下，核自旋弛豫主要由电子自旋动力学驱动，并可能通过配合物的振动动力学进行调节。在高磁场下，弛豫主要由居里机制主导，并对分子的旋转运动敏感。</w:t>
      </w:r>
    </w:p>
    <w:p>
      <w:pPr>
        <w:spacing w:before="0" w:after="200" w:lineRule="auto" w:line="276"/>
      </w:pPr>
      <w:r>
        <w:rPr>
          <w:b/>
        </w:rPr>
        <w:t xml:space="preserve">Abstract (EN): </w:t>
      </w:r>
      <w:r>
        <w:t>The electron spin dynamics of lanthanide complexes in solution and their influence on the nuclear spin dynamics underpin key applications including their use as highly sensitive MRI contrast agents. However, due to the complex time dependence of the ligand field potential and the failure of standard assumptions, this is an exceptionally difficult problem. In fact, the electron spin dynamics in solution have never been approached using fully ab initio methods and hence remain poorly understood. In this work, we perform time-domain electron spin dynamics simulations for a dysprosium complex in solution to tackle this difficult problem and directly predict nuclear spin relaxation rates. The system in question is a PARASHIFT agent, a type of contrast agent for which tuning the electron spin dynamics has the potential to improve signal intensity. The variation of the ligand field is described with a 90 ps DFT molecular dynamics trajectory with a CASSCF-SO calculation performed at each time step. Our simulations show excellent agreement with experimental nuclear spin relaxation rates and provide unprecedented detail on the electron spin dynamics in this challenging system, which deviate qualitatively from the traditional Solomon-Bloembergen-Morgan theory. At low magnetic field, nuclear spin relaxation is primarily driven by the electron spin dynamics and can potentially be tuned via the vibrational dynamics of the complex. At high magnetic fields, the relaxation it is dominated by the Curie mechanism and is instead sensitive to the rotational motion of the molecule.</w:t>
      </w:r>
    </w:p>
    <w:p>
      <w:pPr>
        <w:spacing w:before="120" w:after="120"/>
      </w:pPr>
      <w:r>
        <w:rPr>
          <w:sz w:val="18"/>
        </w:rPr>
        <w:t>——————————————————————————————————————————————————————————————————————</w:t>
      </w:r>
    </w:p>
    <w:p>
      <w:pPr>
        <w:spacing w:before="160" w:after="40" w:line="240" w:lineRule="auto"/>
      </w:pPr>
      <w:r>
        <w:rPr>
          <w:b/>
        </w:rPr>
        <w:t xml:space="preserve">[468] </w:t>
      </w:r>
      <w:hyperlink r:id="rId1054">
        <w:r>
          <w:rPr>
            <w:color w:val="1155CC"/>
            <w:u w:val="single"/>
          </w:rPr>
          <w:t>[ASAP] 统一凝胶中分子拓扑的作用阐明</w:t>
        </w:r>
      </w:hyperlink>
    </w:p>
    <w:p>
      <w:pPr>
        <w:spacing w:before="0" w:after="80"/>
      </w:pPr>
      <w:r>
        <w:rPr>
          <w:i/>
          <w:sz w:val="20"/>
        </w:rPr>
        <w:t>EN: [ASAP] Role of Molecular Topology Elucidated in Unified Gels</w:t>
      </w:r>
    </w:p>
    <w:p>
      <w:pPr>
        <w:spacing w:before="0" w:after="120"/>
      </w:pPr>
      <w:r>
        <w:rPr>
          <w:b/>
        </w:rPr>
        <w:t xml:space="preserve">Source: </w:t>
      </w:r>
      <w:r>
        <w:t>Journal of the American Chemical Society: Latest Articles (ACS Publications)</w:t>
      </w:r>
      <w:r>
        <w:t xml:space="preserve">    </w:t>
      </w:r>
      <w:r>
        <w:rPr>
          <w:b/>
        </w:rPr>
        <w:t xml:space="preserve">Pub date: </w:t>
      </w:r>
      <w:r>
        <w:t>2026-05-07 09:45:18+00:00</w:t>
      </w:r>
      <w:r>
        <w:t xml:space="preserve">    </w:t>
      </w:r>
      <w:r>
        <w:rPr>
          <w:b/>
        </w:rPr>
        <w:t xml:space="preserve">DOI: </w:t>
      </w:r>
      <w:hyperlink r:id="rId1055">
        <w:r>
          <w:rPr>
            <w:color w:val="1155CC"/>
            <w:u w:val="single"/>
          </w:rPr>
          <w:t>10.1021/jacs.6c01062</w:t>
        </w:r>
      </w:hyperlink>
    </w:p>
    <w:p>
      <w:pPr>
        <w:spacing w:before="0" w:after="120"/>
      </w:pPr>
      <w:r>
        <w:rPr>
          <w:b/>
        </w:rPr>
        <w:t xml:space="preserve">Notes: </w:t>
      </w:r>
      <w:r>
        <w:t>abstract_source=pubmed</w:t>
      </w:r>
    </w:p>
    <w:p>
      <w:pPr>
        <w:spacing w:before="0" w:after="80" w:lineRule="auto" w:line="276"/>
      </w:pPr>
      <w:r>
        <w:rPr>
          <w:b/>
        </w:rPr>
        <w:t xml:space="preserve">摘要（ZH）: </w:t>
      </w:r>
      <w:r>
        <w:t>将拓扑上非平凡的分子（例如，套索烷）纳入是调节聚合物网络性质的新兴策略，但这些分子的基本作用仍然理解不充分。在此，我们报告了一种统一的凝胶系统，采用具有不同拓扑结构的异构连接体，允许进行跨凝胶比较并阐明拓扑如何控制聚合物材料的机械和动态特性。我们的凝胶采用了一组基于菲咯啉的宏环分子作为连接体，其结构包括一个大宏环、一个柔性套索烷，以及通过金属配位形成的刚性套索烷和扭曲的八字形结构。通过机械和热力学分析及模拟，我们确定了拓扑依赖的配位和构象熵是驱动凝胶机械响应的关键因素。我们揭示了凝胶的韧性和能量耗散能力直接与每种拓扑允许的构象变化相关，成比例于连接体可以释放的“隐藏长度”。令人惊讶的是，金属-配体键主要调节初始连接体构象，而不是通过键解离耗散能量，同时它们增强了网络动态性。我们的发现可以指导拓扑分子的选择，以工程先进的聚合物材料。</w:t>
      </w:r>
    </w:p>
    <w:p>
      <w:pPr>
        <w:spacing w:before="0" w:after="200" w:lineRule="auto" w:line="276"/>
      </w:pPr>
      <w:r>
        <w:rPr>
          <w:b/>
        </w:rPr>
        <w:t xml:space="preserve">Abstract (EN): </w:t>
      </w:r>
      <w:r>
        <w:t>Incorporating topologically nontrivial molecules (e.g., catenanes) is an emerging strategy for tuning properties of polymer networks, but the fundamental roles of these molecules remain poorly understood. Herein, we report a unified gel system employing isomeric linkers with distinct topologies, which allows for cross-gel comparison and elucidation of how topology governs mechanical and dynamic properties in polymeric materials. Our gels feature a panel of phenanthroline-based macrocyclic molecules as linkers, which adopt structures including a large macrocycle, a flexible catenane, and, through metal coordination, a rigidified catenane and a twisted figure-eight structure. By mechanical and thermodynamic analysis and simulations, we identify topology-dependent coordination and conformational entropy as the key factors driving the gels' mechanical responses. We reveal that the toughness and energy dissipation capacity of the gels correlate directly to the conformational change allowed by each topology, proportional to the "hidden length" that can be released by the linkers. Surprisingly, metal-ligand bonds primarily tune the initial linker conformation rather than dissipate energy through bond dissociation, while they simultaneously enhance network dynamics. Our findings could guide the selection of topological molecules for engineering advanced polymer materials.</w:t>
      </w:r>
    </w:p>
    <w:p>
      <w:pPr>
        <w:spacing w:before="120" w:after="120"/>
      </w:pPr>
      <w:r>
        <w:rPr>
          <w:sz w:val="18"/>
        </w:rPr>
        <w:t>——————————————————————————————————————————————————————————————————————</w:t>
      </w:r>
    </w:p>
    <w:p>
      <w:pPr>
        <w:spacing w:before="160" w:after="40" w:line="240" w:lineRule="auto"/>
      </w:pPr>
      <w:r>
        <w:rPr>
          <w:b/>
        </w:rPr>
        <w:t xml:space="preserve">[469] </w:t>
      </w:r>
      <w:hyperlink r:id="rId1056">
        <w:r>
          <w:rPr>
            <w:color w:val="1155CC"/>
            <w:u w:val="single"/>
          </w:rPr>
          <w:t>[ASAP] 铱催化的对映选择性分子内(杂)芳烃-连接的前手性二酮的氢芳化反应</w:t>
        </w:r>
      </w:hyperlink>
    </w:p>
    <w:p>
      <w:pPr>
        <w:spacing w:before="0" w:after="80"/>
      </w:pPr>
      <w:r>
        <w:rPr>
          <w:i/>
          <w:sz w:val="20"/>
        </w:rPr>
        <w:t>EN: [ASAP] Enantioselective Iridium-Catalyzed Intramolecular Hydroarylation of (Hetero)Arene-Tethered Prochiral Diketones</w:t>
      </w:r>
    </w:p>
    <w:p>
      <w:pPr>
        <w:spacing w:before="0" w:after="120"/>
      </w:pPr>
      <w:r>
        <w:rPr>
          <w:b/>
        </w:rPr>
        <w:t xml:space="preserve">Source: </w:t>
      </w:r>
      <w:r>
        <w:t>Journal of the American Chemical Society: Latest Articles (ACS Publications)</w:t>
      </w:r>
      <w:r>
        <w:t xml:space="preserve">    </w:t>
      </w:r>
      <w:r>
        <w:rPr>
          <w:b/>
        </w:rPr>
        <w:t xml:space="preserve">Pub date: </w:t>
      </w:r>
      <w:r>
        <w:t>2026-05-07 11:57:11+00:00</w:t>
      </w:r>
      <w:r>
        <w:t xml:space="preserve">    </w:t>
      </w:r>
      <w:r>
        <w:rPr>
          <w:b/>
        </w:rPr>
        <w:t xml:space="preserve">DOI: </w:t>
      </w:r>
      <w:hyperlink r:id="rId1057">
        <w:r>
          <w:rPr>
            <w:color w:val="1155CC"/>
            <w:u w:val="single"/>
          </w:rPr>
          <w:t>10.1021/jacs.6c05640</w:t>
        </w:r>
      </w:hyperlink>
    </w:p>
    <w:p>
      <w:pPr>
        <w:spacing w:before="0" w:after="120"/>
      </w:pPr>
      <w:r>
        <w:rPr>
          <w:b/>
        </w:rPr>
        <w:t xml:space="preserve">Notes: </w:t>
      </w:r>
      <w:r>
        <w:t>abstract_source=pubmed</w:t>
      </w:r>
    </w:p>
    <w:p>
      <w:pPr>
        <w:spacing w:before="0" w:after="80" w:lineRule="auto" w:line="276"/>
      </w:pPr>
      <w:r>
        <w:rPr>
          <w:b/>
        </w:rPr>
        <w:t xml:space="preserve">摘要（ZH）: </w:t>
      </w:r>
      <w:r>
        <w:t>C-C不饱和键的手性选择性铱(I)催化加氢芳构化反应在有机合成中被认为是最具原子效率的技术之一。我们现在报告了一种手性选择性去对称化环化反应，该反应涉及羰基而不是C═C伙伴，直接获得在环连接处具有三级醇和相邻全碳季碳立体中心的结构复杂的(杂)多环框架。最初形成的醇的原位脱水偶尔被观察到产生具有烯丙基季碳立体中心的产物，这为下游功能化提供了极好的机会。机制上令人着迷的是，我们证明这种脱水可以通过添加Et3SiH来抑制，这是一种也加速整体转化的添加剂。计算研究支持碳金属化/O-H还原消除途径，并揭示了手性选择性的立体化学起源。</w:t>
      </w:r>
    </w:p>
    <w:p>
      <w:pPr>
        <w:spacing w:before="0" w:after="200" w:lineRule="auto" w:line="276"/>
      </w:pPr>
      <w:r>
        <w:rPr>
          <w:b/>
        </w:rPr>
        <w:t xml:space="preserve">Abstract (EN): </w:t>
      </w:r>
      <w:r>
        <w:t>The enantioselective iridium(I)-catalyzed hydroarylation of C-C unsaturated bonds ranks among the most atom-efficient technologies in organic synthesis. We now report an enantioselective desymmetrizing cyclization that entails carbonyls instead of C═C partners, providing direct access to architecturally complex (hetero)polycyclic frameworks bearing a tertiary alcohol and an adjacent all-carbon quaternary stereocenter at their ring junctions. The in situ dehydration of the initially formed alcohol was occasionally observed to yield products bearing an allylic quaternary stereocenter, which offers excellent opportunities for downstream functionalization. Mechanistically intriguing, we demonstrated that this dehydration can be suppressed by adding Et3SiH, an additive that also accelerates the overall transformation. Computational studies support a carbometalation/O-H reductive elimination pathway and shed light on the stereochemical origin of the enantioselectivity.</w:t>
      </w:r>
    </w:p>
    <w:p>
      <w:pPr>
        <w:spacing w:before="120" w:after="120"/>
      </w:pPr>
      <w:r>
        <w:rPr>
          <w:sz w:val="18"/>
        </w:rPr>
        <w:t>——————————————————————————————————————————————————————————————————————</w:t>
      </w:r>
    </w:p>
    <w:p>
      <w:pPr>
        <w:spacing w:before="160" w:after="40" w:line="240" w:lineRule="auto"/>
      </w:pPr>
      <w:r>
        <w:rPr>
          <w:b/>
        </w:rPr>
        <w:t xml:space="preserve">[470] </w:t>
      </w:r>
      <w:hyperlink r:id="rId1058">
        <w:r>
          <w:rPr>
            <w:color w:val="1155CC"/>
            <w:u w:val="single"/>
          </w:rPr>
          <w:t>[ASAP] 单酰基甘油脂肪酶的共价抑制剂诱导构象变化和蛋白酶体降解</w:t>
        </w:r>
      </w:hyperlink>
    </w:p>
    <w:p>
      <w:pPr>
        <w:spacing w:before="0" w:after="80"/>
      </w:pPr>
      <w:r>
        <w:rPr>
          <w:i/>
          <w:sz w:val="20"/>
        </w:rPr>
        <w:t>EN: [ASAP] Covalent Inhibitors of Monoacylglycerol Lipase Induce Conformational Changes and Proteasomal Degradation</w:t>
      </w:r>
    </w:p>
    <w:p>
      <w:pPr>
        <w:spacing w:before="0" w:after="120"/>
      </w:pPr>
      <w:r>
        <w:rPr>
          <w:b/>
        </w:rPr>
        <w:t xml:space="preserve">Source: </w:t>
      </w:r>
      <w:r>
        <w:t>Journal of the American Chemical Society: Latest Articles (ACS Publications)</w:t>
      </w:r>
      <w:r>
        <w:t xml:space="preserve">    </w:t>
      </w:r>
      <w:r>
        <w:rPr>
          <w:b/>
        </w:rPr>
        <w:t xml:space="preserve">Pub date: </w:t>
      </w:r>
      <w:r>
        <w:t>2026-05-07 12:48:08+00:00</w:t>
      </w:r>
      <w:r>
        <w:t xml:space="preserve">    </w:t>
      </w:r>
      <w:r>
        <w:rPr>
          <w:b/>
        </w:rPr>
        <w:t xml:space="preserve">DOI: </w:t>
      </w:r>
      <w:hyperlink r:id="rId1059">
        <w:r>
          <w:rPr>
            <w:color w:val="1155CC"/>
            <w:u w:val="single"/>
          </w:rPr>
          <w:t>10.1021/jacs.5c22859</w:t>
        </w:r>
      </w:hyperlink>
    </w:p>
    <w:p>
      <w:pPr>
        <w:spacing w:before="0" w:after="120"/>
      </w:pPr>
      <w:r>
        <w:rPr>
          <w:b/>
        </w:rPr>
        <w:t xml:space="preserve">Notes: </w:t>
      </w:r>
      <w:r>
        <w:t>abstract_source=pubmed</w:t>
      </w:r>
    </w:p>
    <w:p>
      <w:pPr>
        <w:spacing w:before="0" w:after="80" w:lineRule="auto" w:line="276"/>
      </w:pPr>
      <w:r>
        <w:rPr>
          <w:b/>
        </w:rPr>
        <w:t xml:space="preserve">摘要（ZH）: </w:t>
      </w:r>
      <w:r>
        <w:t>单酰基甘油脂肪酶(MGLL)是一种关键的丝氨酸水解酶，调节2-花生四烯酰甘油(2-AG)和类花生酸信号。抑制MGLL阻止2-AG转化为花生四烯酸(AA)，在炎症、癌症和病毒感染中具有广泛的治疗意义。氨基甲酸酯/脲类抑制剂如MJN110、JZL184和SAR629被广泛用于通过催化丝氨酸残基的共价修饰来不可逆地抑制MGLL。在此，我们证明这种抑制剂类别还诱导MGLL的蛋白酶体依赖性降解，作为单价降解剂发挥作用。我们显示，MGLL在共价抑制剂处理后的丢失依赖于26S蛋白酶体，而MGLL动力学的详细模拟表明，这些抑制剂并不使其蛋白质靶标不稳定，而是诱导构象变化，可能通过暴露两个赖氨酸残基促进多聚泛素化。综上所述，这些发现确立了氨基甲酸酯/脲类抑制剂作为双功能分子，既具有共价抑制其靶标的倾向，又作为结构降解剂，可能作为单价分子胶水发挥作用，强调在未来筛选和药物发现中需要评估降解潜力与抑制效力。</w:t>
      </w:r>
    </w:p>
    <w:p>
      <w:pPr>
        <w:spacing w:before="0" w:after="200" w:lineRule="auto" w:line="276"/>
      </w:pPr>
      <w:r>
        <w:rPr>
          <w:b/>
        </w:rPr>
        <w:t xml:space="preserve">Abstract (EN): </w:t>
      </w:r>
      <w:r>
        <w:t>Monoacylglycerol lipase (MGLL) is a key serine hydrolase that regulates 2-arachidonoylglycerol (2-AG) and eicosanoid signaling. Inhibition of MGLL blocks the conversion of 2-AG into arachidonic acid (AA) with broad therapeutic implications in inflammation, cancer, and viral infection. Carbamate/urea inhibitors such as MJN110, JZL184, and SAR629 are widely used to irreversibly inhibit MGLL through covalent modification of the catalytic serine residue. Here, we demonstrate that this inhibitor class also induces proteasome-dependent degradation of MGLL, functioning as monovalent degraders. We show that loss of MGLL following covalent inhibitor treatment is dependent on the 26S proteasome, while detailed simulations of MGLL dynamics following inhibitor binding suggest that these inhibitors do not destabilize their protein target but instead induce conformational changes that likely facilitate polyubiquitination by exposing two lysine residues. Taken together, these findings establish carbamate/urea inhibitors as dual functional molecules with the propensity to both covalently inhibit their target and act as structural degraders, potentially functioning as monovalent molecular glues, highlighting the need to evaluate the degradation potential alongside inhibitory potency in future screening and drug discovery.</w:t>
      </w:r>
    </w:p>
    <w:p>
      <w:pPr>
        <w:spacing w:before="120" w:after="120"/>
      </w:pPr>
      <w:r>
        <w:rPr>
          <w:sz w:val="18"/>
        </w:rPr>
        <w:t>——————————————————————————————————————————————————————————————————————</w:t>
      </w:r>
    </w:p>
    <w:p>
      <w:pPr>
        <w:spacing w:before="160" w:after="40" w:line="240" w:lineRule="auto"/>
      </w:pPr>
      <w:r>
        <w:rPr>
          <w:b/>
        </w:rPr>
        <w:t xml:space="preserve">[471] </w:t>
      </w:r>
      <w:hyperlink r:id="rId1060">
        <w:r>
          <w:rPr>
            <w:color w:val="1155CC"/>
            <w:u w:val="single"/>
          </w:rPr>
          <w:t>[ASAP] 使用定制流动模式的甲烷羰基化光催化流动合成丙酮</w:t>
        </w:r>
      </w:hyperlink>
    </w:p>
    <w:p>
      <w:pPr>
        <w:spacing w:before="0" w:after="80"/>
      </w:pPr>
      <w:r>
        <w:rPr>
          <w:i/>
          <w:sz w:val="20"/>
        </w:rPr>
        <w:t>EN: [ASAP] Photocatalytic Flow Synthesis of Acetone from Methane Carbonylation Using Customized Flow Patterns</w:t>
      </w:r>
    </w:p>
    <w:p>
      <w:pPr>
        <w:spacing w:before="0" w:after="120"/>
      </w:pPr>
      <w:r>
        <w:rPr>
          <w:b/>
        </w:rPr>
        <w:t xml:space="preserve">Source: </w:t>
      </w:r>
      <w:r>
        <w:t>Journal of the American Chemical Society: Latest Articles (ACS Publications)</w:t>
      </w:r>
      <w:r>
        <w:t xml:space="preserve">    </w:t>
      </w:r>
      <w:r>
        <w:rPr>
          <w:b/>
        </w:rPr>
        <w:t xml:space="preserve">Pub date: </w:t>
      </w:r>
      <w:r>
        <w:t>2026-05-07 19:00:00+00:00</w:t>
      </w:r>
      <w:r>
        <w:t xml:space="preserve">    </w:t>
      </w:r>
      <w:r>
        <w:rPr>
          <w:b/>
        </w:rPr>
        <w:t xml:space="preserve">DOI: </w:t>
      </w:r>
      <w:hyperlink r:id="rId1061">
        <w:r>
          <w:rPr>
            <w:color w:val="1155CC"/>
            <w:u w:val="single"/>
          </w:rPr>
          <w:t>10.1021/jacs.6c02495</w:t>
        </w:r>
      </w:hyperlink>
    </w:p>
    <w:p>
      <w:pPr>
        <w:spacing w:before="0" w:after="120"/>
      </w:pPr>
      <w:r>
        <w:rPr>
          <w:b/>
        </w:rPr>
        <w:t xml:space="preserve">Notes: </w:t>
      </w:r>
      <w:r>
        <w:t>abstract_source=pubmed</w:t>
      </w:r>
    </w:p>
    <w:p>
      <w:pPr>
        <w:spacing w:before="0" w:after="80" w:lineRule="auto" w:line="276"/>
      </w:pPr>
      <w:r>
        <w:rPr>
          <w:b/>
        </w:rPr>
        <w:t xml:space="preserve">摘要（ZH）: </w:t>
      </w:r>
      <w:r>
        <w:t>尽管通过光催化甲烷羰基化直接合成丙酮是一种可持续的过程，但实现高产率和选择性仍然具有挑战性。在此，我们展示了一种使用机器学习筛选的微通道流动反应器，该反应器使用Au-NiO异质结构装饰的ZnO催化剂，通过界面调控实现高度选择性和活性的光催化甲烷羰基化，生产丙酮。光谱表征和理论模拟表明，乙酰中间体在Au-NiO界面生成，并在适度的CH4/CO覆盖下演变为丙酮。通过定制的微柱通道增加气液界面面积，增强CH4/CO向催化剂表面的传质，形成连续的薄液膜。因此，优化的催化剂具有丰富的Au-NiO界面，在定制的光催化流动反应器中实现了50.9 μmol h-1的丙酮生产率，选择性为87.6%。这项工作为结合原子工程和多相流动调控用于光催化提供了新的见解。</w:t>
      </w:r>
    </w:p>
    <w:p>
      <w:pPr>
        <w:spacing w:before="0" w:after="200" w:lineRule="auto" w:line="276"/>
      </w:pPr>
      <w:r>
        <w:rPr>
          <w:b/>
        </w:rPr>
        <w:t xml:space="preserve">Abstract (EN): </w:t>
      </w:r>
      <w:r>
        <w:t>Although the direct synthesis of acetone via photocatalytic methane carbonylation is a sustainable process, achieving high yields and selectivity remains challenging. Here, we present a microchannel flow reactor screened using machine learning, which uses Au-NiO heterostructure-decorated ZnO catalysts with interfacial regulation to enable highly selective and active photocatalytic methane carbonylation, producing acetone. Spectroscopic characterization and theoretical simulations show that the acetyl intermediate is generated at the Au-NiO interface and evolves into acetone under moderate CH4/CO coverage. The mass transfer of CH4/CO to the catalyst surface is enhanced using custom-made micropillar channels via an increased gas-liquid interfacial area, forming a continuous thin liquid film. Consequently, the optimized catalyst with abundant Au-NiO interfaces achieves an acetone production rate of 50.9 μmol h-1 with a selectivity of 87.6% in a customized photocatalytic flow reactor. This work provides new insights into combining atomic engineering and multiphase flow regulation for photocatalysis.</w:t>
      </w:r>
    </w:p>
    <w:p>
      <w:pPr>
        <w:spacing w:before="120" w:after="120"/>
      </w:pPr>
      <w:r>
        <w:rPr>
          <w:sz w:val="18"/>
        </w:rPr>
        <w:t>——————————————————————————————————————————————————————————————————————</w:t>
      </w:r>
    </w:p>
    <w:p>
      <w:pPr>
        <w:spacing w:before="160" w:after="40" w:line="240" w:lineRule="auto"/>
      </w:pPr>
      <w:r>
        <w:rPr>
          <w:b/>
        </w:rPr>
        <w:t xml:space="preserve">[472] </w:t>
      </w:r>
      <w:hyperlink r:id="rId1062">
        <w:r>
          <w:rPr>
            <w:color w:val="1155CC"/>
            <w:u w:val="single"/>
          </w:rPr>
          <w:t>[ASAP] 通过C3-对称三萘胺三酰胺的超分子自组装合成软八面体纳米颗粒</w:t>
        </w:r>
      </w:hyperlink>
    </w:p>
    <w:p>
      <w:pPr>
        <w:spacing w:before="0" w:after="80"/>
      </w:pPr>
      <w:r>
        <w:rPr>
          <w:i/>
          <w:sz w:val="20"/>
        </w:rPr>
        <w:t>EN: [ASAP] Synthesis of Soft Octahedral Nanoparticles through Supramolecular Self-Assembly of C3-Symmetric Trinaphthylamine Trisamides</w:t>
      </w:r>
    </w:p>
    <w:p>
      <w:pPr>
        <w:spacing w:before="0" w:after="120"/>
      </w:pPr>
      <w:r>
        <w:rPr>
          <w:b/>
        </w:rPr>
        <w:t xml:space="preserve">Source: </w:t>
      </w:r>
      <w:r>
        <w:t>Journal of the American Chemical Society: Latest Articles (ACS Publications)</w:t>
      </w:r>
      <w:r>
        <w:t xml:space="preserve">    </w:t>
      </w:r>
      <w:r>
        <w:rPr>
          <w:b/>
        </w:rPr>
        <w:t xml:space="preserve">Pub date: </w:t>
      </w:r>
      <w:r>
        <w:t>2026-05-07 19:21:47+00:00</w:t>
      </w:r>
      <w:r>
        <w:t xml:space="preserve">    </w:t>
      </w:r>
      <w:r>
        <w:rPr>
          <w:b/>
        </w:rPr>
        <w:t xml:space="preserve">DOI: </w:t>
      </w:r>
      <w:hyperlink r:id="rId1063">
        <w:r>
          <w:rPr>
            <w:color w:val="1155CC"/>
            <w:u w:val="single"/>
          </w:rPr>
          <w:t>10.1021/jacs.6c04987</w:t>
        </w:r>
      </w:hyperlink>
    </w:p>
    <w:p>
      <w:pPr>
        <w:spacing w:before="0" w:after="120"/>
      </w:pPr>
      <w:r>
        <w:rPr>
          <w:b/>
        </w:rPr>
        <w:t xml:space="preserve">Notes: </w:t>
      </w:r>
      <w:r>
        <w:t>abstract_source=pubmed</w:t>
      </w:r>
    </w:p>
    <w:p>
      <w:pPr>
        <w:spacing w:before="0" w:after="80" w:lineRule="auto" w:line="276"/>
      </w:pPr>
      <w:r>
        <w:rPr>
          <w:b/>
        </w:rPr>
        <w:t xml:space="preserve">摘要（ZH）: </w:t>
      </w:r>
      <w:r>
        <w:t>C3-对称三芳胺三酰胺单体的自组装最近在文献中进行了研究，一致导致具有显著光学和电子特性的超分子聚合物和材料。与其他C3-对称单体家族观察到的情况一样，它们的成核和生长机制主要依赖于通过高度定向的氢键进行的一维堆积。现在，我们报告了将其导向的非共价相互作用从氢键转移到π-π和范德华相互作用的可能性，因此，将其自组装从一维纤维转向二维层状结构，进一步组织成纯有机八面体纳米颗粒。这种显著的结构变化仅通过将芳香核心从苯基扩展到萘基单元来实现。有趣的是，通过选择在自组装过程中使用的冷却速率，可以将这些软超分子八面体的尺寸控制在200 nm到50 μm之间。通过采用全面结合的实验和理论工具，我们完全阐明了八面体形成中的层级机制。这些结果突出了C3-对称氢键单体生成原始3D超分子系统和材料的潜在可调性。</w:t>
      </w:r>
    </w:p>
    <w:p>
      <w:pPr>
        <w:spacing w:before="0" w:after="200" w:lineRule="auto" w:line="276"/>
      </w:pPr>
      <w:r>
        <w:rPr>
          <w:b/>
        </w:rPr>
        <w:t xml:space="preserve">Abstract (EN): </w:t>
      </w:r>
      <w:r>
        <w:t>Self-assembly of C3-symmetric triarylamine trisamide monomers has been recently studied in the literature, consistently leading to supramolecular polymers and materials with remarkable optical and electronic properties. As observed with other families of C3-symmetric monomers, their nucleation and growth mechanisms mainly rely on their one-dimensional stacking through highly directional hydrogen bonding. Now, we report the possibility of shifting their directing noncovalent interactions from hydrogen bonding to π-π and van der Waals interactions and, consequently, of shifting their self-assembly from one-dimensional fibrils toward two-dimensional smectic layers that further organize in purely organic octahedral nanoparticles. This dramatic structural change is simply achieved by extension of the aromatic core from phenyl to naphthyl units. Interestingly, the size of these soft supramolecular octahedra can be controlled between 200 nm and 50 μm by choosing the cooling rate used during the self-assembly process. By employing a comprehensive combination of experimental and theoretical tools, we fully elucidate the hierarchical mechanisms at work in the octahedrons' formation. These results highlight the potential tunability of C3-symmetric H-bonded monomers to generate original 3D supramolecular systems and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6525?dgcid=rss_sd_all" TargetMode="External"/><Relationship Id="rId10" Type="http://schemas.openxmlformats.org/officeDocument/2006/relationships/hyperlink" Target="https://www.sciencedirect.com/science/article/pii/S0306261926006331?dgcid=rss_sd_all" TargetMode="External"/><Relationship Id="rId11" Type="http://schemas.openxmlformats.org/officeDocument/2006/relationships/hyperlink" Target="https://www.sciencedirect.com/science/article/pii/S0306261926005374?dgcid=rss_sd_all" TargetMode="External"/><Relationship Id="rId12" Type="http://schemas.openxmlformats.org/officeDocument/2006/relationships/hyperlink" Target="https://www.sciencedirect.com/science/article/pii/S0301421526002788?dgcid=rss_sd_all" TargetMode="External"/><Relationship Id="rId13" Type="http://schemas.openxmlformats.org/officeDocument/2006/relationships/hyperlink" Target="https://advanced.onlinelibrary.wiley.com/doi/10.1002/aenm.70997?af=R" TargetMode="External"/><Relationship Id="rId14" Type="http://schemas.openxmlformats.org/officeDocument/2006/relationships/hyperlink" Target="https://doi.org/10.1002/aenm.70997" TargetMode="External"/><Relationship Id="rId15" Type="http://schemas.openxmlformats.org/officeDocument/2006/relationships/hyperlink" Target="http://dx.doi.org/10.1021/acsenergylett.6c01038" TargetMode="External"/><Relationship Id="rId16" Type="http://schemas.openxmlformats.org/officeDocument/2006/relationships/hyperlink" Target="https://doi.org/10.1021/acsenergylett.6c01038" TargetMode="External"/><Relationship Id="rId17" Type="http://schemas.openxmlformats.org/officeDocument/2006/relationships/hyperlink" Target="http://dx.doi.org/10.1021/acsenergylett.6c00227" TargetMode="External"/><Relationship Id="rId18" Type="http://schemas.openxmlformats.org/officeDocument/2006/relationships/hyperlink" Target="https://doi.org/10.1021/acsenergylett.6c00227" TargetMode="External"/><Relationship Id="rId19" Type="http://schemas.openxmlformats.org/officeDocument/2006/relationships/hyperlink" Target="https://www.nature.com/articles/s41560-026-02054-1" TargetMode="External"/><Relationship Id="rId20" Type="http://schemas.openxmlformats.org/officeDocument/2006/relationships/hyperlink" Target="https://doi.org/10.1038/s41560-026-02054-1" TargetMode="External"/><Relationship Id="rId21" Type="http://schemas.openxmlformats.org/officeDocument/2006/relationships/hyperlink" Target="https://advanced.onlinelibrary.wiley.com/doi/10.1002/adma.73272?af=R" TargetMode="External"/><Relationship Id="rId22" Type="http://schemas.openxmlformats.org/officeDocument/2006/relationships/hyperlink" Target="https://doi.org/10.1002/adma.73272" TargetMode="External"/><Relationship Id="rId23" Type="http://schemas.openxmlformats.org/officeDocument/2006/relationships/hyperlink" Target="http://dx.doi.org/10.1021/acs.chemrev.5c00740" TargetMode="External"/><Relationship Id="rId24" Type="http://schemas.openxmlformats.org/officeDocument/2006/relationships/hyperlink" Target="https://doi.org/10.1021/acs.chemrev.5c00740" TargetMode="External"/><Relationship Id="rId25" Type="http://schemas.openxmlformats.org/officeDocument/2006/relationships/hyperlink" Target="https://advanced.onlinelibrary.wiley.com/doi/10.1002/adma.73286?af=R" TargetMode="External"/><Relationship Id="rId26" Type="http://schemas.openxmlformats.org/officeDocument/2006/relationships/hyperlink" Target="https://doi.org/10.1002/adma.73286" TargetMode="External"/><Relationship Id="rId27" Type="http://schemas.openxmlformats.org/officeDocument/2006/relationships/hyperlink" Target="https://onlinelibrary.wiley.com/doi/10.1002/anie.4293157?af=R" TargetMode="External"/><Relationship Id="rId28" Type="http://schemas.openxmlformats.org/officeDocument/2006/relationships/hyperlink" Target="https://doi.org/10.1002/anie.4293157" TargetMode="External"/><Relationship Id="rId29" Type="http://schemas.openxmlformats.org/officeDocument/2006/relationships/hyperlink" Target="https://advanced.onlinelibrary.wiley.com/doi/10.1002/adma.73191?af=R" TargetMode="External"/><Relationship Id="rId30" Type="http://schemas.openxmlformats.org/officeDocument/2006/relationships/hyperlink" Target="https://doi.org/10.1002/adma.73191" TargetMode="External"/><Relationship Id="rId31" Type="http://schemas.openxmlformats.org/officeDocument/2006/relationships/hyperlink" Target="http://dx.doi.org/10.1021/acsenergylett.6c00575" TargetMode="External"/><Relationship Id="rId32" Type="http://schemas.openxmlformats.org/officeDocument/2006/relationships/hyperlink" Target="https://doi.org/10.1021/acsenergylett.6c00575" TargetMode="External"/><Relationship Id="rId33" Type="http://schemas.openxmlformats.org/officeDocument/2006/relationships/hyperlink" Target="http://dx.doi.org/10.1021/acsenergylett.6c00520" TargetMode="External"/><Relationship Id="rId34" Type="http://schemas.openxmlformats.org/officeDocument/2006/relationships/hyperlink" Target="https://doi.org/10.1021/acsenergylett.6c00520" TargetMode="External"/><Relationship Id="rId35" Type="http://schemas.openxmlformats.org/officeDocument/2006/relationships/hyperlink" Target="http://dx.doi.org/10.1021/acsenergylett.6c00700" TargetMode="External"/><Relationship Id="rId36" Type="http://schemas.openxmlformats.org/officeDocument/2006/relationships/hyperlink" Target="https://doi.org/10.1021/acsenergylett.6c00700" TargetMode="External"/><Relationship Id="rId37" Type="http://schemas.openxmlformats.org/officeDocument/2006/relationships/hyperlink" Target="https://advanced.onlinelibrary.wiley.com/doi/10.1002/adma.73292?af=R" TargetMode="External"/><Relationship Id="rId38" Type="http://schemas.openxmlformats.org/officeDocument/2006/relationships/hyperlink" Target="https://doi.org/10.1002/adma.73292" TargetMode="External"/><Relationship Id="rId39" Type="http://schemas.openxmlformats.org/officeDocument/2006/relationships/hyperlink" Target="https://advanced.onlinelibrary.wiley.com/doi/10.1002/aenm.202506805?af=R" TargetMode="External"/><Relationship Id="rId40" Type="http://schemas.openxmlformats.org/officeDocument/2006/relationships/hyperlink" Target="https://doi.org/10.1002/aenm.202506805" TargetMode="External"/><Relationship Id="rId41" Type="http://schemas.openxmlformats.org/officeDocument/2006/relationships/hyperlink" Target="https://advanced.onlinelibrary.wiley.com/doi/10.1002/aenm.70883?af=R" TargetMode="External"/><Relationship Id="rId42" Type="http://schemas.openxmlformats.org/officeDocument/2006/relationships/hyperlink" Target="https://doi.org/10.1002/aenm.70883" TargetMode="External"/><Relationship Id="rId43" Type="http://schemas.openxmlformats.org/officeDocument/2006/relationships/hyperlink" Target="https://onlinelibrary.wiley.com/doi/10.1002/anie.1058944?af=R" TargetMode="External"/><Relationship Id="rId44" Type="http://schemas.openxmlformats.org/officeDocument/2006/relationships/hyperlink" Target="https://doi.org/10.1002/anie.1058944" TargetMode="External"/><Relationship Id="rId45" Type="http://schemas.openxmlformats.org/officeDocument/2006/relationships/hyperlink" Target="http://dx.doi.org/10.1021/acsenergylett.6c00372" TargetMode="External"/><Relationship Id="rId46" Type="http://schemas.openxmlformats.org/officeDocument/2006/relationships/hyperlink" Target="https://doi.org/10.1021/acsenergylett.6c00372" TargetMode="External"/><Relationship Id="rId47" Type="http://schemas.openxmlformats.org/officeDocument/2006/relationships/hyperlink" Target="http://dx.doi.org/10.1021/jacs.6c02040" TargetMode="External"/><Relationship Id="rId48" Type="http://schemas.openxmlformats.org/officeDocument/2006/relationships/hyperlink" Target="https://doi.org/10.1021/jacs.6c02040" TargetMode="External"/><Relationship Id="rId49" Type="http://schemas.openxmlformats.org/officeDocument/2006/relationships/hyperlink" Target="https://onlinelibrary.wiley.com/doi/10.1002/anie.5529195?af=R" TargetMode="External"/><Relationship Id="rId50" Type="http://schemas.openxmlformats.org/officeDocument/2006/relationships/hyperlink" Target="https://doi.org/10.1002/anie.5529195" TargetMode="External"/><Relationship Id="rId51" Type="http://schemas.openxmlformats.org/officeDocument/2006/relationships/hyperlink" Target="https://onlinelibrary.wiley.com/doi/10.1002/anie.6316407?af=R" TargetMode="External"/><Relationship Id="rId52" Type="http://schemas.openxmlformats.org/officeDocument/2006/relationships/hyperlink" Target="https://doi.org/10.1002/anie.6316407" TargetMode="External"/><Relationship Id="rId53" Type="http://schemas.openxmlformats.org/officeDocument/2006/relationships/hyperlink" Target="https://www.nature.com/articles/s41586-026-10505-8" TargetMode="External"/><Relationship Id="rId54" Type="http://schemas.openxmlformats.org/officeDocument/2006/relationships/hyperlink" Target="https://doi.org/10.1038/s41586-026-10505-8" TargetMode="External"/><Relationship Id="rId55" Type="http://schemas.openxmlformats.org/officeDocument/2006/relationships/hyperlink" Target="https://www.science.org/doi/abs/10.1126/sciadv.aea1401?af=R" TargetMode="External"/><Relationship Id="rId56" Type="http://schemas.openxmlformats.org/officeDocument/2006/relationships/hyperlink" Target="https://doi.org/10.1126/sciadv.aea1401" TargetMode="External"/><Relationship Id="rId57" Type="http://schemas.openxmlformats.org/officeDocument/2006/relationships/hyperlink" Target="https://advanced.onlinelibrary.wiley.com/doi/10.1002/aenm.71040?af=R" TargetMode="External"/><Relationship Id="rId58" Type="http://schemas.openxmlformats.org/officeDocument/2006/relationships/hyperlink" Target="https://doi.org/10.1002/aenm.71040" TargetMode="External"/><Relationship Id="rId59" Type="http://schemas.openxmlformats.org/officeDocument/2006/relationships/hyperlink" Target="https://advanced.onlinelibrary.wiley.com/doi/10.1002/aenm.71037?af=R" TargetMode="External"/><Relationship Id="rId60" Type="http://schemas.openxmlformats.org/officeDocument/2006/relationships/hyperlink" Target="https://doi.org/10.1002/aenm.71037" TargetMode="External"/><Relationship Id="rId61" Type="http://schemas.openxmlformats.org/officeDocument/2006/relationships/hyperlink" Target="http://dx.doi.org/10.1021/jacs.6c00611" TargetMode="External"/><Relationship Id="rId62" Type="http://schemas.openxmlformats.org/officeDocument/2006/relationships/hyperlink" Target="https://doi.org/10.1021/jacs.6c00611" TargetMode="External"/><Relationship Id="rId63" Type="http://schemas.openxmlformats.org/officeDocument/2006/relationships/hyperlink" Target="http://pubs.rsc.org/en/Content/ArticleLanding/2026/EE/D6EE01602B" TargetMode="External"/><Relationship Id="rId64" Type="http://schemas.openxmlformats.org/officeDocument/2006/relationships/hyperlink" Target="https://advanced.onlinelibrary.wiley.com/doi/10.1002/adma.73294?af=R" TargetMode="External"/><Relationship Id="rId65" Type="http://schemas.openxmlformats.org/officeDocument/2006/relationships/hyperlink" Target="https://doi.org/10.1002/adma.73294" TargetMode="External"/><Relationship Id="rId66" Type="http://schemas.openxmlformats.org/officeDocument/2006/relationships/hyperlink" Target="https://www.cell.com/joule/fulltext/S2542-4351(26)00154-6?rss=yes" TargetMode="External"/><Relationship Id="rId67" Type="http://schemas.openxmlformats.org/officeDocument/2006/relationships/hyperlink" Target="https://doi.org/10.1016/j.joule.2026.102470" TargetMode="External"/><Relationship Id="rId68" Type="http://schemas.openxmlformats.org/officeDocument/2006/relationships/hyperlink" Target="https://advanced.onlinelibrary.wiley.com/doi/10.1002/aenm.71028?af=R" TargetMode="External"/><Relationship Id="rId69" Type="http://schemas.openxmlformats.org/officeDocument/2006/relationships/hyperlink" Target="https://doi.org/10.1002/aenm.71028" TargetMode="External"/><Relationship Id="rId70" Type="http://schemas.openxmlformats.org/officeDocument/2006/relationships/hyperlink" Target="http://dx.doi.org/10.1021/acsenergylett.6c00395" TargetMode="External"/><Relationship Id="rId71" Type="http://schemas.openxmlformats.org/officeDocument/2006/relationships/hyperlink" Target="https://doi.org/10.1021/acsenergylett.6c00395" TargetMode="External"/><Relationship Id="rId72" Type="http://schemas.openxmlformats.org/officeDocument/2006/relationships/hyperlink" Target="http://dx.doi.org/10.1021/acsenergylett.6c01244" TargetMode="External"/><Relationship Id="rId73" Type="http://schemas.openxmlformats.org/officeDocument/2006/relationships/hyperlink" Target="https://doi.org/10.1021/acsenergylett.6c01244" TargetMode="External"/><Relationship Id="rId74" Type="http://schemas.openxmlformats.org/officeDocument/2006/relationships/hyperlink" Target="http://dx.doi.org/10.1021/jacs.6c02582" TargetMode="External"/><Relationship Id="rId75" Type="http://schemas.openxmlformats.org/officeDocument/2006/relationships/hyperlink" Target="https://doi.org/10.1021/jacs.6c02582" TargetMode="External"/><Relationship Id="rId76" Type="http://schemas.openxmlformats.org/officeDocument/2006/relationships/hyperlink" Target="https://onlinelibrary.wiley.com/doi/10.1002/anie.4962504?af=R" TargetMode="External"/><Relationship Id="rId77" Type="http://schemas.openxmlformats.org/officeDocument/2006/relationships/hyperlink" Target="https://doi.org/10.1002/anie.4962504" TargetMode="External"/><Relationship Id="rId78" Type="http://schemas.openxmlformats.org/officeDocument/2006/relationships/hyperlink" Target="https://www.cell.com/joule/fulltext/S2542-4351(26)00128-5?rss=yes" TargetMode="External"/><Relationship Id="rId79" Type="http://schemas.openxmlformats.org/officeDocument/2006/relationships/hyperlink" Target="https://doi.org/10.1016/j.joule.2026.102444" TargetMode="External"/><Relationship Id="rId80" Type="http://schemas.openxmlformats.org/officeDocument/2006/relationships/hyperlink" Target="http://dx.doi.org/10.1021/acsenergylett.6c00098" TargetMode="External"/><Relationship Id="rId81" Type="http://schemas.openxmlformats.org/officeDocument/2006/relationships/hyperlink" Target="https://doi.org/10.1021/acsenergylett.6c00098" TargetMode="External"/><Relationship Id="rId82" Type="http://schemas.openxmlformats.org/officeDocument/2006/relationships/hyperlink" Target="https://onlinelibrary.wiley.com/doi/10.1002/anie.1984422?af=R" TargetMode="External"/><Relationship Id="rId83" Type="http://schemas.openxmlformats.org/officeDocument/2006/relationships/hyperlink" Target="https://doi.org/10.1002/anie.1984422" TargetMode="External"/><Relationship Id="rId84" Type="http://schemas.openxmlformats.org/officeDocument/2006/relationships/hyperlink" Target="https://onlinelibrary.wiley.com/doi/10.1002/anie.4247396?af=R" TargetMode="External"/><Relationship Id="rId85" Type="http://schemas.openxmlformats.org/officeDocument/2006/relationships/hyperlink" Target="https://doi.org/10.1002/anie.4247396" TargetMode="External"/><Relationship Id="rId86" Type="http://schemas.openxmlformats.org/officeDocument/2006/relationships/hyperlink" Target="http://dx.doi.org/10.1021/acsenergylett.6c00619" TargetMode="External"/><Relationship Id="rId87" Type="http://schemas.openxmlformats.org/officeDocument/2006/relationships/hyperlink" Target="https://doi.org/10.1021/acsenergylett.6c00619" TargetMode="External"/><Relationship Id="rId88" Type="http://schemas.openxmlformats.org/officeDocument/2006/relationships/hyperlink" Target="https://advanced.onlinelibrary.wiley.com/doi/10.1002/adma.73246?af=R" TargetMode="External"/><Relationship Id="rId89" Type="http://schemas.openxmlformats.org/officeDocument/2006/relationships/hyperlink" Target="https://doi.org/10.1002/adma.73246" TargetMode="External"/><Relationship Id="rId90" Type="http://schemas.openxmlformats.org/officeDocument/2006/relationships/hyperlink" Target="https://advanced.onlinelibrary.wiley.com/doi/10.1002/aenm.71026?af=R" TargetMode="External"/><Relationship Id="rId91" Type="http://schemas.openxmlformats.org/officeDocument/2006/relationships/hyperlink" Target="https://doi.org/10.1002/aenm.71026" TargetMode="External"/><Relationship Id="rId92" Type="http://schemas.openxmlformats.org/officeDocument/2006/relationships/hyperlink" Target="https://onlinelibrary.wiley.com/doi/10.1002/anie.7451200?af=R" TargetMode="External"/><Relationship Id="rId93" Type="http://schemas.openxmlformats.org/officeDocument/2006/relationships/hyperlink" Target="https://doi.org/10.1002/anie.7451200" TargetMode="External"/><Relationship Id="rId94" Type="http://schemas.openxmlformats.org/officeDocument/2006/relationships/hyperlink" Target="https://www.cell.com/matter/fulltext/S2590-2385(26)00179-7?rss=yes" TargetMode="External"/><Relationship Id="rId95" Type="http://schemas.openxmlformats.org/officeDocument/2006/relationships/hyperlink" Target="https://doi.org/10.1016/j.matt.2026.102816" TargetMode="External"/><Relationship Id="rId96" Type="http://schemas.openxmlformats.org/officeDocument/2006/relationships/hyperlink" Target="https://www.sciencedirect.com/science/article/pii/S0306261926005799?dgcid=rss_sd_all" TargetMode="External"/><Relationship Id="rId97" Type="http://schemas.openxmlformats.org/officeDocument/2006/relationships/hyperlink" Target="https://www.sciencedirect.com/science/article/pii/S0306261926006471?dgcid=rss_sd_all" TargetMode="External"/><Relationship Id="rId98" Type="http://schemas.openxmlformats.org/officeDocument/2006/relationships/hyperlink" Target="http://dx.doi.org/10.1021/acsenergylett.6c00637" TargetMode="External"/><Relationship Id="rId99" Type="http://schemas.openxmlformats.org/officeDocument/2006/relationships/hyperlink" Target="https://doi.org/10.1021/acsenergylett.6c00637" TargetMode="External"/><Relationship Id="rId100" Type="http://schemas.openxmlformats.org/officeDocument/2006/relationships/hyperlink" Target="https://www.cell.com/one-earth/fulltext/S2590-3322(26)00102-8?rss=yes" TargetMode="External"/><Relationship Id="rId101" Type="http://schemas.openxmlformats.org/officeDocument/2006/relationships/hyperlink" Target="https://doi.org/10.1016/j.oneear.2026.101701" TargetMode="External"/><Relationship Id="rId102" Type="http://schemas.openxmlformats.org/officeDocument/2006/relationships/hyperlink" Target="http://dx.doi.org/10.1021/acsenergylett.6c00812" TargetMode="External"/><Relationship Id="rId103" Type="http://schemas.openxmlformats.org/officeDocument/2006/relationships/hyperlink" Target="https://doi.org/10.1021/acsenergylett.6c00812" TargetMode="External"/><Relationship Id="rId104" Type="http://schemas.openxmlformats.org/officeDocument/2006/relationships/hyperlink" Target="https://www.sciencedirect.com/science/article/pii/S0306261926006045?dgcid=rss_sd_all" TargetMode="External"/><Relationship Id="rId105" Type="http://schemas.openxmlformats.org/officeDocument/2006/relationships/hyperlink" Target="http://pubs.rsc.org/en/Content/ArticleLanding/2026/EE/D6EE00138F" TargetMode="External"/><Relationship Id="rId106" Type="http://schemas.openxmlformats.org/officeDocument/2006/relationships/hyperlink" Target="https://advanced.onlinelibrary.wiley.com/doi/10.1002/adma.73302?af=R" TargetMode="External"/><Relationship Id="rId107" Type="http://schemas.openxmlformats.org/officeDocument/2006/relationships/hyperlink" Target="https://doi.org/10.1002/adma.73302" TargetMode="External"/><Relationship Id="rId108" Type="http://schemas.openxmlformats.org/officeDocument/2006/relationships/hyperlink" Target="https://www.sciencedirect.com/science/article/pii/S0306261926006598?dgcid=rss_sd_all" TargetMode="External"/><Relationship Id="rId109" Type="http://schemas.openxmlformats.org/officeDocument/2006/relationships/hyperlink" Target="https://advanced.onlinelibrary.wiley.com/doi/10.1002/adma.73307?af=R" TargetMode="External"/><Relationship Id="rId110" Type="http://schemas.openxmlformats.org/officeDocument/2006/relationships/hyperlink" Target="https://doi.org/10.1002/adma.73307" TargetMode="External"/><Relationship Id="rId111" Type="http://schemas.openxmlformats.org/officeDocument/2006/relationships/hyperlink" Target="https://advanced.onlinelibrary.wiley.com/doi/10.1002/aenm.71027?af=R" TargetMode="External"/><Relationship Id="rId112" Type="http://schemas.openxmlformats.org/officeDocument/2006/relationships/hyperlink" Target="https://doi.org/10.1002/aenm.71027" TargetMode="External"/><Relationship Id="rId113" Type="http://schemas.openxmlformats.org/officeDocument/2006/relationships/hyperlink" Target="http://pubs.rsc.org/en/Content/ArticleLanding/2026/EE/D6EE01515H" TargetMode="External"/><Relationship Id="rId114" Type="http://schemas.openxmlformats.org/officeDocument/2006/relationships/hyperlink" Target="https://www.cell.com/joule/fulltext/S2542-4351(26)00127-3?rss=yes" TargetMode="External"/><Relationship Id="rId115" Type="http://schemas.openxmlformats.org/officeDocument/2006/relationships/hyperlink" Target="https://doi.org/10.1016/j.joule.2026.102443" TargetMode="External"/><Relationship Id="rId116" Type="http://schemas.openxmlformats.org/officeDocument/2006/relationships/hyperlink" Target="https://advanced.onlinelibrary.wiley.com/doi/10.1002/adma.73261?af=R" TargetMode="External"/><Relationship Id="rId117" Type="http://schemas.openxmlformats.org/officeDocument/2006/relationships/hyperlink" Target="https://doi.org/10.1002/adma.73261" TargetMode="External"/><Relationship Id="rId118" Type="http://schemas.openxmlformats.org/officeDocument/2006/relationships/hyperlink" Target="https://www.sciencedirect.com/science/article/pii/S0306261926005556?dgcid=rss_sd_all" TargetMode="External"/><Relationship Id="rId119" Type="http://schemas.openxmlformats.org/officeDocument/2006/relationships/hyperlink" Target="https://www.nature.com/articles/s41928-026-01620-5" TargetMode="External"/><Relationship Id="rId120" Type="http://schemas.openxmlformats.org/officeDocument/2006/relationships/hyperlink" Target="https://doi.org/10.1038/s41928-026-01620-5" TargetMode="External"/><Relationship Id="rId121" Type="http://schemas.openxmlformats.org/officeDocument/2006/relationships/hyperlink" Target="https://www.nature.com/articles/s41578-026-00923-5" TargetMode="External"/><Relationship Id="rId122" Type="http://schemas.openxmlformats.org/officeDocument/2006/relationships/hyperlink" Target="https://doi.org/10.1038/s41578-026-00923-5" TargetMode="External"/><Relationship Id="rId123" Type="http://schemas.openxmlformats.org/officeDocument/2006/relationships/hyperlink" Target="https://www.sciencedirect.com/science/article/pii/S0306261926006458?dgcid=rss_sd_all" TargetMode="External"/><Relationship Id="rId124" Type="http://schemas.openxmlformats.org/officeDocument/2006/relationships/hyperlink" Target="https://www.sciencedirect.com/science/article/pii/S0306261926006240?dgcid=rss_sd_all" TargetMode="External"/><Relationship Id="rId125" Type="http://schemas.openxmlformats.org/officeDocument/2006/relationships/hyperlink" Target="https://www.sciencedirect.com/science/article/pii/S0301421526002302?dgcid=rss_sd_all" TargetMode="External"/><Relationship Id="rId126" Type="http://schemas.openxmlformats.org/officeDocument/2006/relationships/hyperlink" Target="https://advanced.onlinelibrary.wiley.com/doi/10.1002/aenm.71024?af=R" TargetMode="External"/><Relationship Id="rId127" Type="http://schemas.openxmlformats.org/officeDocument/2006/relationships/hyperlink" Target="https://doi.org/10.1002/aenm.71024" TargetMode="External"/><Relationship Id="rId128" Type="http://schemas.openxmlformats.org/officeDocument/2006/relationships/hyperlink" Target="https://www.sciencedirect.com/science/article/pii/S0306261926006318?dgcid=rss_sd_all" TargetMode="External"/><Relationship Id="rId129" Type="http://schemas.openxmlformats.org/officeDocument/2006/relationships/hyperlink" Target="https://www.sciencedirect.com/science/article/pii/S0301421526002314?dgcid=rss_sd_all" TargetMode="External"/><Relationship Id="rId130" Type="http://schemas.openxmlformats.org/officeDocument/2006/relationships/hyperlink" Target="https://www.sciencedirect.com/science/article/pii/S0301421526002296?dgcid=rss_sd_all" TargetMode="External"/><Relationship Id="rId131" Type="http://schemas.openxmlformats.org/officeDocument/2006/relationships/hyperlink" Target="https://www.sciencedirect.com/science/article/pii/S0306261926005489?dgcid=rss_sd_all" TargetMode="External"/><Relationship Id="rId132" Type="http://schemas.openxmlformats.org/officeDocument/2006/relationships/hyperlink" Target="https://onlinelibrary.wiley.com/doi/10.1002/anie.9278631?af=R" TargetMode="External"/><Relationship Id="rId133" Type="http://schemas.openxmlformats.org/officeDocument/2006/relationships/hyperlink" Target="https://doi.org/10.1002/anie.9278631" TargetMode="External"/><Relationship Id="rId134" Type="http://schemas.openxmlformats.org/officeDocument/2006/relationships/hyperlink" Target="https://advanced.onlinelibrary.wiley.com/doi/10.1002/adma.73288?af=R" TargetMode="External"/><Relationship Id="rId135" Type="http://schemas.openxmlformats.org/officeDocument/2006/relationships/hyperlink" Target="https://doi.org/10.1002/adma.73288" TargetMode="External"/><Relationship Id="rId136" Type="http://schemas.openxmlformats.org/officeDocument/2006/relationships/hyperlink" Target="http://dx.doi.org/10.1021/jacs.6c02305" TargetMode="External"/><Relationship Id="rId137" Type="http://schemas.openxmlformats.org/officeDocument/2006/relationships/hyperlink" Target="https://doi.org/10.1021/jacs.6c02305" TargetMode="External"/><Relationship Id="rId138" Type="http://schemas.openxmlformats.org/officeDocument/2006/relationships/hyperlink" Target="https://www.sciencedirect.com/science/article/pii/S0306261926006021?dgcid=rss_sd_all" TargetMode="External"/><Relationship Id="rId139" Type="http://schemas.openxmlformats.org/officeDocument/2006/relationships/hyperlink" Target="https://advanced.onlinelibrary.wiley.com/doi/10.1002/adma.73236?af=R" TargetMode="External"/><Relationship Id="rId140" Type="http://schemas.openxmlformats.org/officeDocument/2006/relationships/hyperlink" Target="https://doi.org/10.1002/adma.73236" TargetMode="External"/><Relationship Id="rId141" Type="http://schemas.openxmlformats.org/officeDocument/2006/relationships/hyperlink" Target="http://pubs.rsc.org/en/Content/ArticleLanding/2026/EE/D6EE01390B" TargetMode="External"/><Relationship Id="rId142" Type="http://schemas.openxmlformats.org/officeDocument/2006/relationships/hyperlink" Target="https://www.nature.com/articles/s41565-026-02175-4" TargetMode="External"/><Relationship Id="rId143" Type="http://schemas.openxmlformats.org/officeDocument/2006/relationships/hyperlink" Target="https://doi.org/10.1038/s41565-026-02175-4" TargetMode="External"/><Relationship Id="rId144" Type="http://schemas.openxmlformats.org/officeDocument/2006/relationships/hyperlink" Target="https://www.sciencedirect.com/science/article/pii/S0306261926006392?dgcid=rss_sd_all" TargetMode="External"/><Relationship Id="rId145" Type="http://schemas.openxmlformats.org/officeDocument/2006/relationships/hyperlink" Target="https://www.nature.com/articles/s41560-026-02055-0" TargetMode="External"/><Relationship Id="rId146" Type="http://schemas.openxmlformats.org/officeDocument/2006/relationships/hyperlink" Target="https://doi.org/10.1038/s41560-026-02055-0" TargetMode="External"/><Relationship Id="rId147" Type="http://schemas.openxmlformats.org/officeDocument/2006/relationships/hyperlink" Target="http://dx.doi.org/10.1021/jacs.6c04132" TargetMode="External"/><Relationship Id="rId148" Type="http://schemas.openxmlformats.org/officeDocument/2006/relationships/hyperlink" Target="https://doi.org/10.1021/jacs.6c04132" TargetMode="External"/><Relationship Id="rId149" Type="http://schemas.openxmlformats.org/officeDocument/2006/relationships/hyperlink" Target="http://dx.doi.org/10.1021/jacs.6c02109" TargetMode="External"/><Relationship Id="rId150" Type="http://schemas.openxmlformats.org/officeDocument/2006/relationships/hyperlink" Target="https://doi.org/10.1021/jacs.6c02109" TargetMode="External"/><Relationship Id="rId151" Type="http://schemas.openxmlformats.org/officeDocument/2006/relationships/hyperlink" Target="https://www.cell.com/joule/fulltext/S2542-4351(26)00125-X?rss=yes" TargetMode="External"/><Relationship Id="rId152" Type="http://schemas.openxmlformats.org/officeDocument/2006/relationships/hyperlink" Target="https://doi.org/10.1016/j.joule.2026.102441" TargetMode="External"/><Relationship Id="rId153" Type="http://schemas.openxmlformats.org/officeDocument/2006/relationships/hyperlink" Target="http://dx.doi.org/10.1021/acs.chemrev.5c00716" TargetMode="External"/><Relationship Id="rId154" Type="http://schemas.openxmlformats.org/officeDocument/2006/relationships/hyperlink" Target="https://doi.org/10.1021/acs.chemrev.5c00716" TargetMode="External"/><Relationship Id="rId155" Type="http://schemas.openxmlformats.org/officeDocument/2006/relationships/hyperlink" Target="https://onlinelibrary.wiley.com/doi/10.1002/anie.4324362?af=R" TargetMode="External"/><Relationship Id="rId156" Type="http://schemas.openxmlformats.org/officeDocument/2006/relationships/hyperlink" Target="https://doi.org/10.1002/anie.4324362" TargetMode="External"/><Relationship Id="rId157" Type="http://schemas.openxmlformats.org/officeDocument/2006/relationships/hyperlink" Target="https://www.science.org/doi/abs/10.1126/science.aed3914?af=R" TargetMode="External"/><Relationship Id="rId158" Type="http://schemas.openxmlformats.org/officeDocument/2006/relationships/hyperlink" Target="https://doi.org/10.1126/science.aed3914" TargetMode="External"/><Relationship Id="rId159" Type="http://schemas.openxmlformats.org/officeDocument/2006/relationships/hyperlink" Target="https://www.nature.com/articles/s41467-026-72684-2" TargetMode="External"/><Relationship Id="rId160" Type="http://schemas.openxmlformats.org/officeDocument/2006/relationships/hyperlink" Target="https://doi.org/10.1038/s41467-026-72684-2" TargetMode="External"/><Relationship Id="rId161" Type="http://schemas.openxmlformats.org/officeDocument/2006/relationships/hyperlink" Target="https://www.nature.com/articles/s41467-026-72697-x" TargetMode="External"/><Relationship Id="rId162" Type="http://schemas.openxmlformats.org/officeDocument/2006/relationships/hyperlink" Target="https://doi.org/10.1038/s41467-026-72697-x" TargetMode="External"/><Relationship Id="rId163" Type="http://schemas.openxmlformats.org/officeDocument/2006/relationships/hyperlink" Target="https://www.sciencedirect.com/science/article/pii/S0306261926005908?dgcid=rss_sd_all" TargetMode="External"/><Relationship Id="rId164" Type="http://schemas.openxmlformats.org/officeDocument/2006/relationships/hyperlink" Target="https://www.nature.com/articles/s41467-026-72563-w" TargetMode="External"/><Relationship Id="rId165" Type="http://schemas.openxmlformats.org/officeDocument/2006/relationships/hyperlink" Target="https://doi.org/10.1038/s41467-026-72563-w" TargetMode="External"/><Relationship Id="rId166" Type="http://schemas.openxmlformats.org/officeDocument/2006/relationships/hyperlink" Target="https://www.sciencedirect.com/science/article/pii/S0306261926006008?dgcid=rss_sd_all" TargetMode="External"/><Relationship Id="rId167" Type="http://schemas.openxmlformats.org/officeDocument/2006/relationships/hyperlink" Target="https://www.sciencedirect.com/science/article/pii/S0306261926006070?dgcid=rss_sd_all" TargetMode="External"/><Relationship Id="rId168" Type="http://schemas.openxmlformats.org/officeDocument/2006/relationships/hyperlink" Target="https://www.sciencedirect.com/science/article/pii/S0306261926005453?dgcid=rss_sd_all" TargetMode="External"/><Relationship Id="rId169" Type="http://schemas.openxmlformats.org/officeDocument/2006/relationships/hyperlink" Target="https://www.sciencedirect.com/science/article/pii/S0306261926006082?dgcid=rss_sd_all" TargetMode="External"/><Relationship Id="rId170" Type="http://schemas.openxmlformats.org/officeDocument/2006/relationships/hyperlink" Target="https://www.nature.com/articles/s41467-026-72478-6" TargetMode="External"/><Relationship Id="rId171" Type="http://schemas.openxmlformats.org/officeDocument/2006/relationships/hyperlink" Target="https://doi.org/10.1038/s41467-026-72478-6" TargetMode="External"/><Relationship Id="rId172" Type="http://schemas.openxmlformats.org/officeDocument/2006/relationships/hyperlink" Target="https://www.sciencedirect.com/science/article/pii/S0306261926006069?dgcid=rss_sd_all" TargetMode="External"/><Relationship Id="rId173" Type="http://schemas.openxmlformats.org/officeDocument/2006/relationships/hyperlink" Target="https://www.sciencedirect.com/science/article/pii/S0306261926005787?dgcid=rss_sd_all" TargetMode="External"/><Relationship Id="rId174" Type="http://schemas.openxmlformats.org/officeDocument/2006/relationships/hyperlink" Target="https://www.sciencedirect.com/science/article/pii/S0306261926005659?dgcid=rss_sd_all" TargetMode="External"/><Relationship Id="rId175" Type="http://schemas.openxmlformats.org/officeDocument/2006/relationships/hyperlink" Target="https://www.sciencedirect.com/science/article/pii/S0306261926005246?dgcid=rss_sd_all" TargetMode="External"/><Relationship Id="rId176" Type="http://schemas.openxmlformats.org/officeDocument/2006/relationships/hyperlink" Target="https://www.sciencedirect.com/science/article/pii/S0301421526002673?dgcid=rss_sd_all" TargetMode="External"/><Relationship Id="rId177" Type="http://schemas.openxmlformats.org/officeDocument/2006/relationships/hyperlink" Target="https://www.nature.com/articles/s41467-026-72546-x" TargetMode="External"/><Relationship Id="rId178" Type="http://schemas.openxmlformats.org/officeDocument/2006/relationships/hyperlink" Target="https://doi.org/10.1038/s41467-026-72546-x" TargetMode="External"/><Relationship Id="rId179" Type="http://schemas.openxmlformats.org/officeDocument/2006/relationships/hyperlink" Target="https://advanced.onlinelibrary.wiley.com/doi/10.1002/adma.73257?af=R" TargetMode="External"/><Relationship Id="rId180" Type="http://schemas.openxmlformats.org/officeDocument/2006/relationships/hyperlink" Target="https://doi.org/10.1002/adma.73257" TargetMode="External"/><Relationship Id="rId181" Type="http://schemas.openxmlformats.org/officeDocument/2006/relationships/hyperlink" Target="https://advanced.onlinelibrary.wiley.com/doi/10.1002/aenm.71010?af=R" TargetMode="External"/><Relationship Id="rId182" Type="http://schemas.openxmlformats.org/officeDocument/2006/relationships/hyperlink" Target="https://doi.org/10.1002/aenm.71010" TargetMode="External"/><Relationship Id="rId183" Type="http://schemas.openxmlformats.org/officeDocument/2006/relationships/hyperlink" Target="https://advanced.onlinelibrary.wiley.com/doi/10.1002/adma.73118?af=R" TargetMode="External"/><Relationship Id="rId184" Type="http://schemas.openxmlformats.org/officeDocument/2006/relationships/hyperlink" Target="https://doi.org/10.1002/adma.73118" TargetMode="External"/><Relationship Id="rId185" Type="http://schemas.openxmlformats.org/officeDocument/2006/relationships/hyperlink" Target="https://advanced.onlinelibrary.wiley.com/doi/10.1002/aenm.71022?af=R" TargetMode="External"/><Relationship Id="rId186" Type="http://schemas.openxmlformats.org/officeDocument/2006/relationships/hyperlink" Target="https://doi.org/10.1002/aenm.71022" TargetMode="External"/><Relationship Id="rId187" Type="http://schemas.openxmlformats.org/officeDocument/2006/relationships/hyperlink" Target="https://advanced.onlinelibrary.wiley.com/doi/10.1002/adma.202520961?af=R" TargetMode="External"/><Relationship Id="rId188" Type="http://schemas.openxmlformats.org/officeDocument/2006/relationships/hyperlink" Target="https://doi.org/10.1002/adma.202520961" TargetMode="External"/><Relationship Id="rId189" Type="http://schemas.openxmlformats.org/officeDocument/2006/relationships/hyperlink" Target="https://advanced.onlinelibrary.wiley.com/doi/10.1002/adma.202522292?af=R" TargetMode="External"/><Relationship Id="rId190" Type="http://schemas.openxmlformats.org/officeDocument/2006/relationships/hyperlink" Target="https://doi.org/10.1002/adma.202522292" TargetMode="External"/><Relationship Id="rId191" Type="http://schemas.openxmlformats.org/officeDocument/2006/relationships/hyperlink" Target="https://advanced.onlinelibrary.wiley.com/doi/10.1002/adma.73267?af=R" TargetMode="External"/><Relationship Id="rId192" Type="http://schemas.openxmlformats.org/officeDocument/2006/relationships/hyperlink" Target="https://doi.org/10.1002/adma.73267" TargetMode="External"/><Relationship Id="rId193" Type="http://schemas.openxmlformats.org/officeDocument/2006/relationships/hyperlink" Target="https://advanced.onlinelibrary.wiley.com/doi/10.1002/adma.73244?af=R" TargetMode="External"/><Relationship Id="rId194" Type="http://schemas.openxmlformats.org/officeDocument/2006/relationships/hyperlink" Target="https://doi.org/10.1002/adma.73244" TargetMode="External"/><Relationship Id="rId195" Type="http://schemas.openxmlformats.org/officeDocument/2006/relationships/hyperlink" Target="https://advanced.onlinelibrary.wiley.com/doi/10.1002/adma.202518756?af=R" TargetMode="External"/><Relationship Id="rId196" Type="http://schemas.openxmlformats.org/officeDocument/2006/relationships/hyperlink" Target="https://doi.org/10.1002/adma.202518756" TargetMode="External"/><Relationship Id="rId197" Type="http://schemas.openxmlformats.org/officeDocument/2006/relationships/hyperlink" Target="https://advanced.onlinelibrary.wiley.com/doi/10.1002/adma.202523636?af=R" TargetMode="External"/><Relationship Id="rId198" Type="http://schemas.openxmlformats.org/officeDocument/2006/relationships/hyperlink" Target="https://doi.org/10.1002/adma.202523636" TargetMode="External"/><Relationship Id="rId199" Type="http://schemas.openxmlformats.org/officeDocument/2006/relationships/hyperlink" Target="http://dx.doi.org/10.1021/jacs.6c04278" TargetMode="External"/><Relationship Id="rId200" Type="http://schemas.openxmlformats.org/officeDocument/2006/relationships/hyperlink" Target="https://doi.org/10.1021/jacs.6c04278" TargetMode="External"/><Relationship Id="rId201" Type="http://schemas.openxmlformats.org/officeDocument/2006/relationships/hyperlink" Target="https://onlinelibrary.wiley.com/doi/10.1002/anie.7019464?af=R" TargetMode="External"/><Relationship Id="rId202" Type="http://schemas.openxmlformats.org/officeDocument/2006/relationships/hyperlink" Target="https://doi.org/10.1002/anie.7019464" TargetMode="External"/><Relationship Id="rId203" Type="http://schemas.openxmlformats.org/officeDocument/2006/relationships/hyperlink" Target="https://onlinelibrary.wiley.com/doi/10.1002/anie.3836107?af=R" TargetMode="External"/><Relationship Id="rId204" Type="http://schemas.openxmlformats.org/officeDocument/2006/relationships/hyperlink" Target="https://doi.org/10.1002/anie.3836107" TargetMode="External"/><Relationship Id="rId205" Type="http://schemas.openxmlformats.org/officeDocument/2006/relationships/hyperlink" Target="http://dx.doi.org/10.1021/acsenergylett.6c00836" TargetMode="External"/><Relationship Id="rId206" Type="http://schemas.openxmlformats.org/officeDocument/2006/relationships/hyperlink" Target="https://doi.org/10.1021/acsenergylett.6c00836" TargetMode="External"/><Relationship Id="rId207" Type="http://schemas.openxmlformats.org/officeDocument/2006/relationships/hyperlink" Target="https://www.sciencedirect.com/science/article/pii/S0306261926006410?dgcid=rss_sd_all" TargetMode="External"/><Relationship Id="rId208" Type="http://schemas.openxmlformats.org/officeDocument/2006/relationships/hyperlink" Target="https://www.nature.com/articles/s41467-026-72738-5" TargetMode="External"/><Relationship Id="rId209" Type="http://schemas.openxmlformats.org/officeDocument/2006/relationships/hyperlink" Target="https://doi.org/10.1038/s41467-026-72738-5" TargetMode="External"/><Relationship Id="rId210" Type="http://schemas.openxmlformats.org/officeDocument/2006/relationships/hyperlink" Target="https://www.sciencedirect.com/science/article/pii/S0306261926006422?dgcid=rss_sd_all" TargetMode="External"/><Relationship Id="rId211" Type="http://schemas.openxmlformats.org/officeDocument/2006/relationships/hyperlink" Target="https://www.sciencedirect.com/science/article/pii/S0306261926006446?dgcid=rss_sd_all" TargetMode="External"/><Relationship Id="rId212" Type="http://schemas.openxmlformats.org/officeDocument/2006/relationships/hyperlink" Target="https://www.sciencedirect.com/science/article/pii/S0306261926006252?dgcid=rss_sd_all" TargetMode="External"/><Relationship Id="rId213" Type="http://schemas.openxmlformats.org/officeDocument/2006/relationships/hyperlink" Target="https://www.nature.com/articles/s41467-026-72596-1" TargetMode="External"/><Relationship Id="rId214" Type="http://schemas.openxmlformats.org/officeDocument/2006/relationships/hyperlink" Target="https://doi.org/10.1038/s41467-026-72596-1" TargetMode="External"/><Relationship Id="rId215" Type="http://schemas.openxmlformats.org/officeDocument/2006/relationships/hyperlink" Target="https://www.sciencedirect.com/science/article/pii/S0306261926006483?dgcid=rss_sd_all" TargetMode="External"/><Relationship Id="rId216" Type="http://schemas.openxmlformats.org/officeDocument/2006/relationships/hyperlink" Target="https://www.sciencedirect.com/science/article/pii/S0301421526002776?dgcid=rss_sd_all" TargetMode="External"/><Relationship Id="rId217" Type="http://schemas.openxmlformats.org/officeDocument/2006/relationships/hyperlink" Target="https://www.sciencedirect.com/science/article/pii/S0301421526002466?dgcid=rss_sd_all" TargetMode="External"/><Relationship Id="rId218" Type="http://schemas.openxmlformats.org/officeDocument/2006/relationships/hyperlink" Target="https://www.nature.com/articles/s41467-026-72683-3" TargetMode="External"/><Relationship Id="rId219" Type="http://schemas.openxmlformats.org/officeDocument/2006/relationships/hyperlink" Target="https://doi.org/10.1038/s41467-026-72683-3" TargetMode="External"/><Relationship Id="rId220" Type="http://schemas.openxmlformats.org/officeDocument/2006/relationships/hyperlink" Target="https://www.sciencedirect.com/science/article/pii/S0306261926006033?dgcid=rss_sd_all" TargetMode="External"/><Relationship Id="rId221" Type="http://schemas.openxmlformats.org/officeDocument/2006/relationships/hyperlink" Target="https://www.sciencedirect.com/science/article/pii/S0306261926006094?dgcid=rss_sd_all" TargetMode="External"/><Relationship Id="rId222" Type="http://schemas.openxmlformats.org/officeDocument/2006/relationships/hyperlink" Target="https://www.sciencedirect.com/science/article/pii/S0306261926006409?dgcid=rss_sd_all" TargetMode="External"/><Relationship Id="rId223" Type="http://schemas.openxmlformats.org/officeDocument/2006/relationships/hyperlink" Target="https://www.sciencedirect.com/science/article/pii/S030626192600629X?dgcid=rss_sd_all" TargetMode="External"/><Relationship Id="rId224" Type="http://schemas.openxmlformats.org/officeDocument/2006/relationships/hyperlink" Target="https://www.sciencedirect.com/science/article/pii/S0306261926006343?dgcid=rss_sd_all" TargetMode="External"/><Relationship Id="rId225" Type="http://schemas.openxmlformats.org/officeDocument/2006/relationships/hyperlink" Target="https://www.sciencedirect.com/science/article/pii/S0306261926005817?dgcid=rss_sd_all" TargetMode="External"/><Relationship Id="rId226" Type="http://schemas.openxmlformats.org/officeDocument/2006/relationships/hyperlink" Target="https://www.sciencedirect.com/science/article/pii/S030626192600574X?dgcid=rss_sd_all" TargetMode="External"/><Relationship Id="rId227" Type="http://schemas.openxmlformats.org/officeDocument/2006/relationships/hyperlink" Target="https://www.sciencedirect.com/science/article/pii/S0306261926006197?dgcid=rss_sd_all" TargetMode="External"/><Relationship Id="rId228" Type="http://schemas.openxmlformats.org/officeDocument/2006/relationships/hyperlink" Target="https://onlinelibrary.wiley.com/doi/10.1002/anie.6963888?af=R" TargetMode="External"/><Relationship Id="rId229" Type="http://schemas.openxmlformats.org/officeDocument/2006/relationships/hyperlink" Target="https://doi.org/10.1002/anie.6963888" TargetMode="External"/><Relationship Id="rId230" Type="http://schemas.openxmlformats.org/officeDocument/2006/relationships/hyperlink" Target="https://onlinelibrary.wiley.com/doi/10.1002/anie.4151188?af=R" TargetMode="External"/><Relationship Id="rId231" Type="http://schemas.openxmlformats.org/officeDocument/2006/relationships/hyperlink" Target="https://doi.org/10.1002/anie.4151188" TargetMode="External"/><Relationship Id="rId232" Type="http://schemas.openxmlformats.org/officeDocument/2006/relationships/hyperlink" Target="https://onlinelibrary.wiley.com/doi/10.1002/anie.3343591?af=R" TargetMode="External"/><Relationship Id="rId233" Type="http://schemas.openxmlformats.org/officeDocument/2006/relationships/hyperlink" Target="https://doi.org/10.1002/anie.3343591" TargetMode="External"/><Relationship Id="rId234" Type="http://schemas.openxmlformats.org/officeDocument/2006/relationships/hyperlink" Target="https://onlinelibrary.wiley.com/doi/10.1002/anie.6494121?af=R" TargetMode="External"/><Relationship Id="rId235" Type="http://schemas.openxmlformats.org/officeDocument/2006/relationships/hyperlink" Target="https://doi.org/10.1002/anie.6494121" TargetMode="External"/><Relationship Id="rId236" Type="http://schemas.openxmlformats.org/officeDocument/2006/relationships/hyperlink" Target="https://onlinelibrary.wiley.com/doi/10.1002/anie.6878935?af=R" TargetMode="External"/><Relationship Id="rId237" Type="http://schemas.openxmlformats.org/officeDocument/2006/relationships/hyperlink" Target="https://doi.org/10.1002/anie.6878935" TargetMode="External"/><Relationship Id="rId238" Type="http://schemas.openxmlformats.org/officeDocument/2006/relationships/hyperlink" Target="https://onlinelibrary.wiley.com/doi/10.1002/anie.1916030?af=R" TargetMode="External"/><Relationship Id="rId239" Type="http://schemas.openxmlformats.org/officeDocument/2006/relationships/hyperlink" Target="https://doi.org/10.1002/anie.1916030" TargetMode="External"/><Relationship Id="rId240" Type="http://schemas.openxmlformats.org/officeDocument/2006/relationships/hyperlink" Target="https://onlinelibrary.wiley.com/doi/10.1002/anie.1785862?af=R" TargetMode="External"/><Relationship Id="rId241" Type="http://schemas.openxmlformats.org/officeDocument/2006/relationships/hyperlink" Target="https://doi.org/10.1002/anie.1785862" TargetMode="External"/><Relationship Id="rId242" Type="http://schemas.openxmlformats.org/officeDocument/2006/relationships/hyperlink" Target="https://onlinelibrary.wiley.com/doi/10.1002/anie.8567749?af=R" TargetMode="External"/><Relationship Id="rId243" Type="http://schemas.openxmlformats.org/officeDocument/2006/relationships/hyperlink" Target="https://doi.org/10.1002/anie.8567749" TargetMode="External"/><Relationship Id="rId244" Type="http://schemas.openxmlformats.org/officeDocument/2006/relationships/hyperlink" Target="https://onlinelibrary.wiley.com/doi/10.1002/anie.5709785?af=R" TargetMode="External"/><Relationship Id="rId245" Type="http://schemas.openxmlformats.org/officeDocument/2006/relationships/hyperlink" Target="https://doi.org/10.1002/anie.5709785" TargetMode="External"/><Relationship Id="rId246" Type="http://schemas.openxmlformats.org/officeDocument/2006/relationships/hyperlink" Target="https://onlinelibrary.wiley.com/doi/10.1002/anie.6162809?af=R" TargetMode="External"/><Relationship Id="rId247" Type="http://schemas.openxmlformats.org/officeDocument/2006/relationships/hyperlink" Target="https://doi.org/10.1002/anie.6162809" TargetMode="External"/><Relationship Id="rId248" Type="http://schemas.openxmlformats.org/officeDocument/2006/relationships/hyperlink" Target="https://onlinelibrary.wiley.com/doi/10.1002/anie.9256032?af=R" TargetMode="External"/><Relationship Id="rId249" Type="http://schemas.openxmlformats.org/officeDocument/2006/relationships/hyperlink" Target="https://doi.org/10.1002/anie.9256032" TargetMode="External"/><Relationship Id="rId250" Type="http://schemas.openxmlformats.org/officeDocument/2006/relationships/hyperlink" Target="https://onlinelibrary.wiley.com/doi/10.1002/anie.1190401?af=R" TargetMode="External"/><Relationship Id="rId251" Type="http://schemas.openxmlformats.org/officeDocument/2006/relationships/hyperlink" Target="https://doi.org/10.1002/anie.1190401" TargetMode="External"/><Relationship Id="rId252" Type="http://schemas.openxmlformats.org/officeDocument/2006/relationships/hyperlink" Target="http://dx.doi.org/10.1021/jacs.6c01029" TargetMode="External"/><Relationship Id="rId253" Type="http://schemas.openxmlformats.org/officeDocument/2006/relationships/hyperlink" Target="https://doi.org/10.1021/jacs.6c01029" TargetMode="External"/><Relationship Id="rId254" Type="http://schemas.openxmlformats.org/officeDocument/2006/relationships/hyperlink" Target="http://dx.doi.org/10.1021/jacs.6c03331" TargetMode="External"/><Relationship Id="rId255" Type="http://schemas.openxmlformats.org/officeDocument/2006/relationships/hyperlink" Target="https://doi.org/10.1021/jacs.6c03331" TargetMode="External"/><Relationship Id="rId256" Type="http://schemas.openxmlformats.org/officeDocument/2006/relationships/hyperlink" Target="http://dx.doi.org/10.1021/jacs.6c03398" TargetMode="External"/><Relationship Id="rId257" Type="http://schemas.openxmlformats.org/officeDocument/2006/relationships/hyperlink" Target="https://doi.org/10.1021/jacs.6c03398" TargetMode="External"/><Relationship Id="rId258" Type="http://schemas.openxmlformats.org/officeDocument/2006/relationships/hyperlink" Target="http://dx.doi.org/10.1021/jacs.6c03146" TargetMode="External"/><Relationship Id="rId259" Type="http://schemas.openxmlformats.org/officeDocument/2006/relationships/hyperlink" Target="https://doi.org/10.1021/jacs.6c03146" TargetMode="External"/><Relationship Id="rId260" Type="http://schemas.openxmlformats.org/officeDocument/2006/relationships/hyperlink" Target="https://www.nature.com/articles/s41467-026-72512-7" TargetMode="External"/><Relationship Id="rId261" Type="http://schemas.openxmlformats.org/officeDocument/2006/relationships/hyperlink" Target="https://doi.org/10.1038/s41467-026-72512-7" TargetMode="External"/><Relationship Id="rId262" Type="http://schemas.openxmlformats.org/officeDocument/2006/relationships/hyperlink" Target="https://www.nature.com/articles/s41467-026-72413-9" TargetMode="External"/><Relationship Id="rId263" Type="http://schemas.openxmlformats.org/officeDocument/2006/relationships/hyperlink" Target="https://doi.org/10.1038/s41467-026-72413-9" TargetMode="External"/><Relationship Id="rId264" Type="http://schemas.openxmlformats.org/officeDocument/2006/relationships/hyperlink" Target="https://www.nature.com/articles/s41893-026-01820-z" TargetMode="External"/><Relationship Id="rId265" Type="http://schemas.openxmlformats.org/officeDocument/2006/relationships/hyperlink" Target="https://doi.org/10.1038/s41893-026-01820-z" TargetMode="External"/><Relationship Id="rId266" Type="http://schemas.openxmlformats.org/officeDocument/2006/relationships/hyperlink" Target="https://www.nature.com/articles/s41563-026-02597-4" TargetMode="External"/><Relationship Id="rId267" Type="http://schemas.openxmlformats.org/officeDocument/2006/relationships/hyperlink" Target="https://doi.org/10.1038/s41563-026-02597-4" TargetMode="External"/><Relationship Id="rId268" Type="http://schemas.openxmlformats.org/officeDocument/2006/relationships/hyperlink" Target="https://www.nature.com/articles/s41557-026-02125-6" TargetMode="External"/><Relationship Id="rId269" Type="http://schemas.openxmlformats.org/officeDocument/2006/relationships/hyperlink" Target="https://doi.org/10.1038/s41557-026-02125-6" TargetMode="External"/><Relationship Id="rId270" Type="http://schemas.openxmlformats.org/officeDocument/2006/relationships/hyperlink" Target="https://www.nature.com/articles/d41586-026-01410-1" TargetMode="External"/><Relationship Id="rId271" Type="http://schemas.openxmlformats.org/officeDocument/2006/relationships/hyperlink" Target="https://doi.org/10.1038/d41586-026-01410-1" TargetMode="External"/><Relationship Id="rId272" Type="http://schemas.openxmlformats.org/officeDocument/2006/relationships/hyperlink" Target="https://www.nature.com/articles/d41586-026-01394-y" TargetMode="External"/><Relationship Id="rId273" Type="http://schemas.openxmlformats.org/officeDocument/2006/relationships/hyperlink" Target="https://doi.org/10.1038/d41586-026-01394-y" TargetMode="External"/><Relationship Id="rId274" Type="http://schemas.openxmlformats.org/officeDocument/2006/relationships/hyperlink" Target="https://www.nature.com/articles/s41557-026-02115-8" TargetMode="External"/><Relationship Id="rId275" Type="http://schemas.openxmlformats.org/officeDocument/2006/relationships/hyperlink" Target="https://doi.org/10.1038/s41557-026-02115-8" TargetMode="External"/><Relationship Id="rId276" Type="http://schemas.openxmlformats.org/officeDocument/2006/relationships/hyperlink" Target="https://www.nature.com/articles/s44286-026-00383-2" TargetMode="External"/><Relationship Id="rId277" Type="http://schemas.openxmlformats.org/officeDocument/2006/relationships/hyperlink" Target="https://doi.org/10.1038/s44286-026-00383-2" TargetMode="External"/><Relationship Id="rId278" Type="http://schemas.openxmlformats.org/officeDocument/2006/relationships/hyperlink" Target="https://www.nature.com/articles/s41560-026-02042-5" TargetMode="External"/><Relationship Id="rId279" Type="http://schemas.openxmlformats.org/officeDocument/2006/relationships/hyperlink" Target="https://doi.org/10.1038/s41560-026-02042-5" TargetMode="External"/><Relationship Id="rId280" Type="http://schemas.openxmlformats.org/officeDocument/2006/relationships/hyperlink" Target="https://www.nature.com/articles/d41586-026-01450-7" TargetMode="External"/><Relationship Id="rId281" Type="http://schemas.openxmlformats.org/officeDocument/2006/relationships/hyperlink" Target="https://doi.org/10.1038/d41586-026-01450-7" TargetMode="External"/><Relationship Id="rId282" Type="http://schemas.openxmlformats.org/officeDocument/2006/relationships/hyperlink" Target="https://www.sciencedirect.com/science/article/pii/S0306261926006513?dgcid=rss_sd_all" TargetMode="External"/><Relationship Id="rId283" Type="http://schemas.openxmlformats.org/officeDocument/2006/relationships/hyperlink" Target="https://www.nature.com/articles/s41928-026-01619-y" TargetMode="External"/><Relationship Id="rId284" Type="http://schemas.openxmlformats.org/officeDocument/2006/relationships/hyperlink" Target="https://doi.org/10.1038/s41928-026-01619-y" TargetMode="External"/><Relationship Id="rId285" Type="http://schemas.openxmlformats.org/officeDocument/2006/relationships/hyperlink" Target="https://www.nature.com/articles/s41928-026-01625-0" TargetMode="External"/><Relationship Id="rId286" Type="http://schemas.openxmlformats.org/officeDocument/2006/relationships/hyperlink" Target="https://doi.org/10.1038/s41928-026-01625-0" TargetMode="External"/><Relationship Id="rId287" Type="http://schemas.openxmlformats.org/officeDocument/2006/relationships/hyperlink" Target="https://www.cell.com/matter/fulltext/S2590-2385(26)00169-4?rss=yes" TargetMode="External"/><Relationship Id="rId288" Type="http://schemas.openxmlformats.org/officeDocument/2006/relationships/hyperlink" Target="https://doi.org/10.1016/j.matt.2026.102806" TargetMode="External"/><Relationship Id="rId289" Type="http://schemas.openxmlformats.org/officeDocument/2006/relationships/hyperlink" Target="https://www.nature.com/articles/s41928-026-01623-2" TargetMode="External"/><Relationship Id="rId290" Type="http://schemas.openxmlformats.org/officeDocument/2006/relationships/hyperlink" Target="https://doi.org/10.1038/s41928-026-01623-2" TargetMode="External"/><Relationship Id="rId291" Type="http://schemas.openxmlformats.org/officeDocument/2006/relationships/hyperlink" Target="https://www.sciencedirect.com/science/article/pii/S0306261926006562?dgcid=rss_sd_all" TargetMode="External"/><Relationship Id="rId292" Type="http://schemas.openxmlformats.org/officeDocument/2006/relationships/hyperlink" Target="https://www.sciencedirect.com/science/article/pii/S0306261926006355?dgcid=rss_sd_all" TargetMode="External"/><Relationship Id="rId293" Type="http://schemas.openxmlformats.org/officeDocument/2006/relationships/hyperlink" Target="https://www.sciencedirect.com/science/article/pii/S0306261926006379?dgcid=rss_sd_all" TargetMode="External"/><Relationship Id="rId294" Type="http://schemas.openxmlformats.org/officeDocument/2006/relationships/hyperlink" Target="https://www.pnas.org/doi/abs/10.1073/pnas.2608465123?mi=eymic2&amp;af=R&amp;access=on&amp;content=articlesChapters&amp;publication=pnas&amp;sortBy=Earliest&amp;target=default" TargetMode="External"/><Relationship Id="rId295" Type="http://schemas.openxmlformats.org/officeDocument/2006/relationships/hyperlink" Target="https://doi.org/10.1073/pnas.2608465123" TargetMode="External"/><Relationship Id="rId296" Type="http://schemas.openxmlformats.org/officeDocument/2006/relationships/hyperlink" Target="https://www.pnas.org/doi/abs/10.1073/pnas.2529151123?mi=eymic2&amp;af=R&amp;access=on&amp;content=articlesChapters&amp;publication=pnas&amp;sortBy=Earliest&amp;target=default" TargetMode="External"/><Relationship Id="rId297" Type="http://schemas.openxmlformats.org/officeDocument/2006/relationships/hyperlink" Target="https://doi.org/10.1073/pnas.2529151123" TargetMode="External"/><Relationship Id="rId298" Type="http://schemas.openxmlformats.org/officeDocument/2006/relationships/hyperlink" Target="https://www.pnas.org/doi/abs/10.1073/pnas.2609971123?mi=eymic2&amp;af=R&amp;access=on&amp;content=articlesChapters&amp;publication=pnas&amp;sortBy=Earliest&amp;target=default" TargetMode="External"/><Relationship Id="rId299" Type="http://schemas.openxmlformats.org/officeDocument/2006/relationships/hyperlink" Target="https://doi.org/10.1073/pnas.2609971123" TargetMode="External"/><Relationship Id="rId300" Type="http://schemas.openxmlformats.org/officeDocument/2006/relationships/hyperlink" Target="https://www.pnas.org/doi/abs/10.1073/pnas.2606253123?mi=eymic2&amp;af=R&amp;access=on&amp;content=articlesChapters&amp;publication=pnas&amp;sortBy=Earliest&amp;target=default" TargetMode="External"/><Relationship Id="rId301" Type="http://schemas.openxmlformats.org/officeDocument/2006/relationships/hyperlink" Target="https://doi.org/10.1073/pnas.2606253123" TargetMode="External"/><Relationship Id="rId302" Type="http://schemas.openxmlformats.org/officeDocument/2006/relationships/hyperlink" Target="https://www.pnas.org/doi/abs/10.1073/pnas.2605416123?mi=eymic2&amp;af=R&amp;access=on&amp;content=articlesChapters&amp;publication=pnas&amp;sortBy=Earliest&amp;target=default" TargetMode="External"/><Relationship Id="rId303" Type="http://schemas.openxmlformats.org/officeDocument/2006/relationships/hyperlink" Target="https://doi.org/10.1073/pnas.2605416123" TargetMode="External"/><Relationship Id="rId304" Type="http://schemas.openxmlformats.org/officeDocument/2006/relationships/hyperlink" Target="https://www.pnas.org/doi/abs/10.1073/pnas.2610120123?mi=eymic2&amp;af=R&amp;access=on&amp;content=articlesChapters&amp;publication=pnas&amp;sortBy=Earliest&amp;target=default" TargetMode="External"/><Relationship Id="rId305" Type="http://schemas.openxmlformats.org/officeDocument/2006/relationships/hyperlink" Target="https://doi.org/10.1073/pnas.2610120123" TargetMode="External"/><Relationship Id="rId306" Type="http://schemas.openxmlformats.org/officeDocument/2006/relationships/hyperlink" Target="https://www.pnas.org/doi/abs/10.1073/pnas.2537040123?mi=eymic2&amp;af=R&amp;access=on&amp;content=articlesChapters&amp;publication=pnas&amp;sortBy=Earliest&amp;target=default" TargetMode="External"/><Relationship Id="rId307" Type="http://schemas.openxmlformats.org/officeDocument/2006/relationships/hyperlink" Target="https://doi.org/10.1073/pnas.2537040123" TargetMode="External"/><Relationship Id="rId308" Type="http://schemas.openxmlformats.org/officeDocument/2006/relationships/hyperlink" Target="https://www.pnas.org/doi/abs/10.1073/pnas.2536503123?mi=eymic2&amp;af=R&amp;access=on&amp;content=articlesChapters&amp;publication=pnas&amp;sortBy=Earliest&amp;target=default" TargetMode="External"/><Relationship Id="rId309" Type="http://schemas.openxmlformats.org/officeDocument/2006/relationships/hyperlink" Target="https://doi.org/10.1073/pnas.2536503123" TargetMode="External"/><Relationship Id="rId310" Type="http://schemas.openxmlformats.org/officeDocument/2006/relationships/hyperlink" Target="https://www.pnas.org/doi/abs/10.1073/pnas.2535786123?mi=eymic2&amp;af=R&amp;access=on&amp;content=articlesChapters&amp;publication=pnas&amp;sortBy=Earliest&amp;target=default" TargetMode="External"/><Relationship Id="rId311" Type="http://schemas.openxmlformats.org/officeDocument/2006/relationships/hyperlink" Target="https://doi.org/10.1073/pnas.2535786123" TargetMode="External"/><Relationship Id="rId312" Type="http://schemas.openxmlformats.org/officeDocument/2006/relationships/hyperlink" Target="https://www.pnas.org/doi/abs/10.1073/pnas.2533820123?mi=eymic2&amp;af=R&amp;access=on&amp;content=articlesChapters&amp;publication=pnas&amp;sortBy=Earliest&amp;target=default" TargetMode="External"/><Relationship Id="rId313" Type="http://schemas.openxmlformats.org/officeDocument/2006/relationships/hyperlink" Target="https://doi.org/10.1073/pnas.2533820123" TargetMode="External"/><Relationship Id="rId314" Type="http://schemas.openxmlformats.org/officeDocument/2006/relationships/hyperlink" Target="https://www.pnas.org/doi/abs/10.1073/pnas.2537631123?mi=eymic2&amp;af=R&amp;access=on&amp;content=articlesChapters&amp;publication=pnas&amp;sortBy=Earliest&amp;target=default" TargetMode="External"/><Relationship Id="rId315" Type="http://schemas.openxmlformats.org/officeDocument/2006/relationships/hyperlink" Target="https://doi.org/10.1073/pnas.2537631123" TargetMode="External"/><Relationship Id="rId316" Type="http://schemas.openxmlformats.org/officeDocument/2006/relationships/hyperlink" Target="https://www.pnas.org/doi/abs/10.1073/pnas.2610884123?mi=eymic2&amp;af=R&amp;access=on&amp;content=articlesChapters&amp;publication=pnas&amp;sortBy=Earliest&amp;target=default" TargetMode="External"/><Relationship Id="rId317" Type="http://schemas.openxmlformats.org/officeDocument/2006/relationships/hyperlink" Target="https://doi.org/10.1073/pnas.2610884123" TargetMode="External"/><Relationship Id="rId318" Type="http://schemas.openxmlformats.org/officeDocument/2006/relationships/hyperlink" Target="https://www.pnas.org/doi/abs/10.1073/pnas.2523631123?mi=eymic2&amp;af=R&amp;access=on&amp;content=articlesChapters&amp;publication=pnas&amp;sortBy=Earliest&amp;target=default" TargetMode="External"/><Relationship Id="rId319" Type="http://schemas.openxmlformats.org/officeDocument/2006/relationships/hyperlink" Target="https://doi.org/10.1073/pnas.2523631123" TargetMode="External"/><Relationship Id="rId320" Type="http://schemas.openxmlformats.org/officeDocument/2006/relationships/hyperlink" Target="https://www.pnas.org/doi/abs/10.1073/pnas.2612811123?mi=eymic2&amp;af=R&amp;access=on&amp;content=articlesChapters&amp;publication=pnas&amp;sortBy=Earliest&amp;target=default" TargetMode="External"/><Relationship Id="rId321" Type="http://schemas.openxmlformats.org/officeDocument/2006/relationships/hyperlink" Target="https://doi.org/10.1073/pnas.2612811123" TargetMode="External"/><Relationship Id="rId322" Type="http://schemas.openxmlformats.org/officeDocument/2006/relationships/hyperlink" Target="https://www.pnas.org/doi/abs/10.1073/pnas.2533505123?mi=eymic2&amp;af=R&amp;access=on&amp;content=articlesChapters&amp;publication=pnas&amp;sortBy=Earliest&amp;target=default" TargetMode="External"/><Relationship Id="rId323" Type="http://schemas.openxmlformats.org/officeDocument/2006/relationships/hyperlink" Target="https://doi.org/10.1073/pnas.2533505123" TargetMode="External"/><Relationship Id="rId324" Type="http://schemas.openxmlformats.org/officeDocument/2006/relationships/hyperlink" Target="https://www.pnas.org/doi/abs/10.1073/pnas.2528289123?mi=eymic2&amp;af=R&amp;access=on&amp;content=articlesChapters&amp;publication=pnas&amp;sortBy=Earliest&amp;target=default" TargetMode="External"/><Relationship Id="rId325" Type="http://schemas.openxmlformats.org/officeDocument/2006/relationships/hyperlink" Target="https://doi.org/10.1073/pnas.2528289123" TargetMode="External"/><Relationship Id="rId326" Type="http://schemas.openxmlformats.org/officeDocument/2006/relationships/hyperlink" Target="https://www.pnas.org/doi/abs/10.1073/pnas.2528911123?mi=eymic2&amp;af=R&amp;access=on&amp;content=articlesChapters&amp;publication=pnas&amp;sortBy=Earliest&amp;target=default" TargetMode="External"/><Relationship Id="rId327" Type="http://schemas.openxmlformats.org/officeDocument/2006/relationships/hyperlink" Target="https://doi.org/10.1073/pnas.2528911123" TargetMode="External"/><Relationship Id="rId328" Type="http://schemas.openxmlformats.org/officeDocument/2006/relationships/hyperlink" Target="https://www.pnas.org/doi/abs/10.1073/pnas.2522264123?mi=eymic2&amp;af=R&amp;access=on&amp;content=articlesChapters&amp;publication=pnas&amp;sortBy=Earliest&amp;target=default" TargetMode="External"/><Relationship Id="rId329" Type="http://schemas.openxmlformats.org/officeDocument/2006/relationships/hyperlink" Target="https://doi.org/10.1073/pnas.2522264123" TargetMode="External"/><Relationship Id="rId330" Type="http://schemas.openxmlformats.org/officeDocument/2006/relationships/hyperlink" Target="https://www.pnas.org/doi/abs/10.1073/pnas.2611059123?mi=eymic2&amp;af=R&amp;access=on&amp;content=articlesChapters&amp;publication=pnas&amp;sortBy=Earliest&amp;target=default" TargetMode="External"/><Relationship Id="rId331" Type="http://schemas.openxmlformats.org/officeDocument/2006/relationships/hyperlink" Target="https://doi.org/10.1073/pnas.2611059123" TargetMode="External"/><Relationship Id="rId332" Type="http://schemas.openxmlformats.org/officeDocument/2006/relationships/hyperlink" Target="https://www.pnas.org/doi/abs/10.1073/pnas.2520832123?mi=eymic2&amp;af=R&amp;access=on&amp;content=articlesChapters&amp;publication=pnas&amp;sortBy=Earliest&amp;target=default" TargetMode="External"/><Relationship Id="rId333" Type="http://schemas.openxmlformats.org/officeDocument/2006/relationships/hyperlink" Target="https://doi.org/10.1073/pnas.2520832123" TargetMode="External"/><Relationship Id="rId334" Type="http://schemas.openxmlformats.org/officeDocument/2006/relationships/hyperlink" Target="https://www.pnas.org/doi/abs/10.1073/pnas.2611961123?mi=eymic2&amp;af=R&amp;access=on&amp;content=articlesChapters&amp;publication=pnas&amp;sortBy=Earliest&amp;target=default" TargetMode="External"/><Relationship Id="rId335" Type="http://schemas.openxmlformats.org/officeDocument/2006/relationships/hyperlink" Target="https://doi.org/10.1073/pnas.2611961123" TargetMode="External"/><Relationship Id="rId336" Type="http://schemas.openxmlformats.org/officeDocument/2006/relationships/hyperlink" Target="https://www.pnas.org/doi/abs/10.1073/pnas.2613748123?mi=eymic2&amp;af=R&amp;access=on&amp;content=articlesChapters&amp;publication=pnas&amp;sortBy=Earliest&amp;target=default" TargetMode="External"/><Relationship Id="rId337" Type="http://schemas.openxmlformats.org/officeDocument/2006/relationships/hyperlink" Target="https://doi.org/10.1073/pnas.2613748123" TargetMode="External"/><Relationship Id="rId338" Type="http://schemas.openxmlformats.org/officeDocument/2006/relationships/hyperlink" Target="https://www.pnas.org/doi/abs/10.1073/pnas.2525334123?mi=eymic2&amp;af=R&amp;access=on&amp;content=articlesChapters&amp;publication=pnas&amp;sortBy=Earliest&amp;target=default" TargetMode="External"/><Relationship Id="rId339" Type="http://schemas.openxmlformats.org/officeDocument/2006/relationships/hyperlink" Target="https://doi.org/10.1073/pnas.2525334123" TargetMode="External"/><Relationship Id="rId340" Type="http://schemas.openxmlformats.org/officeDocument/2006/relationships/hyperlink" Target="https://www.pnas.org/doi/abs/10.1073/pnas.2526828123?mi=eymic2&amp;af=R&amp;access=on&amp;content=articlesChapters&amp;publication=pnas&amp;sortBy=Earliest&amp;target=default" TargetMode="External"/><Relationship Id="rId341" Type="http://schemas.openxmlformats.org/officeDocument/2006/relationships/hyperlink" Target="https://doi.org/10.1073/pnas.2526828123" TargetMode="External"/><Relationship Id="rId342" Type="http://schemas.openxmlformats.org/officeDocument/2006/relationships/hyperlink" Target="https://advanced.onlinelibrary.wiley.com/doi/10.1002/adma.73192?af=R" TargetMode="External"/><Relationship Id="rId343" Type="http://schemas.openxmlformats.org/officeDocument/2006/relationships/hyperlink" Target="https://doi.org/10.1002/adma.73192" TargetMode="External"/><Relationship Id="rId344" Type="http://schemas.openxmlformats.org/officeDocument/2006/relationships/hyperlink" Target="https://advanced.onlinelibrary.wiley.com/doi/10.1002/adma.73278?af=R" TargetMode="External"/><Relationship Id="rId345" Type="http://schemas.openxmlformats.org/officeDocument/2006/relationships/hyperlink" Target="https://doi.org/10.1002/adma.73278" TargetMode="External"/><Relationship Id="rId346" Type="http://schemas.openxmlformats.org/officeDocument/2006/relationships/hyperlink" Target="https://advanced.onlinelibrary.wiley.com/doi/10.1002/adma.73237?af=R" TargetMode="External"/><Relationship Id="rId347" Type="http://schemas.openxmlformats.org/officeDocument/2006/relationships/hyperlink" Target="https://doi.org/10.1002/adma.73237" TargetMode="External"/><Relationship Id="rId348" Type="http://schemas.openxmlformats.org/officeDocument/2006/relationships/hyperlink" Target="https://advanced.onlinelibrary.wiley.com/doi/10.1002/adma.202519385?af=R" TargetMode="External"/><Relationship Id="rId349" Type="http://schemas.openxmlformats.org/officeDocument/2006/relationships/hyperlink" Target="https://doi.org/10.1002/adma.202519385" TargetMode="External"/><Relationship Id="rId350" Type="http://schemas.openxmlformats.org/officeDocument/2006/relationships/hyperlink" Target="http://dx.doi.org/10.1021/jacs.6c02928" TargetMode="External"/><Relationship Id="rId351" Type="http://schemas.openxmlformats.org/officeDocument/2006/relationships/hyperlink" Target="https://doi.org/10.1021/jacs.6c02928" TargetMode="External"/><Relationship Id="rId352" Type="http://schemas.openxmlformats.org/officeDocument/2006/relationships/hyperlink" Target="http://dx.doi.org/10.1021/jacs.6c04322" TargetMode="External"/><Relationship Id="rId353" Type="http://schemas.openxmlformats.org/officeDocument/2006/relationships/hyperlink" Target="https://doi.org/10.1021/jacs.6c04322" TargetMode="External"/><Relationship Id="rId354" Type="http://schemas.openxmlformats.org/officeDocument/2006/relationships/hyperlink" Target="https://advanced.onlinelibrary.wiley.com/doi/10.1002/adma.73154?af=R" TargetMode="External"/><Relationship Id="rId355" Type="http://schemas.openxmlformats.org/officeDocument/2006/relationships/hyperlink" Target="https://doi.org/10.1002/adma.73154" TargetMode="External"/><Relationship Id="rId356" Type="http://schemas.openxmlformats.org/officeDocument/2006/relationships/hyperlink" Target="https://advanced.onlinelibrary.wiley.com/doi/10.1002/adma.73159?af=R" TargetMode="External"/><Relationship Id="rId357" Type="http://schemas.openxmlformats.org/officeDocument/2006/relationships/hyperlink" Target="https://doi.org/10.1002/adma.73159" TargetMode="External"/><Relationship Id="rId358" Type="http://schemas.openxmlformats.org/officeDocument/2006/relationships/hyperlink" Target="https://advanced.onlinelibrary.wiley.com/doi/10.1002/adma.73158?af=R" TargetMode="External"/><Relationship Id="rId359" Type="http://schemas.openxmlformats.org/officeDocument/2006/relationships/hyperlink" Target="https://doi.org/10.1002/adma.73158" TargetMode="External"/><Relationship Id="rId360" Type="http://schemas.openxmlformats.org/officeDocument/2006/relationships/hyperlink" Target="https://advanced.onlinelibrary.wiley.com/doi/10.1002/adma.73157?af=R" TargetMode="External"/><Relationship Id="rId361" Type="http://schemas.openxmlformats.org/officeDocument/2006/relationships/hyperlink" Target="https://doi.org/10.1002/adma.73157" TargetMode="External"/><Relationship Id="rId362" Type="http://schemas.openxmlformats.org/officeDocument/2006/relationships/hyperlink" Target="https://advanced.onlinelibrary.wiley.com/doi/10.1002/adma.73156?af=R" TargetMode="External"/><Relationship Id="rId363" Type="http://schemas.openxmlformats.org/officeDocument/2006/relationships/hyperlink" Target="https://doi.org/10.1002/adma.73156" TargetMode="External"/><Relationship Id="rId364" Type="http://schemas.openxmlformats.org/officeDocument/2006/relationships/hyperlink" Target="http://dx.doi.org/10.1021/jacs.5c19604" TargetMode="External"/><Relationship Id="rId365" Type="http://schemas.openxmlformats.org/officeDocument/2006/relationships/hyperlink" Target="https://doi.org/10.1021/jacs.5c19604" TargetMode="External"/><Relationship Id="rId366" Type="http://schemas.openxmlformats.org/officeDocument/2006/relationships/hyperlink" Target="http://dx.doi.org/10.1021/jacs.6c00626" TargetMode="External"/><Relationship Id="rId367" Type="http://schemas.openxmlformats.org/officeDocument/2006/relationships/hyperlink" Target="https://doi.org/10.1021/jacs.6c00626" TargetMode="External"/><Relationship Id="rId368" Type="http://schemas.openxmlformats.org/officeDocument/2006/relationships/hyperlink" Target="http://dx.doi.org/10.1021/jacs.6c02480" TargetMode="External"/><Relationship Id="rId369" Type="http://schemas.openxmlformats.org/officeDocument/2006/relationships/hyperlink" Target="https://doi.org/10.1021/jacs.6c02480" TargetMode="External"/><Relationship Id="rId370" Type="http://schemas.openxmlformats.org/officeDocument/2006/relationships/hyperlink" Target="https://onlinelibrary.wiley.com/doi/10.1002/anie.3764137?af=R" TargetMode="External"/><Relationship Id="rId371" Type="http://schemas.openxmlformats.org/officeDocument/2006/relationships/hyperlink" Target="https://doi.org/10.1002/anie.3764137" TargetMode="External"/><Relationship Id="rId372" Type="http://schemas.openxmlformats.org/officeDocument/2006/relationships/hyperlink" Target="http://dx.doi.org/10.1021/acsenergylett.6c01223" TargetMode="External"/><Relationship Id="rId373" Type="http://schemas.openxmlformats.org/officeDocument/2006/relationships/hyperlink" Target="https://doi.org/10.1021/acsenergylett.6c01223" TargetMode="External"/><Relationship Id="rId374" Type="http://schemas.openxmlformats.org/officeDocument/2006/relationships/hyperlink" Target="http://dx.doi.org/10.1021/jacs.6c03052" TargetMode="External"/><Relationship Id="rId375" Type="http://schemas.openxmlformats.org/officeDocument/2006/relationships/hyperlink" Target="https://doi.org/10.1021/jacs.6c03052" TargetMode="External"/><Relationship Id="rId376" Type="http://schemas.openxmlformats.org/officeDocument/2006/relationships/hyperlink" Target="https://onlinelibrary.wiley.com/doi/10.1002/anie.2642371?af=R" TargetMode="External"/><Relationship Id="rId377" Type="http://schemas.openxmlformats.org/officeDocument/2006/relationships/hyperlink" Target="https://doi.org/10.1002/anie.2642371" TargetMode="External"/><Relationship Id="rId378" Type="http://schemas.openxmlformats.org/officeDocument/2006/relationships/hyperlink" Target="https://onlinelibrary.wiley.com/doi/10.1002/anie.4040066?af=R" TargetMode="External"/><Relationship Id="rId379" Type="http://schemas.openxmlformats.org/officeDocument/2006/relationships/hyperlink" Target="https://doi.org/10.1002/anie.4040066" TargetMode="External"/><Relationship Id="rId380" Type="http://schemas.openxmlformats.org/officeDocument/2006/relationships/hyperlink" Target="https://onlinelibrary.wiley.com/doi/10.1002/anie.3724922?af=R" TargetMode="External"/><Relationship Id="rId381" Type="http://schemas.openxmlformats.org/officeDocument/2006/relationships/hyperlink" Target="https://doi.org/10.1002/anie.3724922" TargetMode="External"/><Relationship Id="rId382" Type="http://schemas.openxmlformats.org/officeDocument/2006/relationships/hyperlink" Target="https://onlinelibrary.wiley.com/doi/10.1002/anie.6695144?af=R" TargetMode="External"/><Relationship Id="rId383" Type="http://schemas.openxmlformats.org/officeDocument/2006/relationships/hyperlink" Target="https://doi.org/10.1002/anie.6695144" TargetMode="External"/><Relationship Id="rId384" Type="http://schemas.openxmlformats.org/officeDocument/2006/relationships/hyperlink" Target="https://onlinelibrary.wiley.com/doi/10.1002/anie.1160992?af=R" TargetMode="External"/><Relationship Id="rId385" Type="http://schemas.openxmlformats.org/officeDocument/2006/relationships/hyperlink" Target="https://doi.org/10.1002/anie.1160992" TargetMode="External"/><Relationship Id="rId386" Type="http://schemas.openxmlformats.org/officeDocument/2006/relationships/hyperlink" Target="https://onlinelibrary.wiley.com/doi/10.1002/anie.4378015?af=R" TargetMode="External"/><Relationship Id="rId387" Type="http://schemas.openxmlformats.org/officeDocument/2006/relationships/hyperlink" Target="https://doi.org/10.1002/anie.4378015" TargetMode="External"/><Relationship Id="rId388" Type="http://schemas.openxmlformats.org/officeDocument/2006/relationships/hyperlink" Target="https://onlinelibrary.wiley.com/doi/10.1002/anie.9934941?af=R" TargetMode="External"/><Relationship Id="rId389" Type="http://schemas.openxmlformats.org/officeDocument/2006/relationships/hyperlink" Target="https://doi.org/10.1002/anie.9934941" TargetMode="External"/><Relationship Id="rId390" Type="http://schemas.openxmlformats.org/officeDocument/2006/relationships/hyperlink" Target="https://onlinelibrary.wiley.com/doi/10.1002/anie.6631426?af=R" TargetMode="External"/><Relationship Id="rId391" Type="http://schemas.openxmlformats.org/officeDocument/2006/relationships/hyperlink" Target="https://doi.org/10.1002/anie.6631426" TargetMode="External"/><Relationship Id="rId392" Type="http://schemas.openxmlformats.org/officeDocument/2006/relationships/hyperlink" Target="https://onlinelibrary.wiley.com/doi/10.1002/anie.4975799?af=R" TargetMode="External"/><Relationship Id="rId393" Type="http://schemas.openxmlformats.org/officeDocument/2006/relationships/hyperlink" Target="https://doi.org/10.1002/anie.4975799" TargetMode="External"/><Relationship Id="rId394" Type="http://schemas.openxmlformats.org/officeDocument/2006/relationships/hyperlink" Target="https://onlinelibrary.wiley.com/doi/10.1002/anie.9523099?af=R" TargetMode="External"/><Relationship Id="rId395" Type="http://schemas.openxmlformats.org/officeDocument/2006/relationships/hyperlink" Target="https://doi.org/10.1002/anie.9523099" TargetMode="External"/><Relationship Id="rId396" Type="http://schemas.openxmlformats.org/officeDocument/2006/relationships/hyperlink" Target="https://onlinelibrary.wiley.com/doi/10.1002/anie.8309343?af=R" TargetMode="External"/><Relationship Id="rId397" Type="http://schemas.openxmlformats.org/officeDocument/2006/relationships/hyperlink" Target="https://doi.org/10.1002/anie.8309343" TargetMode="External"/><Relationship Id="rId398" Type="http://schemas.openxmlformats.org/officeDocument/2006/relationships/hyperlink" Target="https://onlinelibrary.wiley.com/doi/10.1002/anie.4057686?af=R" TargetMode="External"/><Relationship Id="rId399" Type="http://schemas.openxmlformats.org/officeDocument/2006/relationships/hyperlink" Target="https://doi.org/10.1002/anie.4057686" TargetMode="External"/><Relationship Id="rId400" Type="http://schemas.openxmlformats.org/officeDocument/2006/relationships/hyperlink" Target="https://onlinelibrary.wiley.com/doi/10.1002/anie.202524523?af=R" TargetMode="External"/><Relationship Id="rId401" Type="http://schemas.openxmlformats.org/officeDocument/2006/relationships/hyperlink" Target="https://doi.org/10.1002/anie.202524523" TargetMode="External"/><Relationship Id="rId402" Type="http://schemas.openxmlformats.org/officeDocument/2006/relationships/hyperlink" Target="https://onlinelibrary.wiley.com/doi/10.1002/anie.5832908?af=R" TargetMode="External"/><Relationship Id="rId403" Type="http://schemas.openxmlformats.org/officeDocument/2006/relationships/hyperlink" Target="https://doi.org/10.1002/anie.5832908" TargetMode="External"/><Relationship Id="rId404" Type="http://schemas.openxmlformats.org/officeDocument/2006/relationships/hyperlink" Target="https://onlinelibrary.wiley.com/doi/10.1002/anie.202509871?af=R" TargetMode="External"/><Relationship Id="rId405" Type="http://schemas.openxmlformats.org/officeDocument/2006/relationships/hyperlink" Target="https://doi.org/10.1002/anie.202509871" TargetMode="External"/><Relationship Id="rId406" Type="http://schemas.openxmlformats.org/officeDocument/2006/relationships/hyperlink" Target="https://onlinelibrary.wiley.com/doi/10.1002/anie.8877646?af=R" TargetMode="External"/><Relationship Id="rId407" Type="http://schemas.openxmlformats.org/officeDocument/2006/relationships/hyperlink" Target="https://doi.org/10.1002/anie.8877646" TargetMode="External"/><Relationship Id="rId408" Type="http://schemas.openxmlformats.org/officeDocument/2006/relationships/hyperlink" Target="https://onlinelibrary.wiley.com/doi/10.1002/anie.3700741?af=R" TargetMode="External"/><Relationship Id="rId409" Type="http://schemas.openxmlformats.org/officeDocument/2006/relationships/hyperlink" Target="https://doi.org/10.1002/anie.3700741" TargetMode="External"/><Relationship Id="rId410" Type="http://schemas.openxmlformats.org/officeDocument/2006/relationships/hyperlink" Target="https://onlinelibrary.wiley.com/doi/10.1002/anie.9744019?af=R" TargetMode="External"/><Relationship Id="rId411" Type="http://schemas.openxmlformats.org/officeDocument/2006/relationships/hyperlink" Target="https://doi.org/10.1002/anie.9744019" TargetMode="External"/><Relationship Id="rId412" Type="http://schemas.openxmlformats.org/officeDocument/2006/relationships/hyperlink" Target="https://onlinelibrary.wiley.com/doi/10.1002/anie.1434064?af=R" TargetMode="External"/><Relationship Id="rId413" Type="http://schemas.openxmlformats.org/officeDocument/2006/relationships/hyperlink" Target="https://doi.org/10.1002/anie.1434064" TargetMode="External"/><Relationship Id="rId414" Type="http://schemas.openxmlformats.org/officeDocument/2006/relationships/hyperlink" Target="https://onlinelibrary.wiley.com/doi/10.1002/anie.1218503?af=R" TargetMode="External"/><Relationship Id="rId415" Type="http://schemas.openxmlformats.org/officeDocument/2006/relationships/hyperlink" Target="https://doi.org/10.1002/anie.1218503" TargetMode="External"/><Relationship Id="rId416" Type="http://schemas.openxmlformats.org/officeDocument/2006/relationships/hyperlink" Target="http://dx.doi.org/10.1021/jacs.6c01983" TargetMode="External"/><Relationship Id="rId417" Type="http://schemas.openxmlformats.org/officeDocument/2006/relationships/hyperlink" Target="https://doi.org/10.1021/jacs.6c01983" TargetMode="External"/><Relationship Id="rId418" Type="http://schemas.openxmlformats.org/officeDocument/2006/relationships/hyperlink" Target="http://dx.doi.org/10.1021/jacs.6c00684" TargetMode="External"/><Relationship Id="rId419" Type="http://schemas.openxmlformats.org/officeDocument/2006/relationships/hyperlink" Target="https://doi.org/10.1021/jacs.6c00684" TargetMode="External"/><Relationship Id="rId420" Type="http://schemas.openxmlformats.org/officeDocument/2006/relationships/hyperlink" Target="http://dx.doi.org/10.1021/jacs.5c23100" TargetMode="External"/><Relationship Id="rId421" Type="http://schemas.openxmlformats.org/officeDocument/2006/relationships/hyperlink" Target="https://doi.org/10.1021/jacs.5c23100" TargetMode="External"/><Relationship Id="rId422" Type="http://schemas.openxmlformats.org/officeDocument/2006/relationships/hyperlink" Target="http://dx.doi.org/10.1021/jacs.6c02293" TargetMode="External"/><Relationship Id="rId423" Type="http://schemas.openxmlformats.org/officeDocument/2006/relationships/hyperlink" Target="https://doi.org/10.1021/jacs.6c02293" TargetMode="External"/><Relationship Id="rId424" Type="http://schemas.openxmlformats.org/officeDocument/2006/relationships/hyperlink" Target="http://dx.doi.org/10.1021/jacs.6c04217" TargetMode="External"/><Relationship Id="rId425" Type="http://schemas.openxmlformats.org/officeDocument/2006/relationships/hyperlink" Target="https://doi.org/10.1021/jacs.6c04217" TargetMode="External"/><Relationship Id="rId426" Type="http://schemas.openxmlformats.org/officeDocument/2006/relationships/hyperlink" Target="http://dx.doi.org/10.1021/jacs.6c00789" TargetMode="External"/><Relationship Id="rId427" Type="http://schemas.openxmlformats.org/officeDocument/2006/relationships/hyperlink" Target="https://doi.org/10.1021/jacs.6c00789" TargetMode="External"/><Relationship Id="rId428" Type="http://schemas.openxmlformats.org/officeDocument/2006/relationships/hyperlink" Target="http://dx.doi.org/10.1021/jacs.6c05174" TargetMode="External"/><Relationship Id="rId429" Type="http://schemas.openxmlformats.org/officeDocument/2006/relationships/hyperlink" Target="https://doi.org/10.1021/jacs.6c05174" TargetMode="External"/><Relationship Id="rId430" Type="http://schemas.openxmlformats.org/officeDocument/2006/relationships/hyperlink" Target="http://dx.doi.org/10.1021/jacs.6c03471" TargetMode="External"/><Relationship Id="rId431" Type="http://schemas.openxmlformats.org/officeDocument/2006/relationships/hyperlink" Target="https://doi.org/10.1021/jacs.6c03471" TargetMode="External"/><Relationship Id="rId432" Type="http://schemas.openxmlformats.org/officeDocument/2006/relationships/hyperlink" Target="http://dx.doi.org/10.1021/jacs.6c05845" TargetMode="External"/><Relationship Id="rId433" Type="http://schemas.openxmlformats.org/officeDocument/2006/relationships/hyperlink" Target="https://doi.org/10.1021/jacs.6c05845" TargetMode="External"/><Relationship Id="rId434" Type="http://schemas.openxmlformats.org/officeDocument/2006/relationships/hyperlink" Target="http://dx.doi.org/10.1021/jacs.6c06620" TargetMode="External"/><Relationship Id="rId435" Type="http://schemas.openxmlformats.org/officeDocument/2006/relationships/hyperlink" Target="https://doi.org/10.1021/jacs.6c06620" TargetMode="External"/><Relationship Id="rId436" Type="http://schemas.openxmlformats.org/officeDocument/2006/relationships/hyperlink" Target="http://dx.doi.org/10.1021/jacs.6c02133" TargetMode="External"/><Relationship Id="rId437" Type="http://schemas.openxmlformats.org/officeDocument/2006/relationships/hyperlink" Target="https://doi.org/10.1021/jacs.6c02133" TargetMode="External"/><Relationship Id="rId438" Type="http://schemas.openxmlformats.org/officeDocument/2006/relationships/hyperlink" Target="http://dx.doi.org/10.1021/jacs.6c03711" TargetMode="External"/><Relationship Id="rId439" Type="http://schemas.openxmlformats.org/officeDocument/2006/relationships/hyperlink" Target="https://doi.org/10.1021/jacs.6c03711" TargetMode="External"/><Relationship Id="rId440" Type="http://schemas.openxmlformats.org/officeDocument/2006/relationships/hyperlink" Target="http://pubs.rsc.org/en/Content/ArticleLanding/2026/CS/D6CS00068A" TargetMode="External"/><Relationship Id="rId441" Type="http://schemas.openxmlformats.org/officeDocument/2006/relationships/hyperlink" Target="http://pubs.rsc.org/en/Content/ArticleLanding/2026/EE/D6EE90038K" TargetMode="External"/><Relationship Id="rId442" Type="http://schemas.openxmlformats.org/officeDocument/2006/relationships/hyperlink" Target="http://pubs.rsc.org/en/Content/ArticleLanding/2026/CS/D5CS01323B" TargetMode="External"/><Relationship Id="rId443" Type="http://schemas.openxmlformats.org/officeDocument/2006/relationships/hyperlink" Target="http://pubs.rsc.org/en/Content/ArticleLanding/2026/CS/D5CS01412C" TargetMode="External"/><Relationship Id="rId444" Type="http://schemas.openxmlformats.org/officeDocument/2006/relationships/hyperlink" Target="https://www.nature.com/articles/d41586-026-01440-9" TargetMode="External"/><Relationship Id="rId445" Type="http://schemas.openxmlformats.org/officeDocument/2006/relationships/hyperlink" Target="https://doi.org/10.1038/d41586-026-01440-9" TargetMode="External"/><Relationship Id="rId446" Type="http://schemas.openxmlformats.org/officeDocument/2006/relationships/hyperlink" Target="https://www.nature.com/articles/d41586-026-01409-8" TargetMode="External"/><Relationship Id="rId447" Type="http://schemas.openxmlformats.org/officeDocument/2006/relationships/hyperlink" Target="https://doi.org/10.1038/d41586-026-01409-8" TargetMode="External"/><Relationship Id="rId448" Type="http://schemas.openxmlformats.org/officeDocument/2006/relationships/hyperlink" Target="https://www.nature.com/articles/d41586-026-01444-5" TargetMode="External"/><Relationship Id="rId449" Type="http://schemas.openxmlformats.org/officeDocument/2006/relationships/hyperlink" Target="https://doi.org/10.1038/d41586-026-01444-5" TargetMode="External"/><Relationship Id="rId450" Type="http://schemas.openxmlformats.org/officeDocument/2006/relationships/hyperlink" Target="https://www.sciencedirect.com/science/article/pii/S0306261926006380?dgcid=rss_sd_all" TargetMode="External"/><Relationship Id="rId451" Type="http://schemas.openxmlformats.org/officeDocument/2006/relationships/hyperlink" Target="https://www.nature.com/articles/d41586-026-00508-w" TargetMode="External"/><Relationship Id="rId452" Type="http://schemas.openxmlformats.org/officeDocument/2006/relationships/hyperlink" Target="https://doi.org/10.1038/d41586-026-00508-w" TargetMode="External"/><Relationship Id="rId453" Type="http://schemas.openxmlformats.org/officeDocument/2006/relationships/hyperlink" Target="https://www.sciencedirect.com/science/article/pii/S0306261926005891?dgcid=rss_sd_all" TargetMode="External"/><Relationship Id="rId454" Type="http://schemas.openxmlformats.org/officeDocument/2006/relationships/hyperlink" Target="https://academic.oup.com/nsr/advance-article/doi/10.1093/nsr/nwag225/8669891?rss=1" TargetMode="External"/><Relationship Id="rId455" Type="http://schemas.openxmlformats.org/officeDocument/2006/relationships/hyperlink" Target="https://doi.org/10.1093/nsr/nwag225" TargetMode="External"/><Relationship Id="rId456" Type="http://schemas.openxmlformats.org/officeDocument/2006/relationships/hyperlink" Target="https://www.nature.com/articles/d41586-025-03504-8" TargetMode="External"/><Relationship Id="rId457" Type="http://schemas.openxmlformats.org/officeDocument/2006/relationships/hyperlink" Target="https://doi.org/10.1038/d41586-025-03504-8" TargetMode="External"/><Relationship Id="rId458" Type="http://schemas.openxmlformats.org/officeDocument/2006/relationships/hyperlink" Target="https://www.nature.com/articles/d41586-026-01470-3" TargetMode="External"/><Relationship Id="rId459" Type="http://schemas.openxmlformats.org/officeDocument/2006/relationships/hyperlink" Target="https://doi.org/10.1038/d41586-026-01470-3" TargetMode="External"/><Relationship Id="rId460" Type="http://schemas.openxmlformats.org/officeDocument/2006/relationships/hyperlink" Target="https://www.nature.com/articles/s41578-026-00924-4" TargetMode="External"/><Relationship Id="rId461" Type="http://schemas.openxmlformats.org/officeDocument/2006/relationships/hyperlink" Target="https://doi.org/10.1038/s41578-026-00924-4" TargetMode="External"/><Relationship Id="rId462" Type="http://schemas.openxmlformats.org/officeDocument/2006/relationships/hyperlink" Target="https://www.nature.com/articles/s41578-026-00922-6" TargetMode="External"/><Relationship Id="rId463" Type="http://schemas.openxmlformats.org/officeDocument/2006/relationships/hyperlink" Target="https://doi.org/10.1038/s41578-026-00922-6" TargetMode="External"/><Relationship Id="rId464" Type="http://schemas.openxmlformats.org/officeDocument/2006/relationships/hyperlink" Target="https://www.sciencedirect.com/science/article/pii/S030626192600632X?dgcid=rss_sd_all" TargetMode="External"/><Relationship Id="rId465" Type="http://schemas.openxmlformats.org/officeDocument/2006/relationships/hyperlink" Target="https://www.nature.com/articles/s41563-026-02520-x" TargetMode="External"/><Relationship Id="rId466" Type="http://schemas.openxmlformats.org/officeDocument/2006/relationships/hyperlink" Target="https://doi.org/10.1038/s41563-026-02520-x" TargetMode="External"/><Relationship Id="rId467" Type="http://schemas.openxmlformats.org/officeDocument/2006/relationships/hyperlink" Target="https://www.nature.com/articles/d41586-026-01441-8" TargetMode="External"/><Relationship Id="rId468" Type="http://schemas.openxmlformats.org/officeDocument/2006/relationships/hyperlink" Target="https://doi.org/10.1038/d41586-026-01441-8" TargetMode="External"/><Relationship Id="rId469" Type="http://schemas.openxmlformats.org/officeDocument/2006/relationships/hyperlink" Target="https://www.cell.com/chem/fulltext/S2451-9294(26)00129-4?rss=yes" TargetMode="External"/><Relationship Id="rId470" Type="http://schemas.openxmlformats.org/officeDocument/2006/relationships/hyperlink" Target="https://doi.org/10.1016/j.chempr.2026.103063" TargetMode="External"/><Relationship Id="rId471" Type="http://schemas.openxmlformats.org/officeDocument/2006/relationships/hyperlink" Target="https://www.cell.com/chem/fulltext/S2451-9294(26)00133-6?rss=yes" TargetMode="External"/><Relationship Id="rId472" Type="http://schemas.openxmlformats.org/officeDocument/2006/relationships/hyperlink" Target="https://doi.org/10.1016/j.chempr.2026.103067" TargetMode="External"/><Relationship Id="rId473" Type="http://schemas.openxmlformats.org/officeDocument/2006/relationships/hyperlink" Target="https://www.nature.com/articles/s41467-026-72694-0" TargetMode="External"/><Relationship Id="rId474" Type="http://schemas.openxmlformats.org/officeDocument/2006/relationships/hyperlink" Target="https://doi.org/10.1038/s41467-026-72694-0" TargetMode="External"/><Relationship Id="rId475" Type="http://schemas.openxmlformats.org/officeDocument/2006/relationships/hyperlink" Target="https://www.nature.com/articles/d41586-026-01408-9" TargetMode="External"/><Relationship Id="rId476" Type="http://schemas.openxmlformats.org/officeDocument/2006/relationships/hyperlink" Target="https://doi.org/10.1038/d41586-026-01408-9" TargetMode="External"/><Relationship Id="rId477" Type="http://schemas.openxmlformats.org/officeDocument/2006/relationships/hyperlink" Target="https://www.nature.com/articles/d41586-026-01426-7" TargetMode="External"/><Relationship Id="rId478" Type="http://schemas.openxmlformats.org/officeDocument/2006/relationships/hyperlink" Target="https://doi.org/10.1038/d41586-026-01426-7" TargetMode="External"/><Relationship Id="rId479" Type="http://schemas.openxmlformats.org/officeDocument/2006/relationships/hyperlink" Target="https://www.nature.com/articles/d41586-026-01299-w" TargetMode="External"/><Relationship Id="rId480" Type="http://schemas.openxmlformats.org/officeDocument/2006/relationships/hyperlink" Target="https://doi.org/10.1038/d41586-026-01299-w" TargetMode="External"/><Relationship Id="rId481" Type="http://schemas.openxmlformats.org/officeDocument/2006/relationships/hyperlink" Target="https://www.nature.com/articles/d41586-026-01333-x" TargetMode="External"/><Relationship Id="rId482" Type="http://schemas.openxmlformats.org/officeDocument/2006/relationships/hyperlink" Target="https://doi.org/10.1038/d41586-026-01333-x" TargetMode="External"/><Relationship Id="rId483" Type="http://schemas.openxmlformats.org/officeDocument/2006/relationships/hyperlink" Target="https://www.cell.com/matter/fulltext/S2590-2385(26)00177-3?rss=yes" TargetMode="External"/><Relationship Id="rId484" Type="http://schemas.openxmlformats.org/officeDocument/2006/relationships/hyperlink" Target="https://doi.org/10.1016/j.matt.2026.102814" TargetMode="External"/><Relationship Id="rId485" Type="http://schemas.openxmlformats.org/officeDocument/2006/relationships/hyperlink" Target="https://www.nature.com/articles/s41928-026-01622-3" TargetMode="External"/><Relationship Id="rId486" Type="http://schemas.openxmlformats.org/officeDocument/2006/relationships/hyperlink" Target="https://doi.org/10.1038/s41928-026-01622-3" TargetMode="External"/><Relationship Id="rId487" Type="http://schemas.openxmlformats.org/officeDocument/2006/relationships/hyperlink" Target="https://www.nature.com/articles/d41586-026-01443-6" TargetMode="External"/><Relationship Id="rId488" Type="http://schemas.openxmlformats.org/officeDocument/2006/relationships/hyperlink" Target="https://doi.org/10.1038/d41586-026-01443-6" TargetMode="External"/><Relationship Id="rId489" Type="http://schemas.openxmlformats.org/officeDocument/2006/relationships/hyperlink" Target="https://www.nature.com/articles/d41586-026-01445-4" TargetMode="External"/><Relationship Id="rId490" Type="http://schemas.openxmlformats.org/officeDocument/2006/relationships/hyperlink" Target="https://doi.org/10.1038/d41586-026-01445-4" TargetMode="External"/><Relationship Id="rId491" Type="http://schemas.openxmlformats.org/officeDocument/2006/relationships/hyperlink" Target="https://www.nature.com/articles/d41586-026-01442-7" TargetMode="External"/><Relationship Id="rId492" Type="http://schemas.openxmlformats.org/officeDocument/2006/relationships/hyperlink" Target="https://doi.org/10.1038/d41586-026-01442-7" TargetMode="External"/><Relationship Id="rId493" Type="http://schemas.openxmlformats.org/officeDocument/2006/relationships/hyperlink" Target="https://www.nature.com/articles/s41563-026-02610-w" TargetMode="External"/><Relationship Id="rId494" Type="http://schemas.openxmlformats.org/officeDocument/2006/relationships/hyperlink" Target="https://doi.org/10.1038/s41563-026-02610-w" TargetMode="External"/><Relationship Id="rId495" Type="http://schemas.openxmlformats.org/officeDocument/2006/relationships/hyperlink" Target="https://www.nature.com/articles/d41586-026-01422-x" TargetMode="External"/><Relationship Id="rId496" Type="http://schemas.openxmlformats.org/officeDocument/2006/relationships/hyperlink" Target="https://doi.org/10.1038/d41586-026-01422-x" TargetMode="External"/><Relationship Id="rId497" Type="http://schemas.openxmlformats.org/officeDocument/2006/relationships/hyperlink" Target="https://advanced.onlinelibrary.wiley.com/doi/10.1002/adma.73235?af=R" TargetMode="External"/><Relationship Id="rId498" Type="http://schemas.openxmlformats.org/officeDocument/2006/relationships/hyperlink" Target="https://doi.org/10.1002/adma.73235" TargetMode="External"/><Relationship Id="rId499" Type="http://schemas.openxmlformats.org/officeDocument/2006/relationships/hyperlink" Target="https://www.pnas.org/doi/abs/10.1073/pnas.2509739123?mi=eymic2&amp;af=R&amp;access=on&amp;content=articlesChapters&amp;publication=pnas&amp;sortBy=Earliest&amp;target=default" TargetMode="External"/><Relationship Id="rId500" Type="http://schemas.openxmlformats.org/officeDocument/2006/relationships/hyperlink" Target="https://doi.org/10.1073/pnas.2509739123" TargetMode="External"/><Relationship Id="rId501" Type="http://schemas.openxmlformats.org/officeDocument/2006/relationships/hyperlink" Target="https://www.pnas.org/doi/abs/10.1073/iti1826123?mi=eymic2&amp;af=R&amp;access=on&amp;content=articlesChapters&amp;publication=pnas&amp;sortBy=Earliest&amp;target=default" TargetMode="External"/><Relationship Id="rId502" Type="http://schemas.openxmlformats.org/officeDocument/2006/relationships/hyperlink" Target="https://doi.org/10.1073/iti1826123" TargetMode="External"/><Relationship Id="rId503" Type="http://schemas.openxmlformats.org/officeDocument/2006/relationships/hyperlink" Target="https://www.pnas.org/doi/abs/10.1073/pnas.2606747123?mi=eymic2&amp;af=R&amp;access=on&amp;content=articlesChapters&amp;publication=pnas&amp;sortBy=Earliest&amp;target=default" TargetMode="External"/><Relationship Id="rId504" Type="http://schemas.openxmlformats.org/officeDocument/2006/relationships/hyperlink" Target="https://doi.org/10.1073/pnas.2606747123" TargetMode="External"/><Relationship Id="rId505" Type="http://schemas.openxmlformats.org/officeDocument/2006/relationships/hyperlink" Target="https://www.pnas.org/doi/abs/10.1073/pnas.2605871123?mi=eymic2&amp;af=R&amp;access=on&amp;content=articlesChapters&amp;publication=pnas&amp;sortBy=Earliest&amp;target=default" TargetMode="External"/><Relationship Id="rId506" Type="http://schemas.openxmlformats.org/officeDocument/2006/relationships/hyperlink" Target="https://doi.org/10.1073/pnas.2605871123" TargetMode="External"/><Relationship Id="rId507" Type="http://schemas.openxmlformats.org/officeDocument/2006/relationships/hyperlink" Target="https://www.pnas.org/doi/abs/10.1073/pnas.2605032123?mi=eymic2&amp;af=R&amp;access=on&amp;content=articlesChapters&amp;publication=pnas&amp;sortBy=Earliest&amp;target=default" TargetMode="External"/><Relationship Id="rId508" Type="http://schemas.openxmlformats.org/officeDocument/2006/relationships/hyperlink" Target="https://doi.org/10.1073/pnas.2605032123" TargetMode="External"/><Relationship Id="rId509" Type="http://schemas.openxmlformats.org/officeDocument/2006/relationships/hyperlink" Target="https://www.pnas.org/doi/abs/10.1073/pnas.2604380123?mi=eymic2&amp;af=R&amp;access=on&amp;content=articlesChapters&amp;publication=pnas&amp;sortBy=Earliest&amp;target=default" TargetMode="External"/><Relationship Id="rId510" Type="http://schemas.openxmlformats.org/officeDocument/2006/relationships/hyperlink" Target="https://doi.org/10.1073/pnas.2604380123" TargetMode="External"/><Relationship Id="rId511" Type="http://schemas.openxmlformats.org/officeDocument/2006/relationships/hyperlink" Target="https://www.pnas.org/doi/abs/10.1073/pnas.2603752123?mi=eymic2&amp;af=R&amp;access=on&amp;content=articlesChapters&amp;publication=pnas&amp;sortBy=Earliest&amp;target=default" TargetMode="External"/><Relationship Id="rId512" Type="http://schemas.openxmlformats.org/officeDocument/2006/relationships/hyperlink" Target="https://doi.org/10.1073/pnas.2603752123" TargetMode="External"/><Relationship Id="rId513" Type="http://schemas.openxmlformats.org/officeDocument/2006/relationships/hyperlink" Target="https://www.pnas.org/doi/abs/10.1073/pnas.2528400123?mi=eymic2&amp;af=R&amp;access=on&amp;content=articlesChapters&amp;publication=pnas&amp;sortBy=Earliest&amp;target=default" TargetMode="External"/><Relationship Id="rId514" Type="http://schemas.openxmlformats.org/officeDocument/2006/relationships/hyperlink" Target="https://doi.org/10.1073/pnas.2528400123" TargetMode="External"/><Relationship Id="rId515" Type="http://schemas.openxmlformats.org/officeDocument/2006/relationships/hyperlink" Target="https://www.pnas.org/doi/abs/10.1073/pnas.2535910123?mi=eymic2&amp;af=R&amp;access=on&amp;content=articlesChapters&amp;publication=pnas&amp;sortBy=Earliest&amp;target=default" TargetMode="External"/><Relationship Id="rId516" Type="http://schemas.openxmlformats.org/officeDocument/2006/relationships/hyperlink" Target="https://doi.org/10.1073/pnas.2535910123" TargetMode="External"/><Relationship Id="rId517" Type="http://schemas.openxmlformats.org/officeDocument/2006/relationships/hyperlink" Target="https://www.pnas.org/doi/abs/10.1073/pnas.2601574123?mi=eymic2&amp;af=R&amp;access=on&amp;content=articlesChapters&amp;publication=pnas&amp;sortBy=Earliest&amp;target=default" TargetMode="External"/><Relationship Id="rId518" Type="http://schemas.openxmlformats.org/officeDocument/2006/relationships/hyperlink" Target="https://doi.org/10.1073/pnas.2601574123" TargetMode="External"/><Relationship Id="rId519" Type="http://schemas.openxmlformats.org/officeDocument/2006/relationships/hyperlink" Target="https://www.pnas.org/doi/abs/10.1073/pnas.2534579123?mi=eymic2&amp;af=R&amp;access=on&amp;content=articlesChapters&amp;publication=pnas&amp;sortBy=Earliest&amp;target=default" TargetMode="External"/><Relationship Id="rId520" Type="http://schemas.openxmlformats.org/officeDocument/2006/relationships/hyperlink" Target="https://doi.org/10.1073/pnas.2534579123" TargetMode="External"/><Relationship Id="rId521" Type="http://schemas.openxmlformats.org/officeDocument/2006/relationships/hyperlink" Target="https://www.pnas.org/doi/abs/10.1073/pnas.2531214123?mi=eymic2&amp;af=R&amp;access=on&amp;content=articlesChapters&amp;publication=pnas&amp;sortBy=Earliest&amp;target=default" TargetMode="External"/><Relationship Id="rId522" Type="http://schemas.openxmlformats.org/officeDocument/2006/relationships/hyperlink" Target="https://doi.org/10.1073/pnas.2531214123" TargetMode="External"/><Relationship Id="rId523" Type="http://schemas.openxmlformats.org/officeDocument/2006/relationships/hyperlink" Target="https://www.pnas.org/doi/abs/10.1073/pnas.2531142123?mi=eymic2&amp;af=R&amp;access=on&amp;content=articlesChapters&amp;publication=pnas&amp;sortBy=Earliest&amp;target=default" TargetMode="External"/><Relationship Id="rId524" Type="http://schemas.openxmlformats.org/officeDocument/2006/relationships/hyperlink" Target="https://doi.org/10.1073/pnas.2531142123" TargetMode="External"/><Relationship Id="rId525" Type="http://schemas.openxmlformats.org/officeDocument/2006/relationships/hyperlink" Target="https://www.pnas.org/doi/abs/10.1073/pnas.2534234123?mi=eymic2&amp;af=R&amp;access=on&amp;content=articlesChapters&amp;publication=pnas&amp;sortBy=Earliest&amp;target=default" TargetMode="External"/><Relationship Id="rId526" Type="http://schemas.openxmlformats.org/officeDocument/2006/relationships/hyperlink" Target="https://doi.org/10.1073/pnas.2534234123" TargetMode="External"/><Relationship Id="rId527" Type="http://schemas.openxmlformats.org/officeDocument/2006/relationships/hyperlink" Target="https://www.pnas.org/doi/abs/10.1073/pnas.2515702123?mi=eymic2&amp;af=R&amp;access=on&amp;content=articlesChapters&amp;publication=pnas&amp;sortBy=Earliest&amp;target=default" TargetMode="External"/><Relationship Id="rId528" Type="http://schemas.openxmlformats.org/officeDocument/2006/relationships/hyperlink" Target="https://doi.org/10.1073/pnas.2515702123" TargetMode="External"/><Relationship Id="rId529" Type="http://schemas.openxmlformats.org/officeDocument/2006/relationships/hyperlink" Target="https://www.pnas.org/doi/abs/10.1073/pnas.2511231123?mi=eymic2&amp;af=R&amp;access=on&amp;content=articlesChapters&amp;publication=pnas&amp;sortBy=Earliest&amp;target=default" TargetMode="External"/><Relationship Id="rId530" Type="http://schemas.openxmlformats.org/officeDocument/2006/relationships/hyperlink" Target="https://doi.org/10.1073/pnas.2511231123" TargetMode="External"/><Relationship Id="rId531" Type="http://schemas.openxmlformats.org/officeDocument/2006/relationships/hyperlink" Target="https://www.pnas.org/doi/abs/10.1073/pnas.2524022123?mi=eymic2&amp;af=R&amp;access=on&amp;content=articlesChapters&amp;publication=pnas&amp;sortBy=Earliest&amp;target=default" TargetMode="External"/><Relationship Id="rId532" Type="http://schemas.openxmlformats.org/officeDocument/2006/relationships/hyperlink" Target="https://doi.org/10.1073/pnas.2524022123" TargetMode="External"/><Relationship Id="rId533" Type="http://schemas.openxmlformats.org/officeDocument/2006/relationships/hyperlink" Target="https://www.pnas.org/doi/abs/10.1073/pnas.2524839123?mi=eymic2&amp;af=R&amp;access=on&amp;content=articlesChapters&amp;publication=pnas&amp;sortBy=Earliest&amp;target=default" TargetMode="External"/><Relationship Id="rId534" Type="http://schemas.openxmlformats.org/officeDocument/2006/relationships/hyperlink" Target="https://doi.org/10.1073/pnas.2524839123" TargetMode="External"/><Relationship Id="rId535" Type="http://schemas.openxmlformats.org/officeDocument/2006/relationships/hyperlink" Target="https://www.pnas.org/doi/abs/10.1073/pnas.2519361123?mi=eymic2&amp;af=R&amp;access=on&amp;content=articlesChapters&amp;publication=pnas&amp;sortBy=Earliest&amp;target=default" TargetMode="External"/><Relationship Id="rId536" Type="http://schemas.openxmlformats.org/officeDocument/2006/relationships/hyperlink" Target="https://doi.org/10.1073/pnas.2519361123" TargetMode="External"/><Relationship Id="rId537" Type="http://schemas.openxmlformats.org/officeDocument/2006/relationships/hyperlink" Target="https://www.pnas.org/doi/abs/10.1073/pnas.2526002123?mi=eymic2&amp;af=R&amp;access=on&amp;content=articlesChapters&amp;publication=pnas&amp;sortBy=Earliest&amp;target=default" TargetMode="External"/><Relationship Id="rId538" Type="http://schemas.openxmlformats.org/officeDocument/2006/relationships/hyperlink" Target="https://doi.org/10.1073/pnas.2526002123" TargetMode="External"/><Relationship Id="rId539" Type="http://schemas.openxmlformats.org/officeDocument/2006/relationships/hyperlink" Target="https://www.pnas.org/doi/abs/10.1073/pnas.2527296123?mi=eymic2&amp;af=R&amp;access=on&amp;content=articlesChapters&amp;publication=pnas&amp;sortBy=Earliest&amp;target=default" TargetMode="External"/><Relationship Id="rId540" Type="http://schemas.openxmlformats.org/officeDocument/2006/relationships/hyperlink" Target="https://doi.org/10.1073/pnas.2527296123" TargetMode="External"/><Relationship Id="rId541" Type="http://schemas.openxmlformats.org/officeDocument/2006/relationships/hyperlink" Target="https://www.pnas.org/doi/abs/10.1073/pnas.2527794123?mi=eymic2&amp;af=R&amp;access=on&amp;content=articlesChapters&amp;publication=pnas&amp;sortBy=Earliest&amp;target=default" TargetMode="External"/><Relationship Id="rId542" Type="http://schemas.openxmlformats.org/officeDocument/2006/relationships/hyperlink" Target="https://doi.org/10.1073/pnas.2527794123" TargetMode="External"/><Relationship Id="rId543" Type="http://schemas.openxmlformats.org/officeDocument/2006/relationships/hyperlink" Target="https://www.pnas.org/doi/abs/10.1073/pnas.2501185123?mi=eymic2&amp;af=R&amp;access=on&amp;content=articlesChapters&amp;publication=pnas&amp;sortBy=Earliest&amp;target=default" TargetMode="External"/><Relationship Id="rId544" Type="http://schemas.openxmlformats.org/officeDocument/2006/relationships/hyperlink" Target="https://doi.org/10.1073/pnas.2501185123" TargetMode="External"/><Relationship Id="rId545" Type="http://schemas.openxmlformats.org/officeDocument/2006/relationships/hyperlink" Target="https://www.pnas.org/doi/abs/10.1073/pnas.2524909123?mi=eymic2&amp;af=R&amp;access=on&amp;content=articlesChapters&amp;publication=pnas&amp;sortBy=Earliest&amp;target=default" TargetMode="External"/><Relationship Id="rId546" Type="http://schemas.openxmlformats.org/officeDocument/2006/relationships/hyperlink" Target="https://doi.org/10.1073/pnas.2524909123" TargetMode="External"/><Relationship Id="rId547" Type="http://schemas.openxmlformats.org/officeDocument/2006/relationships/hyperlink" Target="https://www.pnas.org/doi/abs/10.1073/pnas.2536391123?mi=eymic2&amp;af=R&amp;access=on&amp;content=articlesChapters&amp;publication=pnas&amp;sortBy=Earliest&amp;target=default" TargetMode="External"/><Relationship Id="rId548" Type="http://schemas.openxmlformats.org/officeDocument/2006/relationships/hyperlink" Target="https://doi.org/10.1073/pnas.2536391123" TargetMode="External"/><Relationship Id="rId549" Type="http://schemas.openxmlformats.org/officeDocument/2006/relationships/hyperlink" Target="http://dx.doi.org/10.1021/jacs.6c02743" TargetMode="External"/><Relationship Id="rId550" Type="http://schemas.openxmlformats.org/officeDocument/2006/relationships/hyperlink" Target="https://doi.org/10.1021/jacs.6c02743" TargetMode="External"/><Relationship Id="rId551" Type="http://schemas.openxmlformats.org/officeDocument/2006/relationships/hyperlink" Target="https://onlinelibrary.wiley.com/doi/10.1002/anie.202520600?af=R" TargetMode="External"/><Relationship Id="rId552" Type="http://schemas.openxmlformats.org/officeDocument/2006/relationships/hyperlink" Target="https://doi.org/10.1002/anie.202520600" TargetMode="External"/><Relationship Id="rId553" Type="http://schemas.openxmlformats.org/officeDocument/2006/relationships/hyperlink" Target="https://onlinelibrary.wiley.com/doi/10.1002/anie.6650940?af=R" TargetMode="External"/><Relationship Id="rId554" Type="http://schemas.openxmlformats.org/officeDocument/2006/relationships/hyperlink" Target="https://doi.org/10.1002/anie.6650940" TargetMode="External"/><Relationship Id="rId555" Type="http://schemas.openxmlformats.org/officeDocument/2006/relationships/hyperlink" Target="https://onlinelibrary.wiley.com/doi/10.1002/anie.7278240?af=R" TargetMode="External"/><Relationship Id="rId556" Type="http://schemas.openxmlformats.org/officeDocument/2006/relationships/hyperlink" Target="https://doi.org/10.1002/anie.7278240" TargetMode="External"/><Relationship Id="rId557" Type="http://schemas.openxmlformats.org/officeDocument/2006/relationships/hyperlink" Target="https://onlinelibrary.wiley.com/doi/10.1002/anie.5604948?af=R" TargetMode="External"/><Relationship Id="rId558" Type="http://schemas.openxmlformats.org/officeDocument/2006/relationships/hyperlink" Target="https://doi.org/10.1002/anie.5604948" TargetMode="External"/><Relationship Id="rId559" Type="http://schemas.openxmlformats.org/officeDocument/2006/relationships/hyperlink" Target="https://onlinelibrary.wiley.com/doi/10.1002/anie.3257187?af=R" TargetMode="External"/><Relationship Id="rId560" Type="http://schemas.openxmlformats.org/officeDocument/2006/relationships/hyperlink" Target="https://doi.org/10.1002/anie.3257187" TargetMode="External"/><Relationship Id="rId561" Type="http://schemas.openxmlformats.org/officeDocument/2006/relationships/hyperlink" Target="https://advanced.onlinelibrary.wiley.com/doi/10.1002/adma.73301?af=R" TargetMode="External"/><Relationship Id="rId562" Type="http://schemas.openxmlformats.org/officeDocument/2006/relationships/hyperlink" Target="https://doi.org/10.1002/adma.73301" TargetMode="External"/><Relationship Id="rId563" Type="http://schemas.openxmlformats.org/officeDocument/2006/relationships/hyperlink" Target="https://onlinelibrary.wiley.com/doi/10.1002/anie.202525250?af=R" TargetMode="External"/><Relationship Id="rId564" Type="http://schemas.openxmlformats.org/officeDocument/2006/relationships/hyperlink" Target="https://doi.org/10.1002/anie.202525250" TargetMode="External"/><Relationship Id="rId565" Type="http://schemas.openxmlformats.org/officeDocument/2006/relationships/hyperlink" Target="https://onlinelibrary.wiley.com/doi/10.1002/anie.3989307?af=R" TargetMode="External"/><Relationship Id="rId566" Type="http://schemas.openxmlformats.org/officeDocument/2006/relationships/hyperlink" Target="https://doi.org/10.1002/anie.3989307" TargetMode="External"/><Relationship Id="rId567" Type="http://schemas.openxmlformats.org/officeDocument/2006/relationships/hyperlink" Target="https://advanced.onlinelibrary.wiley.com/doi/10.1002/adma.73264?af=R" TargetMode="External"/><Relationship Id="rId568" Type="http://schemas.openxmlformats.org/officeDocument/2006/relationships/hyperlink" Target="https://doi.org/10.1002/adma.73264" TargetMode="External"/><Relationship Id="rId569" Type="http://schemas.openxmlformats.org/officeDocument/2006/relationships/hyperlink" Target="https://advanced.onlinelibrary.wiley.com/doi/10.1002/adma.202523274?af=R" TargetMode="External"/><Relationship Id="rId570" Type="http://schemas.openxmlformats.org/officeDocument/2006/relationships/hyperlink" Target="https://doi.org/10.1002/adma.202523274" TargetMode="External"/><Relationship Id="rId571" Type="http://schemas.openxmlformats.org/officeDocument/2006/relationships/hyperlink" Target="https://advanced.onlinelibrary.wiley.com/doi/10.1002/adma.73291?af=R" TargetMode="External"/><Relationship Id="rId572" Type="http://schemas.openxmlformats.org/officeDocument/2006/relationships/hyperlink" Target="https://doi.org/10.1002/adma.73291" TargetMode="External"/><Relationship Id="rId573" Type="http://schemas.openxmlformats.org/officeDocument/2006/relationships/hyperlink" Target="https://onlinelibrary.wiley.com/doi/10.1002/anie.6474422?af=R" TargetMode="External"/><Relationship Id="rId574" Type="http://schemas.openxmlformats.org/officeDocument/2006/relationships/hyperlink" Target="https://doi.org/10.1002/anie.6474422" TargetMode="External"/><Relationship Id="rId575" Type="http://schemas.openxmlformats.org/officeDocument/2006/relationships/hyperlink" Target="https://onlinelibrary.wiley.com/doi/10.1002/anie.3011418?af=R" TargetMode="External"/><Relationship Id="rId576" Type="http://schemas.openxmlformats.org/officeDocument/2006/relationships/hyperlink" Target="https://doi.org/10.1002/anie.3011418" TargetMode="External"/><Relationship Id="rId577" Type="http://schemas.openxmlformats.org/officeDocument/2006/relationships/hyperlink" Target="https://onlinelibrary.wiley.com/doi/10.1002/anie.3670039?af=R" TargetMode="External"/><Relationship Id="rId578" Type="http://schemas.openxmlformats.org/officeDocument/2006/relationships/hyperlink" Target="https://doi.org/10.1002/anie.3670039" TargetMode="External"/><Relationship Id="rId579" Type="http://schemas.openxmlformats.org/officeDocument/2006/relationships/hyperlink" Target="https://advanced.onlinelibrary.wiley.com/doi/10.1002/adma.73260?af=R" TargetMode="External"/><Relationship Id="rId580" Type="http://schemas.openxmlformats.org/officeDocument/2006/relationships/hyperlink" Target="https://doi.org/10.1002/adma.73260" TargetMode="External"/><Relationship Id="rId581" Type="http://schemas.openxmlformats.org/officeDocument/2006/relationships/hyperlink" Target="https://advanced.onlinelibrary.wiley.com/doi/10.1002/adma.73266?af=R" TargetMode="External"/><Relationship Id="rId582" Type="http://schemas.openxmlformats.org/officeDocument/2006/relationships/hyperlink" Target="https://doi.org/10.1002/adma.73266" TargetMode="External"/><Relationship Id="rId583" Type="http://schemas.openxmlformats.org/officeDocument/2006/relationships/hyperlink" Target="https://onlinelibrary.wiley.com/doi/10.1002/anie.8580241?af=R" TargetMode="External"/><Relationship Id="rId584" Type="http://schemas.openxmlformats.org/officeDocument/2006/relationships/hyperlink" Target="https://doi.org/10.1002/anie.8580241" TargetMode="External"/><Relationship Id="rId585" Type="http://schemas.openxmlformats.org/officeDocument/2006/relationships/hyperlink" Target="https://advanced.onlinelibrary.wiley.com/doi/10.1002/adma.73270?af=R" TargetMode="External"/><Relationship Id="rId586" Type="http://schemas.openxmlformats.org/officeDocument/2006/relationships/hyperlink" Target="https://doi.org/10.1002/adma.73270" TargetMode="External"/><Relationship Id="rId587" Type="http://schemas.openxmlformats.org/officeDocument/2006/relationships/hyperlink" Target="https://advanced.onlinelibrary.wiley.com/doi/10.1002/adma.202522834?af=R" TargetMode="External"/><Relationship Id="rId588" Type="http://schemas.openxmlformats.org/officeDocument/2006/relationships/hyperlink" Target="https://doi.org/10.1002/adma.202522834" TargetMode="External"/><Relationship Id="rId589" Type="http://schemas.openxmlformats.org/officeDocument/2006/relationships/hyperlink" Target="https://onlinelibrary.wiley.com/doi/10.1002/anie.1330357?af=R" TargetMode="External"/><Relationship Id="rId590" Type="http://schemas.openxmlformats.org/officeDocument/2006/relationships/hyperlink" Target="https://doi.org/10.1002/anie.1330357" TargetMode="External"/><Relationship Id="rId591" Type="http://schemas.openxmlformats.org/officeDocument/2006/relationships/hyperlink" Target="https://advanced.onlinelibrary.wiley.com/doi/10.1002/adma.202521880?af=R" TargetMode="External"/><Relationship Id="rId592" Type="http://schemas.openxmlformats.org/officeDocument/2006/relationships/hyperlink" Target="https://doi.org/10.1002/adma.202521880" TargetMode="External"/><Relationship Id="rId593" Type="http://schemas.openxmlformats.org/officeDocument/2006/relationships/hyperlink" Target="http://dx.doi.org/10.1021/jacs.6c00799" TargetMode="External"/><Relationship Id="rId594" Type="http://schemas.openxmlformats.org/officeDocument/2006/relationships/hyperlink" Target="https://doi.org/10.1021/jacs.6c00799" TargetMode="External"/><Relationship Id="rId595" Type="http://schemas.openxmlformats.org/officeDocument/2006/relationships/hyperlink" Target="http://dx.doi.org/10.1021/jacs.6c03022" TargetMode="External"/><Relationship Id="rId596" Type="http://schemas.openxmlformats.org/officeDocument/2006/relationships/hyperlink" Target="https://doi.org/10.1021/jacs.6c03022" TargetMode="External"/><Relationship Id="rId597" Type="http://schemas.openxmlformats.org/officeDocument/2006/relationships/hyperlink" Target="http://dx.doi.org/10.1021/jacs.6c05614" TargetMode="External"/><Relationship Id="rId598" Type="http://schemas.openxmlformats.org/officeDocument/2006/relationships/hyperlink" Target="https://doi.org/10.1021/jacs.6c05614" TargetMode="External"/><Relationship Id="rId599" Type="http://schemas.openxmlformats.org/officeDocument/2006/relationships/hyperlink" Target="http://dx.doi.org/10.1021/jacs.6c03112" TargetMode="External"/><Relationship Id="rId600" Type="http://schemas.openxmlformats.org/officeDocument/2006/relationships/hyperlink" Target="https://doi.org/10.1021/jacs.6c03112" TargetMode="External"/><Relationship Id="rId601" Type="http://schemas.openxmlformats.org/officeDocument/2006/relationships/hyperlink" Target="http://dx.doi.org/10.1021/jacs.6c04681" TargetMode="External"/><Relationship Id="rId602" Type="http://schemas.openxmlformats.org/officeDocument/2006/relationships/hyperlink" Target="https://doi.org/10.1021/jacs.6c04681" TargetMode="External"/><Relationship Id="rId603" Type="http://schemas.openxmlformats.org/officeDocument/2006/relationships/hyperlink" Target="http://dx.doi.org/10.1021/jacs.6c02995" TargetMode="External"/><Relationship Id="rId604" Type="http://schemas.openxmlformats.org/officeDocument/2006/relationships/hyperlink" Target="https://doi.org/10.1021/jacs.6c02995" TargetMode="External"/><Relationship Id="rId605" Type="http://schemas.openxmlformats.org/officeDocument/2006/relationships/hyperlink" Target="http://dx.doi.org/10.1021/jacs.5c22669" TargetMode="External"/><Relationship Id="rId606" Type="http://schemas.openxmlformats.org/officeDocument/2006/relationships/hyperlink" Target="https://doi.org/10.1021/jacs.5c22669" TargetMode="External"/><Relationship Id="rId607" Type="http://schemas.openxmlformats.org/officeDocument/2006/relationships/hyperlink" Target="https://onlinelibrary.wiley.com/doi/10.1002/anie.6114787?af=R" TargetMode="External"/><Relationship Id="rId608" Type="http://schemas.openxmlformats.org/officeDocument/2006/relationships/hyperlink" Target="https://doi.org/10.1002/anie.6114787" TargetMode="External"/><Relationship Id="rId609" Type="http://schemas.openxmlformats.org/officeDocument/2006/relationships/hyperlink" Target="http://dx.doi.org/10.1021/jacs.6c01678" TargetMode="External"/><Relationship Id="rId610" Type="http://schemas.openxmlformats.org/officeDocument/2006/relationships/hyperlink" Target="https://doi.org/10.1021/jacs.6c01678" TargetMode="External"/><Relationship Id="rId611" Type="http://schemas.openxmlformats.org/officeDocument/2006/relationships/hyperlink" Target="http://dx.doi.org/10.1021/jacs.5c22497" TargetMode="External"/><Relationship Id="rId612" Type="http://schemas.openxmlformats.org/officeDocument/2006/relationships/hyperlink" Target="https://doi.org/10.1021/jacs.5c22497" TargetMode="External"/><Relationship Id="rId613" Type="http://schemas.openxmlformats.org/officeDocument/2006/relationships/hyperlink" Target="http://dx.doi.org/10.1021/jacs.5c20332" TargetMode="External"/><Relationship Id="rId614" Type="http://schemas.openxmlformats.org/officeDocument/2006/relationships/hyperlink" Target="https://doi.org/10.1021/jacs.5c20332" TargetMode="External"/><Relationship Id="rId615" Type="http://schemas.openxmlformats.org/officeDocument/2006/relationships/hyperlink" Target="http://dx.doi.org/10.1021/acsenergylett.6c00909" TargetMode="External"/><Relationship Id="rId616" Type="http://schemas.openxmlformats.org/officeDocument/2006/relationships/hyperlink" Target="https://doi.org/10.1021/acsenergylett.6c00909" TargetMode="External"/><Relationship Id="rId617" Type="http://schemas.openxmlformats.org/officeDocument/2006/relationships/hyperlink" Target="http://dx.doi.org/10.1021/jacs.6c01858" TargetMode="External"/><Relationship Id="rId618" Type="http://schemas.openxmlformats.org/officeDocument/2006/relationships/hyperlink" Target="https://doi.org/10.1021/jacs.6c01858" TargetMode="External"/><Relationship Id="rId619" Type="http://schemas.openxmlformats.org/officeDocument/2006/relationships/hyperlink" Target="http://dx.doi.org/10.1021/acsenergylett.6c00594" TargetMode="External"/><Relationship Id="rId620" Type="http://schemas.openxmlformats.org/officeDocument/2006/relationships/hyperlink" Target="https://doi.org/10.1021/acsenergylett.6c00594" TargetMode="External"/><Relationship Id="rId621" Type="http://schemas.openxmlformats.org/officeDocument/2006/relationships/hyperlink" Target="http://dx.doi.org/10.1021/jacs.6c04081" TargetMode="External"/><Relationship Id="rId622" Type="http://schemas.openxmlformats.org/officeDocument/2006/relationships/hyperlink" Target="https://doi.org/10.1021/jacs.6c04081" TargetMode="External"/><Relationship Id="rId623" Type="http://schemas.openxmlformats.org/officeDocument/2006/relationships/hyperlink" Target="http://dx.doi.org/10.1021/acsenergylett.6c00399" TargetMode="External"/><Relationship Id="rId624" Type="http://schemas.openxmlformats.org/officeDocument/2006/relationships/hyperlink" Target="https://doi.org/10.1021/acsenergylett.6c00399" TargetMode="External"/><Relationship Id="rId625" Type="http://schemas.openxmlformats.org/officeDocument/2006/relationships/hyperlink" Target="http://dx.doi.org/10.1021/jacs.6c02915" TargetMode="External"/><Relationship Id="rId626" Type="http://schemas.openxmlformats.org/officeDocument/2006/relationships/hyperlink" Target="https://doi.org/10.1021/jacs.6c02915" TargetMode="External"/><Relationship Id="rId627" Type="http://schemas.openxmlformats.org/officeDocument/2006/relationships/hyperlink" Target="http://dx.doi.org/10.1021/jacs.6c04094" TargetMode="External"/><Relationship Id="rId628" Type="http://schemas.openxmlformats.org/officeDocument/2006/relationships/hyperlink" Target="https://doi.org/10.1021/jacs.6c04094" TargetMode="External"/><Relationship Id="rId629" Type="http://schemas.openxmlformats.org/officeDocument/2006/relationships/hyperlink" Target="http://dx.doi.org/10.1021/jacs.6c04805" TargetMode="External"/><Relationship Id="rId630" Type="http://schemas.openxmlformats.org/officeDocument/2006/relationships/hyperlink" Target="https://doi.org/10.1021/jacs.6c04805" TargetMode="External"/><Relationship Id="rId631" Type="http://schemas.openxmlformats.org/officeDocument/2006/relationships/hyperlink" Target="https://www.nature.com/articles/s41586-026-10459-x" TargetMode="External"/><Relationship Id="rId632" Type="http://schemas.openxmlformats.org/officeDocument/2006/relationships/hyperlink" Target="https://doi.org/10.1038/s41586-026-10459-x" TargetMode="External"/><Relationship Id="rId633" Type="http://schemas.openxmlformats.org/officeDocument/2006/relationships/hyperlink" Target="https://www.nature.com/articles/s41586-026-10423-9" TargetMode="External"/><Relationship Id="rId634" Type="http://schemas.openxmlformats.org/officeDocument/2006/relationships/hyperlink" Target="https://doi.org/10.1038/s41586-026-10423-9" TargetMode="External"/><Relationship Id="rId635" Type="http://schemas.openxmlformats.org/officeDocument/2006/relationships/hyperlink" Target="https://www.nature.com/articles/d41586-026-01480-1" TargetMode="External"/><Relationship Id="rId636" Type="http://schemas.openxmlformats.org/officeDocument/2006/relationships/hyperlink" Target="https://doi.org/10.1038/d41586-026-01480-1" TargetMode="External"/><Relationship Id="rId637" Type="http://schemas.openxmlformats.org/officeDocument/2006/relationships/hyperlink" Target="https://www.nature.com/articles/s41586-026-10602-8" TargetMode="External"/><Relationship Id="rId638" Type="http://schemas.openxmlformats.org/officeDocument/2006/relationships/hyperlink" Target="https://doi.org/10.1038/s41586-026-10602-8" TargetMode="External"/><Relationship Id="rId639" Type="http://schemas.openxmlformats.org/officeDocument/2006/relationships/hyperlink" Target="https://www.nature.com/articles/s41586-026-10201-7" TargetMode="External"/><Relationship Id="rId640" Type="http://schemas.openxmlformats.org/officeDocument/2006/relationships/hyperlink" Target="https://doi.org/10.1038/s41586-026-10201-7" TargetMode="External"/><Relationship Id="rId641" Type="http://schemas.openxmlformats.org/officeDocument/2006/relationships/hyperlink" Target="https://www.cell.com/chem/fulltext/S2451-9294(26)00130-0?rss=yes" TargetMode="External"/><Relationship Id="rId642" Type="http://schemas.openxmlformats.org/officeDocument/2006/relationships/hyperlink" Target="https://doi.org/10.1016/j.chempr.2026.103064" TargetMode="External"/><Relationship Id="rId643" Type="http://schemas.openxmlformats.org/officeDocument/2006/relationships/hyperlink" Target="https://www.nature.com/articles/d41586-026-01420-z" TargetMode="External"/><Relationship Id="rId644" Type="http://schemas.openxmlformats.org/officeDocument/2006/relationships/hyperlink" Target="https://doi.org/10.1038/d41586-026-01420-z" TargetMode="External"/><Relationship Id="rId645" Type="http://schemas.openxmlformats.org/officeDocument/2006/relationships/hyperlink" Target="https://www.nature.com/articles/s41563-026-02591-w" TargetMode="External"/><Relationship Id="rId646" Type="http://schemas.openxmlformats.org/officeDocument/2006/relationships/hyperlink" Target="https://doi.org/10.1038/s41563-026-02591-w" TargetMode="External"/><Relationship Id="rId647" Type="http://schemas.openxmlformats.org/officeDocument/2006/relationships/hyperlink" Target="https://www.nature.com/articles/s41893-026-01827-6" TargetMode="External"/><Relationship Id="rId648" Type="http://schemas.openxmlformats.org/officeDocument/2006/relationships/hyperlink" Target="https://doi.org/10.1038/s41893-026-01827-6" TargetMode="External"/><Relationship Id="rId649" Type="http://schemas.openxmlformats.org/officeDocument/2006/relationships/hyperlink" Target="https://www.nature.com/articles/s41893-026-01829-4" TargetMode="External"/><Relationship Id="rId650" Type="http://schemas.openxmlformats.org/officeDocument/2006/relationships/hyperlink" Target="https://doi.org/10.1038/s41893-026-01829-4" TargetMode="External"/><Relationship Id="rId651" Type="http://schemas.openxmlformats.org/officeDocument/2006/relationships/hyperlink" Target="https://www.nature.com/articles/s41467-026-72532-3" TargetMode="External"/><Relationship Id="rId652" Type="http://schemas.openxmlformats.org/officeDocument/2006/relationships/hyperlink" Target="https://doi.org/10.1038/s41467-026-72532-3" TargetMode="External"/><Relationship Id="rId653" Type="http://schemas.openxmlformats.org/officeDocument/2006/relationships/hyperlink" Target="https://www.nature.com/articles/s41586-026-10466-y" TargetMode="External"/><Relationship Id="rId654" Type="http://schemas.openxmlformats.org/officeDocument/2006/relationships/hyperlink" Target="https://doi.org/10.1038/s41586-026-10466-y" TargetMode="External"/><Relationship Id="rId655" Type="http://schemas.openxmlformats.org/officeDocument/2006/relationships/hyperlink" Target="https://www.nature.com/articles/d41586-026-01159-7" TargetMode="External"/><Relationship Id="rId656" Type="http://schemas.openxmlformats.org/officeDocument/2006/relationships/hyperlink" Target="https://doi.org/10.1038/d41586-026-01159-7" TargetMode="External"/><Relationship Id="rId657" Type="http://schemas.openxmlformats.org/officeDocument/2006/relationships/hyperlink" Target="https://www.nature.com/articles/d41586-026-01154-y" TargetMode="External"/><Relationship Id="rId658" Type="http://schemas.openxmlformats.org/officeDocument/2006/relationships/hyperlink" Target="https://doi.org/10.1038/d41586-026-01154-y" TargetMode="External"/><Relationship Id="rId659" Type="http://schemas.openxmlformats.org/officeDocument/2006/relationships/hyperlink" Target="https://www.nature.com/articles/s41893-026-01809-8" TargetMode="External"/><Relationship Id="rId660" Type="http://schemas.openxmlformats.org/officeDocument/2006/relationships/hyperlink" Target="https://doi.org/10.1038/s41893-026-01809-8" TargetMode="External"/><Relationship Id="rId661" Type="http://schemas.openxmlformats.org/officeDocument/2006/relationships/hyperlink" Target="https://www.nature.com/articles/s41586-026-10458-y" TargetMode="External"/><Relationship Id="rId662" Type="http://schemas.openxmlformats.org/officeDocument/2006/relationships/hyperlink" Target="https://doi.org/10.1038/s41586-026-10458-y" TargetMode="External"/><Relationship Id="rId663" Type="http://schemas.openxmlformats.org/officeDocument/2006/relationships/hyperlink" Target="https://www.nature.com/articles/s41467-026-72772-3" TargetMode="External"/><Relationship Id="rId664" Type="http://schemas.openxmlformats.org/officeDocument/2006/relationships/hyperlink" Target="https://doi.org/10.1038/s41467-026-72772-3" TargetMode="External"/><Relationship Id="rId665" Type="http://schemas.openxmlformats.org/officeDocument/2006/relationships/hyperlink" Target="https://www.nature.com/articles/s41586-026-10497-5" TargetMode="External"/><Relationship Id="rId666" Type="http://schemas.openxmlformats.org/officeDocument/2006/relationships/hyperlink" Target="https://doi.org/10.1038/s41586-026-10497-5" TargetMode="External"/><Relationship Id="rId667" Type="http://schemas.openxmlformats.org/officeDocument/2006/relationships/hyperlink" Target="https://www.nature.com/articles/d41586-026-01498-5" TargetMode="External"/><Relationship Id="rId668" Type="http://schemas.openxmlformats.org/officeDocument/2006/relationships/hyperlink" Target="https://doi.org/10.1038/d41586-026-01498-5" TargetMode="External"/><Relationship Id="rId669" Type="http://schemas.openxmlformats.org/officeDocument/2006/relationships/hyperlink" Target="https://www.nature.com/articles/s41467-026-72802-0" TargetMode="External"/><Relationship Id="rId670" Type="http://schemas.openxmlformats.org/officeDocument/2006/relationships/hyperlink" Target="https://doi.org/10.1038/s41467-026-72802-0" TargetMode="External"/><Relationship Id="rId671" Type="http://schemas.openxmlformats.org/officeDocument/2006/relationships/hyperlink" Target="https://www.nature.com/articles/s41586-026-10492-w" TargetMode="External"/><Relationship Id="rId672" Type="http://schemas.openxmlformats.org/officeDocument/2006/relationships/hyperlink" Target="https://doi.org/10.1038/s41586-026-10492-w" TargetMode="External"/><Relationship Id="rId673" Type="http://schemas.openxmlformats.org/officeDocument/2006/relationships/hyperlink" Target="https://www.nature.com/articles/d41586-026-01423-w" TargetMode="External"/><Relationship Id="rId674" Type="http://schemas.openxmlformats.org/officeDocument/2006/relationships/hyperlink" Target="https://doi.org/10.1038/d41586-026-01423-w" TargetMode="External"/><Relationship Id="rId675" Type="http://schemas.openxmlformats.org/officeDocument/2006/relationships/hyperlink" Target="https://www.nature.com/articles/d41586-026-01244-x" TargetMode="External"/><Relationship Id="rId676" Type="http://schemas.openxmlformats.org/officeDocument/2006/relationships/hyperlink" Target="https://doi.org/10.1038/d41586-026-01244-x" TargetMode="External"/><Relationship Id="rId677" Type="http://schemas.openxmlformats.org/officeDocument/2006/relationships/hyperlink" Target="https://www.nature.com/articles/s41467-026-72382-z" TargetMode="External"/><Relationship Id="rId678" Type="http://schemas.openxmlformats.org/officeDocument/2006/relationships/hyperlink" Target="https://doi.org/10.1038/s41467-026-72382-z" TargetMode="External"/><Relationship Id="rId679" Type="http://schemas.openxmlformats.org/officeDocument/2006/relationships/hyperlink" Target="https://www.nature.com/articles/s41586-026-10421-x" TargetMode="External"/><Relationship Id="rId680" Type="http://schemas.openxmlformats.org/officeDocument/2006/relationships/hyperlink" Target="https://doi.org/10.1038/s41586-026-10421-x" TargetMode="External"/><Relationship Id="rId681" Type="http://schemas.openxmlformats.org/officeDocument/2006/relationships/hyperlink" Target="https://www.nature.com/articles/d41586-026-01454-3" TargetMode="External"/><Relationship Id="rId682" Type="http://schemas.openxmlformats.org/officeDocument/2006/relationships/hyperlink" Target="https://doi.org/10.1038/d41586-026-01454-3" TargetMode="External"/><Relationship Id="rId683" Type="http://schemas.openxmlformats.org/officeDocument/2006/relationships/hyperlink" Target="https://www.nature.com/articles/d41586-026-01157-9" TargetMode="External"/><Relationship Id="rId684" Type="http://schemas.openxmlformats.org/officeDocument/2006/relationships/hyperlink" Target="https://doi.org/10.1038/d41586-026-01157-9" TargetMode="External"/><Relationship Id="rId685" Type="http://schemas.openxmlformats.org/officeDocument/2006/relationships/hyperlink" Target="https://www.nature.com/articles/s41557-026-02138-1" TargetMode="External"/><Relationship Id="rId686" Type="http://schemas.openxmlformats.org/officeDocument/2006/relationships/hyperlink" Target="https://doi.org/10.1038/s41557-026-02138-1" TargetMode="External"/><Relationship Id="rId687" Type="http://schemas.openxmlformats.org/officeDocument/2006/relationships/hyperlink" Target="https://www.nature.com/articles/s41557-026-02129-2" TargetMode="External"/><Relationship Id="rId688" Type="http://schemas.openxmlformats.org/officeDocument/2006/relationships/hyperlink" Target="https://doi.org/10.1038/s41557-026-02129-2" TargetMode="External"/><Relationship Id="rId689" Type="http://schemas.openxmlformats.org/officeDocument/2006/relationships/hyperlink" Target="https://www.nature.com/articles/s41557-026-02099-5" TargetMode="External"/><Relationship Id="rId690" Type="http://schemas.openxmlformats.org/officeDocument/2006/relationships/hyperlink" Target="https://doi.org/10.1038/s41557-026-02099-5" TargetMode="External"/><Relationship Id="rId691" Type="http://schemas.openxmlformats.org/officeDocument/2006/relationships/hyperlink" Target="https://www.nature.com/articles/s41586-026-10448-0" TargetMode="External"/><Relationship Id="rId692" Type="http://schemas.openxmlformats.org/officeDocument/2006/relationships/hyperlink" Target="https://doi.org/10.1038/s41586-026-10448-0" TargetMode="External"/><Relationship Id="rId693" Type="http://schemas.openxmlformats.org/officeDocument/2006/relationships/hyperlink" Target="https://www.nature.com/articles/s41586-026-10452-4" TargetMode="External"/><Relationship Id="rId694" Type="http://schemas.openxmlformats.org/officeDocument/2006/relationships/hyperlink" Target="https://doi.org/10.1038/s41586-026-10452-4" TargetMode="External"/><Relationship Id="rId695" Type="http://schemas.openxmlformats.org/officeDocument/2006/relationships/hyperlink" Target="https://www.nature.com/articles/d41586-026-01407-w" TargetMode="External"/><Relationship Id="rId696" Type="http://schemas.openxmlformats.org/officeDocument/2006/relationships/hyperlink" Target="https://doi.org/10.1038/d41586-026-01407-w" TargetMode="External"/><Relationship Id="rId697" Type="http://schemas.openxmlformats.org/officeDocument/2006/relationships/hyperlink" Target="https://www.nature.com/articles/d41586-026-01310-4" TargetMode="External"/><Relationship Id="rId698" Type="http://schemas.openxmlformats.org/officeDocument/2006/relationships/hyperlink" Target="https://doi.org/10.1038/d41586-026-01310-4" TargetMode="External"/><Relationship Id="rId699" Type="http://schemas.openxmlformats.org/officeDocument/2006/relationships/hyperlink" Target="https://www.nature.com/articles/s41586-026-10477-9" TargetMode="External"/><Relationship Id="rId700" Type="http://schemas.openxmlformats.org/officeDocument/2006/relationships/hyperlink" Target="https://doi.org/10.1038/s41586-026-10477-9" TargetMode="External"/><Relationship Id="rId701" Type="http://schemas.openxmlformats.org/officeDocument/2006/relationships/hyperlink" Target="https://www.nature.com/articles/s41586-026-10475-x" TargetMode="External"/><Relationship Id="rId702" Type="http://schemas.openxmlformats.org/officeDocument/2006/relationships/hyperlink" Target="https://doi.org/10.1038/s41586-026-10475-x" TargetMode="External"/><Relationship Id="rId703" Type="http://schemas.openxmlformats.org/officeDocument/2006/relationships/hyperlink" Target="https://www.nature.com/articles/d41586-026-01433-8" TargetMode="External"/><Relationship Id="rId704" Type="http://schemas.openxmlformats.org/officeDocument/2006/relationships/hyperlink" Target="https://doi.org/10.1038/d41586-026-01433-8" TargetMode="External"/><Relationship Id="rId705" Type="http://schemas.openxmlformats.org/officeDocument/2006/relationships/hyperlink" Target="https://www.nature.com/articles/d41586-026-00797-1" TargetMode="External"/><Relationship Id="rId706" Type="http://schemas.openxmlformats.org/officeDocument/2006/relationships/hyperlink" Target="https://doi.org/10.1038/d41586-026-00797-1" TargetMode="External"/><Relationship Id="rId707" Type="http://schemas.openxmlformats.org/officeDocument/2006/relationships/hyperlink" Target="https://www.nature.com/articles/d41586-026-01311-3" TargetMode="External"/><Relationship Id="rId708" Type="http://schemas.openxmlformats.org/officeDocument/2006/relationships/hyperlink" Target="https://doi.org/10.1038/d41586-026-01311-3" TargetMode="External"/><Relationship Id="rId709" Type="http://schemas.openxmlformats.org/officeDocument/2006/relationships/hyperlink" Target="https://www.nature.com/articles/d41586-026-01314-0" TargetMode="External"/><Relationship Id="rId710" Type="http://schemas.openxmlformats.org/officeDocument/2006/relationships/hyperlink" Target="https://doi.org/10.1038/d41586-026-01314-0" TargetMode="External"/><Relationship Id="rId711" Type="http://schemas.openxmlformats.org/officeDocument/2006/relationships/hyperlink" Target="https://www.nature.com/articles/d41586-026-01465-0" TargetMode="External"/><Relationship Id="rId712" Type="http://schemas.openxmlformats.org/officeDocument/2006/relationships/hyperlink" Target="https://doi.org/10.1038/d41586-026-01465-0" TargetMode="External"/><Relationship Id="rId713" Type="http://schemas.openxmlformats.org/officeDocument/2006/relationships/hyperlink" Target="https://www.nature.com/articles/s41467-026-72646-8" TargetMode="External"/><Relationship Id="rId714" Type="http://schemas.openxmlformats.org/officeDocument/2006/relationships/hyperlink" Target="https://doi.org/10.1038/s41467-026-72646-8" TargetMode="External"/><Relationship Id="rId715" Type="http://schemas.openxmlformats.org/officeDocument/2006/relationships/hyperlink" Target="https://www.nature.com/articles/d41586-026-01492-x" TargetMode="External"/><Relationship Id="rId716" Type="http://schemas.openxmlformats.org/officeDocument/2006/relationships/hyperlink" Target="https://doi.org/10.1038/d41586-026-01492-x" TargetMode="External"/><Relationship Id="rId717" Type="http://schemas.openxmlformats.org/officeDocument/2006/relationships/hyperlink" Target="https://www.cell.com/matter/fulltext/S2590-2385(26)00180-3?rss=yes" TargetMode="External"/><Relationship Id="rId718" Type="http://schemas.openxmlformats.org/officeDocument/2006/relationships/hyperlink" Target="https://doi.org/10.1016/j.matt.2026.102817" TargetMode="External"/><Relationship Id="rId719" Type="http://schemas.openxmlformats.org/officeDocument/2006/relationships/hyperlink" Target="https://www.nature.com/articles/d41586-026-01077-8" TargetMode="External"/><Relationship Id="rId720" Type="http://schemas.openxmlformats.org/officeDocument/2006/relationships/hyperlink" Target="https://doi.org/10.1038/d41586-026-01077-8" TargetMode="External"/><Relationship Id="rId721" Type="http://schemas.openxmlformats.org/officeDocument/2006/relationships/hyperlink" Target="https://www.sciencedirect.com/science/article/pii/S0306261926005921?dgcid=rss_sd_all" TargetMode="External"/><Relationship Id="rId722" Type="http://schemas.openxmlformats.org/officeDocument/2006/relationships/hyperlink" Target="https://www.nature.com/articles/s41928-026-01612-5" TargetMode="External"/><Relationship Id="rId723" Type="http://schemas.openxmlformats.org/officeDocument/2006/relationships/hyperlink" Target="https://doi.org/10.1038/s41928-026-01612-5" TargetMode="External"/><Relationship Id="rId724" Type="http://schemas.openxmlformats.org/officeDocument/2006/relationships/hyperlink" Target="https://www.nature.com/articles/d41586-026-01155-x" TargetMode="External"/><Relationship Id="rId725" Type="http://schemas.openxmlformats.org/officeDocument/2006/relationships/hyperlink" Target="https://doi.org/10.1038/d41586-026-01155-x" TargetMode="External"/><Relationship Id="rId726" Type="http://schemas.openxmlformats.org/officeDocument/2006/relationships/hyperlink" Target="https://www.sciencedirect.com/science/article/pii/S030626192600646X?dgcid=rss_sd_all" TargetMode="External"/><Relationship Id="rId727" Type="http://schemas.openxmlformats.org/officeDocument/2006/relationships/hyperlink" Target="https://www.nature.com/articles/s41586-026-10476-w" TargetMode="External"/><Relationship Id="rId728" Type="http://schemas.openxmlformats.org/officeDocument/2006/relationships/hyperlink" Target="https://doi.org/10.1038/s41586-026-10476-w" TargetMode="External"/><Relationship Id="rId729" Type="http://schemas.openxmlformats.org/officeDocument/2006/relationships/hyperlink" Target="https://www.nature.com/articles/d41586-026-01419-6" TargetMode="External"/><Relationship Id="rId730" Type="http://schemas.openxmlformats.org/officeDocument/2006/relationships/hyperlink" Target="https://doi.org/10.1038/d41586-026-01419-6" TargetMode="External"/><Relationship Id="rId731" Type="http://schemas.openxmlformats.org/officeDocument/2006/relationships/hyperlink" Target="https://www.nature.com/articles/s41586-026-10447-1" TargetMode="External"/><Relationship Id="rId732" Type="http://schemas.openxmlformats.org/officeDocument/2006/relationships/hyperlink" Target="https://doi.org/10.1038/s41586-026-10447-1" TargetMode="External"/><Relationship Id="rId733" Type="http://schemas.openxmlformats.org/officeDocument/2006/relationships/hyperlink" Target="https://www.nature.com/articles/s41586-026-10451-5" TargetMode="External"/><Relationship Id="rId734" Type="http://schemas.openxmlformats.org/officeDocument/2006/relationships/hyperlink" Target="https://doi.org/10.1038/s41586-026-10451-5" TargetMode="External"/><Relationship Id="rId735" Type="http://schemas.openxmlformats.org/officeDocument/2006/relationships/hyperlink" Target="https://www.nature.com/articles/s41586-026-10444-4" TargetMode="External"/><Relationship Id="rId736" Type="http://schemas.openxmlformats.org/officeDocument/2006/relationships/hyperlink" Target="https://doi.org/10.1038/s41586-026-10444-4" TargetMode="External"/><Relationship Id="rId737" Type="http://schemas.openxmlformats.org/officeDocument/2006/relationships/hyperlink" Target="https://www.nature.com/articles/s41586-026-10456-0" TargetMode="External"/><Relationship Id="rId738" Type="http://schemas.openxmlformats.org/officeDocument/2006/relationships/hyperlink" Target="https://doi.org/10.1038/s41586-026-10456-0" TargetMode="External"/><Relationship Id="rId739" Type="http://schemas.openxmlformats.org/officeDocument/2006/relationships/hyperlink" Target="https://www.nature.com/articles/s41586-026-10378-x" TargetMode="External"/><Relationship Id="rId740" Type="http://schemas.openxmlformats.org/officeDocument/2006/relationships/hyperlink" Target="https://doi.org/10.1038/s41586-026-10378-x" TargetMode="External"/><Relationship Id="rId741" Type="http://schemas.openxmlformats.org/officeDocument/2006/relationships/hyperlink" Target="https://www.nature.com/articles/s41586-026-10404-y" TargetMode="External"/><Relationship Id="rId742" Type="http://schemas.openxmlformats.org/officeDocument/2006/relationships/hyperlink" Target="https://doi.org/10.1038/s41586-026-10404-y" TargetMode="External"/><Relationship Id="rId743" Type="http://schemas.openxmlformats.org/officeDocument/2006/relationships/hyperlink" Target="https://www.nature.com/articles/s41586-026-10453-3" TargetMode="External"/><Relationship Id="rId744" Type="http://schemas.openxmlformats.org/officeDocument/2006/relationships/hyperlink" Target="https://doi.org/10.1038/s41586-026-10453-3" TargetMode="External"/><Relationship Id="rId745" Type="http://schemas.openxmlformats.org/officeDocument/2006/relationships/hyperlink" Target="https://www.nature.com/articles/d41586-026-01250-z" TargetMode="External"/><Relationship Id="rId746" Type="http://schemas.openxmlformats.org/officeDocument/2006/relationships/hyperlink" Target="https://doi.org/10.1038/d41586-026-01250-z" TargetMode="External"/><Relationship Id="rId747" Type="http://schemas.openxmlformats.org/officeDocument/2006/relationships/hyperlink" Target="https://www.nature.com/articles/s41586-026-10495-7" TargetMode="External"/><Relationship Id="rId748" Type="http://schemas.openxmlformats.org/officeDocument/2006/relationships/hyperlink" Target="https://doi.org/10.1038/s41586-026-10495-7" TargetMode="External"/><Relationship Id="rId749" Type="http://schemas.openxmlformats.org/officeDocument/2006/relationships/hyperlink" Target="https://www.nature.com/articles/s41586-026-10462-2" TargetMode="External"/><Relationship Id="rId750" Type="http://schemas.openxmlformats.org/officeDocument/2006/relationships/hyperlink" Target="https://doi.org/10.1038/s41586-026-10462-2" TargetMode="External"/><Relationship Id="rId751" Type="http://schemas.openxmlformats.org/officeDocument/2006/relationships/hyperlink" Target="https://www.nature.com/articles/s41586-026-10443-5" TargetMode="External"/><Relationship Id="rId752" Type="http://schemas.openxmlformats.org/officeDocument/2006/relationships/hyperlink" Target="https://doi.org/10.1038/s41586-026-10443-5" TargetMode="External"/><Relationship Id="rId753" Type="http://schemas.openxmlformats.org/officeDocument/2006/relationships/hyperlink" Target="https://www.nature.com/articles/s41586-026-10441-7" TargetMode="External"/><Relationship Id="rId754" Type="http://schemas.openxmlformats.org/officeDocument/2006/relationships/hyperlink" Target="https://doi.org/10.1038/s41586-026-10441-7" TargetMode="External"/><Relationship Id="rId755" Type="http://schemas.openxmlformats.org/officeDocument/2006/relationships/hyperlink" Target="https://www.nature.com/articles/s41586-026-10455-1" TargetMode="External"/><Relationship Id="rId756" Type="http://schemas.openxmlformats.org/officeDocument/2006/relationships/hyperlink" Target="https://doi.org/10.1038/s41586-026-10455-1" TargetMode="External"/><Relationship Id="rId757" Type="http://schemas.openxmlformats.org/officeDocument/2006/relationships/hyperlink" Target="https://www.pnas.org/doi/abs/10.1073/pnas.2529836123?mi=eymic2&amp;af=R&amp;access=on&amp;content=articlesChapters&amp;publication=pnas&amp;sortBy=Earliest&amp;target=default" TargetMode="External"/><Relationship Id="rId758" Type="http://schemas.openxmlformats.org/officeDocument/2006/relationships/hyperlink" Target="https://doi.org/10.1073/pnas.2529836123" TargetMode="External"/><Relationship Id="rId759" Type="http://schemas.openxmlformats.org/officeDocument/2006/relationships/hyperlink" Target="https://www.science.org/doi/abs/10.1126/sciadv.aed1295?af=R" TargetMode="External"/><Relationship Id="rId760" Type="http://schemas.openxmlformats.org/officeDocument/2006/relationships/hyperlink" Target="https://doi.org/10.1126/sciadv.aed1295" TargetMode="External"/><Relationship Id="rId761" Type="http://schemas.openxmlformats.org/officeDocument/2006/relationships/hyperlink" Target="https://www.science.org/doi/abs/10.1126/sciadv.aed1774?af=R" TargetMode="External"/><Relationship Id="rId762" Type="http://schemas.openxmlformats.org/officeDocument/2006/relationships/hyperlink" Target="https://doi.org/10.1126/sciadv.aed1774" TargetMode="External"/><Relationship Id="rId763" Type="http://schemas.openxmlformats.org/officeDocument/2006/relationships/hyperlink" Target="https://www.science.org/doi/abs/10.1126/sciadv.aed5283?af=R" TargetMode="External"/><Relationship Id="rId764" Type="http://schemas.openxmlformats.org/officeDocument/2006/relationships/hyperlink" Target="https://doi.org/10.1126/sciadv.aed5283" TargetMode="External"/><Relationship Id="rId765" Type="http://schemas.openxmlformats.org/officeDocument/2006/relationships/hyperlink" Target="https://www.science.org/doi/abs/10.1126/sciadv.adu3728?af=R" TargetMode="External"/><Relationship Id="rId766" Type="http://schemas.openxmlformats.org/officeDocument/2006/relationships/hyperlink" Target="https://doi.org/10.1126/sciadv.adu3728" TargetMode="External"/><Relationship Id="rId767" Type="http://schemas.openxmlformats.org/officeDocument/2006/relationships/hyperlink" Target="https://www.science.org/doi/abs/10.1126/sciadv.adz2809?af=R" TargetMode="External"/><Relationship Id="rId768" Type="http://schemas.openxmlformats.org/officeDocument/2006/relationships/hyperlink" Target="https://doi.org/10.1126/sciadv.adz2809" TargetMode="External"/><Relationship Id="rId769" Type="http://schemas.openxmlformats.org/officeDocument/2006/relationships/hyperlink" Target="https://www.science.org/doi/abs/10.1126/sciadv.aee1648?af=R" TargetMode="External"/><Relationship Id="rId770" Type="http://schemas.openxmlformats.org/officeDocument/2006/relationships/hyperlink" Target="https://doi.org/10.1126/sciadv.aee1648" TargetMode="External"/><Relationship Id="rId771" Type="http://schemas.openxmlformats.org/officeDocument/2006/relationships/hyperlink" Target="https://www.pnas.org/doi/abs/10.1073/pnas.2606846123?mi=eymic2&amp;af=R&amp;access=on&amp;content=articlesChapters&amp;publication=pnas&amp;sortBy=Earliest&amp;target=default" TargetMode="External"/><Relationship Id="rId772" Type="http://schemas.openxmlformats.org/officeDocument/2006/relationships/hyperlink" Target="https://doi.org/10.1073/pnas.2606846123" TargetMode="External"/><Relationship Id="rId773" Type="http://schemas.openxmlformats.org/officeDocument/2006/relationships/hyperlink" Target="https://www.science.org/doi/abs/10.1126/sciadv.adz6873?af=R" TargetMode="External"/><Relationship Id="rId774" Type="http://schemas.openxmlformats.org/officeDocument/2006/relationships/hyperlink" Target="https://doi.org/10.1126/sciadv.adz6873" TargetMode="External"/><Relationship Id="rId775" Type="http://schemas.openxmlformats.org/officeDocument/2006/relationships/hyperlink" Target="https://www.pnas.org/doi/abs/10.1073/pnas.2533440123?mi=eymic2&amp;af=R&amp;access=on&amp;content=articlesChapters&amp;publication=pnas&amp;sortBy=Earliest&amp;target=default" TargetMode="External"/><Relationship Id="rId776" Type="http://schemas.openxmlformats.org/officeDocument/2006/relationships/hyperlink" Target="https://doi.org/10.1073/pnas.2533440123" TargetMode="External"/><Relationship Id="rId777" Type="http://schemas.openxmlformats.org/officeDocument/2006/relationships/hyperlink" Target="https://www.science.org/doi/abs/10.1126/sciadv.aed8021?af=R" TargetMode="External"/><Relationship Id="rId778" Type="http://schemas.openxmlformats.org/officeDocument/2006/relationships/hyperlink" Target="https://doi.org/10.1126/sciadv.aed8021" TargetMode="External"/><Relationship Id="rId779" Type="http://schemas.openxmlformats.org/officeDocument/2006/relationships/hyperlink" Target="https://www.science.org/doi/abs/10.1126/sciadv.aec7519?af=R" TargetMode="External"/><Relationship Id="rId780" Type="http://schemas.openxmlformats.org/officeDocument/2006/relationships/hyperlink" Target="https://doi.org/10.1126/sciadv.aec7519" TargetMode="External"/><Relationship Id="rId781" Type="http://schemas.openxmlformats.org/officeDocument/2006/relationships/hyperlink" Target="https://www.science.org/doi/abs/10.1126/sciadv.aea8724?af=R" TargetMode="External"/><Relationship Id="rId782" Type="http://schemas.openxmlformats.org/officeDocument/2006/relationships/hyperlink" Target="https://doi.org/10.1126/sciadv.aea8724" TargetMode="External"/><Relationship Id="rId783" Type="http://schemas.openxmlformats.org/officeDocument/2006/relationships/hyperlink" Target="https://www.science.org/doi/abs/10.1126/sciadv.aec9100?af=R" TargetMode="External"/><Relationship Id="rId784" Type="http://schemas.openxmlformats.org/officeDocument/2006/relationships/hyperlink" Target="https://doi.org/10.1126/sciadv.aec9100" TargetMode="External"/><Relationship Id="rId785" Type="http://schemas.openxmlformats.org/officeDocument/2006/relationships/hyperlink" Target="https://www.science.org/doi/abs/10.1126/sciadv.aec1599?af=R" TargetMode="External"/><Relationship Id="rId786" Type="http://schemas.openxmlformats.org/officeDocument/2006/relationships/hyperlink" Target="https://doi.org/10.1126/sciadv.aec1599" TargetMode="External"/><Relationship Id="rId787" Type="http://schemas.openxmlformats.org/officeDocument/2006/relationships/hyperlink" Target="https://www.science.org/doi/abs/10.1126/sciadv.aeb8486?af=R" TargetMode="External"/><Relationship Id="rId788" Type="http://schemas.openxmlformats.org/officeDocument/2006/relationships/hyperlink" Target="https://doi.org/10.1126/sciadv.aeb8486" TargetMode="External"/><Relationship Id="rId789" Type="http://schemas.openxmlformats.org/officeDocument/2006/relationships/hyperlink" Target="https://www.science.org/doi/abs/10.1126/sciadv.aeb4840?af=R" TargetMode="External"/><Relationship Id="rId790" Type="http://schemas.openxmlformats.org/officeDocument/2006/relationships/hyperlink" Target="https://doi.org/10.1126/sciadv.aeb4840" TargetMode="External"/><Relationship Id="rId791" Type="http://schemas.openxmlformats.org/officeDocument/2006/relationships/hyperlink" Target="https://www.science.org/doi/abs/10.1126/sciadv.aeb4305?af=R" TargetMode="External"/><Relationship Id="rId792" Type="http://schemas.openxmlformats.org/officeDocument/2006/relationships/hyperlink" Target="https://doi.org/10.1126/sciadv.aeb4305" TargetMode="External"/><Relationship Id="rId793" Type="http://schemas.openxmlformats.org/officeDocument/2006/relationships/hyperlink" Target="https://www.science.org/doi/abs/10.1126/sciadv.aeb2472?af=R" TargetMode="External"/><Relationship Id="rId794" Type="http://schemas.openxmlformats.org/officeDocument/2006/relationships/hyperlink" Target="https://doi.org/10.1126/sciadv.aeb2472" TargetMode="External"/><Relationship Id="rId795" Type="http://schemas.openxmlformats.org/officeDocument/2006/relationships/hyperlink" Target="https://www.science.org/doi/abs/10.1126/sciadv.aea8372?af=R" TargetMode="External"/><Relationship Id="rId796" Type="http://schemas.openxmlformats.org/officeDocument/2006/relationships/hyperlink" Target="https://doi.org/10.1126/sciadv.aea8372" TargetMode="External"/><Relationship Id="rId797" Type="http://schemas.openxmlformats.org/officeDocument/2006/relationships/hyperlink" Target="https://www.science.org/doi/abs/10.1126/sciadv.aea3775?af=R" TargetMode="External"/><Relationship Id="rId798" Type="http://schemas.openxmlformats.org/officeDocument/2006/relationships/hyperlink" Target="https://doi.org/10.1126/sciadv.aea3775" TargetMode="External"/><Relationship Id="rId799" Type="http://schemas.openxmlformats.org/officeDocument/2006/relationships/hyperlink" Target="https://www.science.org/doi/abs/10.1126/sciadv.aea1984?af=R" TargetMode="External"/><Relationship Id="rId800" Type="http://schemas.openxmlformats.org/officeDocument/2006/relationships/hyperlink" Target="https://doi.org/10.1126/sciadv.aea1984" TargetMode="External"/><Relationship Id="rId801" Type="http://schemas.openxmlformats.org/officeDocument/2006/relationships/hyperlink" Target="https://www.science.org/doi/abs/10.1126/sciadv.aec2511?af=R" TargetMode="External"/><Relationship Id="rId802" Type="http://schemas.openxmlformats.org/officeDocument/2006/relationships/hyperlink" Target="https://doi.org/10.1126/sciadv.aec2511" TargetMode="External"/><Relationship Id="rId803" Type="http://schemas.openxmlformats.org/officeDocument/2006/relationships/hyperlink" Target="https://www.pnas.org/doi/abs/10.1073/pnas.2535888123?mi=eymic2&amp;af=R&amp;access=on&amp;content=articlesChapters&amp;publication=pnas&amp;sortBy=Earliest&amp;target=default" TargetMode="External"/><Relationship Id="rId804" Type="http://schemas.openxmlformats.org/officeDocument/2006/relationships/hyperlink" Target="https://doi.org/10.1073/pnas.2535888123" TargetMode="External"/><Relationship Id="rId805" Type="http://schemas.openxmlformats.org/officeDocument/2006/relationships/hyperlink" Target="https://www.pnas.org/doi/abs/10.1073/pnas.2533609123?mi=eymic2&amp;af=R&amp;access=on&amp;content=articlesChapters&amp;publication=pnas&amp;sortBy=Earliest&amp;target=default" TargetMode="External"/><Relationship Id="rId806" Type="http://schemas.openxmlformats.org/officeDocument/2006/relationships/hyperlink" Target="https://doi.org/10.1073/pnas.2533609123" TargetMode="External"/><Relationship Id="rId807" Type="http://schemas.openxmlformats.org/officeDocument/2006/relationships/hyperlink" Target="https://www.science.org/doi/abs/10.1126/sciadv.aec5940?af=R" TargetMode="External"/><Relationship Id="rId808" Type="http://schemas.openxmlformats.org/officeDocument/2006/relationships/hyperlink" Target="https://doi.org/10.1126/sciadv.aec5940" TargetMode="External"/><Relationship Id="rId809" Type="http://schemas.openxmlformats.org/officeDocument/2006/relationships/hyperlink" Target="https://www.pnas.org/doi/abs/10.1073/pnas.2533909123?mi=eymic2&amp;af=R&amp;access=on&amp;content=articlesChapters&amp;publication=pnas&amp;sortBy=Earliest&amp;target=default" TargetMode="External"/><Relationship Id="rId810" Type="http://schemas.openxmlformats.org/officeDocument/2006/relationships/hyperlink" Target="https://doi.org/10.1073/pnas.2533909123" TargetMode="External"/><Relationship Id="rId811" Type="http://schemas.openxmlformats.org/officeDocument/2006/relationships/hyperlink" Target="https://www.science.org/doi/abs/10.1126/sciadv.aed7566?af=R" TargetMode="External"/><Relationship Id="rId812" Type="http://schemas.openxmlformats.org/officeDocument/2006/relationships/hyperlink" Target="https://doi.org/10.1126/sciadv.aed7566" TargetMode="External"/><Relationship Id="rId813" Type="http://schemas.openxmlformats.org/officeDocument/2006/relationships/hyperlink" Target="https://www.pnas.org/doi/abs/10.1073/pnas.2536471123?mi=eymic2&amp;af=R&amp;access=on&amp;content=articlesChapters&amp;publication=pnas&amp;sortBy=Earliest&amp;target=default" TargetMode="External"/><Relationship Id="rId814" Type="http://schemas.openxmlformats.org/officeDocument/2006/relationships/hyperlink" Target="https://doi.org/10.1073/pnas.2536471123" TargetMode="External"/><Relationship Id="rId815" Type="http://schemas.openxmlformats.org/officeDocument/2006/relationships/hyperlink" Target="https://www.science.org/doi/abs/10.1126/sciadv.aec9179?af=R" TargetMode="External"/><Relationship Id="rId816" Type="http://schemas.openxmlformats.org/officeDocument/2006/relationships/hyperlink" Target="https://doi.org/10.1126/sciadv.aec9179" TargetMode="External"/><Relationship Id="rId817" Type="http://schemas.openxmlformats.org/officeDocument/2006/relationships/hyperlink" Target="https://www.science.org/doi/abs/10.1126/sciadv.aee1769?af=R" TargetMode="External"/><Relationship Id="rId818" Type="http://schemas.openxmlformats.org/officeDocument/2006/relationships/hyperlink" Target="https://doi.org/10.1126/sciadv.aee1769" TargetMode="External"/><Relationship Id="rId819" Type="http://schemas.openxmlformats.org/officeDocument/2006/relationships/hyperlink" Target="https://www.pnas.org/doi/abs/10.1073/pnas.2532963123?mi=eymic2&amp;af=R&amp;access=on&amp;content=articlesChapters&amp;publication=pnas&amp;sortBy=Earliest&amp;target=default" TargetMode="External"/><Relationship Id="rId820" Type="http://schemas.openxmlformats.org/officeDocument/2006/relationships/hyperlink" Target="https://doi.org/10.1073/pnas.2532963123" TargetMode="External"/><Relationship Id="rId821" Type="http://schemas.openxmlformats.org/officeDocument/2006/relationships/hyperlink" Target="https://www.science.org/doi/abs/10.1126/sciadv.aec5411?af=R" TargetMode="External"/><Relationship Id="rId822" Type="http://schemas.openxmlformats.org/officeDocument/2006/relationships/hyperlink" Target="https://doi.org/10.1126/sciadv.aec5411" TargetMode="External"/><Relationship Id="rId823" Type="http://schemas.openxmlformats.org/officeDocument/2006/relationships/hyperlink" Target="https://www.science.org/doi/abs/10.1126/sciadv.aec1606?af=R" TargetMode="External"/><Relationship Id="rId824" Type="http://schemas.openxmlformats.org/officeDocument/2006/relationships/hyperlink" Target="https://doi.org/10.1126/sciadv.aec1606" TargetMode="External"/><Relationship Id="rId825" Type="http://schemas.openxmlformats.org/officeDocument/2006/relationships/hyperlink" Target="https://www.science.org/doi/abs/10.1126/sciadv.adr4039?af=R" TargetMode="External"/><Relationship Id="rId826" Type="http://schemas.openxmlformats.org/officeDocument/2006/relationships/hyperlink" Target="https://doi.org/10.1126/sciadv.adr4039" TargetMode="External"/><Relationship Id="rId827" Type="http://schemas.openxmlformats.org/officeDocument/2006/relationships/hyperlink" Target="https://www.science.org/doi/abs/10.1126/sciadv.aee3907?af=R" TargetMode="External"/><Relationship Id="rId828" Type="http://schemas.openxmlformats.org/officeDocument/2006/relationships/hyperlink" Target="https://doi.org/10.1126/sciadv.aee3907" TargetMode="External"/><Relationship Id="rId829" Type="http://schemas.openxmlformats.org/officeDocument/2006/relationships/hyperlink" Target="https://www.science.org/doi/abs/10.1126/sciadv.aed0535?af=R" TargetMode="External"/><Relationship Id="rId830" Type="http://schemas.openxmlformats.org/officeDocument/2006/relationships/hyperlink" Target="https://doi.org/10.1126/sciadv.aed0535" TargetMode="External"/><Relationship Id="rId831" Type="http://schemas.openxmlformats.org/officeDocument/2006/relationships/hyperlink" Target="https://www.science.org/doi/abs/10.1126/sciadv.aed8301?af=R" TargetMode="External"/><Relationship Id="rId832" Type="http://schemas.openxmlformats.org/officeDocument/2006/relationships/hyperlink" Target="https://doi.org/10.1126/sciadv.aed8301" TargetMode="External"/><Relationship Id="rId833" Type="http://schemas.openxmlformats.org/officeDocument/2006/relationships/hyperlink" Target="https://www.science.org/doi/abs/10.1126/sciadv.adv4639?af=R" TargetMode="External"/><Relationship Id="rId834" Type="http://schemas.openxmlformats.org/officeDocument/2006/relationships/hyperlink" Target="https://doi.org/10.1126/sciadv.adv4639" TargetMode="External"/><Relationship Id="rId835" Type="http://schemas.openxmlformats.org/officeDocument/2006/relationships/hyperlink" Target="https://www.science.org/doi/abs/10.1126/sciadv.aec4482?af=R" TargetMode="External"/><Relationship Id="rId836" Type="http://schemas.openxmlformats.org/officeDocument/2006/relationships/hyperlink" Target="https://doi.org/10.1126/sciadv.aec4482" TargetMode="External"/><Relationship Id="rId837" Type="http://schemas.openxmlformats.org/officeDocument/2006/relationships/hyperlink" Target="https://www.pnas.org/doi/abs/10.1073/pnas.2529749123?mi=eymic2&amp;af=R&amp;access=on&amp;content=articlesChapters&amp;publication=pnas&amp;sortBy=Earliest&amp;target=default" TargetMode="External"/><Relationship Id="rId838" Type="http://schemas.openxmlformats.org/officeDocument/2006/relationships/hyperlink" Target="https://doi.org/10.1073/pnas.2529749123" TargetMode="External"/><Relationship Id="rId839" Type="http://schemas.openxmlformats.org/officeDocument/2006/relationships/hyperlink" Target="https://www.pnas.org/doi/abs/10.1073/pnas.2521012123?mi=eymic2&amp;af=R&amp;access=on&amp;content=articlesChapters&amp;publication=pnas&amp;sortBy=Earliest&amp;target=default" TargetMode="External"/><Relationship Id="rId840" Type="http://schemas.openxmlformats.org/officeDocument/2006/relationships/hyperlink" Target="https://doi.org/10.1073/pnas.2521012123" TargetMode="External"/><Relationship Id="rId841" Type="http://schemas.openxmlformats.org/officeDocument/2006/relationships/hyperlink" Target="https://www.pnas.org/doi/abs/10.1073/pnas.2506681123?mi=eymic2&amp;af=R&amp;access=on&amp;content=articlesChapters&amp;publication=pnas&amp;sortBy=Earliest&amp;target=default" TargetMode="External"/><Relationship Id="rId842" Type="http://schemas.openxmlformats.org/officeDocument/2006/relationships/hyperlink" Target="https://doi.org/10.1073/pnas.2506681123" TargetMode="External"/><Relationship Id="rId843" Type="http://schemas.openxmlformats.org/officeDocument/2006/relationships/hyperlink" Target="https://www.pnas.org/doi/abs/10.1073/pnas.2522727123?mi=eymic2&amp;af=R&amp;access=on&amp;content=articlesChapters&amp;publication=pnas&amp;sortBy=Earliest&amp;target=default" TargetMode="External"/><Relationship Id="rId844" Type="http://schemas.openxmlformats.org/officeDocument/2006/relationships/hyperlink" Target="https://doi.org/10.1073/pnas.2522727123" TargetMode="External"/><Relationship Id="rId845" Type="http://schemas.openxmlformats.org/officeDocument/2006/relationships/hyperlink" Target="https://www.pnas.org/doi/abs/10.1073/pnas.2537314123?mi=eymic2&amp;af=R&amp;access=on&amp;content=articlesChapters&amp;publication=pnas&amp;sortBy=Earliest&amp;target=default" TargetMode="External"/><Relationship Id="rId846" Type="http://schemas.openxmlformats.org/officeDocument/2006/relationships/hyperlink" Target="https://doi.org/10.1073/pnas.2537314123" TargetMode="External"/><Relationship Id="rId847" Type="http://schemas.openxmlformats.org/officeDocument/2006/relationships/hyperlink" Target="https://www.pnas.org/doi/abs/10.1073/pnas.2538040123?mi=eymic2&amp;af=R&amp;access=on&amp;content=articlesChapters&amp;publication=pnas&amp;sortBy=Earliest&amp;target=default" TargetMode="External"/><Relationship Id="rId848" Type="http://schemas.openxmlformats.org/officeDocument/2006/relationships/hyperlink" Target="https://doi.org/10.1073/pnas.2538040123" TargetMode="External"/><Relationship Id="rId849" Type="http://schemas.openxmlformats.org/officeDocument/2006/relationships/hyperlink" Target="https://www.pnas.org/doi/abs/10.1073/pnas.2538059123?mi=eymic2&amp;af=R&amp;access=on&amp;content=articlesChapters&amp;publication=pnas&amp;sortBy=Earliest&amp;target=default" TargetMode="External"/><Relationship Id="rId850" Type="http://schemas.openxmlformats.org/officeDocument/2006/relationships/hyperlink" Target="https://doi.org/10.1073/pnas.2538059123" TargetMode="External"/><Relationship Id="rId851" Type="http://schemas.openxmlformats.org/officeDocument/2006/relationships/hyperlink" Target="https://www.pnas.org/doi/abs/10.1073/pnas.2521380123?mi=eymic2&amp;af=R&amp;access=on&amp;content=articlesChapters&amp;publication=pnas&amp;sortBy=Earliest&amp;target=default" TargetMode="External"/><Relationship Id="rId852" Type="http://schemas.openxmlformats.org/officeDocument/2006/relationships/hyperlink" Target="https://doi.org/10.1073/pnas.2521380123" TargetMode="External"/><Relationship Id="rId853" Type="http://schemas.openxmlformats.org/officeDocument/2006/relationships/hyperlink" Target="https://www.pnas.org/doi/abs/10.1073/pnas.2601719123?mi=eymic2&amp;af=R&amp;access=on&amp;content=articlesChapters&amp;publication=pnas&amp;sortBy=Earliest&amp;target=default" TargetMode="External"/><Relationship Id="rId854" Type="http://schemas.openxmlformats.org/officeDocument/2006/relationships/hyperlink" Target="https://doi.org/10.1073/pnas.2601719123" TargetMode="External"/><Relationship Id="rId855" Type="http://schemas.openxmlformats.org/officeDocument/2006/relationships/hyperlink" Target="https://www.pnas.org/doi/abs/10.1073/pnas.2601231123?mi=eymic2&amp;af=R&amp;access=on&amp;content=articlesChapters&amp;publication=pnas&amp;sortBy=Earliest&amp;target=default" TargetMode="External"/><Relationship Id="rId856" Type="http://schemas.openxmlformats.org/officeDocument/2006/relationships/hyperlink" Target="https://doi.org/10.1073/pnas.2601231123" TargetMode="External"/><Relationship Id="rId857" Type="http://schemas.openxmlformats.org/officeDocument/2006/relationships/hyperlink" Target="https://www.science.org/doi/abs/10.1126/sciadv.adv9351?af=R" TargetMode="External"/><Relationship Id="rId858" Type="http://schemas.openxmlformats.org/officeDocument/2006/relationships/hyperlink" Target="https://doi.org/10.1126/sciadv.adv9351" TargetMode="External"/><Relationship Id="rId859" Type="http://schemas.openxmlformats.org/officeDocument/2006/relationships/hyperlink" Target="https://www.pnas.org/doi/abs/10.1073/pnas.2613397123?mi=eymic2&amp;af=R&amp;access=on&amp;content=articlesChapters&amp;publication=pnas&amp;sortBy=Earliest&amp;target=default" TargetMode="External"/><Relationship Id="rId860" Type="http://schemas.openxmlformats.org/officeDocument/2006/relationships/hyperlink" Target="https://doi.org/10.1073/pnas.2613397123" TargetMode="External"/><Relationship Id="rId861" Type="http://schemas.openxmlformats.org/officeDocument/2006/relationships/hyperlink" Target="https://www.pnas.org/doi/abs/10.1073/pnas.2613717123?mi=eymic2&amp;af=R&amp;access=on&amp;content=articlesChapters&amp;publication=pnas&amp;sortBy=Earliest&amp;target=default" TargetMode="External"/><Relationship Id="rId862" Type="http://schemas.openxmlformats.org/officeDocument/2006/relationships/hyperlink" Target="https://doi.org/10.1073/pnas.2613717123" TargetMode="External"/><Relationship Id="rId863" Type="http://schemas.openxmlformats.org/officeDocument/2006/relationships/hyperlink" Target="https://www.pnas.org/doi/abs/10.1073/pnas.2529246123?mi=eymic2&amp;af=R&amp;access=on&amp;content=articlesChapters&amp;publication=pnas&amp;sortBy=Earliest&amp;target=default" TargetMode="External"/><Relationship Id="rId864" Type="http://schemas.openxmlformats.org/officeDocument/2006/relationships/hyperlink" Target="https://doi.org/10.1073/pnas.2529246123" TargetMode="External"/><Relationship Id="rId865" Type="http://schemas.openxmlformats.org/officeDocument/2006/relationships/hyperlink" Target="https://www.pnas.org/doi/abs/10.1073/pnas.2523210123?mi=eymic2&amp;af=R&amp;access=on&amp;content=articlesChapters&amp;publication=pnas&amp;sortBy=Earliest&amp;target=default" TargetMode="External"/><Relationship Id="rId866" Type="http://schemas.openxmlformats.org/officeDocument/2006/relationships/hyperlink" Target="https://doi.org/10.1073/pnas.2523210123" TargetMode="External"/><Relationship Id="rId867" Type="http://schemas.openxmlformats.org/officeDocument/2006/relationships/hyperlink" Target="https://www.pnas.org/doi/abs/10.1073/pnas.2609716123?mi=eymic2&amp;af=R&amp;access=on&amp;content=articlesChapters&amp;publication=pnas&amp;sortBy=Earliest&amp;target=default" TargetMode="External"/><Relationship Id="rId868" Type="http://schemas.openxmlformats.org/officeDocument/2006/relationships/hyperlink" Target="https://doi.org/10.1073/pnas.2609716123" TargetMode="External"/><Relationship Id="rId869" Type="http://schemas.openxmlformats.org/officeDocument/2006/relationships/hyperlink" Target="https://www.science.org/doi/abs/10.1126/sciadv.aea6842?af=R" TargetMode="External"/><Relationship Id="rId870" Type="http://schemas.openxmlformats.org/officeDocument/2006/relationships/hyperlink" Target="https://doi.org/10.1126/sciadv.aea6842" TargetMode="External"/><Relationship Id="rId871" Type="http://schemas.openxmlformats.org/officeDocument/2006/relationships/hyperlink" Target="https://advanced.onlinelibrary.wiley.com/doi/10.1002/adma.73285?af=R" TargetMode="External"/><Relationship Id="rId872" Type="http://schemas.openxmlformats.org/officeDocument/2006/relationships/hyperlink" Target="https://doi.org/10.1002/adma.73285" TargetMode="External"/><Relationship Id="rId873" Type="http://schemas.openxmlformats.org/officeDocument/2006/relationships/hyperlink" Target="https://advanced.onlinelibrary.wiley.com/doi/10.1002/adma.202518990?af=R" TargetMode="External"/><Relationship Id="rId874" Type="http://schemas.openxmlformats.org/officeDocument/2006/relationships/hyperlink" Target="https://doi.org/10.1002/adma.202518990" TargetMode="External"/><Relationship Id="rId875" Type="http://schemas.openxmlformats.org/officeDocument/2006/relationships/hyperlink" Target="https://advanced.onlinelibrary.wiley.com/doi/10.1002/adma.202523069?af=R" TargetMode="External"/><Relationship Id="rId876" Type="http://schemas.openxmlformats.org/officeDocument/2006/relationships/hyperlink" Target="https://doi.org/10.1002/adma.202523069" TargetMode="External"/><Relationship Id="rId877" Type="http://schemas.openxmlformats.org/officeDocument/2006/relationships/hyperlink" Target="https://advanced.onlinelibrary.wiley.com/doi/10.1002/adma.73299?af=R" TargetMode="External"/><Relationship Id="rId878" Type="http://schemas.openxmlformats.org/officeDocument/2006/relationships/hyperlink" Target="https://doi.org/10.1002/adma.73299" TargetMode="External"/><Relationship Id="rId879" Type="http://schemas.openxmlformats.org/officeDocument/2006/relationships/hyperlink" Target="https://advanced.onlinelibrary.wiley.com/doi/10.1002/adma.202516343?af=R" TargetMode="External"/><Relationship Id="rId880" Type="http://schemas.openxmlformats.org/officeDocument/2006/relationships/hyperlink" Target="https://doi.org/10.1002/adma.202516343" TargetMode="External"/><Relationship Id="rId881" Type="http://schemas.openxmlformats.org/officeDocument/2006/relationships/hyperlink" Target="https://advanced.onlinelibrary.wiley.com/doi/10.1002/adma.202523618?af=R" TargetMode="External"/><Relationship Id="rId882" Type="http://schemas.openxmlformats.org/officeDocument/2006/relationships/hyperlink" Target="https://doi.org/10.1002/adma.202523618" TargetMode="External"/><Relationship Id="rId883" Type="http://schemas.openxmlformats.org/officeDocument/2006/relationships/hyperlink" Target="https://advanced.onlinelibrary.wiley.com/doi/10.1002/aenm.71021?af=R" TargetMode="External"/><Relationship Id="rId884" Type="http://schemas.openxmlformats.org/officeDocument/2006/relationships/hyperlink" Target="https://doi.org/10.1002/aenm.71021" TargetMode="External"/><Relationship Id="rId885" Type="http://schemas.openxmlformats.org/officeDocument/2006/relationships/hyperlink" Target="https://advanced.onlinelibrary.wiley.com/doi/10.1002/adma.73295?af=R" TargetMode="External"/><Relationship Id="rId886" Type="http://schemas.openxmlformats.org/officeDocument/2006/relationships/hyperlink" Target="https://doi.org/10.1002/adma.73295" TargetMode="External"/><Relationship Id="rId887" Type="http://schemas.openxmlformats.org/officeDocument/2006/relationships/hyperlink" Target="https://advanced.onlinelibrary.wiley.com/doi/10.1002/aenm.71036?af=R" TargetMode="External"/><Relationship Id="rId888" Type="http://schemas.openxmlformats.org/officeDocument/2006/relationships/hyperlink" Target="https://doi.org/10.1002/aenm.71036" TargetMode="External"/><Relationship Id="rId889" Type="http://schemas.openxmlformats.org/officeDocument/2006/relationships/hyperlink" Target="https://advanced.onlinelibrary.wiley.com/doi/10.1002/aenm.71034?af=R" TargetMode="External"/><Relationship Id="rId890" Type="http://schemas.openxmlformats.org/officeDocument/2006/relationships/hyperlink" Target="https://doi.org/10.1002/aenm.71034" TargetMode="External"/><Relationship Id="rId891" Type="http://schemas.openxmlformats.org/officeDocument/2006/relationships/hyperlink" Target="https://onlinelibrary.wiley.com/doi/10.1002/anie.1441985?af=R" TargetMode="External"/><Relationship Id="rId892" Type="http://schemas.openxmlformats.org/officeDocument/2006/relationships/hyperlink" Target="https://doi.org/10.1002/anie.1441985" TargetMode="External"/><Relationship Id="rId893" Type="http://schemas.openxmlformats.org/officeDocument/2006/relationships/hyperlink" Target="https://onlinelibrary.wiley.com/doi/10.1002/anie.3609448?af=R" TargetMode="External"/><Relationship Id="rId894" Type="http://schemas.openxmlformats.org/officeDocument/2006/relationships/hyperlink" Target="https://doi.org/10.1002/anie.3609448" TargetMode="External"/><Relationship Id="rId895" Type="http://schemas.openxmlformats.org/officeDocument/2006/relationships/hyperlink" Target="https://onlinelibrary.wiley.com/doi/10.1002/anie.3232767?af=R" TargetMode="External"/><Relationship Id="rId896" Type="http://schemas.openxmlformats.org/officeDocument/2006/relationships/hyperlink" Target="https://doi.org/10.1002/anie.3232767" TargetMode="External"/><Relationship Id="rId897" Type="http://schemas.openxmlformats.org/officeDocument/2006/relationships/hyperlink" Target="https://advanced.onlinelibrary.wiley.com/doi/10.1002/aenm.71031?af=R" TargetMode="External"/><Relationship Id="rId898" Type="http://schemas.openxmlformats.org/officeDocument/2006/relationships/hyperlink" Target="https://doi.org/10.1002/aenm.71031" TargetMode="External"/><Relationship Id="rId899" Type="http://schemas.openxmlformats.org/officeDocument/2006/relationships/hyperlink" Target="https://onlinelibrary.wiley.com/doi/10.1002/anie.5220143?af=R" TargetMode="External"/><Relationship Id="rId900" Type="http://schemas.openxmlformats.org/officeDocument/2006/relationships/hyperlink" Target="https://doi.org/10.1002/anie.5220143" TargetMode="External"/><Relationship Id="rId901" Type="http://schemas.openxmlformats.org/officeDocument/2006/relationships/hyperlink" Target="https://onlinelibrary.wiley.com/doi/10.1002/anie.4174230?af=R" TargetMode="External"/><Relationship Id="rId902" Type="http://schemas.openxmlformats.org/officeDocument/2006/relationships/hyperlink" Target="https://doi.org/10.1002/anie.4174230" TargetMode="External"/><Relationship Id="rId903" Type="http://schemas.openxmlformats.org/officeDocument/2006/relationships/hyperlink" Target="https://advanced.onlinelibrary.wiley.com/doi/10.1002/aenm.71035?af=R" TargetMode="External"/><Relationship Id="rId904" Type="http://schemas.openxmlformats.org/officeDocument/2006/relationships/hyperlink" Target="https://doi.org/10.1002/aenm.71035" TargetMode="External"/><Relationship Id="rId905" Type="http://schemas.openxmlformats.org/officeDocument/2006/relationships/hyperlink" Target="https://onlinelibrary.wiley.com/doi/10.1002/anie.6521672?af=R" TargetMode="External"/><Relationship Id="rId906" Type="http://schemas.openxmlformats.org/officeDocument/2006/relationships/hyperlink" Target="https://doi.org/10.1002/anie.6521672" TargetMode="External"/><Relationship Id="rId907" Type="http://schemas.openxmlformats.org/officeDocument/2006/relationships/hyperlink" Target="https://advanced.onlinelibrary.wiley.com/doi/10.1002/aenm.71032?af=R" TargetMode="External"/><Relationship Id="rId908" Type="http://schemas.openxmlformats.org/officeDocument/2006/relationships/hyperlink" Target="https://doi.org/10.1002/aenm.71032" TargetMode="External"/><Relationship Id="rId909" Type="http://schemas.openxmlformats.org/officeDocument/2006/relationships/hyperlink" Target="https://onlinelibrary.wiley.com/doi/10.1002/anie.6909416?af=R" TargetMode="External"/><Relationship Id="rId910" Type="http://schemas.openxmlformats.org/officeDocument/2006/relationships/hyperlink" Target="https://doi.org/10.1002/anie.6909416" TargetMode="External"/><Relationship Id="rId911" Type="http://schemas.openxmlformats.org/officeDocument/2006/relationships/hyperlink" Target="http://dx.doi.org/10.1021/jacs.6c01804" TargetMode="External"/><Relationship Id="rId912" Type="http://schemas.openxmlformats.org/officeDocument/2006/relationships/hyperlink" Target="https://doi.org/10.1021/jacs.6c01804" TargetMode="External"/><Relationship Id="rId913" Type="http://schemas.openxmlformats.org/officeDocument/2006/relationships/hyperlink" Target="http://dx.doi.org/10.1021/jacs.6c01509" TargetMode="External"/><Relationship Id="rId914" Type="http://schemas.openxmlformats.org/officeDocument/2006/relationships/hyperlink" Target="https://doi.org/10.1021/jacs.6c01509" TargetMode="External"/><Relationship Id="rId915" Type="http://schemas.openxmlformats.org/officeDocument/2006/relationships/hyperlink" Target="http://dx.doi.org/10.1021/jacs.6c03373" TargetMode="External"/><Relationship Id="rId916" Type="http://schemas.openxmlformats.org/officeDocument/2006/relationships/hyperlink" Target="https://doi.org/10.1021/jacs.6c03373" TargetMode="External"/><Relationship Id="rId917" Type="http://schemas.openxmlformats.org/officeDocument/2006/relationships/hyperlink" Target="https://advanced.onlinelibrary.wiley.com/doi/10.1002/adma.73305?af=R" TargetMode="External"/><Relationship Id="rId918" Type="http://schemas.openxmlformats.org/officeDocument/2006/relationships/hyperlink" Target="https://doi.org/10.1002/adma.73305" TargetMode="External"/><Relationship Id="rId919" Type="http://schemas.openxmlformats.org/officeDocument/2006/relationships/hyperlink" Target="https://advanced.onlinelibrary.wiley.com/doi/10.1002/adma.73306?af=R" TargetMode="External"/><Relationship Id="rId920" Type="http://schemas.openxmlformats.org/officeDocument/2006/relationships/hyperlink" Target="https://doi.org/10.1002/adma.73306" TargetMode="External"/><Relationship Id="rId921" Type="http://schemas.openxmlformats.org/officeDocument/2006/relationships/hyperlink" Target="http://dx.doi.org/10.1021/jacs.6c02893" TargetMode="External"/><Relationship Id="rId922" Type="http://schemas.openxmlformats.org/officeDocument/2006/relationships/hyperlink" Target="https://doi.org/10.1021/jacs.6c02893" TargetMode="External"/><Relationship Id="rId923" Type="http://schemas.openxmlformats.org/officeDocument/2006/relationships/hyperlink" Target="http://dx.doi.org/10.1021/jacs.6c03124" TargetMode="External"/><Relationship Id="rId924" Type="http://schemas.openxmlformats.org/officeDocument/2006/relationships/hyperlink" Target="https://doi.org/10.1021/jacs.6c03124" TargetMode="External"/><Relationship Id="rId925" Type="http://schemas.openxmlformats.org/officeDocument/2006/relationships/hyperlink" Target="http://dx.doi.org/10.1021/jacs.5c22754" TargetMode="External"/><Relationship Id="rId926" Type="http://schemas.openxmlformats.org/officeDocument/2006/relationships/hyperlink" Target="https://doi.org/10.1021/jacs.5c22754" TargetMode="External"/><Relationship Id="rId927" Type="http://schemas.openxmlformats.org/officeDocument/2006/relationships/hyperlink" Target="http://pubs.rsc.org/en/Content/ArticleLanding/2026/CS/D5CS01422K" TargetMode="External"/><Relationship Id="rId928" Type="http://schemas.openxmlformats.org/officeDocument/2006/relationships/hyperlink" Target="https://www.nature.com/articles/s41586-026-10608-2" TargetMode="External"/><Relationship Id="rId929" Type="http://schemas.openxmlformats.org/officeDocument/2006/relationships/hyperlink" Target="https://doi.org/10.1038/s41586-026-10608-2" TargetMode="External"/><Relationship Id="rId930" Type="http://schemas.openxmlformats.org/officeDocument/2006/relationships/hyperlink" Target="https://academic.oup.com/nsr/advance-article/doi/10.1093/nsr/nwag257/8671978?rss=1" TargetMode="External"/><Relationship Id="rId931" Type="http://schemas.openxmlformats.org/officeDocument/2006/relationships/hyperlink" Target="https://doi.org/10.1093/nsr/nwag257" TargetMode="External"/><Relationship Id="rId932" Type="http://schemas.openxmlformats.org/officeDocument/2006/relationships/hyperlink" Target="https://www.nature.com/articles/d41586-026-01494-9" TargetMode="External"/><Relationship Id="rId933" Type="http://schemas.openxmlformats.org/officeDocument/2006/relationships/hyperlink" Target="https://doi.org/10.1038/d41586-026-01494-9" TargetMode="External"/><Relationship Id="rId934" Type="http://schemas.openxmlformats.org/officeDocument/2006/relationships/hyperlink" Target="https://www.cell.com/chem/fulltext/S2451-9294(26)00126-9?rss=yes" TargetMode="External"/><Relationship Id="rId935" Type="http://schemas.openxmlformats.org/officeDocument/2006/relationships/hyperlink" Target="https://doi.org/10.1016/j.chempr.2026.103060" TargetMode="External"/><Relationship Id="rId936" Type="http://schemas.openxmlformats.org/officeDocument/2006/relationships/hyperlink" Target="https://academic.oup.com/nsr/advance-article/doi/10.1093/nsr/nwag260/8671979?rss=1" TargetMode="External"/><Relationship Id="rId937" Type="http://schemas.openxmlformats.org/officeDocument/2006/relationships/hyperlink" Target="https://doi.org/10.1093/nsr/nwag260" TargetMode="External"/><Relationship Id="rId938" Type="http://schemas.openxmlformats.org/officeDocument/2006/relationships/hyperlink" Target="https://academic.oup.com/nsr/advance-article/doi/10.1093/nsr/nwag250/8671964?rss=1" TargetMode="External"/><Relationship Id="rId939" Type="http://schemas.openxmlformats.org/officeDocument/2006/relationships/hyperlink" Target="https://doi.org/10.1093/nsr/nwag250" TargetMode="External"/><Relationship Id="rId940" Type="http://schemas.openxmlformats.org/officeDocument/2006/relationships/hyperlink" Target="https://www.nature.com/articles/s41557-026-02144-3" TargetMode="External"/><Relationship Id="rId941" Type="http://schemas.openxmlformats.org/officeDocument/2006/relationships/hyperlink" Target="https://doi.org/10.1038/s41557-026-02144-3" TargetMode="External"/><Relationship Id="rId942" Type="http://schemas.openxmlformats.org/officeDocument/2006/relationships/hyperlink" Target="https://www.nature.com/articles/s41557-026-02146-1" TargetMode="External"/><Relationship Id="rId943" Type="http://schemas.openxmlformats.org/officeDocument/2006/relationships/hyperlink" Target="https://doi.org/10.1038/s41557-026-02146-1" TargetMode="External"/><Relationship Id="rId944" Type="http://schemas.openxmlformats.org/officeDocument/2006/relationships/hyperlink" Target="https://www.nature.com/articles/s41557-026-02140-7" TargetMode="External"/><Relationship Id="rId945" Type="http://schemas.openxmlformats.org/officeDocument/2006/relationships/hyperlink" Target="https://doi.org/10.1038/s41557-026-02140-7" TargetMode="External"/><Relationship Id="rId946" Type="http://schemas.openxmlformats.org/officeDocument/2006/relationships/hyperlink" Target="https://www.nature.com/articles/d41586-026-01405-y" TargetMode="External"/><Relationship Id="rId947" Type="http://schemas.openxmlformats.org/officeDocument/2006/relationships/hyperlink" Target="https://doi.org/10.1038/d41586-026-01405-y" TargetMode="External"/><Relationship Id="rId948" Type="http://schemas.openxmlformats.org/officeDocument/2006/relationships/hyperlink" Target="https://www.nature.com/articles/d41586-026-01350-w" TargetMode="External"/><Relationship Id="rId949" Type="http://schemas.openxmlformats.org/officeDocument/2006/relationships/hyperlink" Target="https://doi.org/10.1038/d41586-026-01350-w" TargetMode="External"/><Relationship Id="rId950" Type="http://schemas.openxmlformats.org/officeDocument/2006/relationships/hyperlink" Target="https://www.nature.com/articles/s41560-026-02014-9" TargetMode="External"/><Relationship Id="rId951" Type="http://schemas.openxmlformats.org/officeDocument/2006/relationships/hyperlink" Target="https://doi.org/10.1038/s41560-026-02014-9" TargetMode="External"/><Relationship Id="rId952" Type="http://schemas.openxmlformats.org/officeDocument/2006/relationships/hyperlink" Target="https://academic.oup.com/nsr/advance-article/doi/10.1093/nsr/nwag252/8671981?rss=1" TargetMode="External"/><Relationship Id="rId953" Type="http://schemas.openxmlformats.org/officeDocument/2006/relationships/hyperlink" Target="https://doi.org/10.1093/nsr/nwag252" TargetMode="External"/><Relationship Id="rId954" Type="http://schemas.openxmlformats.org/officeDocument/2006/relationships/hyperlink" Target="https://www.cell.com/one-earth/fulltext/S2590-3322(26)00104-1?rss=yes" TargetMode="External"/><Relationship Id="rId955" Type="http://schemas.openxmlformats.org/officeDocument/2006/relationships/hyperlink" Target="https://doi.org/10.1016/j.oneear.2026.101703" TargetMode="External"/><Relationship Id="rId956" Type="http://schemas.openxmlformats.org/officeDocument/2006/relationships/hyperlink" Target="https://www.nature.com/articles/d41586-026-01466-z" TargetMode="External"/><Relationship Id="rId957" Type="http://schemas.openxmlformats.org/officeDocument/2006/relationships/hyperlink" Target="https://doi.org/10.1038/d41586-026-01466-z" TargetMode="External"/><Relationship Id="rId958" Type="http://schemas.openxmlformats.org/officeDocument/2006/relationships/hyperlink" Target="https://www.science.org/doi/abs/10.1126/science.aeh5255?af=R" TargetMode="External"/><Relationship Id="rId959" Type="http://schemas.openxmlformats.org/officeDocument/2006/relationships/hyperlink" Target="https://doi.org/10.1126/science.aeh5255" TargetMode="External"/><Relationship Id="rId960" Type="http://schemas.openxmlformats.org/officeDocument/2006/relationships/hyperlink" Target="https://www.science.org/doi/abs/10.1126/science.adn6821?af=R" TargetMode="External"/><Relationship Id="rId961" Type="http://schemas.openxmlformats.org/officeDocument/2006/relationships/hyperlink" Target="https://doi.org/10.1126/science.adn6821" TargetMode="External"/><Relationship Id="rId962" Type="http://schemas.openxmlformats.org/officeDocument/2006/relationships/hyperlink" Target="https://www.science.org/doi/abs/10.1126/science.aeh1396?af=R" TargetMode="External"/><Relationship Id="rId963" Type="http://schemas.openxmlformats.org/officeDocument/2006/relationships/hyperlink" Target="https://doi.org/10.1126/science.aeh1396" TargetMode="External"/><Relationship Id="rId964" Type="http://schemas.openxmlformats.org/officeDocument/2006/relationships/hyperlink" Target="https://www.science.org/doi/abs/10.1126/science.aeh3756?af=R" TargetMode="External"/><Relationship Id="rId965" Type="http://schemas.openxmlformats.org/officeDocument/2006/relationships/hyperlink" Target="https://doi.org/10.1126/science.aeh3756" TargetMode="External"/><Relationship Id="rId966" Type="http://schemas.openxmlformats.org/officeDocument/2006/relationships/hyperlink" Target="https://www.science.org/doi/abs/10.1126/science.aeh2866?af=R" TargetMode="External"/><Relationship Id="rId967" Type="http://schemas.openxmlformats.org/officeDocument/2006/relationships/hyperlink" Target="https://doi.org/10.1126/science.aeh2866" TargetMode="External"/><Relationship Id="rId968" Type="http://schemas.openxmlformats.org/officeDocument/2006/relationships/hyperlink" Target="https://www.science.org/doi/abs/10.1126/science.aeh6024?af=R" TargetMode="External"/><Relationship Id="rId969" Type="http://schemas.openxmlformats.org/officeDocument/2006/relationships/hyperlink" Target="https://doi.org/10.1126/science.aeh6024" TargetMode="External"/><Relationship Id="rId970" Type="http://schemas.openxmlformats.org/officeDocument/2006/relationships/hyperlink" Target="https://www.science.org/doi/abs/10.1126/science.aei5886?af=R" TargetMode="External"/><Relationship Id="rId971" Type="http://schemas.openxmlformats.org/officeDocument/2006/relationships/hyperlink" Target="https://doi.org/10.1126/science.aei5886" TargetMode="External"/><Relationship Id="rId972" Type="http://schemas.openxmlformats.org/officeDocument/2006/relationships/hyperlink" Target="https://www.science.org/doi/abs/10.1126/science.aei6149?af=R" TargetMode="External"/><Relationship Id="rId973" Type="http://schemas.openxmlformats.org/officeDocument/2006/relationships/hyperlink" Target="https://doi.org/10.1126/science.aei6149" TargetMode="External"/><Relationship Id="rId974" Type="http://schemas.openxmlformats.org/officeDocument/2006/relationships/hyperlink" Target="https://www.science.org/doi/abs/10.1126/science.aei6150?af=R" TargetMode="External"/><Relationship Id="rId975" Type="http://schemas.openxmlformats.org/officeDocument/2006/relationships/hyperlink" Target="https://doi.org/10.1126/science.aei6150" TargetMode="External"/><Relationship Id="rId976" Type="http://schemas.openxmlformats.org/officeDocument/2006/relationships/hyperlink" Target="https://www.science.org/doi/abs/10.1126/science.aei6151?af=R" TargetMode="External"/><Relationship Id="rId977" Type="http://schemas.openxmlformats.org/officeDocument/2006/relationships/hyperlink" Target="https://doi.org/10.1126/science.aei6151" TargetMode="External"/><Relationship Id="rId978" Type="http://schemas.openxmlformats.org/officeDocument/2006/relationships/hyperlink" Target="https://www.science.org/doi/abs/10.1126/science.aeh1136?af=R" TargetMode="External"/><Relationship Id="rId979" Type="http://schemas.openxmlformats.org/officeDocument/2006/relationships/hyperlink" Target="https://doi.org/10.1126/science.aeh1136" TargetMode="External"/><Relationship Id="rId980" Type="http://schemas.openxmlformats.org/officeDocument/2006/relationships/hyperlink" Target="https://www.science.org/doi/abs/10.1126/science.aei6154?af=R" TargetMode="External"/><Relationship Id="rId981" Type="http://schemas.openxmlformats.org/officeDocument/2006/relationships/hyperlink" Target="https://doi.org/10.1126/science.aei6154" TargetMode="External"/><Relationship Id="rId982" Type="http://schemas.openxmlformats.org/officeDocument/2006/relationships/hyperlink" Target="https://www.science.org/doi/abs/10.1126/science.aei6152?af=R" TargetMode="External"/><Relationship Id="rId983" Type="http://schemas.openxmlformats.org/officeDocument/2006/relationships/hyperlink" Target="https://doi.org/10.1126/science.aei6152" TargetMode="External"/><Relationship Id="rId984" Type="http://schemas.openxmlformats.org/officeDocument/2006/relationships/hyperlink" Target="https://www.science.org/doi/abs/10.1126/science.aeg6282?af=R" TargetMode="External"/><Relationship Id="rId985" Type="http://schemas.openxmlformats.org/officeDocument/2006/relationships/hyperlink" Target="https://doi.org/10.1126/science.aeg6282" TargetMode="External"/><Relationship Id="rId986" Type="http://schemas.openxmlformats.org/officeDocument/2006/relationships/hyperlink" Target="https://www.science.org/doi/abs/10.1126/science.aea2097?af=R" TargetMode="External"/><Relationship Id="rId987" Type="http://schemas.openxmlformats.org/officeDocument/2006/relationships/hyperlink" Target="https://doi.org/10.1126/science.aea2097" TargetMode="External"/><Relationship Id="rId988" Type="http://schemas.openxmlformats.org/officeDocument/2006/relationships/hyperlink" Target="https://www.science.org/doi/abs/10.1126/science.aei5885?af=R" TargetMode="External"/><Relationship Id="rId989" Type="http://schemas.openxmlformats.org/officeDocument/2006/relationships/hyperlink" Target="https://doi.org/10.1126/science.aei5885" TargetMode="External"/><Relationship Id="rId990" Type="http://schemas.openxmlformats.org/officeDocument/2006/relationships/hyperlink" Target="https://www.science.org/doi/abs/10.1126/science.ady8732?af=R" TargetMode="External"/><Relationship Id="rId991" Type="http://schemas.openxmlformats.org/officeDocument/2006/relationships/hyperlink" Target="https://doi.org/10.1126/science.ady8732" TargetMode="External"/><Relationship Id="rId992" Type="http://schemas.openxmlformats.org/officeDocument/2006/relationships/hyperlink" Target="https://www.science.org/doi/abs/10.1126/science.aei5187?af=R" TargetMode="External"/><Relationship Id="rId993" Type="http://schemas.openxmlformats.org/officeDocument/2006/relationships/hyperlink" Target="https://doi.org/10.1126/science.aei5187" TargetMode="External"/><Relationship Id="rId994" Type="http://schemas.openxmlformats.org/officeDocument/2006/relationships/hyperlink" Target="https://www.science.org/doi/abs/10.1126/science.aei5883?af=R" TargetMode="External"/><Relationship Id="rId995" Type="http://schemas.openxmlformats.org/officeDocument/2006/relationships/hyperlink" Target="https://doi.org/10.1126/science.aei5883" TargetMode="External"/><Relationship Id="rId996" Type="http://schemas.openxmlformats.org/officeDocument/2006/relationships/hyperlink" Target="https://www.science.org/doi/abs/10.1126/science.aei6153?af=R" TargetMode="External"/><Relationship Id="rId997" Type="http://schemas.openxmlformats.org/officeDocument/2006/relationships/hyperlink" Target="https://doi.org/10.1126/science.aei6153" TargetMode="External"/><Relationship Id="rId998" Type="http://schemas.openxmlformats.org/officeDocument/2006/relationships/hyperlink" Target="https://www.science.org/doi/abs/10.1126/science.aea1676?af=R" TargetMode="External"/><Relationship Id="rId999" Type="http://schemas.openxmlformats.org/officeDocument/2006/relationships/hyperlink" Target="https://doi.org/10.1126/science.aea1676" TargetMode="External"/><Relationship Id="rId1000" Type="http://schemas.openxmlformats.org/officeDocument/2006/relationships/hyperlink" Target="https://www.science.org/doi/abs/10.1126/science.aef6641?af=R" TargetMode="External"/><Relationship Id="rId1001" Type="http://schemas.openxmlformats.org/officeDocument/2006/relationships/hyperlink" Target="https://doi.org/10.1126/science.aef6641" TargetMode="External"/><Relationship Id="rId1002" Type="http://schemas.openxmlformats.org/officeDocument/2006/relationships/hyperlink" Target="https://www.science.org/doi/abs/10.1126/science.ady3237?af=R" TargetMode="External"/><Relationship Id="rId1003" Type="http://schemas.openxmlformats.org/officeDocument/2006/relationships/hyperlink" Target="https://doi.org/10.1126/science.ady3237" TargetMode="External"/><Relationship Id="rId1004" Type="http://schemas.openxmlformats.org/officeDocument/2006/relationships/hyperlink" Target="https://www.science.org/doi/abs/10.1126/science.aei6155?af=R" TargetMode="External"/><Relationship Id="rId1005" Type="http://schemas.openxmlformats.org/officeDocument/2006/relationships/hyperlink" Target="https://doi.org/10.1126/science.aei6155" TargetMode="External"/><Relationship Id="rId1006" Type="http://schemas.openxmlformats.org/officeDocument/2006/relationships/hyperlink" Target="https://www.science.org/doi/abs/10.1126/science.aea6463?af=R" TargetMode="External"/><Relationship Id="rId1007" Type="http://schemas.openxmlformats.org/officeDocument/2006/relationships/hyperlink" Target="https://doi.org/10.1126/science.aea6463" TargetMode="External"/><Relationship Id="rId1008" Type="http://schemas.openxmlformats.org/officeDocument/2006/relationships/hyperlink" Target="https://www.science.org/doi/abs/10.1126/science.adq2411?af=R" TargetMode="External"/><Relationship Id="rId1009" Type="http://schemas.openxmlformats.org/officeDocument/2006/relationships/hyperlink" Target="https://doi.org/10.1126/science.adq2411" TargetMode="External"/><Relationship Id="rId1010" Type="http://schemas.openxmlformats.org/officeDocument/2006/relationships/hyperlink" Target="https://www.science.org/doi/abs/10.1126/science.aed8713?af=R" TargetMode="External"/><Relationship Id="rId1011" Type="http://schemas.openxmlformats.org/officeDocument/2006/relationships/hyperlink" Target="https://doi.org/10.1126/science.aed8713" TargetMode="External"/><Relationship Id="rId1012" Type="http://schemas.openxmlformats.org/officeDocument/2006/relationships/hyperlink" Target="https://www.science.org/doi/abs/10.1126/science.adp0091?af=R" TargetMode="External"/><Relationship Id="rId1013" Type="http://schemas.openxmlformats.org/officeDocument/2006/relationships/hyperlink" Target="https://doi.org/10.1126/science.adp0091" TargetMode="External"/><Relationship Id="rId1014" Type="http://schemas.openxmlformats.org/officeDocument/2006/relationships/hyperlink" Target="https://www.science.org/doi/abs/10.1126/science.aei6157?af=R" TargetMode="External"/><Relationship Id="rId1015" Type="http://schemas.openxmlformats.org/officeDocument/2006/relationships/hyperlink" Target="https://doi.org/10.1126/science.aei6157" TargetMode="External"/><Relationship Id="rId1016" Type="http://schemas.openxmlformats.org/officeDocument/2006/relationships/hyperlink" Target="https://www.science.org/doi/abs/10.1126/science.adz0773?af=R" TargetMode="External"/><Relationship Id="rId1017" Type="http://schemas.openxmlformats.org/officeDocument/2006/relationships/hyperlink" Target="https://doi.org/10.1126/science.adz0773" TargetMode="External"/><Relationship Id="rId1018" Type="http://schemas.openxmlformats.org/officeDocument/2006/relationships/hyperlink" Target="https://advanced.onlinelibrary.wiley.com/doi/10.1002/adma.202520477?af=R" TargetMode="External"/><Relationship Id="rId1019" Type="http://schemas.openxmlformats.org/officeDocument/2006/relationships/hyperlink" Target="https://doi.org/10.1002/adma.202520477" TargetMode="External"/><Relationship Id="rId1020" Type="http://schemas.openxmlformats.org/officeDocument/2006/relationships/hyperlink" Target="https://www.pnas.org/doi/abs/10.1073/pnas.2613544123?mi=eymic2&amp;af=R&amp;access=on&amp;content=articlesChapters&amp;publication=pnas&amp;sortBy=Earliest&amp;target=default" TargetMode="External"/><Relationship Id="rId1021" Type="http://schemas.openxmlformats.org/officeDocument/2006/relationships/hyperlink" Target="https://doi.org/10.1073/pnas.2613544123" TargetMode="External"/><Relationship Id="rId1022" Type="http://schemas.openxmlformats.org/officeDocument/2006/relationships/hyperlink" Target="https://www.science.org/doi/abs/10.1126/science.aea3321?af=R" TargetMode="External"/><Relationship Id="rId1023" Type="http://schemas.openxmlformats.org/officeDocument/2006/relationships/hyperlink" Target="https://doi.org/10.1126/science.aea3321" TargetMode="External"/><Relationship Id="rId1024" Type="http://schemas.openxmlformats.org/officeDocument/2006/relationships/hyperlink" Target="https://www.science.org/doi/abs/10.1126/science.aei3444?af=R" TargetMode="External"/><Relationship Id="rId1025" Type="http://schemas.openxmlformats.org/officeDocument/2006/relationships/hyperlink" Target="https://doi.org/10.1126/science.aei3444" TargetMode="External"/><Relationship Id="rId1026" Type="http://schemas.openxmlformats.org/officeDocument/2006/relationships/hyperlink" Target="https://www.science.org/doi/abs/10.1126/science.adv3301?af=R" TargetMode="External"/><Relationship Id="rId1027" Type="http://schemas.openxmlformats.org/officeDocument/2006/relationships/hyperlink" Target="https://doi.org/10.1126/science.adv3301" TargetMode="External"/><Relationship Id="rId1028" Type="http://schemas.openxmlformats.org/officeDocument/2006/relationships/hyperlink" Target="https://www.pnas.org/doi/abs/10.1073/pnas.2602039123?mi=eymic2&amp;af=R&amp;access=on&amp;content=articlesChapters&amp;publication=pnas&amp;sortBy=Earliest&amp;target=default" TargetMode="External"/><Relationship Id="rId1029" Type="http://schemas.openxmlformats.org/officeDocument/2006/relationships/hyperlink" Target="https://doi.org/10.1073/pnas.2602039123" TargetMode="External"/><Relationship Id="rId1030" Type="http://schemas.openxmlformats.org/officeDocument/2006/relationships/hyperlink" Target="https://www.science.org/doi/abs/10.1126/science.aea8044?af=R" TargetMode="External"/><Relationship Id="rId1031" Type="http://schemas.openxmlformats.org/officeDocument/2006/relationships/hyperlink" Target="https://doi.org/10.1126/science.aea8044" TargetMode="External"/><Relationship Id="rId1032" Type="http://schemas.openxmlformats.org/officeDocument/2006/relationships/hyperlink" Target="https://www.science.org/doi/abs/10.1126/science.adx1893?af=R" TargetMode="External"/><Relationship Id="rId1033" Type="http://schemas.openxmlformats.org/officeDocument/2006/relationships/hyperlink" Target="https://doi.org/10.1126/science.adx1893" TargetMode="External"/><Relationship Id="rId1034" Type="http://schemas.openxmlformats.org/officeDocument/2006/relationships/hyperlink" Target="https://www.science.org/doi/abs/10.1126/science.adx4358?af=R" TargetMode="External"/><Relationship Id="rId1035" Type="http://schemas.openxmlformats.org/officeDocument/2006/relationships/hyperlink" Target="https://doi.org/10.1126/science.adx4358" TargetMode="External"/><Relationship Id="rId1036" Type="http://schemas.openxmlformats.org/officeDocument/2006/relationships/hyperlink" Target="https://www.pnas.org/doi/abs/10.1073/pnas.2536312123?mi=eymic2&amp;af=R&amp;access=on&amp;content=articlesChapters&amp;publication=pnas&amp;sortBy=Earliest&amp;target=default" TargetMode="External"/><Relationship Id="rId1037" Type="http://schemas.openxmlformats.org/officeDocument/2006/relationships/hyperlink" Target="https://doi.org/10.1073/pnas.2536312123" TargetMode="External"/><Relationship Id="rId1038" Type="http://schemas.openxmlformats.org/officeDocument/2006/relationships/hyperlink" Target="https://www.science.org/doi/abs/10.1126/science.adw0288?af=R" TargetMode="External"/><Relationship Id="rId1039" Type="http://schemas.openxmlformats.org/officeDocument/2006/relationships/hyperlink" Target="https://doi.org/10.1126/science.adw0288" TargetMode="External"/><Relationship Id="rId1040" Type="http://schemas.openxmlformats.org/officeDocument/2006/relationships/hyperlink" Target="https://www.pnas.org/doi/abs/10.1073/pnas.2534552123?mi=eymic2&amp;af=R&amp;access=on&amp;content=articlesChapters&amp;publication=pnas&amp;sortBy=Earliest&amp;target=default" TargetMode="External"/><Relationship Id="rId1041" Type="http://schemas.openxmlformats.org/officeDocument/2006/relationships/hyperlink" Target="https://doi.org/10.1073/pnas.2534552123" TargetMode="External"/><Relationship Id="rId1042" Type="http://schemas.openxmlformats.org/officeDocument/2006/relationships/hyperlink" Target="https://www.pnas.org/doi/abs/10.1073/pnas.2519341123?mi=eymic2&amp;af=R&amp;access=on&amp;content=articlesChapters&amp;publication=pnas&amp;sortBy=Earliest&amp;target=default" TargetMode="External"/><Relationship Id="rId1043" Type="http://schemas.openxmlformats.org/officeDocument/2006/relationships/hyperlink" Target="https://doi.org/10.1073/pnas.2519341123" TargetMode="External"/><Relationship Id="rId1044" Type="http://schemas.openxmlformats.org/officeDocument/2006/relationships/hyperlink" Target="https://www.pnas.org/doi/abs/10.1073/pnas.2529856123?mi=eymic2&amp;af=R&amp;access=on&amp;content=articlesChapters&amp;publication=pnas&amp;sortBy=Earliest&amp;target=default" TargetMode="External"/><Relationship Id="rId1045" Type="http://schemas.openxmlformats.org/officeDocument/2006/relationships/hyperlink" Target="https://doi.org/10.1073/pnas.2529856123" TargetMode="External"/><Relationship Id="rId1046" Type="http://schemas.openxmlformats.org/officeDocument/2006/relationships/hyperlink" Target="https://www.pnas.org/doi/abs/10.1073/pnas.2531363123?mi=eymic2&amp;af=R&amp;access=on&amp;content=articlesChapters&amp;publication=pnas&amp;sortBy=Earliest&amp;target=default" TargetMode="External"/><Relationship Id="rId1047" Type="http://schemas.openxmlformats.org/officeDocument/2006/relationships/hyperlink" Target="https://doi.org/10.1073/pnas.2531363123" TargetMode="External"/><Relationship Id="rId1048" Type="http://schemas.openxmlformats.org/officeDocument/2006/relationships/hyperlink" Target="https://www.science.org/doi/abs/10.1126/science.aea1820?af=R" TargetMode="External"/><Relationship Id="rId1049" Type="http://schemas.openxmlformats.org/officeDocument/2006/relationships/hyperlink" Target="https://doi.org/10.1126/science.aea1820" TargetMode="External"/><Relationship Id="rId1050" Type="http://schemas.openxmlformats.org/officeDocument/2006/relationships/hyperlink" Target="http://dx.doi.org/10.1021/jacs.6c03689" TargetMode="External"/><Relationship Id="rId1051" Type="http://schemas.openxmlformats.org/officeDocument/2006/relationships/hyperlink" Target="https://doi.org/10.1021/jacs.6c03689" TargetMode="External"/><Relationship Id="rId1052" Type="http://schemas.openxmlformats.org/officeDocument/2006/relationships/hyperlink" Target="http://dx.doi.org/10.1021/jacs.5c20971" TargetMode="External"/><Relationship Id="rId1053" Type="http://schemas.openxmlformats.org/officeDocument/2006/relationships/hyperlink" Target="https://doi.org/10.1021/jacs.5c20971" TargetMode="External"/><Relationship Id="rId1054" Type="http://schemas.openxmlformats.org/officeDocument/2006/relationships/hyperlink" Target="http://dx.doi.org/10.1021/jacs.6c01062" TargetMode="External"/><Relationship Id="rId1055" Type="http://schemas.openxmlformats.org/officeDocument/2006/relationships/hyperlink" Target="https://doi.org/10.1021/jacs.6c01062" TargetMode="External"/><Relationship Id="rId1056" Type="http://schemas.openxmlformats.org/officeDocument/2006/relationships/hyperlink" Target="http://dx.doi.org/10.1021/jacs.6c05640" TargetMode="External"/><Relationship Id="rId1057" Type="http://schemas.openxmlformats.org/officeDocument/2006/relationships/hyperlink" Target="https://doi.org/10.1021/jacs.6c05640" TargetMode="External"/><Relationship Id="rId1058" Type="http://schemas.openxmlformats.org/officeDocument/2006/relationships/hyperlink" Target="http://dx.doi.org/10.1021/jacs.5c22859" TargetMode="External"/><Relationship Id="rId1059" Type="http://schemas.openxmlformats.org/officeDocument/2006/relationships/hyperlink" Target="https://doi.org/10.1021/jacs.5c22859" TargetMode="External"/><Relationship Id="rId1060" Type="http://schemas.openxmlformats.org/officeDocument/2006/relationships/hyperlink" Target="http://dx.doi.org/10.1021/jacs.6c02495" TargetMode="External"/><Relationship Id="rId1061" Type="http://schemas.openxmlformats.org/officeDocument/2006/relationships/hyperlink" Target="https://doi.org/10.1021/jacs.6c02495" TargetMode="External"/><Relationship Id="rId1062" Type="http://schemas.openxmlformats.org/officeDocument/2006/relationships/hyperlink" Target="http://dx.doi.org/10.1021/jacs.6c04987" TargetMode="External"/><Relationship Id="rId1063" Type="http://schemas.openxmlformats.org/officeDocument/2006/relationships/hyperlink" Target="https://doi.org/10.1021/jacs.6c04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