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2026-01-05</w:t>
      </w:r>
    </w:p>
    <w:p>
      <w:pPr>
        <w:spacing w:before="160" w:after="80" w:line="240" w:lineRule="auto"/>
      </w:pPr>
      <w:r>
        <w:rPr>
          <w:b/>
        </w:rPr>
        <w:t xml:space="preserve">[1] </w:t>
      </w:r>
      <w:hyperlink r:id="rId9">
        <w:r>
          <w:rPr>
            <w:color w:val="1155CC"/>
            <w:u w:val="single"/>
          </w:rPr>
          <w:t>Inequity in action: US rural counties pay hundreds to subsidize flood insurance discounts</w:t>
        </w:r>
      </w:hyperlink>
    </w:p>
    <w:p>
      <w:pPr>
        <w:spacing w:before="0" w:after="120" w:line="240" w:lineRule="auto"/>
      </w:pPr>
      <w:r>
        <w:rPr>
          <w:b/>
        </w:rPr>
        <w:t xml:space="preserve">Source: </w:t>
      </w:r>
      <w:r>
        <w:t>One Earth</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 </w:t>
      </w:r>
      <w:hyperlink r:id="rId10">
        <w:r>
          <w:rPr>
            <w:color w:val="1155CC"/>
            <w:u w:val="single"/>
          </w:rPr>
          <w:t>Microenvironment engineering for electroreduction of CO2 to methanol in strong acids</w:t>
        </w:r>
      </w:hyperlink>
    </w:p>
    <w:p>
      <w:pPr>
        <w:spacing w:before="0" w:after="120" w:line="240" w:lineRule="auto"/>
      </w:pPr>
      <w:r>
        <w:rPr>
          <w:b/>
        </w:rPr>
        <w:t xml:space="preserve">Source: </w:t>
      </w:r>
      <w:r>
        <w:t>Nature Nanotechnology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 </w:t>
      </w:r>
      <w:hyperlink r:id="rId11">
        <w:r>
          <w:rPr>
            <w:color w:val="1155CC"/>
            <w:u w:val="single"/>
          </w:rPr>
          <w:t>Aqueous–hydrotrope hybrid electrolytes with minimized water activity for Zn metal batteries</w:t>
        </w:r>
      </w:hyperlink>
    </w:p>
    <w:p>
      <w:pPr>
        <w:spacing w:before="0" w:after="120" w:line="240" w:lineRule="auto"/>
      </w:pPr>
      <w:r>
        <w:rPr>
          <w:b/>
        </w:rPr>
        <w:t xml:space="preserve">Source: </w:t>
      </w:r>
      <w:r>
        <w:t>Nature Nanotechnology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 </w:t>
      </w:r>
      <w:hyperlink r:id="rId12">
        <w:r>
          <w:rPr>
            <w:color w:val="1155CC"/>
            <w:u w:val="single"/>
          </w:rPr>
          <w:t>Design and applications of synthetic biomolecular condensates</w:t>
        </w:r>
      </w:hyperlink>
    </w:p>
    <w:p>
      <w:pPr>
        <w:spacing w:before="0" w:after="120" w:line="240" w:lineRule="auto"/>
      </w:pPr>
      <w:r>
        <w:rPr>
          <w:b/>
        </w:rPr>
        <w:t xml:space="preserve">Source: </w:t>
      </w:r>
      <w:r>
        <w:t>Nature Nanotechnology</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Designed biomolecular condensates are emerging condensed-phase assemblies, initially conceived to mimic cellular biomolecular condensates for use in biology-inspired applications such as delivery and storage of biomolecules. In recent years, rational design approaches informed by supramolecular chemistry and biomolecular nanotechnology, including the use of peptide and DNA nanotechnology for building-block minimalization and site-specific interactions, have evolved rapidly, going beyond the molecular basis of cellular condensates in terms of both composition and functionality. Thus, synthetic condensates are designed from diverse molecular building blocks, including single- or multicomponent polypeptides, peptides, RNA, DNA or biopolymers; moreover, their applications are continuously evolving to encompass new nanotechnology-relevant functions including biosensing and bioadhesion, where condensates offer advantages such as responsiveness, programmability and molecular compartmentalization. In this Review, we show the main concepts behind the molecular design of synthetic condensates, from biological mimicry to purely synthetic approaches. We discuss the mechanisms that allow control and regulation of condensate properties and the remaining challenges in analysing these properties. Finally, we discuss the applications of synthetic condensates thus far, the potential in leveraging condensates as platforms for nanotechnological applications, and the remaining hurdles towards realizing this promise. We also provide an overview of the patent landscape, highlighting trends in commercial development across areas such as delivery systems, microreactors and sensing technologies.</w:t>
      </w:r>
    </w:p>
    <w:p>
      <w:pPr>
        <w:spacing w:before="120" w:after="120"/>
      </w:pPr>
      <w:r>
        <w:rPr>
          <w:sz w:val="18"/>
        </w:rPr>
        <w:t>——————————————————————————————————————————————————————————————————————</w:t>
      </w:r>
    </w:p>
    <w:p>
      <w:pPr>
        <w:spacing w:before="160" w:after="80" w:line="240" w:lineRule="auto"/>
      </w:pPr>
      <w:r>
        <w:rPr>
          <w:b/>
        </w:rPr>
        <w:t xml:space="preserve">[5] </w:t>
      </w:r>
      <w:hyperlink r:id="rId13">
        <w:r>
          <w:rPr>
            <w:color w:val="1155CC"/>
            <w:u w:val="single"/>
          </w:rPr>
          <w:t>Magnetic memory driven by spin splitting torque in nonrelativistic collinear antiferromagnet</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Magnetic random-access memory (MRAM) provides a promising candidate for the next-generation memory technology with high-energy efficiency and fast operation speed. Spin splitting band structure in nonrelativistic collinear antiferromagnet with de-coupled crystal and spin symmetry provides a unique way for the flexible and efficient control of the polarization and flow directions of the spin current. Here, by integrating the potential altermagnetic (101)-RuO2 writing channel with the magnetic tunnel junction (MTJ) device, we demonstrate the all-electrical field-free altermagnetic spin splitting torque (SST)-driven switching of the perpendicular-MTJ in the 3-terminal altermagnetic SST-MRAM device, with the tilted spin polarization and the transversal flow of the spin current. The z-spin torque is further characterized by the altermagnetic SST-induced shift of the magnetic hysteresis loop, and the field-free altermagnetic SST-driven magnetic domain switching of the recording layer is directly observed by the magneto-optic Kerr effect (MOKE) microscope. Our research establishes groundwork for advancing the development of the altermagnetic SST-MRAM, paving the way for the future all-electrical, energy-efficient and high-endurance MRAM applications with separated writing/reading channels.</w:t>
      </w:r>
    </w:p>
    <w:p>
      <w:pPr>
        <w:spacing w:before="120" w:after="120"/>
      </w:pPr>
      <w:r>
        <w:rPr>
          <w:sz w:val="18"/>
        </w:rPr>
        <w:t>——————————————————————————————————————————————————————————————————————</w:t>
      </w:r>
    </w:p>
    <w:p>
      <w:pPr>
        <w:spacing w:before="160" w:after="80" w:line="240" w:lineRule="auto"/>
      </w:pPr>
      <w:r>
        <w:rPr>
          <w:b/>
        </w:rPr>
        <w:t xml:space="preserve">[6] </w:t>
      </w:r>
      <w:hyperlink r:id="rId14">
        <w:r>
          <w:rPr>
            <w:color w:val="1155CC"/>
            <w:u w:val="single"/>
          </w:rPr>
          <w:t>Topological exciton-polaritons with negative coupling</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Coupling between quantum or classical degrees of freedom underpins a wide range of physical phenomena, from condensed matter systems to engineered photonic lattices. While positive coupling arising naturally from evanescent interactions has been extensively studied and employed, negative coupling unlocks unique phenomena that are challenging to realize with positive coupling alone. Exciton-polariton micropillars, celebrated for enabling topological lasers, reservoir computing, and quantum simulations, have primarily relied on positive coupling. In this work, we experimentally demonstrate negative coupling between two micropillars using an additional larger micropillar. By combining positively and negatively coupled micropillars, we construct a Su-Schrieffer-Heeger (SSH) topological lattice with a significant topological gap of approximately 15 meV, where band inversion occurs at the center of the Brillouin zone (BZ), rather than at the edges as in conventional SSH lattices. Under non-resonant excitation, we achieve polariton condensation in the in-gap topological edge states at room temperature. Our study introduces a universal method to realize negative coupling in polariton systems, paving the way for novel polaritonic devices based on lattices with arbitrarily controlled coupling signs.</w:t>
      </w:r>
    </w:p>
    <w:p>
      <w:pPr>
        <w:spacing w:before="120" w:after="120"/>
      </w:pPr>
      <w:r>
        <w:rPr>
          <w:sz w:val="18"/>
        </w:rPr>
        <w:t>——————————————————————————————————————————————————————————————————————</w:t>
      </w:r>
    </w:p>
    <w:p>
      <w:pPr>
        <w:spacing w:before="160" w:after="80" w:line="240" w:lineRule="auto"/>
      </w:pPr>
      <w:r>
        <w:rPr>
          <w:b/>
        </w:rPr>
        <w:t xml:space="preserve">[7] </w:t>
      </w:r>
      <w:hyperlink r:id="rId15">
        <w:r>
          <w:rPr>
            <w:color w:val="1155CC"/>
            <w:u w:val="single"/>
          </w:rPr>
          <w:t>Capsaicin diet drives gut inflammation and exosomal miR-17-3p elevation in idiopathic short stature</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Idiopathic short stature (ISS) remains a major pediatric challenge with unclear causes and inconsistent responses to growth hormone therapy. Here we show that plasma exosomes from children with ISS contain elevated hsa-miR-17-3p that disrupts growth signaling and impairs cartilage cell proliferation. Elevated miR-17-3p suppresses ZNF148/SOS1 signaling, linking molecular dysfunction to dietary exposure in ISS. To investigate environmental triggers, we developed a capsaicin-rich diet rat model that recapitulates ISS, showing normal Gh/Igf-1 levels but elevated plasma miR-17-3p. The diet induced mild gut inflammation, increasing miR-17-3p in intestinal and plasma exosomes. Fecal samples from ISS children exhibited similar elevations in miR-17-3p and inflammatory markers, linking spicy diets to ISS pathogenesis. Finally, engineered exosomes designed to silence miR-17-3p, combined with localized growth hormone therapy, restored growth plate function. These findings uncover a diet-driven exosome axis underlying ISS and suggest new therapeutic strategies for children in high-capsaicin regions.</w:t>
      </w:r>
    </w:p>
    <w:p>
      <w:pPr>
        <w:spacing w:before="120" w:after="120"/>
      </w:pPr>
      <w:r>
        <w:rPr>
          <w:sz w:val="18"/>
        </w:rPr>
        <w:t>——————————————————————————————————————————————————————————————————————</w:t>
      </w:r>
    </w:p>
    <w:p>
      <w:pPr>
        <w:spacing w:before="160" w:after="80" w:line="240" w:lineRule="auto"/>
      </w:pPr>
      <w:r>
        <w:rPr>
          <w:b/>
        </w:rPr>
        <w:t xml:space="preserve">[8] </w:t>
      </w:r>
      <w:hyperlink r:id="rId16">
        <w:r>
          <w:rPr>
            <w:color w:val="1155CC"/>
            <w:u w:val="single"/>
          </w:rPr>
          <w:t>Enhanced cyber-resilience in flexible energy markets for microgrids: A trust-aware federated deep reinforcement learning framework</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[9] </w:t>
      </w:r>
      <w:hyperlink r:id="rId17">
        <w:r>
          <w:rPr>
            <w:color w:val="1155CC"/>
            <w:u w:val="single"/>
          </w:rPr>
          <w:t>A digital twin framework for intelligent electric vehicle charging optimization in smart manufacturing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 </w:t>
      </w:r>
      <w:hyperlink r:id="rId18">
        <w:r>
          <w:rPr>
            <w:color w:val="1155CC"/>
            <w:u w:val="single"/>
          </w:rPr>
          <w:t>Multistage optimized planning for the alliance expansion of multiple island microgrids with shared hybrid energy storage systems: A Nash bargaining-based game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 </w:t>
      </w:r>
      <w:hyperlink r:id="rId19">
        <w:r>
          <w:rPr>
            <w:color w:val="1155CC"/>
            <w:u w:val="single"/>
          </w:rPr>
          <w:t>Ethanol vs. gasoline: conventional policies and the slow uptake</w:t>
        </w:r>
      </w:hyperlink>
    </w:p>
    <w:p>
      <w:pPr>
        <w:spacing w:before="0" w:after="120" w:line="240" w:lineRule="auto"/>
      </w:pPr>
      <w:r>
        <w:rPr>
          <w:b/>
        </w:rPr>
        <w:t xml:space="preserve">Source: </w:t>
      </w:r>
      <w:r>
        <w:t>ScienceDirect Publication: Energy Policy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 </w:t>
      </w:r>
      <w:hyperlink r:id="rId20">
        <w:r>
          <w:rPr>
            <w:color w:val="1155CC"/>
            <w:u w:val="single"/>
          </w:rPr>
          <w:t>Toward electrified CO2-free hydrogen production: A multiphysics model investigating microwave-driven methane pyrolysis in fluidized beds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 </w:t>
      </w:r>
      <w:hyperlink r:id="rId21">
        <w:r>
          <w:rPr>
            <w:color w:val="1155CC"/>
            <w:u w:val="single"/>
          </w:rPr>
          <w:t>Flexible computation of object motion and depth based on viewing geometry inferred from optic flow</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We move our eyes and head to sample the visual environment. While these movements are essential for survival, they greatly complicate the analysis of retinal image motion. Our brain must account for the visual consequences of self-motion to perceive the 3D layout and motion of objects in a scene. We show that traditional models of visual compensation for eye movements fail when the eye both translates and rotates, and we propose a theory that computes both motion and depth in more natural viewing geometries. Consistent with our theoretical predictions, humans exhibit distinct perceptual biases when different viewing geometries are simulated by optic flow, and these biases occur without training or feedback. A neural network model trained to perform the same tasks suggests that viewing geometry modulates the joint tuning of neurons for retinal and eye velocity to mediate these adaptive computations. Our findings unify previously separate bodies of work by demonstrating that the brain adaptively perceives the dynamic 3D environment according to viewing geometry inferred from optic flow.</w:t>
      </w:r>
    </w:p>
    <w:p>
      <w:pPr>
        <w:spacing w:before="120" w:after="120"/>
      </w:pPr>
      <w:r>
        <w:rPr>
          <w:sz w:val="18"/>
        </w:rPr>
        <w:t>——————————————————————————————————————————————————————————————————————</w:t>
      </w:r>
    </w:p>
    <w:p>
      <w:pPr>
        <w:spacing w:before="160" w:after="80" w:line="240" w:lineRule="auto"/>
      </w:pPr>
      <w:r>
        <w:rPr>
          <w:b/>
        </w:rPr>
        <w:t xml:space="preserve">[14] </w:t>
      </w:r>
      <w:hyperlink r:id="rId22">
        <w:r>
          <w:rPr>
            <w:color w:val="1155CC"/>
            <w:u w:val="single"/>
          </w:rPr>
          <w:t>Autonomous biogenesis of all thirty proteins of the Escherichia coli translation machinery</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The cell-free biogenesis of the protein translation machinery is essential for the creation of a self-regenerating synthetic cell. Here, we demonstrate the autonomous and simultaneous biogenesis of all thirty proteins of the translation machinery of E. coli in a reconstituted transcription-translation system. We first establish self-regeneration of every translation protein by determining the threshold concentration required for its own synthesis from a synthetic gene coding for the protein, thereby demonstrating the functionality of all nascent proteins, separately. Simultaneous biogenesis of multiple translation proteins at their threshold results in delayed synthesis below detection levels. To achieve self-regeneration of multiple translation proteins, we induce boundary-free compartmentalization of the reaction by immobilizing the genes on a surface at high density. The co-localization of genes, molecular machinery, messenger RNA and nascent proteins at the surface create sufficient conditions to catalyze the simultaneous self-regeneration of sub-groups up to all thirty translation proteins, as measured by total internal reflection fluorescence on the surface. Our approach provides mechanistic insight and presents a general methodology for the biogenesis of cellular machines toward autonomous synthetic systems.</w:t>
      </w:r>
    </w:p>
    <w:p>
      <w:pPr>
        <w:spacing w:before="120" w:after="120"/>
      </w:pPr>
      <w:r>
        <w:rPr>
          <w:sz w:val="18"/>
        </w:rPr>
        <w:t>——————————————————————————————————————————————————————————————————————</w:t>
      </w:r>
    </w:p>
    <w:p>
      <w:pPr>
        <w:spacing w:before="160" w:after="80" w:line="240" w:lineRule="auto"/>
      </w:pPr>
      <w:r>
        <w:rPr>
          <w:b/>
        </w:rPr>
        <w:t xml:space="preserve">[15] </w:t>
      </w:r>
      <w:hyperlink r:id="rId23">
        <w:r>
          <w:rPr>
            <w:color w:val="1155CC"/>
            <w:u w:val="single"/>
          </w:rPr>
          <w:t>Rhomboid protease GlpG regulates type 1 pili quality control and virulence in pathogenic E. coli</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With the rise in antimicrobial resistance, understanding the virulence factors utilized by pathogenic E. coli is essential for the development of alternative therapeutics. While previous work has shown that disruption of the E. coli rhomboid protease gene glpG leads to defects in bacterial colonization, here we provide mechanistic insight into the loss of fitness. We show GlpG is essential for the assembly of type 1 pili, a virulence factor required for the colonization of eukaryotic cells. Since pili are critical for biofilm formation and bacterial persistence, the absence of GlpG proteolytic activity reduces the production of biofilm. Working towards new potential antimicrobial targets for treating infections, we show that biofilm formation is hampered by GlpG inhibition. Our data demonstrates that GlpG plays a key role in protein quality control of type 1 pili and alters the paradigm for GlpG proteolysis, previously implicated in the cleavage of only membrane embedded substrates.</w:t>
      </w:r>
    </w:p>
    <w:p>
      <w:pPr>
        <w:spacing w:before="120" w:after="120"/>
      </w:pPr>
      <w:r>
        <w:rPr>
          <w:sz w:val="18"/>
        </w:rPr>
        <w:t>——————————————————————————————————————————————————————————————————————</w:t>
      </w:r>
    </w:p>
    <w:p>
      <w:pPr>
        <w:spacing w:before="160" w:after="80" w:line="240" w:lineRule="auto"/>
      </w:pPr>
      <w:r>
        <w:rPr>
          <w:b/>
        </w:rPr>
        <w:t xml:space="preserve">[16] </w:t>
      </w:r>
      <w:hyperlink r:id="rId24">
        <w:r>
          <w:rPr>
            <w:color w:val="1155CC"/>
            <w:u w:val="single"/>
          </w:rPr>
          <w:t>Structure of the Gq-coupled adhesion receptor ADGRL4</w:t>
        </w:r>
      </w:hyperlink>
    </w:p>
    <w:p>
      <w:pPr>
        <w:spacing w:before="0" w:after="120" w:line="240" w:lineRule="auto"/>
      </w:pPr>
      <w:r>
        <w:rPr>
          <w:b/>
        </w:rPr>
        <w:t xml:space="preserve">Source: </w:t>
      </w:r>
      <w:r>
        <w:t>Nature Communications</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Adhesion G protein-coupled receptors (aGPCRs) are a 32-member family of Class B GPCRs that have diverse cellular roles including mechanosensation, cell-fate determination, neurodevelopment, immune function and tumour biology. ADGRL4 is upregulated in the tumour microenvironment and is implicated in tumour pathogenesis across a broad range of malignancies. Inhibiting ADGRL4 is a potential therapeutic treatment for currently intractable cancers such as glioblastoma. Previous work suggested that ADGRL4 does not signal through G protein coupled pathways. However, using a sensitive bioluminescent assay, we demonstrate here that ADGRL4 couples weakly to the heterotrimeric G protein Gq, whilst there is no robust coupling to other G proteins (Gs, G12, Go) or β-arrestin 1 or 2. We determine the cryo-EM structure of ADGRL4 coupled to a heterotrimeric Gq complex to a resolution of 3.1 Å. The overall fold of ADGRL4 is similar to that of other aGPCRs, but the coupling to Gq is distinct with fewer interactions between the receptor and G protein. The structure is consistent with ADGRL4 being activated by its tethered agonist and represents an important step towards the development of potential inhibitors for the treatment of multiple tumour types.</w:t>
      </w:r>
    </w:p>
    <w:p>
      <w:pPr>
        <w:spacing w:before="120" w:after="120"/>
      </w:pPr>
      <w:r>
        <w:rPr>
          <w:sz w:val="18"/>
        </w:rPr>
        <w:t>——————————————————————————————————————————————————————————————————————</w:t>
      </w:r>
    </w:p>
    <w:p>
      <w:pPr>
        <w:spacing w:before="160" w:after="80" w:line="240" w:lineRule="auto"/>
      </w:pPr>
      <w:r>
        <w:rPr>
          <w:b/>
        </w:rPr>
        <w:t xml:space="preserve">[17] </w:t>
      </w:r>
      <w:hyperlink r:id="rId25">
        <w:r>
          <w:rPr>
            <w:color w:val="1155CC"/>
            <w:u w:val="single"/>
          </w:rPr>
          <w:t>Interpretable distributionally robust optimization for cyber-physical power systems under attack and renewable uncertainty</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[18] </w:t>
      </w:r>
      <w:hyperlink r:id="rId26">
        <w:r>
          <w:rPr>
            <w:color w:val="1155CC"/>
            <w:u w:val="single"/>
          </w:rPr>
          <w:t>Divergent paths: A machine learning analysis of post-pandemic decarbonization trajectories and the global climate policy imperative</w:t>
        </w:r>
      </w:hyperlink>
    </w:p>
    <w:p>
      <w:pPr>
        <w:spacing w:before="0" w:after="120" w:line="240" w:lineRule="auto"/>
      </w:pPr>
      <w:r>
        <w:rPr>
          <w:b/>
        </w:rPr>
        <w:t xml:space="preserve">Source: </w:t>
      </w:r>
      <w:r>
        <w:t>ScienceDirect Publication: Energy Policy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[19] </w:t>
      </w:r>
      <w:hyperlink r:id="rId27">
        <w:r>
          <w:rPr>
            <w:color w:val="1155CC"/>
            <w:u w:val="single"/>
          </w:rPr>
          <w:t>Daily briefing: Explore 2025 with Leif Penguinson</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[20] </w:t>
      </w:r>
      <w:hyperlink r:id="rId28">
        <w:r>
          <w:rPr>
            <w:color w:val="1155CC"/>
            <w:u w:val="single"/>
          </w:rPr>
          <w:t>Mummies give up their secrets — but not their mystery</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[21] </w:t>
      </w:r>
      <w:hyperlink r:id="rId29">
        <w:r>
          <w:rPr>
            <w:color w:val="1155CC"/>
            <w:u w:val="single"/>
          </w:rPr>
          <w:t>Can boomerangs bounce?</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[22] </w:t>
      </w:r>
      <w:hyperlink r:id="rId30">
        <w:r>
          <w:rPr>
            <w:color w:val="1155CC"/>
            <w:u w:val="single"/>
          </w:rPr>
          <w:t>Safe as houses</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 </w:t>
      </w:r>
      <w:hyperlink r:id="rId31">
        <w:r>
          <w:rPr>
            <w:color w:val="1155CC"/>
            <w:u w:val="single"/>
          </w:rPr>
          <w:t>Photovoltaic material selection and multi-objective building design optimization for enhancing energy performance of building integrated photovoltaics (BIPV)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 </w:t>
      </w:r>
      <w:hyperlink r:id="rId32">
        <w:r>
          <w:rPr>
            <w:color w:val="1155CC"/>
            <w:u w:val="single"/>
          </w:rPr>
          <w:t>Put pressure on publishers to follow best practice — external regulation is the answer</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 </w:t>
      </w:r>
      <w:hyperlink r:id="rId33">
        <w:r>
          <w:rPr>
            <w:color w:val="1155CC"/>
            <w:u w:val="single"/>
          </w:rPr>
          <w:t>Lithium-ion batteries for space applications in low earth orbits: Promising Technologies and testing methods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 </w:t>
      </w:r>
      <w:hyperlink r:id="rId34">
        <w:r>
          <w:rPr>
            <w:color w:val="1155CC"/>
            <w:u w:val="single"/>
          </w:rPr>
          <w:t>Science in 2050: the future breakthroughs that will shape our world — and beyond</w:t>
        </w:r>
      </w:hyperlink>
    </w:p>
    <w:p>
      <w:pPr>
        <w:spacing w:before="0" w:after="120" w:line="240" w:lineRule="auto"/>
      </w:pPr>
      <w:r>
        <w:rPr>
          <w:b/>
        </w:rPr>
        <w:t xml:space="preserve">Source: </w:t>
      </w:r>
      <w:r>
        <w:t>Nature</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 </w:t>
      </w:r>
      <w:hyperlink r:id="rId35">
        <w:r>
          <w:rPr>
            <w:color w:val="1155CC"/>
            <w:u w:val="single"/>
          </w:rPr>
          <w:t>Operation optimization and configuration of a novel wide-power hybrid electrolytic water-to‑hydrogen system in response to fluctuations in renewable energy sources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 </w:t>
      </w:r>
      <w:hyperlink r:id="rId36">
        <w:r>
          <w:rPr>
            <w:color w:val="1155CC"/>
            <w:u w:val="single"/>
          </w:rPr>
          <w:t>A stochastic accommodation rate-constrained robust scheduling for renewable power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 </w:t>
      </w:r>
      <w:hyperlink r:id="rId37">
        <w:r>
          <w:rPr>
            <w:color w:val="1155CC"/>
            <w:u w:val="single"/>
          </w:rPr>
          <w:t>Dynamic modeling and techno-economic analysis of a heat-integrated NH3 cracking plant for cost-effective H2 production under uncertainty</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 </w:t>
      </w:r>
      <w:hyperlink r:id="rId38">
        <w:r>
          <w:rPr>
            <w:color w:val="1155CC"/>
            <w:u w:val="single"/>
          </w:rPr>
          <w:t>Catalytic conversion of polystyrene waste into toluene</w:t>
        </w:r>
      </w:hyperlink>
    </w:p>
    <w:p>
      <w:pPr>
        <w:spacing w:before="0" w:after="120" w:line="240" w:lineRule="auto"/>
      </w:pPr>
      <w:r>
        <w:rPr>
          <w:b/>
        </w:rPr>
        <w:t xml:space="preserve">Source: </w:t>
      </w:r>
      <w:r>
        <w:t>Nature Nanotechnology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 </w:t>
      </w:r>
      <w:hyperlink r:id="rId39">
        <w:r>
          <w:rPr>
            <w:color w:val="1155CC"/>
            <w:u w:val="single"/>
          </w:rPr>
          <w:t>A heat-driven thermoacoustic refrigerator/heat pump for solar-thermal application: Building cooling and heating solution with low-cost potential and high performance</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 </w:t>
      </w:r>
      <w:hyperlink r:id="rId40">
        <w:r>
          <w:rPr>
            <w:color w:val="1155CC"/>
            <w:u w:val="single"/>
          </w:rPr>
          <w:t>Sky cooling-driven radiant-capacitive hydronic system for all-day building cooling</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 </w:t>
      </w:r>
      <w:hyperlink r:id="rId41">
        <w:r>
          <w:rPr>
            <w:color w:val="1155CC"/>
            <w:u w:val="single"/>
          </w:rPr>
          <w:t>Pressing needs and challenges for managing dogs within Indigenous Peoples’ lands</w:t>
        </w:r>
      </w:hyperlink>
    </w:p>
    <w:p>
      <w:pPr>
        <w:spacing w:before="0" w:after="120" w:line="240" w:lineRule="auto"/>
      </w:pPr>
      <w:r>
        <w:rPr>
          <w:b/>
        </w:rPr>
        <w:t xml:space="preserve">Source: </w:t>
      </w:r>
      <w:r>
        <w:t>National Science Review Advance Access</w:t>
      </w:r>
      <w:r>
        <w:t xml:space="preserve">    </w:t>
      </w:r>
      <w:r>
        <w:rPr>
          <w:b/>
        </w:rPr>
        <w:t xml:space="preserve">Pub date: </w:t>
      </w:r>
      <w:r>
        <w:t>2025-12-30 00:00:00+00:00</w:t>
      </w:r>
      <w:r>
        <w:t xml:space="preserve">    </w:t>
      </w:r>
      <w:r>
        <w:rPr>
          <w:b/>
        </w:rPr>
        <w:t xml:space="preserve">DOI: </w:t>
      </w:r>
      <w:hyperlink r:id="rId42">
        <w:r>
          <w:rPr>
            <w:color w:val="1155CC"/>
            <w:u w:val="single"/>
          </w:rPr>
          <w:t>10.1093/nsr/nwaf592/8407240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 </w:t>
      </w:r>
      <w:hyperlink r:id="rId43">
        <w:r>
          <w:rPr>
            <w:color w:val="1155CC"/>
            <w:u w:val="single"/>
          </w:rPr>
          <w:t>High performance in high-temperature superconducting MPD thrusters: Analytical MHD modeling and experimental demonstration</w:t>
        </w:r>
      </w:hyperlink>
    </w:p>
    <w:p>
      <w:pPr>
        <w:spacing w:before="0" w:after="120" w:line="240" w:lineRule="auto"/>
      </w:pPr>
      <w:r>
        <w:rPr>
          <w:b/>
        </w:rPr>
        <w:t xml:space="preserve">Source: </w:t>
      </w:r>
      <w:r>
        <w:t>National Science Review Advance Access</w:t>
      </w:r>
      <w:r>
        <w:t xml:space="preserve">    </w:t>
      </w:r>
      <w:r>
        <w:rPr>
          <w:b/>
        </w:rPr>
        <w:t xml:space="preserve">Pub date: </w:t>
      </w:r>
      <w:r>
        <w:t>2025-12-30 00:00:00+00:00</w:t>
      </w:r>
      <w:r>
        <w:t xml:space="preserve">    </w:t>
      </w:r>
      <w:r>
        <w:rPr>
          <w:b/>
        </w:rPr>
        <w:t xml:space="preserve">DOI: </w:t>
      </w:r>
      <w:hyperlink r:id="rId44">
        <w:r>
          <w:rPr>
            <w:color w:val="1155CC"/>
            <w:u w:val="single"/>
          </w:rPr>
          <w:t>10.1093/nsr/nwaf589/8407247</w:t>
        </w:r>
      </w:hyperlink>
    </w:p>
    <w:p>
      <w:pPr>
        <w:spacing w:before="0" w:after="120"/>
      </w:pPr>
      <w:r>
        <w:rPr>
          <w:b/>
        </w:rPr>
        <w:t xml:space="preserve">Notes: </w:t>
      </w:r>
      <w:r>
        <w:t>abstract_source=rss_oup</w:t>
      </w:r>
    </w:p>
    <w:p>
      <w:pPr>
        <w:spacing w:before="0" w:after="200" w:lineRule="auto" w:line="276"/>
      </w:pPr>
      <w:r>
        <w:rPr>
          <w:b/>
        </w:rPr>
        <w:t xml:space="preserve">Abstract: </w:t>
      </w:r>
      <w:r>
        <w:t>The integration of high-temperature superconductors (HTS) into electric propulsion systems, particularly Magneto-Plasma-Dynamic Thrusters (MPDTs), has recently garnered significant attention. However, research on low-power HTS-based MPDTs, which are crucial for small satellites and CubeSats, remains limited. The increasing demand for compact, high-efficiency propulsion in Low Earth orbit underscores the need for scalable HTS-AF-MPDT systems operating below 15 kW. Despite this, challenges such as the lack of detailed theoretical models, limited plasma diagnostics, and excessive Joule heating in conventional copper magnets persist. In this work, using a downscaled version of a 25 kW high-temperature superconducting (HTS) based applied-field magneto-plasma-dynamic thruster, we address these limitations by developing and experimentally validating a theoretical MHD-based plasma acceleration model for an AF-MPDT equipped with a conduction-cooled HTS magnet.The system achieves a specific impulse of 3265s at an input power of 12 kW, more than eight times higher than traditional chemical propulsion, alongside a thrust of 320mN and an efficiency of 25% at sub 12kW. The HTS magnet reduces magnetic power consumption from 285 kW to under 1 kW and lowers magnet mass from 220 kg to 60 kg, enabling substantial improvements in system miniaturization and efficiency. These results represent the first reported demonstration of a 12kW high-temperature superconducting AF-MPDT, bridging theoretical predictions with experimental outcomes and laying the groundwork for in-orbit demonstration of high-performance propulsion for small satellites.</w:t>
      </w:r>
    </w:p>
    <w:p>
      <w:pPr>
        <w:spacing w:before="120" w:after="120"/>
      </w:pPr>
      <w:r>
        <w:rPr>
          <w:sz w:val="18"/>
        </w:rPr>
        <w:t>——————————————————————————————————————————————————————————————————————</w:t>
      </w:r>
    </w:p>
    <w:p>
      <w:pPr>
        <w:spacing w:before="160" w:after="80" w:line="240" w:lineRule="auto"/>
      </w:pPr>
      <w:r>
        <w:rPr>
          <w:b/>
        </w:rPr>
        <w:t xml:space="preserve">[35] </w:t>
      </w:r>
      <w:hyperlink r:id="rId45">
        <w:r>
          <w:rPr>
            <w:color w:val="1155CC"/>
            <w:u w:val="single"/>
          </w:rPr>
          <w:t>Progress and outlooks of large-area flexible organic photovoltaic modules</w:t>
        </w:r>
      </w:hyperlink>
    </w:p>
    <w:p>
      <w:pPr>
        <w:spacing w:before="0" w:after="120" w:line="240" w:lineRule="auto"/>
      </w:pPr>
      <w:r>
        <w:rPr>
          <w:b/>
        </w:rPr>
        <w:t xml:space="preserve">Source: </w:t>
      </w:r>
      <w:r>
        <w:t>RSC - Energy Environ. Sci. latest articles</w:t>
      </w:r>
      <w:r>
        <w:t xml:space="preserve">    </w:t>
      </w:r>
      <w:r>
        <w:rPr>
          <w:b/>
        </w:rPr>
        <w:t xml:space="preserve">Pub date: </w:t>
      </w:r>
      <w:r>
        <w:t>2025-12-30 00:00:00+00:00</w:t>
      </w:r>
    </w:p>
    <w:p>
      <w:pPr>
        <w:spacing w:before="0" w:after="120"/>
      </w:pPr>
      <w:r>
        <w:rPr>
          <w:b/>
        </w:rPr>
        <w:t xml:space="preserve">Notes: </w:t>
      </w:r>
      <w:r>
        <w:t>abstract_source=rsc_html</w:t>
      </w:r>
    </w:p>
    <w:p>
      <w:pPr>
        <w:spacing w:before="0" w:after="200" w:lineRule="auto" w:line="276"/>
      </w:pPr>
      <w:r>
        <w:rPr>
          <w:b/>
        </w:rPr>
        <w:t xml:space="preserve">Abstract: </w:t>
      </w:r>
      <w:r>
        <w:t>Organic photovoltaics (OPVs) hold unique advantages of light-weight and excellent mechanical flexibility comparing with other PV technologies. Recently, efficiency of OPV has been rapidly progressed to about 20% for small-area rigid devices. Fabricating flexible devices in large area is necessary for OPV technology to move into practical applications with high voltage and power output.High efficiency and high operational stability are required for the upscaled large-area flexible OPV modules. Efficiency and stability are related to device structure, materials (including transparent electrodes, active layers and charge transporting materials), film coating and encapsulation. In this review, we will discuss the progress and basics of large-area high-performance flexible OPV modules, including device structure, efficiency, materials, coating techniques and stability. At the end, we will discuss challenges and outlooks for enhancing the efficiency and stability of the large-area flexible OPV modules.</w:t>
      </w:r>
    </w:p>
    <w:p>
      <w:pPr>
        <w:spacing w:before="120" w:after="120"/>
      </w:pPr>
      <w:r>
        <w:rPr>
          <w:sz w:val="18"/>
        </w:rPr>
        <w:t>——————————————————————————————————————————————————————————————————————</w:t>
      </w:r>
    </w:p>
    <w:p>
      <w:pPr>
        <w:spacing w:before="160" w:after="80" w:line="240" w:lineRule="auto"/>
      </w:pPr>
      <w:r>
        <w:rPr>
          <w:b/>
        </w:rPr>
        <w:t xml:space="preserve">[36] </w:t>
      </w:r>
      <w:hyperlink r:id="rId46">
        <w:r>
          <w:rPr>
            <w:color w:val="1155CC"/>
            <w:u w:val="single"/>
          </w:rPr>
          <w:t>Boosting internal quantum efficiency to near-unity in Fe3+-doped NIR phosphors: Structural engineering and energy transfer in A2LuSbO6 (A = Ba/Sr/Ca) double perovskites</w:t>
        </w:r>
      </w:hyperlink>
    </w:p>
    <w:p>
      <w:pPr>
        <w:spacing w:before="0" w:after="120" w:line="240" w:lineRule="auto"/>
      </w:pPr>
      <w:r>
        <w:rPr>
          <w:b/>
        </w:rPr>
        <w:t xml:space="preserve">Source: </w:t>
      </w:r>
      <w:r>
        <w:t>ScienceDirect Publication: Materials Today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 </w:t>
      </w:r>
      <w:hyperlink r:id="rId47">
        <w:r>
          <w:rPr>
            <w:color w:val="1155CC"/>
            <w:u w:val="single"/>
          </w:rPr>
          <w:t>Co-production of techno-economic forecasting for energy policy-making</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[38] </w:t>
      </w:r>
      <w:hyperlink r:id="rId48">
        <w:r>
          <w:rPr>
            <w:color w:val="1155CC"/>
            <w:u w:val="single"/>
          </w:rPr>
          <w:t>Energy performance and outdoor thermal comfort of angular-selective radiative cooling walls in urban canyons: a Monte Carlo based study</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[39] </w:t>
      </w:r>
      <w:hyperlink r:id="rId49">
        <w:r>
          <w:rPr>
            <w:color w:val="1155CC"/>
            <w:u w:val="single"/>
          </w:rPr>
          <w:t>Radiative thermal management materials and devices: principles, advances and potential applications</w:t>
        </w:r>
      </w:hyperlink>
    </w:p>
    <w:p>
      <w:pPr>
        <w:spacing w:before="0" w:after="120" w:line="240" w:lineRule="auto"/>
      </w:pPr>
      <w:r>
        <w:rPr>
          <w:b/>
        </w:rPr>
        <w:t xml:space="preserve">Source: </w:t>
      </w:r>
      <w:r>
        <w:t>ScienceDirect Publication: Materials Today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[40] </w:t>
      </w:r>
      <w:hyperlink r:id="rId50">
        <w:r>
          <w:rPr>
            <w:color w:val="1155CC"/>
            <w:u w:val="single"/>
          </w:rPr>
          <w:t>Molecularly Engineered Cellulose: the Next-Generation Sustainable Polymer Electrolyte Materials</w:t>
        </w:r>
      </w:hyperlink>
    </w:p>
    <w:p>
      <w:pPr>
        <w:spacing w:before="0" w:after="120" w:line="240" w:lineRule="auto"/>
      </w:pPr>
      <w:r>
        <w:rPr>
          <w:b/>
        </w:rPr>
        <w:t xml:space="preserve">Source: </w:t>
      </w:r>
      <w:r>
        <w:t>RSC - Energy Environ. Sci. latest articles</w:t>
      </w:r>
      <w:r>
        <w:t xml:space="preserve">    </w:t>
      </w:r>
      <w:r>
        <w:rPr>
          <w:b/>
        </w:rPr>
        <w:t xml:space="preserve">Pub date: </w:t>
      </w:r>
      <w:r>
        <w:t>2025-12-30 00:00:00+00:00</w:t>
      </w:r>
    </w:p>
    <w:p>
      <w:pPr>
        <w:spacing w:before="0" w:after="120"/>
      </w:pPr>
      <w:r>
        <w:rPr>
          <w:b/>
        </w:rPr>
        <w:t xml:space="preserve">Notes: </w:t>
      </w:r>
      <w:r>
        <w:t>abstract_source=rsc_html</w:t>
      </w:r>
    </w:p>
    <w:p>
      <w:pPr>
        <w:spacing w:before="0" w:after="200" w:lineRule="auto" w:line="276"/>
      </w:pPr>
      <w:r>
        <w:rPr>
          <w:b/>
        </w:rPr>
        <w:t xml:space="preserve">Abstract: </w:t>
      </w:r>
      <w:r>
        <w:t>Growing environmental imperatives are driving the need to substitute petroleum-derived materials with renewable and sustainable alternatives to enable the production of biodegradable and carbon-neutral products. As a naturally abundant and versatile biopolymer, cellulose has been extensively utilized in conventional industries such as papermaking and textiles, and is increasingly being applied in emerging advanced fields, including energy storage, food technology, emulsions, coatings, cosmetics, and biomedical applications. With the iteration and development of energy technology, cellulose-mediated polymer electrolyte materials (PEMs) have re-emerged as the materials of notable scientific and commercial communities due to their exceptional performance advantages in electrochemical energy storage. In this review, we comprehensively summarize and analyze the molecule engineering strategies, key features, and the corresponding construction strategies utilizing cellulose for the preparation of novel PEMs. Particularly, we provide a material and structural perspective how the ion conductivity, ion selectivity, anti-swelling property, self-healing property, flame retardancy, porosity, mechanical property, and photoelectric stability of cellulose-mediated PEMs can be regulated through molecular chemistry. Finally, we examine the potential of these strategies in advancing circular economy principles and environmental sustainability objectives, while also identifying key challenges and outlining promising future research directions. We emphasize the critical need for advanced molecular-level chemical engineering to fully harness the potential of cellulose for energy-related applications.</w:t>
      </w:r>
    </w:p>
    <w:p>
      <w:pPr>
        <w:spacing w:before="120" w:after="120"/>
      </w:pPr>
      <w:r>
        <w:rPr>
          <w:sz w:val="18"/>
        </w:rPr>
        <w:t>——————————————————————————————————————————————————————————————————————</w:t>
      </w:r>
    </w:p>
    <w:p>
      <w:pPr>
        <w:spacing w:before="160" w:after="80" w:line="240" w:lineRule="auto"/>
      </w:pPr>
      <w:r>
        <w:rPr>
          <w:b/>
        </w:rPr>
        <w:t xml:space="preserve">[41] </w:t>
      </w:r>
      <w:hyperlink r:id="rId51">
        <w:r>
          <w:rPr>
            <w:color w:val="1155CC"/>
            <w:u w:val="single"/>
          </w:rPr>
          <w:t>Epitaxial growth of highly stacked SiGe(:B)/Si multilayers without strain relaxation for vertically stacked device applications</w:t>
        </w:r>
      </w:hyperlink>
    </w:p>
    <w:p>
      <w:pPr>
        <w:spacing w:before="0" w:after="120" w:line="240" w:lineRule="auto"/>
      </w:pPr>
      <w:r>
        <w:rPr>
          <w:b/>
        </w:rPr>
        <w:t xml:space="preserve">Source: </w:t>
      </w:r>
      <w:r>
        <w:t>ScienceDirect Publication: Materials Today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 </w:t>
      </w:r>
      <w:hyperlink r:id="rId52">
        <w:r>
          <w:rPr>
            <w:color w:val="1155CC"/>
            <w:u w:val="single"/>
          </w:rPr>
          <w:t>Advanced carbon supports for elevated-temperature PEMFCs: Multiscale thermal transport, graphitization strategies, and interfacial engineering</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[43] </w:t>
      </w:r>
      <w:hyperlink r:id="rId53">
        <w:r>
          <w:rPr>
            <w:color w:val="1155CC"/>
            <w:u w:val="single"/>
          </w:rPr>
          <w:t>Next-generation control for electrolyzers: a review of GPT-based AI frameworks in renewable hydrogen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 </w:t>
      </w:r>
      <w:hyperlink r:id="rId54">
        <w:r>
          <w:rPr>
            <w:color w:val="1155CC"/>
            <w:u w:val="single"/>
          </w:rPr>
          <w:t>Behaviourally informed climate policy</w:t>
        </w:r>
      </w:hyperlink>
    </w:p>
    <w:p>
      <w:pPr>
        <w:spacing w:before="0" w:after="120" w:line="240" w:lineRule="auto"/>
      </w:pPr>
      <w:r>
        <w:rPr>
          <w:b/>
        </w:rPr>
        <w:t xml:space="preserve">Source: </w:t>
      </w:r>
      <w:r>
        <w:t>Nature Sustainability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[45] </w:t>
      </w:r>
      <w:hyperlink r:id="rId55">
        <w:r>
          <w:rPr>
            <w:color w:val="1155CC"/>
            <w:u w:val="single"/>
          </w:rPr>
          <w:t>An empirically based dynamic approach to sustainable climate policy design</w:t>
        </w:r>
      </w:hyperlink>
    </w:p>
    <w:p>
      <w:pPr>
        <w:spacing w:before="0" w:after="120" w:line="240" w:lineRule="auto"/>
      </w:pPr>
      <w:r>
        <w:rPr>
          <w:b/>
        </w:rPr>
        <w:t xml:space="preserve">Source: </w:t>
      </w:r>
      <w:r>
        <w:t>Nature Sustainability</w:t>
      </w:r>
      <w:r>
        <w:t xml:space="preserve">    </w:t>
      </w:r>
      <w:r>
        <w:rPr>
          <w:b/>
        </w:rPr>
        <w:t xml:space="preserve">Pub date: </w:t>
      </w:r>
      <w:r>
        <w:t>2025-12-30 00:00:00+00:00</w:t>
      </w:r>
    </w:p>
    <w:p>
      <w:pPr>
        <w:spacing w:before="0" w:after="120"/>
      </w:pPr>
      <w:r>
        <w:rPr>
          <w:b/>
        </w:rPr>
        <w:t xml:space="preserve">Notes: </w:t>
      </w:r>
      <w:r>
        <w:t>abstract_source=nature_html</w:t>
      </w:r>
    </w:p>
    <w:p>
      <w:pPr>
        <w:spacing w:before="0" w:after="200" w:lineRule="auto" w:line="276"/>
      </w:pPr>
      <w:r>
        <w:rPr>
          <w:b/>
        </w:rPr>
        <w:t xml:space="preserve">Abstract: </w:t>
      </w:r>
      <w:r>
        <w:t>Conventional approaches to policy design often neglect the plasticity of citizens’ beliefs and values upon which policy effectiveness and political sustainability depend. A consequence, by way of illustration, is that environmental policies may crowd out pre-existing green values. Our representative survey of 3,306 Germans finds that enforced restrictions to promote carbon-neutral lifestyles would trigger strong negative responses because they ‘restrict freedom’. This is true even among those who would adopt green lifestyles when voluntary, thus possibly undermining support for green political movements. These results combined with the long-term political consequences of the polarizing reactions to Covid mandates motivate a new approach to climate policy design. We set aside the conventional economic model assuming self-interested citizens, in which there could be no green values to crowd out. Instead, we propose a dynamic approach recognizing that (1) to succeed, essential policies including bans, carbon taxes and the promotion of new technologies must be both implementable and politically sustainable, entailing (2) a critical role for citizens’ green values, which (3) may be either diminished or cultivated, depending on policy design.</w:t>
      </w:r>
    </w:p>
    <w:p>
      <w:pPr>
        <w:spacing w:before="120" w:after="120"/>
      </w:pPr>
      <w:r>
        <w:rPr>
          <w:sz w:val="18"/>
        </w:rPr>
        <w:t>——————————————————————————————————————————————————————————————————————</w:t>
      </w:r>
    </w:p>
    <w:p>
      <w:pPr>
        <w:spacing w:before="160" w:after="80" w:line="240" w:lineRule="auto"/>
      </w:pPr>
      <w:r>
        <w:rPr>
          <w:b/>
        </w:rPr>
        <w:t xml:space="preserve">[46] </w:t>
      </w:r>
      <w:hyperlink r:id="rId56">
        <w:r>
          <w:rPr>
            <w:color w:val="1155CC"/>
            <w:u w:val="single"/>
          </w:rPr>
          <w:t>Performance research of a liquid air energy storage system integrated with pressurized water reactor nuclear power plants</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 </w:t>
      </w:r>
      <w:hyperlink r:id="rId57">
        <w:r>
          <w:rPr>
            <w:color w:val="1155CC"/>
            <w:u w:val="single"/>
          </w:rPr>
          <w:t>A dual-layer feature-selection transformer network for transferable probabilistic forecasting of PV power</w:t>
        </w:r>
      </w:hyperlink>
    </w:p>
    <w:p>
      <w:pPr>
        <w:spacing w:before="0" w:after="120" w:line="240" w:lineRule="auto"/>
      </w:pPr>
      <w:r>
        <w:rPr>
          <w:b/>
        </w:rPr>
        <w:t xml:space="preserve">Source: </w:t>
      </w:r>
      <w:r>
        <w:t>ScienceDirect Publication: Applied Energy</w:t>
      </w:r>
      <w:r>
        <w:t xml:space="preserve">    </w:t>
      </w:r>
      <w:r>
        <w:rPr>
          <w:b/>
        </w:rPr>
        <w:t xml:space="preserve">Pub date: </w:t>
      </w:r>
      <w:r>
        <w:t>2025-12-30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 </w:t>
      </w:r>
      <w:hyperlink r:id="rId58">
        <w:r>
          <w:rPr>
            <w:color w:val="1155CC"/>
            <w:u w:val="single"/>
          </w:rPr>
          <w:t>ROS‐Triggered Hemispheroid Adhesive Micromotors for Inflammatory Bowel Disease Therapy</w:t>
        </w:r>
      </w:hyperlink>
    </w:p>
    <w:p>
      <w:pPr>
        <w:spacing w:before="0" w:after="120" w:line="240" w:lineRule="auto"/>
      </w:pPr>
      <w:r>
        <w:rPr>
          <w:b/>
        </w:rPr>
        <w:t xml:space="preserve">Source: </w:t>
      </w:r>
      <w:r>
        <w:t>Wiley: Advanced Materials: Table of Contents</w:t>
      </w:r>
      <w:r>
        <w:t xml:space="preserve">    </w:t>
      </w:r>
      <w:r>
        <w:rPr>
          <w:b/>
        </w:rPr>
        <w:t xml:space="preserve">Pub date: </w:t>
      </w:r>
      <w:r>
        <w:t>2025-12-30 05:10:30+00:00</w:t>
      </w:r>
      <w:r>
        <w:t xml:space="preserve">    </w:t>
      </w:r>
      <w:r>
        <w:rPr>
          <w:b/>
        </w:rPr>
        <w:t xml:space="preserve">DOI: </w:t>
      </w:r>
      <w:hyperlink r:id="rId59">
        <w:r>
          <w:rPr>
            <w:color w:val="1155CC"/>
            <w:u w:val="single"/>
          </w:rPr>
          <w:t>10.1002/adma.202516221</w:t>
        </w:r>
      </w:hyperlink>
    </w:p>
    <w:p>
      <w:pPr>
        <w:spacing w:before="0" w:after="120"/>
      </w:pPr>
      <w:r>
        <w:rPr>
          <w:b/>
        </w:rPr>
        <w:t xml:space="preserve">Notes: </w:t>
      </w:r>
      <w:r>
        <w:t>abstract_source=crossref</w:t>
      </w:r>
    </w:p>
    <w:p>
      <w:pPr>
        <w:spacing w:before="0" w:after="200" w:lineRule="auto" w:line="276"/>
      </w:pPr>
      <w:r>
        <w:rPr>
          <w:b/>
        </w:rPr>
        <w:t xml:space="preserve">Abstract: </w:t>
      </w:r>
      <w:r>
        <w:t>The use of micromotors‐based delivery systems for inflammatory bowel disease (IBD) treatment has recently gained considerable interest. The current research primarily focuses on how to design micromotors with more elaborate geometries and actuation mechanisms to improve IBD therapeutic effects. Herein, a novel type of reactive oxygen species (ROS)‐responsive hemispheroid adhesive micromotors (HMPs) as efficient delivery systems is developed to treat IBD. Such HMPs are fabricated through microfluidic electrospray technique, with a platinum (Pt) layer and dopamine (DOPA) coating layer covered on its top surface and baseplate, respectively. The Pt on HMPs′ top surface can produce oxygen from hydrogen peroxide, thereby providing a propulsion force for them to move spontaneously upon exposure to ROS environment. Moreover, the DOPA layer on the baseplate contributed to the outstanding adhesive capacity to tissues. Therefore, by incorporating anti‐inflammatory dexamethasone (DXM) into HMPs, the resultant micromotor systems are imparted with superior antioxidant and anti‐inflammatory capacities, which also exhibits desirable therapeutic effect upon treating IBD by alleviating inflammatory response, restoring epithelial barrier functions, and mitigating IBD‐associated symptoms. The treatment mechanism of DXM‐loaded HMPs mainly involves alleviating oxidative stress, reducing proinflammatory cytokines secretion, and protecting intestinal barrier. Collectively, these results illustrate HMPs‐based micromotor systems are valuable for gastrointestinal disease treatment.</w:t>
      </w:r>
    </w:p>
    <w:p>
      <w:pPr>
        <w:spacing w:before="120" w:after="120"/>
      </w:pPr>
      <w:r>
        <w:rPr>
          <w:sz w:val="18"/>
        </w:rPr>
        <w:t>——————————————————————————————————————————————————————————————————————</w:t>
      </w:r>
    </w:p>
    <w:p>
      <w:pPr>
        <w:spacing w:before="160" w:after="80" w:line="240" w:lineRule="auto"/>
      </w:pPr>
      <w:r>
        <w:rPr>
          <w:b/>
        </w:rPr>
        <w:t xml:space="preserve">[49] </w:t>
      </w:r>
      <w:hyperlink r:id="rId60">
        <w:r>
          <w:rPr>
            <w:color w:val="1155CC"/>
            <w:u w:val="single"/>
          </w:rPr>
          <w:t>High Photostrictive Strain Rate in Ferroelectric AlScN Thin Films</w:t>
        </w:r>
      </w:hyperlink>
    </w:p>
    <w:p>
      <w:pPr>
        <w:spacing w:before="0" w:after="120" w:line="240" w:lineRule="auto"/>
      </w:pPr>
      <w:r>
        <w:rPr>
          <w:b/>
        </w:rPr>
        <w:t xml:space="preserve">Source: </w:t>
      </w:r>
      <w:r>
        <w:t>Wiley: Advanced Materials: Table of Contents</w:t>
      </w:r>
      <w:r>
        <w:t xml:space="preserve">    </w:t>
      </w:r>
      <w:r>
        <w:rPr>
          <w:b/>
        </w:rPr>
        <w:t xml:space="preserve">Pub date: </w:t>
      </w:r>
      <w:r>
        <w:t>2025-12-30 05:13:02+00:00</w:t>
      </w:r>
      <w:r>
        <w:t xml:space="preserve">    </w:t>
      </w:r>
      <w:r>
        <w:rPr>
          <w:b/>
        </w:rPr>
        <w:t xml:space="preserve">DOI: </w:t>
      </w:r>
      <w:hyperlink r:id="rId61">
        <w:r>
          <w:rPr>
            <w:color w:val="1155CC"/>
            <w:u w:val="single"/>
          </w:rPr>
          <w:t>10.1002/adma.202519418</w:t>
        </w:r>
      </w:hyperlink>
    </w:p>
    <w:p>
      <w:pPr>
        <w:spacing w:before="0" w:after="120"/>
      </w:pPr>
      <w:r>
        <w:rPr>
          <w:b/>
        </w:rPr>
        <w:t xml:space="preserve">Notes: </w:t>
      </w:r>
      <w:r>
        <w:t>abstract_source=crossref</w:t>
      </w:r>
    </w:p>
    <w:p>
      <w:pPr>
        <w:spacing w:before="0" w:after="200" w:lineRule="auto" w:line="276"/>
      </w:pPr>
      <w:r>
        <w:rPr>
          <w:b/>
        </w:rPr>
        <w:t xml:space="preserve">Abstract: </w:t>
      </w:r>
      <w:r>
        <w:t>Photostriction refers to non‐thermal strain in materials induced by light, such as through opto‐electro‐mechanical coupling involving the bulk photovoltaic effect (BPVE) and the converse piezoelectric effect in a ferroelectric material. Conventional ferroelectric photostrictive responses are extremely slow, with strain rates below 10</w:t>
      </w:r>
      <w:r>
        <w:t xml:space="preserve"> </w:t>
      </w:r>
      <w:r>
        <w:t>−</w:t>
      </w:r>
      <w:r>
        <w:rPr>
          <w:vertAlign w:val="subscript"/>
        </w:rPr>
        <w:t>3</w:t>
      </w:r>
      <w:r>
        <w:t>s</w:t>
      </w:r>
      <w:r>
        <w:t xml:space="preserve"> </w:t>
      </w:r>
      <w:r>
        <w:t>−1</w:t>
      </w:r>
      <w:r>
        <w:t xml:space="preserve"> </w:t>
      </w:r>
      <w:r>
        <w:t>due to the long timescale of BPVE, limiting their use in high‐frequency or signal transmission applications. This work demonstrates a significantly enhanced photostrictive strain rate of 3.6 s</w:t>
      </w:r>
      <w:r>
        <w:t xml:space="preserve"> </w:t>
      </w:r>
      <w:r>
        <w:t>−1</w:t>
      </w:r>
      <w:r>
        <w:t xml:space="preserve"> </w:t>
      </w:r>
      <w:r>
        <w:t>in scandium aluminium nitride (Al</w:t>
      </w:r>
      <w:r>
        <w:t xml:space="preserve"> </w:t>
      </w:r>
      <w:r>
        <w:t>0.58</w:t>
      </w:r>
      <w:r>
        <w:t xml:space="preserve"> </w:t>
      </w:r>
      <w:r>
        <w:t>Sc</w:t>
      </w:r>
      <w:r>
        <w:t xml:space="preserve"> </w:t>
      </w:r>
      <w:r>
        <w:t>0.42</w:t>
      </w:r>
      <w:r>
        <w:t xml:space="preserve"> </w:t>
      </w:r>
      <w:r>
        <w:t>N) thin films under modulated continuous light excitation. The light‐induced strain amplitude is equivalent to that of electric‐field induced strain with 2 V applied across the film, underscoring the significant and competitive opto‐mechanical coupling. This fast response is attributed to nanoscale columnar domains that reduce the electric time delay and charge carrier drift distances, enabling rapid strain generation. The demonstrated fast photostriction provides a unique pathway for light‐driven actuation and acoustic wave excitation without requiring electrical wiring, electrodes or electric poling, thus, opening opportunities for developing acoustic micro‐actuators and novel optomechanical systems operating in a non‐contact mode.</w:t>
      </w:r>
    </w:p>
    <w:p>
      <w:pPr>
        <w:spacing w:before="120" w:after="120"/>
      </w:pPr>
      <w:r>
        <w:rPr>
          <w:sz w:val="18"/>
        </w:rPr>
        <w:t>——————————————————————————————————————————————————————————————————————</w:t>
      </w:r>
    </w:p>
    <w:p>
      <w:pPr>
        <w:spacing w:before="160" w:after="80" w:line="240" w:lineRule="auto"/>
      </w:pPr>
      <w:r>
        <w:rPr>
          <w:b/>
        </w:rPr>
        <w:t xml:space="preserve">[50] </w:t>
      </w:r>
      <w:hyperlink r:id="rId62">
        <w:r>
          <w:rPr>
            <w:color w:val="1155CC"/>
            <w:u w:val="single"/>
          </w:rPr>
          <w:t>Intrinsic OASL expression governs heterogeneity in interferon induction during influenza A virus infection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63">
        <w:r>
          <w:rPr>
            <w:color w:val="1155CC"/>
            <w:u w:val="single"/>
          </w:rPr>
          <w:t>10.1073/pnas.2509560123</w:t>
        </w:r>
      </w:hyperlink>
    </w:p>
    <w:p>
      <w:pPr>
        <w:spacing w:before="0" w:after="120"/>
      </w:pPr>
      <w:r>
        <w:rPr>
          <w:b/>
        </w:rPr>
        <w:t xml:space="preserve">Notes: </w:t>
      </w:r>
      <w:r>
        <w:t>abstract_source=crossref</w:t>
      </w:r>
    </w:p>
    <w:p>
      <w:pPr>
        <w:spacing w:before="0" w:after="200" w:lineRule="auto" w:line="276"/>
      </w:pPr>
      <w:r>
        <w:rPr>
          <w:b/>
        </w:rPr>
        <w:t xml:space="preserve">Abstract: </w:t>
      </w:r>
      <w:r>
        <w:t>Effective control of viral infection requires rapid induction of the innate immune response, especially the type I and type III interferon (IFN) systems. Despite the critical role of IFN induction in host defense, numerous studies have established that most cells fail to produce IFNs in response to viral stimuli. The specific factors that govern cellular heterogeneity in IFN induction potential during infection are not understood. To identify specific host factors that license some cells but not others to mount an IFN response to viral infection, we developed an approach for analyzing temporal scRNA-seq data of influenza A virus (IAV)-infected cells. This approach identified the expression of several interferon stimulated genes (ISGs) within preinfection cells as correlates of IFN induction potential of those cells, postinfection. Validation experiments confirmed that intrinsic expression of the ISG OASL is essential for robust IFNL induction during IAV infection. Altogether, our findings reveal an important role for intrinsic expression of ISGs in promoting IFN induction and provide insights into the mechanisms that regulate cell-to-cell heterogeneity in innate immune activation.</w:t>
      </w:r>
    </w:p>
    <w:p>
      <w:pPr>
        <w:spacing w:before="120" w:after="120"/>
      </w:pPr>
      <w:r>
        <w:rPr>
          <w:sz w:val="18"/>
        </w:rPr>
        <w:t>——————————————————————————————————————————————————————————————————————</w:t>
      </w:r>
    </w:p>
    <w:p>
      <w:pPr>
        <w:spacing w:before="160" w:after="80" w:line="240" w:lineRule="auto"/>
      </w:pPr>
      <w:r>
        <w:rPr>
          <w:b/>
        </w:rPr>
        <w:t xml:space="preserve">[51] </w:t>
      </w:r>
      <w:hyperlink r:id="rId64">
        <w:r>
          <w:rPr>
            <w:color w:val="1155CC"/>
            <w:u w:val="single"/>
          </w:rPr>
          <w:t>Nucleic acid base pair open states by hydrogen exchange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65">
        <w:r>
          <w:rPr>
            <w:color w:val="1155CC"/>
            <w:u w:val="single"/>
          </w:rPr>
          <w:t>10.1073/pnas.2520855122</w:t>
        </w:r>
      </w:hyperlink>
    </w:p>
    <w:p>
      <w:pPr>
        <w:spacing w:before="0" w:after="120"/>
      </w:pPr>
      <w:r>
        <w:rPr>
          <w:b/>
        </w:rPr>
        <w:t xml:space="preserve">Notes: </w:t>
      </w:r>
      <w:r>
        <w:t>abstract_source=crossref</w:t>
      </w:r>
    </w:p>
    <w:p>
      <w:pPr>
        <w:spacing w:before="0" w:after="200" w:lineRule="auto" w:line="276"/>
      </w:pPr>
      <w:r>
        <w:rPr>
          <w:b/>
        </w:rPr>
        <w:t xml:space="preserve">Abstract: </w:t>
      </w:r>
      <w:r>
        <w:t>Nucleic acid base pair open states that are actively driven to expose normally hidden sequences and host reactions with processing proteins have been highly studied. However, the spontaneous natural base pair opening behavior of native duplexes is still not understood. Hydrogen exchange (HX) experiments can measure the kinetic and equilibrium parameters of base pair opening reactions, but different approaches have led to discrepant datasets and opposing views of nucleic acid structural dynamics. Here, I reexamine the data and resolve these long-standing contradictory views. The conclusion is that the seemingly contradictory datasets characterize two different modes of base pair opening reactions that, for identifiable reasons, are selectively accessed by the different methods and molecular models used. H-T exchange of DNA, duplex RNA, and long synthetic duplexes is dominated by large multi-base-pair openings with reclosing times of milliseconds (kcl ~20/sec) and surprisingly high population (Kop ~10</w:t>
      </w:r>
      <w:r>
        <w:t xml:space="preserve"> </w:t>
      </w:r>
      <w:r>
        <w:t>−2</w:t>
      </w:r>
      <w:r>
        <w:t xml:space="preserve"> </w:t>
      </w:r>
      <w:r>
        <w:t>). H-H exchange measured by NMR relaxation is limited to the study of small rapidly tumbling oligonucleotides. Their HX is dominated by single base pair openings with reclosing times of microseconds and extremely low population (Kop ~10</w:t>
      </w:r>
      <w:r>
        <w:t xml:space="preserve"> </w:t>
      </w:r>
      <w:r>
        <w:t>−6</w:t>
      </w:r>
      <w:r>
        <w:t xml:space="preserve"> </w:t>
      </w:r>
      <w:r>
        <w:t>). The different openings are seen selectively by the different methods because small oligonucleotides cannot host the extensive openings, while in large polynucleotides, the minimal population of single base pair openings makes no perceptible contribution to measured HX. The unexpected kinetics, equilibrium occupation, and size of DNA base pair openings are suggestive of rapidly migrating traveling loop wave packets known as solitons that dynamically scan and expose candidate recognition sites.</w:t>
      </w:r>
    </w:p>
    <w:p>
      <w:pPr>
        <w:spacing w:before="120" w:after="120"/>
      </w:pPr>
      <w:r>
        <w:rPr>
          <w:sz w:val="18"/>
        </w:rPr>
        <w:t>——————————————————————————————————————————————————————————————————————</w:t>
      </w:r>
    </w:p>
    <w:p>
      <w:pPr>
        <w:spacing w:before="160" w:after="80" w:line="240" w:lineRule="auto"/>
      </w:pPr>
      <w:r>
        <w:rPr>
          <w:b/>
        </w:rPr>
        <w:t xml:space="preserve">[52] </w:t>
      </w:r>
      <w:hyperlink r:id="rId66">
        <w:r>
          <w:rPr>
            <w:color w:val="1155CC"/>
            <w:u w:val="single"/>
          </w:rPr>
          <w:t>Legionella effector Ceg10 acetylates RPS20 to inhibit host translation and induce cell cycle arrest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67">
        <w:r>
          <w:rPr>
            <w:color w:val="1155CC"/>
            <w:u w:val="single"/>
          </w:rPr>
          <w:t>10.1073/pnas.2517995123</w:t>
        </w:r>
      </w:hyperlink>
    </w:p>
    <w:p>
      <w:pPr>
        <w:spacing w:before="0" w:after="120"/>
      </w:pPr>
      <w:r>
        <w:rPr>
          <w:b/>
        </w:rPr>
        <w:t xml:space="preserve">Notes: </w:t>
      </w:r>
      <w:r>
        <w:t>abstract_source=crossref</w:t>
      </w:r>
    </w:p>
    <w:p>
      <w:pPr>
        <w:spacing w:before="0" w:after="200" w:lineRule="auto" w:line="276"/>
      </w:pPr>
      <w:r>
        <w:rPr>
          <w:b/>
        </w:rPr>
        <w:t xml:space="preserve">Abstract: </w:t>
      </w:r>
      <w:r>
        <w:t>Legionella pneumophila</w:t>
      </w:r>
      <w:r>
        <w:t xml:space="preserve"> </w:t>
      </w:r>
      <w:r>
        <w:t>, the causative agent of Legionnaires’ disease, utilizes a type IV secretion system (T4SS) to translocate effectors into host cells, modulating diverse cellular processes to create a replication-permissive niche. Here, we characterize Ceg10, a T4SS-translocated effector, as a nucleus-targeting acetyltransferase that interferes with host ribosome biogenesis and cell cycle progression. Structural analysis reveals that Ceg10 harbors a conserved Cys-His-Asp (CHD) catalytic triad required for its acetyltransferase activity. Upon nuclear import mediated by the host transport adaptor HEATR3, Ceg10 selectively acetylates the ribosomal protein RPS20 at Thr64, Thr65, and Arg66, which have not been annotated as posttranslational modification sites. This acetylation impairs RPS20’s interaction with RPS29 and 18S rRNA, two components critical for 40S ribosomal subunit assembly, leading to translation inhibition and G1/S cell cycle arrest. These host perturbations are essential for efficient early-stage intracellular replication of</w:t>
      </w:r>
      <w:r>
        <w:t xml:space="preserve"> </w:t>
      </w:r>
      <w:r>
        <w:t>L. pneumophila</w:t>
      </w:r>
      <w:r>
        <w:t xml:space="preserve"> </w:t>
      </w:r>
      <w:r>
        <w:t>. Our findings identify a distinct mechanism by which a bacterial effector co-opts nuclear import machinery and directly modifies ribosomal proteins to subvert host biosynthesis and cell cycle control, highlighting ribosomal protein acetylation as a hitherto unrecognized role in host–pathogen interactions.</w:t>
      </w:r>
    </w:p>
    <w:p>
      <w:pPr>
        <w:spacing w:before="120" w:after="120"/>
      </w:pPr>
      <w:r>
        <w:rPr>
          <w:sz w:val="18"/>
        </w:rPr>
        <w:t>——————————————————————————————————————————————————————————————————————</w:t>
      </w:r>
    </w:p>
    <w:p>
      <w:pPr>
        <w:spacing w:before="160" w:after="80" w:line="240" w:lineRule="auto"/>
      </w:pPr>
      <w:r>
        <w:rPr>
          <w:b/>
        </w:rPr>
        <w:t xml:space="preserve">[53] </w:t>
      </w:r>
      <w:hyperlink r:id="rId68">
        <w:r>
          <w:rPr>
            <w:color w:val="1155CC"/>
            <w:u w:val="single"/>
          </w:rPr>
          <w:t>NFE2L1/Nrf1 forms a coactivator complex post-peptide:N-glycanase-mediated sequence editing and mitigates proteasome dysfunction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69">
        <w:r>
          <w:rPr>
            <w:color w:val="1155CC"/>
            <w:u w:val="single"/>
          </w:rPr>
          <w:t>10.1073/pnas.2517547123</w:t>
        </w:r>
      </w:hyperlink>
    </w:p>
    <w:p>
      <w:pPr>
        <w:spacing w:before="0" w:after="120"/>
      </w:pPr>
      <w:r>
        <w:rPr>
          <w:b/>
        </w:rPr>
        <w:t xml:space="preserve">Notes: </w:t>
      </w:r>
      <w:r>
        <w:t>abstract_source=crossref</w:t>
      </w:r>
    </w:p>
    <w:p>
      <w:pPr>
        <w:spacing w:before="0" w:after="200" w:lineRule="auto" w:line="276"/>
      </w:pPr>
      <w:r>
        <w:rPr>
          <w:b/>
        </w:rPr>
        <w:t xml:space="preserve">Abstract: </w:t>
      </w:r>
      <w:r>
        <w:t>Nuclear factor erythroid 2-like 1 (NFE2L1/Nrf1), an endoplasmic reticulum (ER)-associated transcription factor, is responsible for the coordinated expression of proteasome subunit genes upon proteasomal dysfunction.</w:t>
      </w:r>
      <w:r>
        <w:t xml:space="preserve"> </w:t>
      </w:r>
      <w:r>
        <w:t>N</w:t>
      </w:r>
      <w:r>
        <w:t xml:space="preserve"> </w:t>
      </w:r>
      <w:r>
        <w:t>-glycosylated proteins undergo protein sequence editing by peptide:</w:t>
      </w:r>
      <w:r>
        <w:t xml:space="preserve"> </w:t>
      </w:r>
      <w:r>
        <w:t>N</w:t>
      </w:r>
      <w:r>
        <w:t xml:space="preserve"> </w:t>
      </w:r>
      <w:r>
        <w:t>-glycanase (NGLY1)-mediated conversion of</w:t>
      </w:r>
      <w:r>
        <w:t xml:space="preserve"> </w:t>
      </w:r>
      <w:r>
        <w:t>N</w:t>
      </w:r>
      <w:r>
        <w:t xml:space="preserve"> </w:t>
      </w:r>
      <w:r>
        <w:t>-glycosylated asparagine residues to aspartic acid. Nrf proteins are the only transcription factors that undergo sequence editing for transcriptional activation. However, the mechanism via which sequence editing regulates the transcriptional activity of Nrf1 has remained unclear. Here, we demonstrated that sequence editing of the ninth</w:t>
      </w:r>
      <w:r>
        <w:t xml:space="preserve"> </w:t>
      </w:r>
      <w:r>
        <w:t>N</w:t>
      </w:r>
      <w:r>
        <w:t xml:space="preserve"> </w:t>
      </w:r>
      <w:r>
        <w:t>-glycosylation site (Asn574) in human Nrf1 is required for proteasome gene expression in HeLa cells. Editing of Asn574 is essential for interaction with host cell factor C1 and</w:t>
      </w:r>
      <w:r>
        <w:t xml:space="preserve"> </w:t>
      </w:r>
      <w:r>
        <w:t>O</w:t>
      </w:r>
      <w:r>
        <w:t xml:space="preserve"> </w:t>
      </w:r>
      <w:r>
        <w:t>-GlcNAc transferase, which is required for Nrf1 chromatin binding and sufficient proteasome expression. Furthermore, sequence editing of</w:t>
      </w:r>
      <w:r>
        <w:t xml:space="preserve"> </w:t>
      </w:r>
      <w:r>
        <w:t>N</w:t>
      </w:r>
      <w:r>
        <w:t xml:space="preserve"> </w:t>
      </w:r>
      <w:r>
        <w:t>-glycosylation sites other than Asn574 is required for the interaction with the coactivator CREBBP/EP300, thereby enhancing Nrf1’s transcriptional activity. Unexpectedly, the expression of Nrf1 mutants that mimic proteolytic processing by DNA-damage-inducible 1 homolog 2 and sequence editing by NGLY1 markedly diminished the growth rate in HeLa cells, suggesting that the constitutive activation of Nrf1 exhibits cytotoxicity. Collectively, our study explains the strategy of on-demand Nrf1 activation for survival benefits. Nrf1 is synthesized as a proteasome-targeting protein and is highly glycosylated in the ER. Nrf1 is activated via sequence editing-dependent coactivator complex formation only when the proteasome needs to be compensated for.</w:t>
      </w:r>
    </w:p>
    <w:p>
      <w:pPr>
        <w:spacing w:before="120" w:after="120"/>
      </w:pPr>
      <w:r>
        <w:rPr>
          <w:sz w:val="18"/>
        </w:rPr>
        <w:t>——————————————————————————————————————————————————————————————————————</w:t>
      </w:r>
    </w:p>
    <w:p>
      <w:pPr>
        <w:spacing w:before="160" w:after="80" w:line="240" w:lineRule="auto"/>
      </w:pPr>
      <w:r>
        <w:rPr>
          <w:b/>
        </w:rPr>
        <w:t xml:space="preserve">[54] </w:t>
      </w:r>
      <w:hyperlink r:id="rId70">
        <w:r>
          <w:rPr>
            <w:color w:val="1155CC"/>
            <w:u w:val="single"/>
          </w:rPr>
          <w:t>Experimental manipulation of ecological and cognitive conditions produces the entire conformity–diversity spectrum in a single species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71">
        <w:r>
          <w:rPr>
            <w:color w:val="1155CC"/>
            <w:u w:val="single"/>
          </w:rPr>
          <w:t>10.1073/pnas.2517195123</w:t>
        </w:r>
      </w:hyperlink>
    </w:p>
    <w:p>
      <w:pPr>
        <w:spacing w:before="0" w:after="120"/>
      </w:pPr>
      <w:r>
        <w:rPr>
          <w:b/>
        </w:rPr>
        <w:t xml:space="preserve">Notes: </w:t>
      </w:r>
      <w:r>
        <w:t>abstract_source=crossref</w:t>
      </w:r>
    </w:p>
    <w:p>
      <w:pPr>
        <w:spacing w:before="0" w:after="200" w:lineRule="auto" w:line="276"/>
      </w:pPr>
      <w:r>
        <w:rPr>
          <w:b/>
        </w:rPr>
        <w:t xml:space="preserve">Abstract: </w:t>
      </w:r>
      <w:r>
        <w:t>Identifying the factors that drive individuals in a population to conform to the same behavior or to exhibit behavioral diversity is crucial for understanding collective decision-making, information transmission, and culture, yet remains challenging. Here, we propose and test a conceptual model predicting a population’s position along a conformity–diversity (CD) spectrum based on two key axes shaping the CD landscape: an ecological axis, representing competition over depleted resources, which favors diversity over conformity (since resources are depleted sooner if all individuals conform to the same resource type), and a cognitive axis reflecting the relative ease of learning a behavior socially versus individually. Our experiments show that manipulating these two primary factors is sufficient to produce the full CD spectrum within a single species. Specifically, studying socially foraging house sparrows, we manipulated competition using depleted or nondepleted feeding wells and manipulated the relative ease of learning a task individually by manipulating levels of experience and task difficulty. As predicted by the model, sparrows exhibited strong conformity under the combination of “no food depletion” and “difficult individual learning” conditions, strong diversity under the combination of “food depletion” and “easy individual learning” conditions, and intermediate levels of conformity under mixed conditions. The results show that a population’s position along the CD spectrum is highly flexible and sensitive to ecological and task-related conditions. Accordingly, the demonstrated CD surface may be viewed as an evolving reaction norm, and hence as a baseline over which additional factors shaping social conformity and differentiation can be tested.</w:t>
      </w:r>
    </w:p>
    <w:p>
      <w:pPr>
        <w:spacing w:before="120" w:after="120"/>
      </w:pPr>
      <w:r>
        <w:rPr>
          <w:sz w:val="18"/>
        </w:rPr>
        <w:t>——————————————————————————————————————————————————————————————————————</w:t>
      </w:r>
    </w:p>
    <w:p>
      <w:pPr>
        <w:spacing w:before="160" w:after="80" w:line="240" w:lineRule="auto"/>
      </w:pPr>
      <w:r>
        <w:rPr>
          <w:b/>
        </w:rPr>
        <w:t xml:space="preserve">[55] </w:t>
      </w:r>
      <w:hyperlink r:id="rId72">
        <w:r>
          <w:rPr>
            <w:color w:val="1155CC"/>
            <w:u w:val="single"/>
          </w:rPr>
          <w:t>Multiscale mitochondrial cristae remodeling links Opa1 downregulation to reduced OXPHOS capacity in aged hearts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73">
        <w:r>
          <w:rPr>
            <w:color w:val="1155CC"/>
            <w:u w:val="single"/>
          </w:rPr>
          <w:t>10.1073/pnas.2508911123</w:t>
        </w:r>
      </w:hyperlink>
    </w:p>
    <w:p>
      <w:pPr>
        <w:spacing w:before="0" w:after="120"/>
      </w:pPr>
      <w:r>
        <w:rPr>
          <w:b/>
        </w:rPr>
        <w:t xml:space="preserve">Notes: </w:t>
      </w:r>
      <w:r>
        <w:t>abstract_source=crossref</w:t>
      </w:r>
    </w:p>
    <w:p>
      <w:pPr>
        <w:spacing w:before="0" w:after="200" w:lineRule="auto" w:line="276"/>
      </w:pPr>
      <w:r>
        <w:rPr>
          <w:b/>
        </w:rPr>
        <w:t xml:space="preserve">Abstract: </w:t>
      </w:r>
      <w:r>
        <w:t>Aging is closely associated with cardiovascular diseases, the leading cause of mortality worldwide. Mitochondrial dysfunction is a hallmark of cardiovascular aging. Most of the heart’s ATP is produced at the cristae, specialized subcompartments where oxidative phosphorylation (OXPHOS) takes place. In this study, we used multiple-scale electron microscopy approaches to evaluate age-related mitochondrial and ultrastructural alterations of cristae in human and mouse hearts. We found that aged patients’ hearts displayed reduced cristae density as seen by transmission electron microscopy (TEM), even before any significant decline in the expression of cristae-shaping proteins. Similarly, a multiscale approach that included TEM and serial block-face scanning electron microscopy (SBF-SEM) showed that in aged mice’s hearts, cristae undergo ultrastructural remodeling processes, resulting in a decrease in cristae density and width. Electron tomography suggests an apparent decline in cristae connectivity and an increase in fenestration size. These changes were linked to Opa1 downregulation, accompanied by reduced maximal OXPHOS respiration, but unrelated to alterations in the abundance of OXPHOS core subunits and ATP synthase assembly. Altogether, this indicates that alterations in cristae structure alone are sufficient to impair oxidative metabolism, which highlights its potential as an early signal of cardiac aging, even before noticeable changes in mitochondrial morphology occur.</w:t>
      </w:r>
    </w:p>
    <w:p>
      <w:pPr>
        <w:spacing w:before="120" w:after="120"/>
      </w:pPr>
      <w:r>
        <w:rPr>
          <w:sz w:val="18"/>
        </w:rPr>
        <w:t>——————————————————————————————————————————————————————————————————————</w:t>
      </w:r>
    </w:p>
    <w:p>
      <w:pPr>
        <w:spacing w:before="160" w:after="80" w:line="240" w:lineRule="auto"/>
      </w:pPr>
      <w:r>
        <w:rPr>
          <w:b/>
        </w:rPr>
        <w:t xml:space="preserve">[56] </w:t>
      </w:r>
      <w:hyperlink r:id="rId74">
        <w:r>
          <w:rPr>
            <w:color w:val="1155CC"/>
            <w:u w:val="single"/>
          </w:rPr>
          <w:t>Circular RNA–based therapy targeting metabolic vulnerability of fatty acid synthesis overcomes castration-resistant prostate cancer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75">
        <w:r>
          <w:rPr>
            <w:color w:val="1155CC"/>
            <w:u w:val="single"/>
          </w:rPr>
          <w:t>10.1073/pnas.2504904123</w:t>
        </w:r>
      </w:hyperlink>
    </w:p>
    <w:p>
      <w:pPr>
        <w:spacing w:before="0" w:after="120"/>
      </w:pPr>
      <w:r>
        <w:rPr>
          <w:b/>
        </w:rPr>
        <w:t xml:space="preserve">Notes: </w:t>
      </w:r>
      <w:r>
        <w:t>abstract_source=crossref</w:t>
      </w:r>
    </w:p>
    <w:p>
      <w:pPr>
        <w:spacing w:before="0" w:after="200" w:lineRule="auto" w:line="276"/>
      </w:pPr>
      <w:r>
        <w:rPr>
          <w:b/>
        </w:rPr>
        <w:t xml:space="preserve">Abstract: </w:t>
      </w:r>
      <w:r>
        <w:t>Androgen receptor (AR) signaling is essential for prostate cancer (PCa) cell growth and remains a key therapeutic target in castration-resistant PCa (CRPC). While circular RNAs (circRNAs) are increasingly recognized as important regulatory molecules, their roles in AR signaling during PCa progression remain poorly understood. This study identified</w:t>
      </w:r>
      <w:r>
        <w:t xml:space="preserve"> </w:t>
      </w:r>
      <w:r>
        <w:t>circUTRN</w:t>
      </w:r>
      <w:r>
        <w:t xml:space="preserve"> </w:t>
      </w:r>
      <w:r>
        <w:t>, an AR-inhibited circRNA that is upregulated following neoadjuvant hormonal therapy and downregulated in PCa tissues.</w:t>
      </w:r>
      <w:r>
        <w:t xml:space="preserve"> </w:t>
      </w:r>
      <w:r>
        <w:t>circUTRN</w:t>
      </w:r>
      <w:r>
        <w:t xml:space="preserve"> </w:t>
      </w:r>
      <w:r>
        <w:t>inhibits proliferation in both castration-sensitive and castration-resistant PCa. Mechanistically,</w:t>
      </w:r>
      <w:r>
        <w:t xml:space="preserve"> </w:t>
      </w:r>
      <w:r>
        <w:t>circUTRN</w:t>
      </w:r>
      <w:r>
        <w:t xml:space="preserve"> </w:t>
      </w:r>
      <w:r>
        <w:t>binds to acetyl-CoA carboxylase 1 (ACC1) and impairs the activity through both phosphorylation-dependent and independent pathways, thereby disturbing de novo fatty acid synthesis. The dynamic relation between</w:t>
      </w:r>
      <w:r>
        <w:t xml:space="preserve"> </w:t>
      </w:r>
      <w:r>
        <w:t>circUTRN</w:t>
      </w:r>
      <w:r>
        <w:t xml:space="preserve"> </w:t>
      </w:r>
      <w:r>
        <w:t>and ACC1 expression during PCa progression from treatment-naïve to therapeutic-resistant states highlights the metabolic vulnerability of fatty acid synthesis. Notably, we developed nanoparticles to deliver</w:t>
      </w:r>
      <w:r>
        <w:t xml:space="preserve"> </w:t>
      </w:r>
      <w:r>
        <w:t>circUTRN</w:t>
      </w:r>
      <w:r>
        <w:t xml:space="preserve"> </w:t>
      </w:r>
      <w:r>
        <w:t>in combination with AR signaling inhibitors (ARSIs). This approach effectively suppressed CRPC xenograft tumor growth, even in models resistant to next-generation ARSIs. This study reveals an AR-regulated circRNA involved in PCa progression and suggests a potential therapeutic strategy for treatment-resistant PCa.</w:t>
      </w:r>
    </w:p>
    <w:p>
      <w:pPr>
        <w:spacing w:before="120" w:after="120"/>
      </w:pPr>
      <w:r>
        <w:rPr>
          <w:sz w:val="18"/>
        </w:rPr>
        <w:t>——————————————————————————————————————————————————————————————————————</w:t>
      </w:r>
    </w:p>
    <w:p>
      <w:pPr>
        <w:spacing w:before="160" w:after="80" w:line="240" w:lineRule="auto"/>
      </w:pPr>
      <w:r>
        <w:rPr>
          <w:b/>
        </w:rPr>
        <w:t xml:space="preserve">[57] </w:t>
      </w:r>
      <w:hyperlink r:id="rId76">
        <w:r>
          <w:rPr>
            <w:color w:val="1155CC"/>
            <w:u w:val="single"/>
          </w:rPr>
          <w:t>In This Issue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77">
        <w:r>
          <w:rPr>
            <w:color w:val="1155CC"/>
            <w:u w:val="single"/>
          </w:rPr>
          <w:t>10.1073/iti5225122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[58] </w:t>
      </w:r>
      <w:hyperlink r:id="rId78">
        <w:r>
          <w:rPr>
            <w:color w:val="1155CC"/>
            <w:u w:val="single"/>
          </w:rPr>
          <w:t>Systematic identification of microtubule lumen proteins reveals a taxane-sensitive luminal resident JPT2 regulating MEC17 accessibility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79">
        <w:r>
          <w:rPr>
            <w:color w:val="1155CC"/>
            <w:u w:val="single"/>
          </w:rPr>
          <w:t>10.1073/pnas.2520123123</w:t>
        </w:r>
      </w:hyperlink>
    </w:p>
    <w:p>
      <w:pPr>
        <w:spacing w:before="0" w:after="120"/>
      </w:pPr>
      <w:r>
        <w:rPr>
          <w:b/>
        </w:rPr>
        <w:t xml:space="preserve">Notes: </w:t>
      </w:r>
      <w:r>
        <w:t>abstract_source=crossref</w:t>
      </w:r>
    </w:p>
    <w:p>
      <w:pPr>
        <w:spacing w:before="0" w:after="200" w:lineRule="auto" w:line="276"/>
      </w:pPr>
      <w:r>
        <w:rPr>
          <w:b/>
        </w:rPr>
        <w:t xml:space="preserve">Abstract: </w:t>
      </w:r>
      <w:r>
        <w:t>Microtubules have been extensively studied for their interactions at the outer surface and ends, yet the regulatory mechanisms within the microtubule lumen, particularly in singlet microtubules, remain poorly understood. Here, we developed a proximity-labeling strategy to distinguish intraluminal from external proteins, enabling the systematic identification of key regulators residing within the singlet microtubule lumen. Among these, we focused on Jupiter microtubule-associated homolog 2 (JPT2), a conserved microtubule-binding protein. JPT2 binds directly to microtubules and localizes to the lumen in a C-terminal-dependent manner. Within this compartment, it modulates the distribution of the α-tubulin acetyltransferase MEC17 and contributes to luminal homeostasis. Notably, the luminal accessibility of JPT2 is highly sensitive to microtubule structural states and is markedly reduced by Paclitaxel treatment, suggesting that drug-induced conformational changes or steric hindrance can restrict luminal entry. Together, our findings identify JPT2 as a key organizer of the singlet microtubule lumen and provide a framework for the spatial and functional analysis of microtubule inner proteins. Beyond exogenous perturbations, our observations suggest that luminal protein distribution may also be modulated by steric competition or selective entry among intraluminal components, indicating a more intricate regulatory landscape within the microtubule interior.</w:t>
      </w:r>
    </w:p>
    <w:p>
      <w:pPr>
        <w:spacing w:before="120" w:after="120"/>
      </w:pPr>
      <w:r>
        <w:rPr>
          <w:sz w:val="18"/>
        </w:rPr>
        <w:t>——————————————————————————————————————————————————————————————————————</w:t>
      </w:r>
    </w:p>
    <w:p>
      <w:pPr>
        <w:spacing w:before="160" w:after="80" w:line="240" w:lineRule="auto"/>
      </w:pPr>
      <w:r>
        <w:rPr>
          <w:b/>
        </w:rPr>
        <w:t xml:space="preserve">[59] </w:t>
      </w:r>
      <w:hyperlink r:id="rId80">
        <w:r>
          <w:rPr>
            <w:color w:val="1155CC"/>
            <w:u w:val="single"/>
          </w:rPr>
          <w:t>Frustrated random-singlet state with ice-type structural fluctuation in spinel titanates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81">
        <w:r>
          <w:rPr>
            <w:color w:val="1155CC"/>
            <w:u w:val="single"/>
          </w:rPr>
          <w:t>10.1073/pnas.2517926123</w:t>
        </w:r>
      </w:hyperlink>
    </w:p>
    <w:p>
      <w:pPr>
        <w:spacing w:before="0" w:after="120"/>
      </w:pPr>
      <w:r>
        <w:rPr>
          <w:b/>
        </w:rPr>
        <w:t xml:space="preserve">Notes: </w:t>
      </w:r>
      <w:r>
        <w:t>abstract_source=crossref</w:t>
      </w:r>
    </w:p>
    <w:p>
      <w:pPr>
        <w:spacing w:before="0" w:after="200" w:lineRule="auto" w:line="276"/>
      </w:pPr>
      <w:r>
        <w:rPr>
          <w:b/>
        </w:rPr>
        <w:t xml:space="preserve">Abstract: </w:t>
      </w:r>
      <w:r>
        <w:t>In ice, it is well known that the orientation of H</w:t>
      </w:r>
      <w:r>
        <w:rPr>
          <w:vertAlign w:val="subscript"/>
        </w:rPr>
        <w:t>2</w:t>
      </w:r>
      <w:r>
        <w:t>O molecules is disordered by geometrical frustration. Ice-analogous materials having a pyrochlore lattice display interesting phenomena such as the spin-ice state and the magnetic monopole. In the spinel titanate MgTi</w:t>
      </w:r>
      <w:r>
        <w:rPr>
          <w:vertAlign w:val="subscript"/>
        </w:rPr>
        <w:t>2</w:t>
      </w:r>
      <w:r>
        <w:t>O</w:t>
      </w:r>
      <w:r>
        <w:rPr>
          <w:vertAlign w:val="subscript"/>
        </w:rPr>
        <w:t>4</w:t>
      </w:r>
      <w:r>
        <w:t>, the Ti ions have a quantum spin in the pyrochlore lattice. The Ti ions are displaced, accompanied by the spin-singlet formation. Since this displacement pattern follows the ice rule, the title compound is a material analogous to ice. When a small quantity of Ti ions are replaced with Mg ions, the ice-type structural fluctuation exists. In this structural ice-type state, the spins are also fluctuating at a nanosecond scale down to 0.3 K. We ascribed this phenomenon to the gapless frustrated random-singlet state, in which the spin-singlet pairs are resonating, and the orphan spins are hopping.</w:t>
      </w:r>
    </w:p>
    <w:p>
      <w:pPr>
        <w:spacing w:before="120" w:after="120"/>
      </w:pPr>
      <w:r>
        <w:rPr>
          <w:sz w:val="18"/>
        </w:rPr>
        <w:t>——————————————————————————————————————————————————————————————————————</w:t>
      </w:r>
    </w:p>
    <w:p>
      <w:pPr>
        <w:spacing w:before="160" w:after="80" w:line="240" w:lineRule="auto"/>
      </w:pPr>
      <w:r>
        <w:rPr>
          <w:b/>
        </w:rPr>
        <w:t xml:space="preserve">[60] </w:t>
      </w:r>
      <w:hyperlink r:id="rId82">
        <w:r>
          <w:rPr>
            <w:color w:val="1155CC"/>
            <w:u w:val="single"/>
          </w:rPr>
          <w:t>Competition for heritable wealth, not cultural group selection, drives the evolution of monogamy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83">
        <w:r>
          <w:rPr>
            <w:color w:val="1155CC"/>
            <w:u w:val="single"/>
          </w:rPr>
          <w:t>10.1073/pnas.2514328122</w:t>
        </w:r>
      </w:hyperlink>
    </w:p>
    <w:p>
      <w:pPr>
        <w:spacing w:before="0" w:after="120"/>
      </w:pPr>
      <w:r>
        <w:rPr>
          <w:b/>
        </w:rPr>
        <w:t xml:space="preserve">Notes: </w:t>
      </w:r>
      <w:r>
        <w:t>abstract_source=crossref</w:t>
      </w:r>
    </w:p>
    <w:p>
      <w:pPr>
        <w:spacing w:before="0" w:after="200" w:lineRule="auto" w:line="276"/>
      </w:pPr>
      <w:r>
        <w:rPr>
          <w:b/>
        </w:rPr>
        <w:t xml:space="preserve">Abstract: </w:t>
      </w:r>
      <w:r>
        <w:t>The decline of polygyny and the rise of monogamy among complex, stratified societies characterized by high wealth inequality present a long-standing puzzle in anthropology. Competing explanations suggest that monogamy either i) reduces reproductive inequality, fosters cooperation, and enhances success in intergroup competition, or ii) mitigates conflict over heritable wealth—especially land—under conditions of high social stratification and ecological constraints. Both frameworks are influenced by the history of Indo-European societies, where monogamy has long been normative and closely associated with land inheritance and state formation. However, normative monogamy is also found in many societies beyond this historical context. To evaluate these competing hypotheses, we formalized their causal structure and applied Bayesian phylogenetic multilevel models to a global sample of 186 societies. Our results show that monogamy is strongly associated with land privatization and, in some regions, with ecological or demographic proxies for land scarcity—supporting the view that competition over heritable wealth promotes monogamy globally. In contrast, support for the intergroup competition model is inconsistent: While it may explain monogamy in some language families, these dynamics do not extend to most societies in our sample. Our findings suggest that monogamy arose repeatedly under similar socioecological conditions and cannot be fully explained by theories based primarily on Indo-European history.</w:t>
      </w:r>
    </w:p>
    <w:p>
      <w:pPr>
        <w:spacing w:before="120" w:after="120"/>
      </w:pPr>
      <w:r>
        <w:rPr>
          <w:sz w:val="18"/>
        </w:rPr>
        <w:t>——————————————————————————————————————————————————————————————————————</w:t>
      </w:r>
    </w:p>
    <w:p>
      <w:pPr>
        <w:spacing w:before="160" w:after="80" w:line="240" w:lineRule="auto"/>
      </w:pPr>
      <w:r>
        <w:rPr>
          <w:b/>
        </w:rPr>
        <w:t xml:space="preserve">[61] </w:t>
      </w:r>
      <w:hyperlink r:id="rId84">
        <w:r>
          <w:rPr>
            <w:color w:val="1155CC"/>
            <w:u w:val="single"/>
          </w:rPr>
          <w:t>Dual-state stepwise methane-to-methanol conversion by water droplets with excellent yield and selectivity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2025-12-30 08:00:00+00:00</w:t>
      </w:r>
      <w:r>
        <w:t xml:space="preserve">    </w:t>
      </w:r>
      <w:r>
        <w:rPr>
          <w:b/>
        </w:rPr>
        <w:t xml:space="preserve">DOI: </w:t>
      </w:r>
      <w:hyperlink r:id="rId85">
        <w:r>
          <w:rPr>
            <w:color w:val="1155CC"/>
            <w:u w:val="single"/>
          </w:rPr>
          <w:t>10.1073/pnas.2511126123</w:t>
        </w:r>
      </w:hyperlink>
    </w:p>
    <w:p>
      <w:pPr>
        <w:spacing w:before="0" w:after="120"/>
      </w:pPr>
      <w:r>
        <w:rPr>
          <w:b/>
        </w:rPr>
        <w:t xml:space="preserve">Notes: </w:t>
      </w:r>
      <w:r>
        <w:t>abstract_source=crossref</w:t>
      </w:r>
    </w:p>
    <w:p>
      <w:pPr>
        <w:spacing w:before="0" w:after="200" w:lineRule="auto" w:line="276"/>
      </w:pPr>
      <w:r>
        <w:rPr>
          <w:b/>
        </w:rPr>
        <w:t xml:space="preserve">Abstract: </w:t>
      </w:r>
      <w:r>
        <w:t>Leveraging the continuous and rapid deposition and evaporation processes of water microdroplets on photocatalyst surfaces, this study presents an innovative dual-state stepwise methane conversion approach. This method significantly enhances the photocatalytic methane oxidation rate and selectivity, addressing the challenges of low methane solubility and poor liquid product selectivity typically found in aqueous-phase methane oxidation. By increasing the looping frequency per unit time, we achieved a state-of-the-art methane oxidation rate of 640 µmol g</w:t>
      </w:r>
      <w:r>
        <w:t xml:space="preserve"> </w:t>
      </w:r>
      <w:r>
        <w:t>−1</w:t>
      </w:r>
      <w:r>
        <w:t xml:space="preserve"> </w:t>
      </w:r>
      <w:r>
        <w:t>h</w:t>
      </w:r>
      <w:r>
        <w:t xml:space="preserve"> </w:t>
      </w:r>
      <w:r>
        <w:t>−1</w:t>
      </w:r>
      <w:r>
        <w:t xml:space="preserve"> </w:t>
      </w:r>
      <w:r>
        <w:t>using water as the sole oxidant, while maintaining approximately 95% selectivity toward liquid products, including 90% for methanol. This water microdroplet-assisted strategy not only establishes a framework for achieving both high yield and selectivity in photocatalytic methane oxidation but also pioneers a more efficient and sustainable approach for broadly applicable gases and water-involved photochemical conversion processes.</w:t>
      </w:r>
    </w:p>
    <w:p>
      <w:pPr>
        <w:spacing w:before="120" w:after="120"/>
      </w:pPr>
      <w:r>
        <w:rPr>
          <w:sz w:val="18"/>
        </w:rPr>
        <w:t>——————————————————————————————————————————————————————————————————————</w:t>
      </w:r>
    </w:p>
    <w:p>
      <w:pPr>
        <w:spacing w:before="160" w:after="80" w:line="240" w:lineRule="auto"/>
      </w:pPr>
      <w:r>
        <w:rPr>
          <w:b/>
        </w:rPr>
        <w:t xml:space="preserve">[62] </w:t>
      </w:r>
      <w:hyperlink r:id="rId86">
        <w:r>
          <w:rPr>
            <w:color w:val="1155CC"/>
            <w:u w:val="single"/>
          </w:rPr>
          <w:t>[ASAP] Decoding the Nested, Multicycle Mechanism of Ni-Catalyzed Redox-Neutral Cross-Coupling through Temperature Scanning Reaction Calorimetry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09:24:18+00:00</w:t>
      </w:r>
      <w:r>
        <w:t xml:space="preserve">    </w:t>
      </w:r>
      <w:r>
        <w:rPr>
          <w:b/>
        </w:rPr>
        <w:t xml:space="preserve">DOI: </w:t>
      </w:r>
      <w:hyperlink r:id="rId87">
        <w:r>
          <w:rPr>
            <w:color w:val="1155CC"/>
            <w:u w:val="single"/>
          </w:rPr>
          <w:t>10.1021/jacs.5c15506</w:t>
        </w:r>
      </w:hyperlink>
    </w:p>
    <w:p>
      <w:pPr>
        <w:spacing w:before="0" w:after="120"/>
      </w:pPr>
      <w:r>
        <w:rPr>
          <w:b/>
        </w:rPr>
        <w:t xml:space="preserve">Notes: </w:t>
      </w:r>
      <w:r>
        <w:t>abstract_source=pubmed</w:t>
      </w:r>
    </w:p>
    <w:p>
      <w:pPr>
        <w:spacing w:before="0" w:after="200" w:lineRule="auto" w:line="276"/>
      </w:pPr>
      <w:r>
        <w:rPr>
          <w:b/>
        </w:rPr>
        <w:t xml:space="preserve">Abstract: </w:t>
      </w:r>
      <w:r>
        <w:t>Catalytic reactions involving multiple cycles are common in many key organic transformations. We report a detailed mechanistic analysis of one such network of "nested" cycles, the Ni-catalyzed cross-coupling of alkyl sulfonyl hydrazides with (hetero)aryl halides, employing a battery of techniques, including Temperature Scanning Reaction (TSR) calorimetry coupled with Reaction Progress Kinetic Analysis (RPKA), quantitative NMR time-course analysis, kinetic modeling, linear free energy analysis, and density functional theory (DFT) quantum chemical calculations. TSR/RPKA studies yield the simultaneous determination of the thermodynamic enthalpy of the reaction, the kinetic rate law, and the activation parameters (ΔH‡, ΔS‡, ΔG‡), for the rate-determining step. Expanding the analysis to the coupling of an array of electron-poor and electron-rich sulfonyl hydrazides (each readily accessible on the decagram scale) with a range of (hetero)aryl halide coupling partners introduces the concept of "kinetics matching," and demonstrates that optimal yields may be obtained when the reactivities of the separate cycles are tuned to work in unison. These requirements for reaction networks involving nested catalytic cycles are showcased by several real-world examples. Our work highlights the predictive power of this kinetics-focused mechanistic approach, which may be extended to other nested catalytic networks to select appropriate catalyst and substrate combinations for optimal outcomes.</w:t>
      </w:r>
    </w:p>
    <w:p>
      <w:pPr>
        <w:spacing w:before="120" w:after="120"/>
      </w:pPr>
      <w:r>
        <w:rPr>
          <w:sz w:val="18"/>
        </w:rPr>
        <w:t>——————————————————————————————————————————————————————————————————————</w:t>
      </w:r>
    </w:p>
    <w:p>
      <w:pPr>
        <w:spacing w:before="160" w:after="80" w:line="240" w:lineRule="auto"/>
      </w:pPr>
      <w:r>
        <w:rPr>
          <w:b/>
        </w:rPr>
        <w:t xml:space="preserve">[63] </w:t>
      </w:r>
      <w:hyperlink r:id="rId88">
        <w:r>
          <w:rPr>
            <w:color w:val="1155CC"/>
            <w:u w:val="single"/>
          </w:rPr>
          <w:t>[ASAP] Spectroscopic Characterization of the Charge-Separated Zwitterionic State Responsible for the Excimer-like Emission of a Luminescent Diradical</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10:18:07+00:00</w:t>
      </w:r>
      <w:r>
        <w:t xml:space="preserve">    </w:t>
      </w:r>
      <w:r>
        <w:rPr>
          <w:b/>
        </w:rPr>
        <w:t xml:space="preserve">DOI: </w:t>
      </w:r>
      <w:hyperlink r:id="rId89">
        <w:r>
          <w:rPr>
            <w:color w:val="1155CC"/>
            <w:u w:val="single"/>
          </w:rPr>
          <w:t>10.1021/jacs.5c17112</w:t>
        </w:r>
      </w:hyperlink>
    </w:p>
    <w:p>
      <w:pPr>
        <w:spacing w:before="0" w:after="120"/>
      </w:pPr>
      <w:r>
        <w:rPr>
          <w:b/>
        </w:rPr>
        <w:t xml:space="preserve">Notes: </w:t>
      </w:r>
      <w:r>
        <w:t>abstract_source=pubmed</w:t>
      </w:r>
    </w:p>
    <w:p>
      <w:pPr>
        <w:spacing w:before="0" w:after="200" w:lineRule="auto" w:line="276"/>
      </w:pPr>
      <w:r>
        <w:rPr>
          <w:b/>
        </w:rPr>
        <w:t xml:space="preserve">Abstract: </w:t>
      </w:r>
      <w:r>
        <w:t>Luminescent organic radicals often exhibit a red-shifted, broad, and structureless emission band when assembled in a host matrix. This emission has been attributed to pairs of neighboring photoexcited and ground-state radicals forming an excimer. However, the electronic character of this "excimer-like" (EX) state has not been definitively clarified through experiments. Here we present an experimental characterization of this EX state using a spatially confined luminescent diradical as a model for radical dimers. Comprehensive spectroscopic investigations revealed that the EX state of the diradical is a zwitterionic (ZI) state with a closed-shell singlet electronic configuration generated by intramolecular symmetry-breaking radical-to-radical charge transfer. In combination with previous magnetoluminescence studies, we experimentally show that the formation of the ZI state is specific to the singlet spin state. Our results enable a detailed understanding of the photophysics and photochemistry of radical multichromophoric systems for future spin photonics applications.</w:t>
      </w:r>
    </w:p>
    <w:p>
      <w:pPr>
        <w:spacing w:before="120" w:after="120"/>
      </w:pPr>
      <w:r>
        <w:rPr>
          <w:sz w:val="18"/>
        </w:rPr>
        <w:t>——————————————————————————————————————————————————————————————————————</w:t>
      </w:r>
    </w:p>
    <w:p>
      <w:pPr>
        <w:spacing w:before="160" w:after="80" w:line="240" w:lineRule="auto"/>
      </w:pPr>
      <w:r>
        <w:rPr>
          <w:b/>
        </w:rPr>
        <w:t xml:space="preserve">[64] </w:t>
      </w:r>
      <w:hyperlink r:id="rId90">
        <w:r>
          <w:rPr>
            <w:color w:val="1155CC"/>
            <w:u w:val="single"/>
          </w:rPr>
          <w:t>[ASAP] Correction to “Solvent-Assisted Self-Assembly of a Metal–Organic Framework Based Biocatalyst for Cascade Reaction Driven Photodynamic Therapy”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11:30:55+00:00</w:t>
      </w:r>
      <w:r>
        <w:t xml:space="preserve">    </w:t>
      </w:r>
      <w:r>
        <w:rPr>
          <w:b/>
        </w:rPr>
        <w:t xml:space="preserve">DOI: </w:t>
      </w:r>
      <w:hyperlink r:id="rId91">
        <w:r>
          <w:rPr>
            <w:color w:val="1155CC"/>
            <w:u w:val="single"/>
          </w:rPr>
          <w:t>10.1021/jacs.5c21749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[65] </w:t>
      </w:r>
      <w:hyperlink r:id="rId92">
        <w:r>
          <w:rPr>
            <w:color w:val="1155CC"/>
            <w:u w:val="single"/>
          </w:rPr>
          <w:t>Synthesis and Characterization of Unusual S=1 Fe(0)‐Silyl Complexes Supported by Styrene Ligands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2025-12-30 12:05:08+00:00</w:t>
      </w:r>
      <w:r>
        <w:t xml:space="preserve">    </w:t>
      </w:r>
      <w:r>
        <w:rPr>
          <w:b/>
        </w:rPr>
        <w:t xml:space="preserve">DOI: </w:t>
      </w:r>
      <w:hyperlink r:id="rId93">
        <w:r>
          <w:rPr>
            <w:color w:val="1155CC"/>
            <w:u w:val="single"/>
          </w:rPr>
          <w:t>10.1002/anie.202520739</w:t>
        </w:r>
      </w:hyperlink>
    </w:p>
    <w:p>
      <w:pPr>
        <w:spacing w:before="0" w:after="120"/>
      </w:pPr>
      <w:r>
        <w:rPr>
          <w:b/>
        </w:rPr>
        <w:t xml:space="preserve">Notes: </w:t>
      </w:r>
      <w:r>
        <w:t>abstract_source=crossref</w:t>
      </w:r>
    </w:p>
    <w:p>
      <w:pPr>
        <w:spacing w:before="0" w:after="200" w:lineRule="auto" w:line="276"/>
      </w:pPr>
      <w:r>
        <w:rPr>
          <w:b/>
        </w:rPr>
        <w:t xml:space="preserve">Abstract: </w:t>
      </w:r>
      <w:r>
        <w:t>In this research we report unprecedented high‐spin (</w:t>
      </w:r>
      <w:r>
        <w:t xml:space="preserve"> </w:t>
      </w:r>
      <w:r>
        <w:t>S</w:t>
      </w:r>
      <w:r>
        <w:t xml:space="preserve"> </w:t>
      </w:r>
      <w:r>
        <w:t>= 1) Fe(0)‐silyl complexes stabilized by simple styrene ligands. Access to these novel complexes follows a straightforward route through previously reported Fe(0)‐alkyl complexes paired with a range of aryl silanes to promote the protonation of the alkyl substituent and subsequent coordination of the silicon moiety. Spectroscopic and structural analyses (SC‐XRD, Evans Method, 80 K</w:t>
      </w:r>
      <w:r>
        <w:rPr>
          <w:vertAlign w:val="subscript"/>
        </w:rPr>
        <w:t>57</w:t>
      </w:r>
      <w:r>
        <w:t>Fe Mössbauer) established their unique electronic and structural configuration while DFT calculations further probed electronic structure and bonding effects of the styrene to Fe(0) centres, identifying essential electronic stability. By uncovering the first high‐spin (</w:t>
      </w:r>
      <w:r>
        <w:t xml:space="preserve"> </w:t>
      </w:r>
      <w:r>
        <w:t>S</w:t>
      </w:r>
      <w:r>
        <w:t xml:space="preserve"> </w:t>
      </w:r>
      <w:r>
        <w:t>= 1), alkene stabilized Fe(0)‐silyl complexes, this work offers further fundamental insights into Fe–Si bonding that can contribute to future insights into reactivity.</w:t>
      </w:r>
    </w:p>
    <w:p>
      <w:pPr>
        <w:spacing w:before="120" w:after="120"/>
      </w:pPr>
      <w:r>
        <w:rPr>
          <w:sz w:val="18"/>
        </w:rPr>
        <w:t>——————————————————————————————————————————————————————————————————————</w:t>
      </w:r>
    </w:p>
    <w:p>
      <w:pPr>
        <w:spacing w:before="160" w:after="80" w:line="240" w:lineRule="auto"/>
      </w:pPr>
      <w:r>
        <w:rPr>
          <w:b/>
        </w:rPr>
        <w:t xml:space="preserve">[66] </w:t>
      </w:r>
      <w:hyperlink r:id="rId94">
        <w:r>
          <w:rPr>
            <w:color w:val="1155CC"/>
            <w:u w:val="single"/>
          </w:rPr>
          <w:t>Natural Antioxidant‐Inspired Interfacial Engineering for Stable and High‐Performance Perovskite Solar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2025-12-30 12:06:43+00:00</w:t>
      </w:r>
      <w:r>
        <w:t xml:space="preserve">    </w:t>
      </w:r>
      <w:r>
        <w:rPr>
          <w:b/>
        </w:rPr>
        <w:t xml:space="preserve">DOI: </w:t>
      </w:r>
      <w:hyperlink r:id="rId95">
        <w:r>
          <w:rPr>
            <w:color w:val="1155CC"/>
            <w:u w:val="single"/>
          </w:rPr>
          <w:t>10.1002/aenm.202505914</w:t>
        </w:r>
      </w:hyperlink>
    </w:p>
    <w:p>
      <w:pPr>
        <w:spacing w:before="0" w:after="120"/>
      </w:pPr>
      <w:r>
        <w:rPr>
          <w:b/>
        </w:rPr>
        <w:t xml:space="preserve">Notes: </w:t>
      </w:r>
      <w:r>
        <w:t>abstract_source=crossref</w:t>
      </w:r>
    </w:p>
    <w:p>
      <w:pPr>
        <w:spacing w:before="0" w:after="200" w:lineRule="auto" w:line="276"/>
      </w:pPr>
      <w:r>
        <w:rPr>
          <w:b/>
        </w:rPr>
        <w:t xml:space="preserve">Abstract: </w:t>
      </w:r>
      <w:r>
        <w:t>Although perovskite solar cells (PSCs) have recently achieved high certified power conversion efficiencies (</w:t>
      </w:r>
      <w:r>
        <w:t xml:space="preserve"> </w:t>
      </w:r>
      <w:r>
        <w:t>PCEs</w:t>
      </w:r>
      <w:r>
        <w:t xml:space="preserve"> </w:t>
      </w:r>
      <w:r>
        <w:t>), operational instability remains a critical obstacle to commercialization. In particular, superoxide (O</w:t>
      </w:r>
      <w:r>
        <w:rPr>
          <w:vertAlign w:val="subscript"/>
        </w:rPr>
        <w:t>2</w:t>
      </w:r>
      <w:r>
        <w:t>∙</w:t>
      </w:r>
      <w:r>
        <w:t xml:space="preserve"> </w:t>
      </w:r>
      <w:r>
        <w:t>−</w:t>
      </w:r>
      <w:r>
        <w:t>) generated at metal‐oxide charge‐transport layers rapidly decomposes perovskites by deprotonating the organic cations (FA⁺ and MA</w:t>
      </w:r>
      <w:r>
        <w:t xml:space="preserve"> </w:t>
      </w:r>
      <w:r>
        <w:t>+</w:t>
      </w:r>
      <w:r>
        <w:t xml:space="preserve"> </w:t>
      </w:r>
      <w:r>
        <w:t>) and therefore must be suppressed. Nevertheless, under operating illumination, the formation and diffusion of O</w:t>
      </w:r>
      <w:r>
        <w:rPr>
          <w:vertAlign w:val="subscript"/>
        </w:rPr>
        <w:t>2</w:t>
      </w:r>
      <w:r>
        <w:t>∙</w:t>
      </w:r>
      <w:r>
        <w:t xml:space="preserve"> </w:t>
      </w:r>
      <w:r>
        <w:t>−</w:t>
      </w:r>
      <w:r>
        <w:t>are unavoidable as long as metal oxides are employed in PSCs. To address this, we introduce the natural antioxidant taurine at the SnO</w:t>
      </w:r>
      <w:r>
        <w:rPr>
          <w:vertAlign w:val="subscript"/>
        </w:rPr>
        <w:t>2</w:t>
      </w:r>
      <w:r>
        <w:t>/FAPbI</w:t>
      </w:r>
      <w:r>
        <w:rPr>
          <w:vertAlign w:val="subscript"/>
        </w:rPr>
        <w:t>3</w:t>
      </w:r>
      <w:r>
        <w:t>interface to suppress O</w:t>
      </w:r>
      <w:r>
        <w:rPr>
          <w:vertAlign w:val="subscript"/>
        </w:rPr>
        <w:t>2</w:t>
      </w:r>
      <w:r>
        <w:t>∙</w:t>
      </w:r>
      <w:r>
        <w:t xml:space="preserve"> </w:t>
      </w:r>
      <w:r>
        <w:t>−</w:t>
      </w:r>
      <w:r>
        <w:t>diffusion via chemical radical quenching. We elucidate the taurine‐mediated O</w:t>
      </w:r>
      <w:r>
        <w:rPr>
          <w:vertAlign w:val="subscript"/>
        </w:rPr>
        <w:t>2</w:t>
      </w:r>
      <w:r>
        <w:t>∙</w:t>
      </w:r>
      <w:r>
        <w:t xml:space="preserve"> </w:t>
      </w:r>
      <w:r>
        <w:t>−</w:t>
      </w:r>
      <w:r>
        <w:t>quenching mechanism through density functional theory (DFT) calculations supported by experiments. In addition, we find that I</w:t>
      </w:r>
      <w:r>
        <w:rPr>
          <w:vertAlign w:val="subscript"/>
        </w:rPr>
        <w:t>2</w:t>
      </w:r>
      <w:r>
        <w:t>is concomitantly reduced to I‐ during the quenching process. This antioxidant interface prevents O</w:t>
      </w:r>
      <w:r>
        <w:rPr>
          <w:vertAlign w:val="subscript"/>
        </w:rPr>
        <w:t>2</w:t>
      </w:r>
      <w:r>
        <w:t>∙</w:t>
      </w:r>
      <w:r>
        <w:t xml:space="preserve"> </w:t>
      </w:r>
      <w:r>
        <w:t>−</w:t>
      </w:r>
      <w:r>
        <w:t>induced perovskite decomposition under strongly oxidizing conditions. Moreover, the multifunctional groups of taurine form a chemical bridge between SnO</w:t>
      </w:r>
      <w:r>
        <w:rPr>
          <w:vertAlign w:val="subscript"/>
        </w:rPr>
        <w:t>2</w:t>
      </w:r>
      <w:r>
        <w:t>and FAPbI</w:t>
      </w:r>
      <w:r>
        <w:rPr>
          <w:vertAlign w:val="subscript"/>
        </w:rPr>
        <w:t>3</w:t>
      </w:r>
      <w:r>
        <w:t>, reducing interfacial defect density, enhancing carrier mobility, and suppressing non‐radiative recombination. Consequently, the taurine‐buried interface enables an improved</w:t>
      </w:r>
      <w:r>
        <w:t xml:space="preserve"> </w:t>
      </w:r>
      <w:r>
        <w:t>PCE</w:t>
      </w:r>
      <w:r>
        <w:t xml:space="preserve"> </w:t>
      </w:r>
      <w:r>
        <w:t>with increased open‐circuit voltage (</w:t>
      </w:r>
      <w:r>
        <w:t xml:space="preserve"> </w:t>
      </w:r>
      <w:r>
        <w:t>V</w:t>
      </w:r>
      <w:r>
        <w:t xml:space="preserve"> </w:t>
      </w:r>
      <w:r>
        <w:t>OC</w:t>
      </w:r>
      <w:r>
        <w:t xml:space="preserve"> </w:t>
      </w:r>
      <w:r>
        <w:t>) and fill factor (</w:t>
      </w:r>
      <w:r>
        <w:t xml:space="preserve"> </w:t>
      </w:r>
      <w:r>
        <w:t>FF</w:t>
      </w:r>
      <w:r>
        <w:t xml:space="preserve"> </w:t>
      </w:r>
      <w:r>
        <w:t>), while markedly enhancing the light‐soaking and operational stability of PSCs.</w:t>
      </w:r>
    </w:p>
    <w:p>
      <w:pPr>
        <w:spacing w:before="120" w:after="120"/>
      </w:pPr>
      <w:r>
        <w:rPr>
          <w:sz w:val="18"/>
        </w:rPr>
        <w:t>——————————————————————————————————————————————————————————————————————</w:t>
      </w:r>
    </w:p>
    <w:p>
      <w:pPr>
        <w:spacing w:before="160" w:after="80" w:line="240" w:lineRule="auto"/>
      </w:pPr>
      <w:r>
        <w:rPr>
          <w:b/>
        </w:rPr>
        <w:t xml:space="preserve">[67] </w:t>
      </w:r>
      <w:hyperlink r:id="rId96">
        <w:r>
          <w:rPr>
            <w:color w:val="1155CC"/>
            <w:u w:val="single"/>
          </w:rPr>
          <w:t>Scalable and Multifunctional PAN‐MXene Composite Fibers for Thermal Management, Photothermal Conversion, Energy Harvesting, and Sensing for Wearable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12:08:48+00:00</w:t>
      </w:r>
      <w:r>
        <w:t xml:space="preserve">    </w:t>
      </w:r>
      <w:r>
        <w:rPr>
          <w:b/>
        </w:rPr>
        <w:t xml:space="preserve">DOI: </w:t>
      </w:r>
      <w:hyperlink r:id="rId97">
        <w:r>
          <w:rPr>
            <w:color w:val="1155CC"/>
            <w:u w:val="single"/>
          </w:rPr>
          <w:t>10.1002/adma.202522098</w:t>
        </w:r>
      </w:hyperlink>
    </w:p>
    <w:p>
      <w:pPr>
        <w:spacing w:before="0" w:after="120"/>
      </w:pPr>
      <w:r>
        <w:rPr>
          <w:b/>
        </w:rPr>
        <w:t xml:space="preserve">Notes: </w:t>
      </w:r>
      <w:r>
        <w:t>abstract_source=crossref</w:t>
      </w:r>
    </w:p>
    <w:p>
      <w:pPr>
        <w:spacing w:before="0" w:after="200" w:lineRule="auto" w:line="276"/>
      </w:pPr>
      <w:r>
        <w:rPr>
          <w:b/>
        </w:rPr>
        <w:t xml:space="preserve">Abstract: </w:t>
      </w:r>
      <w:r>
        <w:t>Developing multifunctional materials that combine efficient heat conduction, energy harvesting, sensing capability, and flexibility is crucial for next‐generation portable and wearable electronics. Here, exploiting the remarkable properties of Ti</w:t>
      </w:r>
      <w:r>
        <w:rPr>
          <w:vertAlign w:val="subscript"/>
        </w:rPr>
        <w:t>3</w:t>
      </w:r>
      <w:r>
        <w:t>C</w:t>
      </w:r>
      <w:r>
        <w:rPr>
          <w:vertAlign w:val="subscript"/>
        </w:rPr>
        <w:t>2</w:t>
      </w:r>
      <w:r>
        <w:t>T</w:t>
      </w:r>
      <w:r>
        <w:t xml:space="preserve"> </w:t>
      </w:r>
      <w:r>
        <w:t>x</w:t>
      </w:r>
      <w:r>
        <w:t xml:space="preserve"> </w:t>
      </w:r>
      <w:r>
        <w:t>MXene nanosheets, multifunctional polyacrylonitrile (PAN)‐MXene nanofibers and yarns are fabricated via a straightforward and scalable electrospinning process. Incorporation of MXenes enhances the thermal conductivity of individual PAN nanofibers, as measured by scanning thermal microscopy, and greatly increases the heat conduction capacity of composite yarns, showing a ∼22°C higher surface temperature recorded by infrared thermography. The composite nanofibers also exhibit strong passive heating capability, rapidly reaching up to 60°C under infrared irradiation. Furthermore, MXenes elevate the tribo‐negative character of PAN nanofibers, decreasing their surface potential to −360 mV and yielding a high triboelectric power density of 432.7 mW m</w:t>
      </w:r>
      <w:r>
        <w:t xml:space="preserve"> </w:t>
      </w:r>
      <w:r>
        <w:t>−2</w:t>
      </w:r>
      <w:r>
        <w:t xml:space="preserve"> </w:t>
      </w:r>
      <w:r>
        <w:t>, approximately 25% higher than pristine PAN. Moreover, the produced composite yarns demonstrate reliable tactile‐sensing performance, detecting forces as low as 0.1 N. Altogether, these flexible and durable PAN‐MXene structures provide a promising route toward sustainable and energy‐autonomous electronic textiles, offering new opportunities in wearable electronics, soft robotics, and smart sensing systems.</w:t>
      </w:r>
    </w:p>
    <w:p>
      <w:pPr>
        <w:spacing w:before="120" w:after="120"/>
      </w:pPr>
      <w:r>
        <w:rPr>
          <w:sz w:val="18"/>
        </w:rPr>
        <w:t>——————————————————————————————————————————————————————————————————————</w:t>
      </w:r>
    </w:p>
    <w:p>
      <w:pPr>
        <w:spacing w:before="160" w:after="80" w:line="240" w:lineRule="auto"/>
      </w:pPr>
      <w:r>
        <w:rPr>
          <w:b/>
        </w:rPr>
        <w:t xml:space="preserve">[68] </w:t>
      </w:r>
      <w:hyperlink r:id="rId98">
        <w:r>
          <w:rPr>
            <w:color w:val="1155CC"/>
            <w:u w:val="single"/>
          </w:rPr>
          <w:t>Cascade‐Heterostructured Nanofluidics for Photo‐Enhanced Upscaling Osmotic Energy 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12:09:49+00:00</w:t>
      </w:r>
      <w:r>
        <w:t xml:space="preserve">    </w:t>
      </w:r>
      <w:r>
        <w:rPr>
          <w:b/>
        </w:rPr>
        <w:t xml:space="preserve">DOI: </w:t>
      </w:r>
      <w:hyperlink r:id="rId99">
        <w:r>
          <w:rPr>
            <w:color w:val="1155CC"/>
            <w:u w:val="single"/>
          </w:rPr>
          <w:t>10.1002/adma.202519133</w:t>
        </w:r>
      </w:hyperlink>
    </w:p>
    <w:p>
      <w:pPr>
        <w:spacing w:before="0" w:after="120"/>
      </w:pPr>
      <w:r>
        <w:rPr>
          <w:b/>
        </w:rPr>
        <w:t xml:space="preserve">Notes: </w:t>
      </w:r>
      <w:r>
        <w:t>abstract_source=crossref</w:t>
      </w:r>
    </w:p>
    <w:p>
      <w:pPr>
        <w:spacing w:before="0" w:after="200" w:lineRule="auto" w:line="276"/>
      </w:pPr>
      <w:r>
        <w:rPr>
          <w:b/>
        </w:rPr>
        <w:t xml:space="preserve">Abstract: </w:t>
      </w:r>
      <w:r>
        <w:t>Ensuring energy and resource availability constitutes a fundamental pillar of sustainable socioeconomic development. Nanofluidics hold great promise for energy and resource harvesting. However, a critical bottleneck hinders commercialization, namely, that upscaling nanofluidic areas to boost ion currents triggers severe potential drop and concentration polarization, causing a drastic degradation in selectivity. Here, we engineered cascade‐heterostructured nanofluidics (CHS‐NFs) featuring numerous atomic‐level type‐I semiconductor heterojunctions and Schottky junctions to create continuous, ultrafast pathways for coupled electron‐ion transport. The heterointerfaces generate nanoscale localized asymmetric electric fields that mitigate concentration polarization and offset potential drops, thereby realizing high ion selectivity and flux. As a result, the CHS‐NFs achieve a record‐high energy conversion efficiency of 49.5%—approaching the theoretical limit of 50%—over a large area (28 mm</w:t>
      </w:r>
      <w:r>
        <w:rPr>
          <w:vertAlign w:val="subscript"/>
        </w:rPr>
        <w:t>2</w:t>
      </w:r>
      <w:r>
        <w:t>, 933 times larger than prior areas), with an exceptional Na</w:t>
      </w:r>
      <w:r>
        <w:t xml:space="preserve"> </w:t>
      </w:r>
      <w:r>
        <w:t>+</w:t>
      </w:r>
      <w:r>
        <w:t xml:space="preserve"> </w:t>
      </w:r>
      <w:r>
        <w:t>/Cl</w:t>
      </w:r>
      <w:r>
        <w:t xml:space="preserve"> </w:t>
      </w:r>
      <w:r>
        <w:t>−</w:t>
      </w:r>
      <w:r>
        <w:t>selectivity of 332.3. The electricity produced by CHS‐NFs‐based osmotic cells is effectively stored in capacitors and ion batteries under simulated solar irradiation, exhibiting a 68.8% capacity increase compared with a non‐irradiated one. Notably, the cells can generate a high ionic current (467.6 µA), enabling the selective electrochemical recovery of gold from solutions with near‐100% purity, as well as other valuable metals, significantly reducing the energy footprint of industrial metallurgy.</w:t>
      </w:r>
    </w:p>
    <w:p>
      <w:pPr>
        <w:spacing w:before="120" w:after="120"/>
      </w:pPr>
      <w:r>
        <w:rPr>
          <w:sz w:val="18"/>
        </w:rPr>
        <w:t>——————————————————————————————————————————————————————————————————————</w:t>
      </w:r>
    </w:p>
    <w:p>
      <w:pPr>
        <w:spacing w:before="160" w:after="80" w:line="240" w:lineRule="auto"/>
      </w:pPr>
      <w:r>
        <w:rPr>
          <w:b/>
        </w:rPr>
        <w:t xml:space="preserve">[69] </w:t>
      </w:r>
      <w:hyperlink r:id="rId100">
        <w:r>
          <w:rPr>
            <w:color w:val="1155CC"/>
            <w:u w:val="single"/>
          </w:rPr>
          <w:t>Heterojunction Synergized Nanofluidic Ionic Diode for High‐Performance Hydrovoltaic Electricity 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12:11:52+00:00</w:t>
      </w:r>
      <w:r>
        <w:t xml:space="preserve">    </w:t>
      </w:r>
      <w:r>
        <w:rPr>
          <w:b/>
        </w:rPr>
        <w:t xml:space="preserve">DOI: </w:t>
      </w:r>
      <w:hyperlink r:id="rId101">
        <w:r>
          <w:rPr>
            <w:color w:val="1155CC"/>
            <w:u w:val="single"/>
          </w:rPr>
          <w:t>10.1002/adma.202518706</w:t>
        </w:r>
      </w:hyperlink>
    </w:p>
    <w:p>
      <w:pPr>
        <w:spacing w:before="0" w:after="120"/>
      </w:pPr>
      <w:r>
        <w:rPr>
          <w:b/>
        </w:rPr>
        <w:t xml:space="preserve">Notes: </w:t>
      </w:r>
      <w:r>
        <w:t>abstract_source=crossref</w:t>
      </w:r>
    </w:p>
    <w:p>
      <w:pPr>
        <w:spacing w:before="0" w:after="200" w:lineRule="auto" w:line="276"/>
      </w:pPr>
      <w:r>
        <w:rPr>
          <w:b/>
        </w:rPr>
        <w:t xml:space="preserve">Abstract: </w:t>
      </w:r>
      <w:r>
        <w:t>Hydrovoltaic electricity generators have emerged as a promising strategy for harvesting low‐grade environmental energy. Yet their output remains limited by inefficient charge separation, hydroxyl‐induced electron trapping, and reverse current loss. Herein, we proposed a heterojunction synergized nanofluidic ionic diode concept to enhance HEG performance. Al‐doped TiO</w:t>
      </w:r>
      <w:r>
        <w:rPr>
          <w:vertAlign w:val="subscript"/>
        </w:rPr>
        <w:t>2</w:t>
      </w:r>
      <w:r>
        <w:t>(ATO) was conformally deposited on vertically aligned Si nanowires (SiNWs) via atomic layer deposition to form a SiNWs/ATO heterojunction, where the built‐in electric field facilitates the efficient separation of charge induced by evaporation‐driven capillary flow. Simultaneously, a nanofluidic ionic diode is established between positively charged SiNWs/ATO nanochannels and the negatively charged porous CNT membrane, enabling rectified ion‐selective transport. The synergistic effects of the heterojunction and nanofluidic ionic diode significantly promote both electron–hole separation and anion/cation selective transport. The SiNWs/ATO HEG achieves an updated recorded performance, delivering an open‐circuit voltage of 1.0 V, a short‐circuit current density of 71.0 µA·cm</w:t>
      </w:r>
      <w:r>
        <w:t xml:space="preserve"> </w:t>
      </w:r>
      <w:r>
        <w:t>−2</w:t>
      </w:r>
      <w:r>
        <w:t xml:space="preserve"> </w:t>
      </w:r>
      <w:r>
        <w:t>, and a peak power density of 45.8 µW·cm</w:t>
      </w:r>
      <w:r>
        <w:t xml:space="preserve"> </w:t>
      </w:r>
      <w:r>
        <w:t>−2</w:t>
      </w:r>
      <w:r>
        <w:t xml:space="preserve"> </w:t>
      </w:r>
      <w:r>
        <w:t>, approximately twice the highest values previously reported for HEGs. This work not only achieves a mechanistic co‐optimization of charge separation and ionic transport induced by evaporation‐driven capillary flow, but also offers a novel design strategy and practical framework to develop high‐performance and durable HEG.</w:t>
      </w:r>
    </w:p>
    <w:p>
      <w:pPr>
        <w:spacing w:before="120" w:after="120"/>
      </w:pPr>
      <w:r>
        <w:rPr>
          <w:sz w:val="18"/>
        </w:rPr>
        <w:t>——————————————————————————————————————————————————————————————————————</w:t>
      </w:r>
    </w:p>
    <w:p>
      <w:pPr>
        <w:spacing w:before="160" w:after="80" w:line="240" w:lineRule="auto"/>
      </w:pPr>
      <w:r>
        <w:rPr>
          <w:b/>
        </w:rPr>
        <w:t xml:space="preserve">[70] </w:t>
      </w:r>
      <w:hyperlink r:id="rId102">
        <w:r>
          <w:rPr>
            <w:color w:val="1155CC"/>
            <w:u w:val="single"/>
          </w:rPr>
          <w:t>A Single‐Crystalline Melon Photocatalyst for Overall Water Splitting with Visible Light</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12:16:19+00:00</w:t>
      </w:r>
      <w:r>
        <w:t xml:space="preserve">    </w:t>
      </w:r>
      <w:r>
        <w:rPr>
          <w:b/>
        </w:rPr>
        <w:t xml:space="preserve">DOI: </w:t>
      </w:r>
      <w:hyperlink r:id="rId103">
        <w:r>
          <w:rPr>
            <w:color w:val="1155CC"/>
            <w:u w:val="single"/>
          </w:rPr>
          <w:t>10.1002/adma.202515457</w:t>
        </w:r>
      </w:hyperlink>
    </w:p>
    <w:p>
      <w:pPr>
        <w:spacing w:before="0" w:after="120"/>
      </w:pPr>
      <w:r>
        <w:rPr>
          <w:b/>
        </w:rPr>
        <w:t xml:space="preserve">Notes: </w:t>
      </w:r>
      <w:r>
        <w:t>abstract_source=crossref</w:t>
      </w:r>
    </w:p>
    <w:p>
      <w:pPr>
        <w:spacing w:before="0" w:after="200" w:lineRule="auto" w:line="276"/>
      </w:pPr>
      <w:r>
        <w:rPr>
          <w:b/>
        </w:rPr>
        <w:t xml:space="preserve">Abstract: </w:t>
      </w:r>
      <w:r>
        <w:t>Melon, as an attractive polymeric semiconductor photocatalyst, holds great potential for efficient one‐step excitation of overall water splitting, yet its quantum yields remain limited by low exciton migration efficiency caused by short exciton diffusion lengths and long migration paths. To address this challenge, we employ a flux‐assisted strategy to synthesize sub‐50 nm single‐crystalline melon, which not only prolonged the exciton diffusion length but also shortened the exciton migration path from the bulk exciton coupling region to the catalyst surface. Experimental characterization and structural simulations confirm the successful synthesis of nanoscale single‐crystalline melon via molten salt post‐treatment of amorphous melon in a NaCl‐KCl‐CaCl</w:t>
      </w:r>
      <w:r>
        <w:rPr>
          <w:vertAlign w:val="subscript"/>
        </w:rPr>
        <w:t>2</w:t>
      </w:r>
      <w:r>
        <w:t>ternary system. More importantly, charge carrier dynamics reveal that single‐crystalline melon, owing to its lower defect density, higher interlayer stacking order, and optimized interlayer stacking mode, exhibits reduced non‐radiative recombination, longer exciton diffusion lengths, and a higher concentration of surface‐reaching charges compared to conventional melon. Consequently, the melon nanocrystals exhibit nearly two orders of magnitude higher H</w:t>
      </w:r>
      <w:r>
        <w:rPr>
          <w:vertAlign w:val="subscript"/>
        </w:rPr>
        <w:t>2</w:t>
      </w:r>
      <w:r>
        <w:t>evolution efficiency in overall water splitting compared to conventional melon. These findings pave the way for manufacturing polymeric semiconductor nanocrystals for efficient solar energy conversion.</w:t>
      </w:r>
    </w:p>
    <w:p>
      <w:pPr>
        <w:spacing w:before="120" w:after="120"/>
      </w:pPr>
      <w:r>
        <w:rPr>
          <w:sz w:val="18"/>
        </w:rPr>
        <w:t>——————————————————————————————————————————————————————————————————————</w:t>
      </w:r>
    </w:p>
    <w:p>
      <w:pPr>
        <w:spacing w:before="160" w:after="80" w:line="240" w:lineRule="auto"/>
      </w:pPr>
      <w:r>
        <w:rPr>
          <w:b/>
        </w:rPr>
        <w:t xml:space="preserve">[71] </w:t>
      </w:r>
      <w:hyperlink r:id="rId104">
        <w:r>
          <w:rPr>
            <w:color w:val="1155CC"/>
            <w:u w:val="single"/>
          </w:rPr>
          <w:t>Recent Advances in Ti‐Based Anodes for Sodium‐Ion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2025-12-30 12:16:20+00:00</w:t>
      </w:r>
      <w:r>
        <w:t xml:space="preserve">    </w:t>
      </w:r>
      <w:r>
        <w:rPr>
          <w:b/>
        </w:rPr>
        <w:t xml:space="preserve">DOI: </w:t>
      </w:r>
      <w:hyperlink r:id="rId105">
        <w:r>
          <w:rPr>
            <w:color w:val="1155CC"/>
            <w:u w:val="single"/>
          </w:rPr>
          <w:t>10.1002/aenm.202505305</w:t>
        </w:r>
      </w:hyperlink>
    </w:p>
    <w:p>
      <w:pPr>
        <w:spacing w:before="0" w:after="120"/>
      </w:pPr>
      <w:r>
        <w:rPr>
          <w:b/>
        </w:rPr>
        <w:t xml:space="preserve">Notes: </w:t>
      </w:r>
      <w:r>
        <w:t>abstract_source=crossref</w:t>
      </w:r>
    </w:p>
    <w:p>
      <w:pPr>
        <w:spacing w:before="0" w:after="200" w:lineRule="auto" w:line="276"/>
      </w:pPr>
      <w:r>
        <w:rPr>
          <w:b/>
        </w:rPr>
        <w:t xml:space="preserve">Abstract: </w:t>
      </w:r>
      <w:r>
        <w:t>Recent developments in high‐performance Na‐ion batteries have gained momentum and are considered to be a potential alternative to state‐of‐the‐art Li‐ion batteries (LIBs). Battery giants like CATL, BYD, Faradion, etc., are now investing in Gigawatt factories to develop Na‐based batteries. The various notions concerning the safety of LIBs and their large‐scale use in our day‐to‐day lives call for a reliable alternative to them. The absence of a suitable anode and electrolyte severely limits advancements in this field. Many Ti‐based anode materials have been successfully employed in Na‐based batteries. To name a few, materials like titanium dioxide (TiO</w:t>
      </w:r>
      <w:r>
        <w:rPr>
          <w:vertAlign w:val="subscript"/>
        </w:rPr>
        <w:t>2</w:t>
      </w:r>
      <w:r>
        <w:t>), sodium‐titanium oxides (Na‐Ti‐O, e.g., Na</w:t>
      </w:r>
      <w:r>
        <w:rPr>
          <w:vertAlign w:val="subscript"/>
        </w:rPr>
        <w:t>2</w:t>
      </w:r>
      <w:r>
        <w:t>Ti</w:t>
      </w:r>
      <w:r>
        <w:rPr>
          <w:vertAlign w:val="subscript"/>
        </w:rPr>
        <w:t>3</w:t>
      </w:r>
      <w:r>
        <w:t>O</w:t>
      </w:r>
      <w:r>
        <w:rPr>
          <w:vertAlign w:val="subscript"/>
        </w:rPr>
        <w:t>7</w:t>
      </w:r>
      <w:r>
        <w:t>), titanium disulfide (TiS</w:t>
      </w:r>
      <w:r>
        <w:rPr>
          <w:vertAlign w:val="subscript"/>
        </w:rPr>
        <w:t>2</w:t>
      </w:r>
      <w:r>
        <w:t>), lithium‐titanium oxides (Li</w:t>
      </w:r>
      <w:r>
        <w:rPr>
          <w:vertAlign w:val="subscript"/>
        </w:rPr>
        <w:t>4</w:t>
      </w:r>
      <w:r>
        <w:t>Ti</w:t>
      </w:r>
      <w:r>
        <w:rPr>
          <w:vertAlign w:val="subscript"/>
        </w:rPr>
        <w:t>5</w:t>
      </w:r>
      <w:r>
        <w:t>O</w:t>
      </w:r>
      <w:r>
        <w:rPr>
          <w:vertAlign w:val="subscript"/>
        </w:rPr>
        <w:t>12</w:t>
      </w:r>
      <w:r>
        <w:t>), NASICON compounds (NaTi</w:t>
      </w:r>
      <w:r>
        <w:rPr>
          <w:vertAlign w:val="subscript"/>
        </w:rPr>
        <w:t>2</w:t>
      </w:r>
      <w:r>
        <w:t>(PO</w:t>
      </w:r>
      <w:r>
        <w:rPr>
          <w:vertAlign w:val="subscript"/>
        </w:rPr>
        <w:t>4</w:t>
      </w:r>
      <w:r>
        <w:t>)</w:t>
      </w:r>
      <w:r>
        <w:rPr>
          <w:vertAlign w:val="subscript"/>
        </w:rPr>
        <w:t>3</w:t>
      </w:r>
      <w:r>
        <w:t>, etc. In this review, we are attempting to explore the structural modifications and variations in synthesis processes brought about by researchers in recent years on various Ti‐based anode materials. We have made an in‐depth analysis of the structural modifications that result in the cyclic stability and the overall electrochemical performance of the battery.</w:t>
      </w:r>
    </w:p>
    <w:p>
      <w:pPr>
        <w:spacing w:before="120" w:after="120"/>
      </w:pPr>
      <w:r>
        <w:rPr>
          <w:sz w:val="18"/>
        </w:rPr>
        <w:t>——————————————————————————————————————————————————————————————————————</w:t>
      </w:r>
    </w:p>
    <w:p>
      <w:pPr>
        <w:spacing w:before="160" w:after="80" w:line="240" w:lineRule="auto"/>
      </w:pPr>
      <w:r>
        <w:rPr>
          <w:b/>
        </w:rPr>
        <w:t xml:space="preserve">[72] </w:t>
      </w:r>
      <w:hyperlink r:id="rId106">
        <w:r>
          <w:rPr>
            <w:color w:val="1155CC"/>
            <w:u w:val="single"/>
          </w:rPr>
          <w:t>Ultra‐Sensitive Nanofiber‐Based Triboelectric Nanogenerator for Energy Harvesting and Self‐Powered Sensing</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12:18:21+00:00</w:t>
      </w:r>
      <w:r>
        <w:t xml:space="preserve">    </w:t>
      </w:r>
      <w:r>
        <w:rPr>
          <w:b/>
        </w:rPr>
        <w:t xml:space="preserve">DOI: </w:t>
      </w:r>
      <w:hyperlink r:id="rId107">
        <w:r>
          <w:rPr>
            <w:color w:val="1155CC"/>
            <w:u w:val="single"/>
          </w:rPr>
          <w:t>10.1002/adma.202521626</w:t>
        </w:r>
      </w:hyperlink>
    </w:p>
    <w:p>
      <w:pPr>
        <w:spacing w:before="0" w:after="120"/>
      </w:pPr>
      <w:r>
        <w:rPr>
          <w:b/>
        </w:rPr>
        <w:t xml:space="preserve">Notes: </w:t>
      </w:r>
      <w:r>
        <w:t>abstract_source=crossref</w:t>
      </w:r>
    </w:p>
    <w:p>
      <w:pPr>
        <w:spacing w:before="0" w:after="200" w:lineRule="auto" w:line="276"/>
      </w:pPr>
      <w:r>
        <w:rPr>
          <w:b/>
        </w:rPr>
        <w:t xml:space="preserve">Abstract: </w:t>
      </w:r>
      <w:r>
        <w:t>Triboelectric nanogenerator (TENG) represents a major advancement in capability for self‐powered sensors, with its ability to convert low‐frequency mechanical movements into electricity. These devices serve at present an unmet medical and societal need in the monitoring of human activity and enhancing interactions between humans and machines, the optioned interface for setting up verifiable digital twins. Here, a novel composite nanofibrous TENG (CNF‐TENG) based on borophene@poly(vinylidene fluoride‐co‐hexafluoropropylene) (PVDF‐HFP) is constructed through electrospinning. Comprehensive materials characterization of the exfoliated nanosheets confirms crystalline sheet morphology and validates their incorporation into the fibers. The inclusion of borophene introduces a dual innovation by enhancing both the jet stressing in electrospinning and the quality of doped films. This improvement is attributed to the enhanced effective permittivity through interfacial polarization, which promotes β‐phase formation, electron‐donating capacity, surface charge trapping, and refined fiber morphology, while inducing a transition from a hydrophobic to a superhydrophobic surface state. When paired with nylon 66 nanofibers, the CNF‐TENG exhibits a remarkable sensitivity of 53.8 ± 1.2 V kPa</w:t>
      </w:r>
      <w:r>
        <w:t xml:space="preserve"> </w:t>
      </w:r>
      <w:r>
        <w:t>−1</w:t>
      </w:r>
      <w:r>
        <w:t xml:space="preserve"> </w:t>
      </w:r>
      <w:r>
        <w:t>, and a power density of 1.2 W m</w:t>
      </w:r>
      <w:r>
        <w:t xml:space="preserve"> </w:t>
      </w:r>
      <w:r>
        <w:t>−2</w:t>
      </w:r>
      <w:r>
        <w:t xml:space="preserve"> </w:t>
      </w:r>
      <w:r>
        <w:t>, representing a 13‐fold enhancement over pristine PVDF‐HFP. An array of 16 ultra‐sensitive CNF‐TENG sensors for possible use in dementia monitoring and sleep disorder mitigation is successfully demonstrated, giving various sleep patterns and physiological data sets.</w:t>
      </w:r>
    </w:p>
    <w:p>
      <w:pPr>
        <w:spacing w:before="120" w:after="120"/>
      </w:pPr>
      <w:r>
        <w:rPr>
          <w:sz w:val="18"/>
        </w:rPr>
        <w:t>——————————————————————————————————————————————————————————————————————</w:t>
      </w:r>
    </w:p>
    <w:p>
      <w:pPr>
        <w:spacing w:before="160" w:after="80" w:line="240" w:lineRule="auto"/>
      </w:pPr>
      <w:r>
        <w:rPr>
          <w:b/>
        </w:rPr>
        <w:t xml:space="preserve">[73] </w:t>
      </w:r>
      <w:hyperlink r:id="rId108">
        <w:r>
          <w:rPr>
            <w:color w:val="1155CC"/>
            <w:u w:val="single"/>
          </w:rPr>
          <w:t>Molecular‐Level Design of Asphalt‐Derived Hard Carbon with Enhanced Ion/Electron Transport for High‐Rate Sodium‐Ion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2025-12-30 12:18:44+00:00</w:t>
      </w:r>
      <w:r>
        <w:t xml:space="preserve">    </w:t>
      </w:r>
      <w:r>
        <w:rPr>
          <w:b/>
        </w:rPr>
        <w:t xml:space="preserve">DOI: </w:t>
      </w:r>
      <w:hyperlink r:id="rId109">
        <w:r>
          <w:rPr>
            <w:color w:val="1155CC"/>
            <w:u w:val="single"/>
          </w:rPr>
          <w:t>10.1002/aenm.202506585</w:t>
        </w:r>
      </w:hyperlink>
    </w:p>
    <w:p>
      <w:pPr>
        <w:spacing w:before="0" w:after="120"/>
      </w:pPr>
      <w:r>
        <w:rPr>
          <w:b/>
        </w:rPr>
        <w:t xml:space="preserve">Notes: </w:t>
      </w:r>
      <w:r>
        <w:t>abstract_source=crossref</w:t>
      </w:r>
    </w:p>
    <w:p>
      <w:pPr>
        <w:spacing w:before="0" w:after="200" w:lineRule="auto" w:line="276"/>
      </w:pPr>
      <w:r>
        <w:rPr>
          <w:b/>
        </w:rPr>
        <w:t xml:space="preserve">Abstract: </w:t>
      </w:r>
      <w:r>
        <w:t>Asphalt is an attractive precursor for hard carbon anodes in sodium‐ion batteries owing to its low cost and excellent structural consistency. However, conventional oxidative strategies, commonly employed for converting asphalt into hard carbon, inevitably distorts the carbon framework, disrupting electronic continuity and Na⁺ diffusion, thereby limiting rate capability. Herein, an integrated molecular‐level strategy is developed by coupling controlled oxidative crosslinking with simultaneous nitrogen modulation, enabling rapid electron/ion transport and delivering outstanding electrochemical performance, as validated in Ah‐level cylindrical cells. Combined with in situ characterizations and theoretical calculations, we uncover that synergistic graphitic and pyrrolic nitrogen species markedly enhance structural stability and charge transport—with the electronic conductivity reaching 41.9 S cm</w:t>
      </w:r>
      <w:r>
        <w:t xml:space="preserve"> </w:t>
      </w:r>
      <w:r>
        <w:t>−1</w:t>
      </w:r>
      <w:r>
        <w:t xml:space="preserve"> </w:t>
      </w:r>
      <w:r>
        <w:t>(1.5 × higher) and ionic conductivity up to 0.87 mS cm</w:t>
      </w:r>
      <w:r>
        <w:t xml:space="preserve"> </w:t>
      </w:r>
      <w:r>
        <w:t>−1</w:t>
      </w:r>
      <w:r>
        <w:t xml:space="preserve"> </w:t>
      </w:r>
      <w:r>
        <w:t>(1.4 × higher)—while inducing the formation of a thin, NaF‐rich solid electrolyte interface that collectively promotes ultrafast Na</w:t>
      </w:r>
      <w:r>
        <w:t xml:space="preserve"> </w:t>
      </w:r>
      <w:r>
        <w:t>+</w:t>
      </w:r>
      <w:r>
        <w:t xml:space="preserve"> </w:t>
      </w:r>
      <w:r>
        <w:t>migration and long‐term stability. As a result, the modulated hard carbon achieves a high capacity of 361.8 mA h g</w:t>
      </w:r>
      <w:r>
        <w:t xml:space="preserve"> </w:t>
      </w:r>
      <w:r>
        <w:t>−1</w:t>
      </w:r>
      <w:r>
        <w:t xml:space="preserve"> </w:t>
      </w:r>
      <w:r>
        <w:t>, excellent rate capability (190.3 mA h g</w:t>
      </w:r>
      <w:r>
        <w:t xml:space="preserve"> </w:t>
      </w:r>
      <w:r>
        <w:t>−1</w:t>
      </w:r>
      <w:r>
        <w:t xml:space="preserve"> </w:t>
      </w:r>
      <w:r>
        <w:t>at 5.0 A g</w:t>
      </w:r>
      <w:r>
        <w:t xml:space="preserve"> </w:t>
      </w:r>
      <w:r>
        <w:t>−1</w:t>
      </w:r>
      <w:r>
        <w:t xml:space="preserve"> </w:t>
      </w:r>
      <w:r>
        <w:t>), and superior cycling stability. When assembled into 18650 cylindrical cells, it delivers energy density of 106.7 Wh kg</w:t>
      </w:r>
      <w:r>
        <w:t xml:space="preserve"> </w:t>
      </w:r>
      <w:r>
        <w:t>−1</w:t>
      </w:r>
      <w:r>
        <w:t xml:space="preserve"> </w:t>
      </w:r>
      <w:r>
        <w:t>, retaining 83.8% capacity after 1000 cycles at 1C/10C, highlighting its strong practical potential.</w:t>
      </w:r>
    </w:p>
    <w:p>
      <w:pPr>
        <w:spacing w:before="120" w:after="120"/>
      </w:pPr>
      <w:r>
        <w:rPr>
          <w:sz w:val="18"/>
        </w:rPr>
        <w:t>——————————————————————————————————————————————————————————————————————</w:t>
      </w:r>
    </w:p>
    <w:p>
      <w:pPr>
        <w:spacing w:before="160" w:after="80" w:line="240" w:lineRule="auto"/>
      </w:pPr>
      <w:r>
        <w:rPr>
          <w:b/>
        </w:rPr>
        <w:t xml:space="preserve">[74] </w:t>
      </w:r>
      <w:hyperlink r:id="rId110">
        <w:r>
          <w:rPr>
            <w:color w:val="1155CC"/>
            <w:u w:val="single"/>
          </w:rPr>
          <w:t>Dislocation‐Enhanced Pyroelectricity in Barium Titanate</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12:19:59+00:00</w:t>
      </w:r>
      <w:r>
        <w:t xml:space="preserve">    </w:t>
      </w:r>
      <w:r>
        <w:rPr>
          <w:b/>
        </w:rPr>
        <w:t xml:space="preserve">DOI: </w:t>
      </w:r>
      <w:hyperlink r:id="rId111">
        <w:r>
          <w:rPr>
            <w:color w:val="1155CC"/>
            <w:u w:val="single"/>
          </w:rPr>
          <w:t>10.1002/adma.202515988</w:t>
        </w:r>
      </w:hyperlink>
    </w:p>
    <w:p>
      <w:pPr>
        <w:spacing w:before="0" w:after="120"/>
      </w:pPr>
      <w:r>
        <w:rPr>
          <w:b/>
        </w:rPr>
        <w:t xml:space="preserve">Notes: </w:t>
      </w:r>
      <w:r>
        <w:t>abstract_source=crossref</w:t>
      </w:r>
    </w:p>
    <w:p>
      <w:pPr>
        <w:spacing w:before="0" w:after="200" w:lineRule="auto" w:line="276"/>
      </w:pPr>
      <w:r>
        <w:rPr>
          <w:b/>
        </w:rPr>
        <w:t xml:space="preserve">Abstract: </w:t>
      </w:r>
      <w:r>
        <w:t>Pyroelectric materials hold significant promise for thermal sensing, imaging, and energy harvesting, with the pyroelectric coefficient serving as the key figure of merit. While intrinsic lattice optimization, particularly through zero‐dimensional point defects, has improved pyroelectric properties, extrinsic contributions from mobile ferroelectric domain walls have remained underexplored. Here, a dislocation‐based one‐dimensional mechanical doping strategy is proposed to enhance the pyroelectric response of classical ferroelectric BaTiO</w:t>
      </w:r>
      <w:r>
        <w:rPr>
          <w:vertAlign w:val="subscript"/>
        </w:rPr>
        <w:t>3</w:t>
      </w:r>
      <w:r>
        <w:t>single crystals. By employing high‐temperature plastic deformation, anisotropic dislocation networks are produced that introduce localized stress concentrations and thermal expansion/contraction effects, which amplify domain‐wall motion. These directional strain fields, combined with phonon–dislocation interactions, lead to an anisotropic coupling of thermal and electrical fields. While the enhanced phonon scattering reduces thermal conductivity, the strong dislocation–domain‐wall coupling leads to an increase in the temperature sensitivity of polarization and accelerates domain switching, effectively compensating for the reduced heat transport. As a result, the maximum pyroelectric coefficient exceeds 600 nC cm</w:t>
      </w:r>
      <w:r>
        <w:t xml:space="preserve"> </w:t>
      </w:r>
      <w:r>
        <w:t>−</w:t>
      </w:r>
      <w:r>
        <w:rPr>
          <w:vertAlign w:val="subscript"/>
        </w:rPr>
        <w:t>2</w:t>
      </w:r>
      <w:r>
        <w:t>K</w:t>
      </w:r>
      <w:r>
        <w:t xml:space="preserve"> </w:t>
      </w:r>
      <w:r>
        <w:t>−</w:t>
      </w:r>
      <w:r>
        <w:rPr>
          <w:vertAlign w:val="subscript"/>
        </w:rPr>
        <w:t>1</w:t>
      </w:r>
      <w:r>
        <w:t>, representing a 38‐fold increase compared to the undeformed counterpart. Structural evolution is revealed by synchrotron scanning X‐ray diffraction microscopy and transmission electron microscopy, while multiscale phase‐field simulations corroborate the underlying mechanism. Our work establishes dislocation engineering as an effective new pathway towards domain‐wall‐mediated enhancement of pyroelectric functionality.</w:t>
      </w:r>
    </w:p>
    <w:p>
      <w:pPr>
        <w:spacing w:before="120" w:after="120"/>
      </w:pPr>
      <w:r>
        <w:rPr>
          <w:sz w:val="18"/>
        </w:rPr>
        <w:t>——————————————————————————————————————————————————————————————————————</w:t>
      </w:r>
    </w:p>
    <w:p>
      <w:pPr>
        <w:spacing w:before="160" w:after="80" w:line="240" w:lineRule="auto"/>
      </w:pPr>
      <w:r>
        <w:rPr>
          <w:b/>
        </w:rPr>
        <w:t xml:space="preserve">[75] </w:t>
      </w:r>
      <w:hyperlink r:id="rId112">
        <w:r>
          <w:rPr>
            <w:color w:val="1155CC"/>
            <w:u w:val="single"/>
          </w:rPr>
          <w:t>Rotational Multimaterial 3D Printing of Soft Robotic Matter With Embedded Asymmetrical Pneumatics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12:24:22+00:00</w:t>
      </w:r>
      <w:r>
        <w:t xml:space="preserve">    </w:t>
      </w:r>
      <w:r>
        <w:rPr>
          <w:b/>
        </w:rPr>
        <w:t xml:space="preserve">DOI: </w:t>
      </w:r>
      <w:hyperlink r:id="rId113">
        <w:r>
          <w:rPr>
            <w:color w:val="1155CC"/>
            <w:u w:val="single"/>
          </w:rPr>
          <w:t>10.1002/adma.202510141</w:t>
        </w:r>
      </w:hyperlink>
    </w:p>
    <w:p>
      <w:pPr>
        <w:spacing w:before="0" w:after="120"/>
      </w:pPr>
      <w:r>
        <w:rPr>
          <w:b/>
        </w:rPr>
        <w:t xml:space="preserve">Notes: </w:t>
      </w:r>
      <w:r>
        <w:t>abstract_source=crossref</w:t>
      </w:r>
    </w:p>
    <w:p>
      <w:pPr>
        <w:spacing w:before="0" w:after="200" w:lineRule="auto" w:line="276"/>
      </w:pPr>
      <w:r>
        <w:rPr>
          <w:b/>
        </w:rPr>
        <w:t xml:space="preserve">Abstract: </w:t>
      </w:r>
      <w:r>
        <w:t>The rapid design and fabrication of soft robotic matter is of growing interest for shape morphing, actuation, and wearable devices. Here, we report a facile fabrication method for creating soft robotic materials with embedded pneumatics that exhibit programmable shape morphing behavior. Using rotational multimaterial 3D printing, asymmetrical core–shell filaments composed of elastomeric shells and fugitive channels are patterned in 1D, 2D, and 2.5D motifs. By precisely controlling the nozzle design, rotation rate, extrusion rate, and print path, one can control the local orientation, shape, and cross‐sectional area of the patterned fugitive channel along each printed filament. Once the elastomeric matrix is cured, the fugitive ink is removed, leaving behind embedded channels that facilitate pneumatic actuation. Using a connected Fermat spiral pathing approach, one can automatically generate desired print paths required for more complex soft robots, such as hand‐inspired grippers. Our integrated design and printing approach enables one to rapidly build soft robotic matter that exhibits myriad shape morphing transitions on demand.</w:t>
      </w:r>
    </w:p>
    <w:p>
      <w:pPr>
        <w:spacing w:before="120" w:after="120"/>
      </w:pPr>
      <w:r>
        <w:rPr>
          <w:sz w:val="18"/>
        </w:rPr>
        <w:t>——————————————————————————————————————————————————————————————————————</w:t>
      </w:r>
    </w:p>
    <w:p>
      <w:pPr>
        <w:spacing w:before="160" w:after="80" w:line="240" w:lineRule="auto"/>
      </w:pPr>
      <w:r>
        <w:rPr>
          <w:b/>
        </w:rPr>
        <w:t xml:space="preserve">[76] </w:t>
      </w:r>
      <w:hyperlink r:id="rId114">
        <w:r>
          <w:rPr>
            <w:color w:val="1155CC"/>
            <w:u w:val="single"/>
          </w:rPr>
          <w:t>Recent Advances in Collective Behaviors of Micro/Nanomotor Swarms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12:29:06+00:00</w:t>
      </w:r>
      <w:r>
        <w:t xml:space="preserve">    </w:t>
      </w:r>
      <w:r>
        <w:rPr>
          <w:b/>
        </w:rPr>
        <w:t xml:space="preserve">DOI: </w:t>
      </w:r>
      <w:hyperlink r:id="rId115">
        <w:r>
          <w:rPr>
            <w:color w:val="1155CC"/>
            <w:u w:val="single"/>
          </w:rPr>
          <w:t>10.1002/adma.202515700</w:t>
        </w:r>
      </w:hyperlink>
    </w:p>
    <w:p>
      <w:pPr>
        <w:spacing w:before="0" w:after="120"/>
      </w:pPr>
      <w:r>
        <w:rPr>
          <w:b/>
        </w:rPr>
        <w:t xml:space="preserve">Notes: </w:t>
      </w:r>
      <w:r>
        <w:t>abstract_source=crossref</w:t>
      </w:r>
    </w:p>
    <w:p>
      <w:pPr>
        <w:spacing w:before="0" w:after="200" w:lineRule="auto" w:line="276"/>
      </w:pPr>
      <w:r>
        <w:rPr>
          <w:b/>
        </w:rPr>
        <w:t xml:space="preserve">Abstract: </w:t>
      </w:r>
      <w:r>
        <w:t>Collective motion, exemplified by swarming insects, flocking birds, and bacterial colonies, emerges from the synchronized actions and velocity adjustments of individual units. Inspired by these natural phenomena, researchers have sought to replicate and harness collective behavior in swarms of self‐propelled micro/nanomotors. This endeavor is of great importance for the development of multicomponent adaptive systems. Comprising numerous interacting elements, collective swarms exhibit emergent behaviors that capitalize on multi‐motor cooperation, enabling highly efficient, flexible, and robust group performance. Understanding and engineering these behaviors are essential for translating them into practical applications. This review examines the driving forces underlying collective motion, outlines various modes of swarm formation across different dimensions, and highlights representative applications. By linking driving forces, system dimensionality, and functional implementation, it provides a comprehensive perspective on this field.</w:t>
      </w:r>
    </w:p>
    <w:p>
      <w:pPr>
        <w:spacing w:before="120" w:after="120"/>
      </w:pPr>
      <w:r>
        <w:rPr>
          <w:sz w:val="18"/>
        </w:rPr>
        <w:t>——————————————————————————————————————————————————————————————————————</w:t>
      </w:r>
    </w:p>
    <w:p>
      <w:pPr>
        <w:spacing w:before="160" w:after="80" w:line="240" w:lineRule="auto"/>
      </w:pPr>
      <w:r>
        <w:rPr>
          <w:b/>
        </w:rPr>
        <w:t xml:space="preserve">[77] </w:t>
      </w:r>
      <w:hyperlink r:id="rId116">
        <w:r>
          <w:rPr>
            <w:color w:val="1155CC"/>
            <w:u w:val="single"/>
          </w:rPr>
          <w:t>Chiral Single‐Atom Nanozymes‐Enabled ROS Catalysis and Metal Transport Regulation Cooperatively Induce Ferroptosis to Treat Bacterial Infections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12:31:04+00:00</w:t>
      </w:r>
      <w:r>
        <w:t xml:space="preserve">    </w:t>
      </w:r>
      <w:r>
        <w:rPr>
          <w:b/>
        </w:rPr>
        <w:t xml:space="preserve">DOI: </w:t>
      </w:r>
      <w:hyperlink r:id="rId117">
        <w:r>
          <w:rPr>
            <w:color w:val="1155CC"/>
            <w:u w:val="single"/>
          </w:rPr>
          <w:t>10.1002/adma.202518810</w:t>
        </w:r>
      </w:hyperlink>
    </w:p>
    <w:p>
      <w:pPr>
        <w:spacing w:before="0" w:after="120"/>
      </w:pPr>
      <w:r>
        <w:rPr>
          <w:b/>
        </w:rPr>
        <w:t xml:space="preserve">Notes: </w:t>
      </w:r>
      <w:r>
        <w:t>abstract_source=crossref</w:t>
      </w:r>
    </w:p>
    <w:p>
      <w:pPr>
        <w:spacing w:before="0" w:after="200" w:lineRule="auto" w:line="276"/>
      </w:pPr>
      <w:r>
        <w:rPr>
          <w:b/>
        </w:rPr>
        <w:t xml:space="preserve">Abstract: </w:t>
      </w:r>
      <w:r>
        <w:t>Nanozyme‐driven ferroptosis provides a promising therapeutic strategy against drug‐resistant bacterial infections by inducing iron overload and oxidative stress. However, bacterial metal transport proteins (MTP) and antioxidant systems can reduce iron accumulation and lipid peroxidation, limiting the efficacy of ferroptosis‐based therapies and promoting resistance. Single‐atom and chiral nanozymes, with their high atomic utilization and catalytic specificity, may provide an effective approach to overcoming bacterial defense mechanisms, which has been not exploited. In this study, we report D‐chiral single‐atom iron–carbon dot nanozymes (DFe‐NSC) for effective bacterial infection treatment. Compared to L‐chiral form (LFe‐NSC), DFe‐NSC exhibits significantly higher peroxidase (POD)‐like and glutathione peroxidase (GPx)‐like activities. The enhanced catalytic activity promotes reactive oxygen species (ROS) generation and glutathione depletion, disrupting bacterial redox homeostasis. More intriguingly, DFe‐NSC more effectively modulates the expression and iron‐regulatory function of MTP (including Fur and FtnA) than LFe‐NSC. This will induce substantial accumulation of Fe</w:t>
      </w:r>
      <w:r>
        <w:rPr>
          <w:vertAlign w:val="subscript"/>
        </w:rPr>
        <w:t>2</w:t>
      </w:r>
      <w:r>
        <w:t>⁺ intracellularly and thereafter lipid peroxidation, thereby facilitating the bactericidal effects of ferroptosis‐like cell death. Resultantly, DFe‐NSC exhibit markedly enhanced antibacterial and antibiofilm activities in diabetic infected wound and osteomyelitis models. This study introduces a chiral catalysis–MTP regulation strategy to induce bacterial ferroptosis‐like death, providing a promising alternative for drug‐resistant infection treatment.</w:t>
      </w:r>
    </w:p>
    <w:p>
      <w:pPr>
        <w:spacing w:before="120" w:after="120"/>
      </w:pPr>
      <w:r>
        <w:rPr>
          <w:sz w:val="18"/>
        </w:rPr>
        <w:t>——————————————————————————————————————————————————————————————————————</w:t>
      </w:r>
    </w:p>
    <w:p>
      <w:pPr>
        <w:spacing w:before="160" w:after="80" w:line="240" w:lineRule="auto"/>
      </w:pPr>
      <w:r>
        <w:rPr>
          <w:b/>
        </w:rPr>
        <w:t xml:space="preserve">[78] </w:t>
      </w:r>
      <w:hyperlink r:id="rId118">
        <w:r>
          <w:rPr>
            <w:color w:val="1155CC"/>
            <w:u w:val="single"/>
          </w:rPr>
          <w:t>Organic Electrochemical Random Access Memory: From Bio‐Inspired to Bio‐Integrated</w:t>
        </w:r>
      </w:hyperlink>
    </w:p>
    <w:p>
      <w:pPr>
        <w:spacing w:before="0" w:after="120" w:line="240" w:lineRule="auto"/>
      </w:pPr>
      <w:r>
        <w:rPr>
          <w:b/>
        </w:rPr>
        <w:t xml:space="preserve">Source: </w:t>
      </w:r>
      <w:r>
        <w:t>Wiley: Advanced Materials: Table of Contents</w:t>
      </w:r>
      <w:r>
        <w:t xml:space="preserve">    </w:t>
      </w:r>
      <w:r>
        <w:rPr>
          <w:b/>
        </w:rPr>
        <w:t xml:space="preserve">Pub date: </w:t>
      </w:r>
      <w:r>
        <w:t>2025-12-30 12:36:43+00:00</w:t>
      </w:r>
      <w:r>
        <w:t xml:space="preserve">    </w:t>
      </w:r>
      <w:r>
        <w:rPr>
          <w:b/>
        </w:rPr>
        <w:t xml:space="preserve">DOI: </w:t>
      </w:r>
      <w:hyperlink r:id="rId119">
        <w:r>
          <w:rPr>
            <w:color w:val="1155CC"/>
            <w:u w:val="single"/>
          </w:rPr>
          <w:t>10.1002/adma.202515843</w:t>
        </w:r>
      </w:hyperlink>
    </w:p>
    <w:p>
      <w:pPr>
        <w:spacing w:before="0" w:after="120"/>
      </w:pPr>
      <w:r>
        <w:rPr>
          <w:b/>
        </w:rPr>
        <w:t xml:space="preserve">Notes: </w:t>
      </w:r>
      <w:r>
        <w:t>abstract_source=crossref</w:t>
      </w:r>
    </w:p>
    <w:p>
      <w:pPr>
        <w:spacing w:before="0" w:after="200" w:lineRule="auto" w:line="276"/>
      </w:pPr>
      <w:r>
        <w:rPr>
          <w:b/>
        </w:rPr>
        <w:t xml:space="preserve">Abstract: </w:t>
      </w:r>
      <w:r>
        <w:t>Organic electrochemical random‐access memory (OECRAM) has emerged as a promising neuromorphic device by mimicking the ion‐modulated synaptic plasticity of biological systems. Leveraging organic semiconductors and ionic conductors, OECRAMs share key features with biological synapses, including a wet operating environment, organic composition, low‐voltage operation, intrinsic flexibility, and multimodal sensing‐memory capabilities. These features break the constraint of traditional in‐memory computing architecture, enabling the seamless integration of OECRAMs with the biological nerve system for neural repair, biohybrid interfaces, and wearable healthcare. Recent advances in material, device, and system design have unlocked the future applications of OECRAMs as a bio‐integrated hardware. This review highlights fundamental mechanisms, device parameters, and their determining factors, material innovations, main challenges, and application frontiers. Finally, three key opportunities for OECRAMs are raised, including implantable artificial nerves for neural functions restoration, bioelectronic hybrid synapses for specific sensing, and multimodal edge‐computing systems for real‐time disease diagnosis. These application scenarios outline the future directions to transition bio‐integrated OECRAMs from laboratory prototypes to clinical and industrial realities.</w:t>
      </w:r>
    </w:p>
    <w:p>
      <w:pPr>
        <w:spacing w:before="120" w:after="120"/>
      </w:pPr>
      <w:r>
        <w:rPr>
          <w:sz w:val="18"/>
        </w:rPr>
        <w:t>——————————————————————————————————————————————————————————————————————</w:t>
      </w:r>
    </w:p>
    <w:p>
      <w:pPr>
        <w:spacing w:before="160" w:after="80" w:line="240" w:lineRule="auto"/>
      </w:pPr>
      <w:r>
        <w:rPr>
          <w:b/>
        </w:rPr>
        <w:t xml:space="preserve">[79] </w:t>
      </w:r>
      <w:hyperlink r:id="rId120">
        <w:r>
          <w:rPr>
            <w:color w:val="1155CC"/>
            <w:u w:val="single"/>
          </w:rPr>
          <w:t>[ASAP] DNP-Enhanced Magic Angle Spinning Solid-State NMR Spectroscopy to Determine RNA–Ligand Interactions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13:12:40+00:00</w:t>
      </w:r>
      <w:r>
        <w:t xml:space="preserve">    </w:t>
      </w:r>
      <w:r>
        <w:rPr>
          <w:b/>
        </w:rPr>
        <w:t xml:space="preserve">DOI: </w:t>
      </w:r>
      <w:hyperlink r:id="rId121">
        <w:r>
          <w:rPr>
            <w:color w:val="1155CC"/>
            <w:u w:val="single"/>
          </w:rPr>
          <w:t>10.1021/jacs.5c17834</w:t>
        </w:r>
      </w:hyperlink>
    </w:p>
    <w:p>
      <w:pPr>
        <w:spacing w:before="0" w:after="120"/>
      </w:pPr>
      <w:r>
        <w:rPr>
          <w:b/>
        </w:rPr>
        <w:t xml:space="preserve">Notes: </w:t>
      </w:r>
      <w:r>
        <w:t>abstract_source=pubmed</w:t>
      </w:r>
    </w:p>
    <w:p>
      <w:pPr>
        <w:spacing w:before="0" w:after="200" w:lineRule="auto" w:line="276"/>
      </w:pPr>
      <w:r>
        <w:rPr>
          <w:b/>
        </w:rPr>
        <w:t xml:space="preserve">Abstract: </w:t>
      </w:r>
      <w:r>
        <w:t>Understanding the molecular recognition underlying RNA-ligand complex formation is of key importance to explain the RNA regulatory function of riboswitches and to support the development of low-molecular-weight RNA binders as starting points for the development of RNA-targeting drugs. Here, we report magic angle spinning solid-state NMR spectroscopic studies enhanced by dynamic nuclear polarization (MAS-DNP) to determine the molecular recognition of a ligand-RNA riboswitch complex. We benchmarked different labeling strategies for four large RNAs (70-86 nt) of the aptamer domain of a 2'deoxyguanosine-sensing riboswitch from Mesoplasma florum. RNA samples were prepared either by chemoenzymatic approaches or by solid-phase chemical synthesis employing different labeling schemes of riboswitches of up to 86 nucleotides. RNA-ligand complexes were prepared by the addition of their cognate metabolite. We showed that nucleotide- and ligand-selective labeling are prerequisites for the MAS-DNP studies to reduce the NMR signal overlap present in such large RNAs. We further extended site-specific labeling to atom-specific labeling, which allowed us to derive the structure of the ligand-binding pocket, extending the application of 2D 13C,15N-TEDOR experiments. The work described here opens an avenue for the investigation of large RNA-ligand complexes by MAS-DNP.</w:t>
      </w:r>
    </w:p>
    <w:p>
      <w:pPr>
        <w:spacing w:before="120" w:after="120"/>
      </w:pPr>
      <w:r>
        <w:rPr>
          <w:sz w:val="18"/>
        </w:rPr>
        <w:t>——————————————————————————————————————————————————————————————————————</w:t>
      </w:r>
    </w:p>
    <w:p>
      <w:pPr>
        <w:spacing w:before="160" w:after="80" w:line="240" w:lineRule="auto"/>
      </w:pPr>
      <w:r>
        <w:rPr>
          <w:b/>
        </w:rPr>
        <w:t xml:space="preserve">[80] </w:t>
      </w:r>
      <w:hyperlink r:id="rId122">
        <w:r>
          <w:rPr>
            <w:color w:val="1155CC"/>
            <w:u w:val="single"/>
          </w:rPr>
          <w:t>Calcium‐Powered Probiotics Reconfigure the Intestinal Niche via Biofilm Transformation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2025-12-30 13:24:41+00:00</w:t>
      </w:r>
      <w:r>
        <w:t xml:space="preserve">    </w:t>
      </w:r>
      <w:r>
        <w:rPr>
          <w:b/>
        </w:rPr>
        <w:t xml:space="preserve">DOI: </w:t>
      </w:r>
      <w:hyperlink r:id="rId123">
        <w:r>
          <w:rPr>
            <w:color w:val="1155CC"/>
            <w:u w:val="single"/>
          </w:rPr>
          <w:t>10.1002/adma.202516911</w:t>
        </w:r>
      </w:hyperlink>
    </w:p>
    <w:p>
      <w:pPr>
        <w:spacing w:before="0" w:after="120"/>
      </w:pPr>
      <w:r>
        <w:rPr>
          <w:b/>
        </w:rPr>
        <w:t xml:space="preserve">Notes: </w:t>
      </w:r>
      <w:r>
        <w:t>abstract_source=crossref</w:t>
      </w:r>
    </w:p>
    <w:p>
      <w:pPr>
        <w:spacing w:before="0" w:after="200" w:lineRule="auto" w:line="276"/>
      </w:pPr>
      <w:r>
        <w:rPr>
          <w:b/>
        </w:rPr>
        <w:t xml:space="preserve">Abstract: </w:t>
      </w:r>
      <w:r>
        <w:t>Excessive</w:t>
      </w:r>
      <w:r>
        <w:t xml:space="preserve"> </w:t>
      </w:r>
      <w:r>
        <w:t>Desulfovibrio</w:t>
      </w:r>
      <w:r>
        <w:t xml:space="preserve"> </w:t>
      </w:r>
      <w:r>
        <w:t>(Des) forms biofilm to enable dominant occupation of the intestinal niche, representing a common pathogenic driver of multiple inflammatory bowel disease (IBD) types. Colonization resistance constitutes the primary barrier to antagonistic probiotic efficacy, and this is driven by the pathogen‐favorable microenvironment established by Des. Here, probiotic</w:t>
      </w:r>
      <w:r>
        <w:t xml:space="preserve"> </w:t>
      </w:r>
      <w:r>
        <w:t>Lactiplantibacillus</w:t>
      </w:r>
      <w:r>
        <w:t xml:space="preserve"> </w:t>
      </w:r>
      <w:r>
        <w:t>(Lap) is modified by calcium ions (Ca</w:t>
      </w:r>
      <w:r>
        <w:t xml:space="preserve"> </w:t>
      </w:r>
      <w:r>
        <w:t>2+</w:t>
      </w:r>
      <w:r>
        <w:t xml:space="preserve"> </w:t>
      </w:r>
      <w:r>
        <w:t>) and calcium‐regulative polyphenol (kaempferol‐3‐O‐rutinoside, KAE) via coordinate interaction to achieve intestinal niche reconfiguration. Targeting the tripartite mechanisms of Des‐mediated colonization resistance, the Ca</w:t>
      </w:r>
      <w:r>
        <w:t xml:space="preserve"> </w:t>
      </w:r>
      <w:r>
        <w:t>2+</w:t>
      </w:r>
      <w:r>
        <w:t xml:space="preserve"> </w:t>
      </w:r>
      <w:r>
        <w:t>/KAE@Lap platform optimized niche competition through Ca</w:t>
      </w:r>
      <w:r>
        <w:t xml:space="preserve"> </w:t>
      </w:r>
      <w:r>
        <w:t>2+</w:t>
      </w:r>
      <w:r>
        <w:t xml:space="preserve"> </w:t>
      </w:r>
      <w:r>
        <w:t>‐bridged interfacial binding with directional bactericidal activity, and this enables bacterial replacement at occupied sites. Ca</w:t>
      </w:r>
      <w:r>
        <w:t xml:space="preserve"> </w:t>
      </w:r>
      <w:r>
        <w:t>2+</w:t>
      </w:r>
      <w:r>
        <w:t xml:space="preserve"> </w:t>
      </w:r>
      <w:r>
        <w:t>/KAE@Lap reestablishes calcium homeostasis disrupted by Des via synergistic Ca</w:t>
      </w:r>
      <w:r>
        <w:t xml:space="preserve"> </w:t>
      </w:r>
      <w:r>
        <w:t>2+</w:t>
      </w:r>
      <w:r>
        <w:t xml:space="preserve"> </w:t>
      </w:r>
      <w:r>
        <w:t>/KAE regulation, dually restoring epithelial energy metabolism and mucus layer reconstitution, counteracting Des‐induced colonized sites contraction and regenerated site impairment. This drives phenotypic shift in biofilm composition from Des‐dominated to Lap‐enriched consortia, which is concomitant with the redirection of intestinal colonization resistance from a pathogen‐permissive to a probiotic‐favored state. This calcium‐based biofilm transformation strategy overcomes the transient colonization limitation inherent in conventional probiotic therapies by effectively disrupting colonization resistance in IBD treatment.</w:t>
      </w:r>
    </w:p>
    <w:p>
      <w:pPr>
        <w:spacing w:before="120" w:after="120"/>
      </w:pPr>
      <w:r>
        <w:rPr>
          <w:sz w:val="18"/>
        </w:rPr>
        <w:t>——————————————————————————————————————————————————————————————————————</w:t>
      </w:r>
    </w:p>
    <w:p>
      <w:pPr>
        <w:spacing w:before="160" w:after="80" w:line="240" w:lineRule="auto"/>
      </w:pPr>
      <w:r>
        <w:rPr>
          <w:b/>
        </w:rPr>
        <w:t xml:space="preserve">[81] </w:t>
      </w:r>
      <w:hyperlink r:id="rId124">
        <w:r>
          <w:rPr>
            <w:color w:val="1155CC"/>
            <w:u w:val="single"/>
          </w:rPr>
          <w:t>Phase‐Change Solvents for Thermally Switchable Ion Conduction in Organogels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13:26:21+00:00</w:t>
      </w:r>
      <w:r>
        <w:t xml:space="preserve">    </w:t>
      </w:r>
      <w:r>
        <w:rPr>
          <w:b/>
        </w:rPr>
        <w:t xml:space="preserve">DOI: </w:t>
      </w:r>
      <w:hyperlink r:id="rId125">
        <w:r>
          <w:rPr>
            <w:color w:val="1155CC"/>
            <w:u w:val="single"/>
          </w:rPr>
          <w:t>10.1002/adma.202519014</w:t>
        </w:r>
      </w:hyperlink>
    </w:p>
    <w:p>
      <w:pPr>
        <w:spacing w:before="0" w:after="120"/>
      </w:pPr>
      <w:r>
        <w:rPr>
          <w:b/>
        </w:rPr>
        <w:t xml:space="preserve">Notes: </w:t>
      </w:r>
      <w:r>
        <w:t>abstract_source=crossref</w:t>
      </w:r>
    </w:p>
    <w:p>
      <w:pPr>
        <w:spacing w:before="0" w:after="200" w:lineRule="auto" w:line="276"/>
      </w:pPr>
      <w:r>
        <w:rPr>
          <w:b/>
        </w:rPr>
        <w:t xml:space="preserve">Abstract: </w:t>
      </w:r>
      <w:r>
        <w:t>Conductive media in which ions carry charge through a solution are foundationally important to batteries, supercapacitors, and ionotronic devices. Shifts in ion mobility imposed by physical changes in the solution can dynamically impact the conductivity of the medium. This paper reports a class of temperature‐responsive phase‐change organogels in which a polymer network is formed within salt solutions in organic solvents with melting points between room temperature and 100 °C. The conductivity in the molten state (up to ∼10</w:t>
      </w:r>
      <w:r>
        <w:t xml:space="preserve"> </w:t>
      </w:r>
      <w:r>
        <w:t>−4</w:t>
      </w:r>
      <w:r>
        <w:t xml:space="preserve"> </w:t>
      </w:r>
      <w:r>
        <w:t>to 10</w:t>
      </w:r>
      <w:r>
        <w:t xml:space="preserve"> </w:t>
      </w:r>
      <w:r>
        <w:t>−3</w:t>
      </w:r>
      <w:r>
        <w:t xml:space="preserve"> </w:t>
      </w:r>
      <w:r>
        <w:t>S/cm) exceeded that in the frozen state by over 10 000‐fold and remained stable after holding at 90 °C for 3 h or over 100 freezing/melting cycles. A diverse range of salts can be used, and the conductivity/temperature relationship can be tuned by selecting or mixing solvents with different melting points. Depending on the solvent composition, these phase‐change organogels can either produce approximately digital (binary) thermal responses to function as switches or respond continuously as analog temperature sensors or other transducers. An advantage of this strategy over prior literature is that the identity of the charge carrier and the phase behavior of the solvent can be tuned independently, presenting a wide design space for electrolyte materials whose conductivity responds to temperature.</w:t>
      </w:r>
    </w:p>
    <w:p>
      <w:pPr>
        <w:spacing w:before="120" w:after="120"/>
      </w:pPr>
      <w:r>
        <w:rPr>
          <w:sz w:val="18"/>
        </w:rPr>
        <w:t>——————————————————————————————————————————————————————————————————————</w:t>
      </w:r>
    </w:p>
    <w:p>
      <w:pPr>
        <w:spacing w:before="160" w:after="80" w:line="240" w:lineRule="auto"/>
      </w:pPr>
      <w:r>
        <w:rPr>
          <w:b/>
        </w:rPr>
        <w:t xml:space="preserve">[82] </w:t>
      </w:r>
      <w:hyperlink r:id="rId126">
        <w:r>
          <w:rPr>
            <w:color w:val="1155CC"/>
            <w:u w:val="single"/>
          </w:rPr>
          <w:t>Maximized Full‐Color Circularly Polarized Luminescence from Metal Clusters</w:t>
        </w:r>
      </w:hyperlink>
    </w:p>
    <w:p>
      <w:pPr>
        <w:spacing w:before="0" w:after="120" w:line="240" w:lineRule="auto"/>
      </w:pPr>
      <w:r>
        <w:rPr>
          <w:b/>
        </w:rPr>
        <w:t xml:space="preserve">Source: </w:t>
      </w:r>
      <w:r>
        <w:t>Wiley: Advanced Materials: Table of Contents</w:t>
      </w:r>
      <w:r>
        <w:t xml:space="preserve">    </w:t>
      </w:r>
      <w:r>
        <w:rPr>
          <w:b/>
        </w:rPr>
        <w:t xml:space="preserve">Pub date: </w:t>
      </w:r>
      <w:r>
        <w:t>2025-12-30 13:28:09+00:00</w:t>
      </w:r>
      <w:r>
        <w:t xml:space="preserve">    </w:t>
      </w:r>
      <w:r>
        <w:rPr>
          <w:b/>
        </w:rPr>
        <w:t xml:space="preserve">DOI: </w:t>
      </w:r>
      <w:hyperlink r:id="rId127">
        <w:r>
          <w:rPr>
            <w:color w:val="1155CC"/>
            <w:u w:val="single"/>
          </w:rPr>
          <w:t>10.1002/adma.202521627</w:t>
        </w:r>
      </w:hyperlink>
    </w:p>
    <w:p>
      <w:pPr>
        <w:spacing w:before="0" w:after="120"/>
      </w:pPr>
      <w:r>
        <w:rPr>
          <w:b/>
        </w:rPr>
        <w:t xml:space="preserve">Notes: </w:t>
      </w:r>
      <w:r>
        <w:t>abstract_source=crossref</w:t>
      </w:r>
    </w:p>
    <w:p>
      <w:pPr>
        <w:spacing w:before="0" w:after="200" w:lineRule="auto" w:line="276"/>
      </w:pPr>
      <w:r>
        <w:rPr>
          <w:b/>
        </w:rPr>
        <w:t xml:space="preserve">Abstract: </w:t>
      </w:r>
      <w:r>
        <w:t>Colorful circularly polarized luminescence materials with large luminescence dissymmetry factors (</w:t>
      </w:r>
      <w:r>
        <w:t xml:space="preserve"> </w:t>
      </w:r>
      <w:r>
        <w:t>g</w:t>
      </w:r>
      <w:r>
        <w:t xml:space="preserve"> </w:t>
      </w:r>
      <w:r>
        <w:t>lum</w:t>
      </w:r>
      <w:r>
        <w:t xml:space="preserve"> </w:t>
      </w:r>
      <w:r>
        <w:t>) and high photoluminescence quantum yields (PLQYs) are desired for 3D display, asymmetric synthesis, and encryption. However, realizing such materials based on metal clusters faces significant hurdles. Here, we disclose full‐color CPL (visible light to near‐infrared) with the maximum</w:t>
      </w:r>
      <w:r>
        <w:t xml:space="preserve"> </w:t>
      </w:r>
      <w:r>
        <w:t>g</w:t>
      </w:r>
      <w:r>
        <w:t xml:space="preserve"> </w:t>
      </w:r>
      <w:r>
        <w:t>lum</w:t>
      </w:r>
      <w:r>
        <w:t xml:space="preserve"> </w:t>
      </w:r>
      <w:r>
        <w:t>factor up to −1.68 from atomically precise metal clusters in bilayer architectures, composed of soft helix chiral liquid crystals (CLCs) layers and metal cluster layers. This</w:t>
      </w:r>
      <w:r>
        <w:t xml:space="preserve"> </w:t>
      </w:r>
      <w:r>
        <w:t>g</w:t>
      </w:r>
      <w:r>
        <w:t xml:space="preserve"> </w:t>
      </w:r>
      <w:r>
        <w:t>lum</w:t>
      </w:r>
      <w:r>
        <w:t xml:space="preserve"> </w:t>
      </w:r>
      <w:r>
        <w:t>factor is the highest value reported among all metal cluster‐based materials. In the bilayer architecture device, the luminescence efficiency and stability of the metal clusters are significantly enhanced by their integration into the polymethyl methacrylate (PMMA) in the bilayer device, all while perfectly maintaining the optical properties of CLCs. Then, we further demonstrated the application of the metal cluster's excellent full‐color CPL in photoinduced enantioselective polymerization, realizing a chiral transfer from light to matter. This work contributes to the design and synthesis of highly efficient full‐spectrum chiroptical metal cluster materials, as well as the expansion of the application of photoinduced enantioselective polymerization technologies.</w:t>
      </w:r>
    </w:p>
    <w:p>
      <w:pPr>
        <w:spacing w:before="120" w:after="120"/>
      </w:pPr>
      <w:r>
        <w:rPr>
          <w:sz w:val="18"/>
        </w:rPr>
        <w:t>——————————————————————————————————————————————————————————————————————</w:t>
      </w:r>
    </w:p>
    <w:p>
      <w:pPr>
        <w:spacing w:before="160" w:after="80" w:line="240" w:lineRule="auto"/>
      </w:pPr>
      <w:r>
        <w:rPr>
          <w:b/>
        </w:rPr>
        <w:t xml:space="preserve">[83] </w:t>
      </w:r>
      <w:hyperlink r:id="rId128">
        <w:r>
          <w:rPr>
            <w:color w:val="1155CC"/>
            <w:u w:val="single"/>
          </w:rPr>
          <w:t>[ASAP] Defect-Assisted Recombination in Semiconductors and Photovoltaic Device Parameters from First Principles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14:03:16+00:00</w:t>
      </w:r>
      <w:r>
        <w:t xml:space="preserve">    </w:t>
      </w:r>
      <w:r>
        <w:rPr>
          <w:b/>
        </w:rPr>
        <w:t xml:space="preserve">DOI: </w:t>
      </w:r>
      <w:hyperlink r:id="rId129">
        <w:r>
          <w:rPr>
            <w:color w:val="1155CC"/>
            <w:u w:val="single"/>
          </w:rPr>
          <w:t>10.1021/jacs.5c12981</w:t>
        </w:r>
      </w:hyperlink>
    </w:p>
    <w:p>
      <w:pPr>
        <w:spacing w:before="0" w:after="120"/>
      </w:pPr>
      <w:r>
        <w:rPr>
          <w:b/>
        </w:rPr>
        <w:t xml:space="preserve">Notes: </w:t>
      </w:r>
      <w:r>
        <w:t>abstract_source=pubmed</w:t>
      </w:r>
    </w:p>
    <w:p>
      <w:pPr>
        <w:spacing w:before="0" w:after="200" w:lineRule="auto" w:line="276"/>
      </w:pPr>
      <w:r>
        <w:rPr>
          <w:b/>
        </w:rPr>
        <w:t xml:space="preserve">Abstract: </w:t>
      </w:r>
      <w:r>
        <w:t>We introduce a method to calculate defect-assisted Shockley-Read-Hall (SRH) recombination rates in imperfect semiconductors from first principles. The method accounts for the steady-state recombination dynamics under given nonequilibrium conditions (split quasi-Fermi levels) by invoking a full solution to the rate equations describing transitions across the band gap via all possible charge states of the defect. Transition rates due to radiative and nonradiative multiphonon emission processes are calculated from first principles. The method is used to evaluate the effect of selected defects on the photovoltaic device parameters of seven emergent photovoltaic semiconductors. These examples clearly highlight the limitations of commonly employed approximations of the recombination dynamics. Our work advances the description and understanding of defect-induced losses in photovoltaics and provides a basis for developing the important concept of defect-tolerant semiconductors and discovering high-performance photovoltaic materials computationally.</w:t>
      </w:r>
    </w:p>
    <w:p>
      <w:pPr>
        <w:spacing w:before="120" w:after="120"/>
      </w:pPr>
      <w:r>
        <w:rPr>
          <w:sz w:val="18"/>
        </w:rPr>
        <w:t>——————————————————————————————————————————————————————————————————————</w:t>
      </w:r>
    </w:p>
    <w:p>
      <w:pPr>
        <w:spacing w:before="160" w:after="80" w:line="240" w:lineRule="auto"/>
      </w:pPr>
      <w:r>
        <w:rPr>
          <w:b/>
        </w:rPr>
        <w:t xml:space="preserve">[84] </w:t>
      </w:r>
      <w:hyperlink r:id="rId130">
        <w:r>
          <w:rPr>
            <w:color w:val="1155CC"/>
            <w:u w:val="single"/>
          </w:rPr>
          <w:t>[ASAP] Collective Total Synthesis of 12 C4-Oxygenated Cladiellins and Structure Elucidation of Cladieunicellin D and Cladielloides A/C</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14:21:25+00:00</w:t>
      </w:r>
      <w:r>
        <w:t xml:space="preserve">    </w:t>
      </w:r>
      <w:r>
        <w:rPr>
          <w:b/>
        </w:rPr>
        <w:t xml:space="preserve">DOI: </w:t>
      </w:r>
      <w:hyperlink r:id="rId131">
        <w:r>
          <w:rPr>
            <w:color w:val="1155CC"/>
            <w:u w:val="single"/>
          </w:rPr>
          <w:t>10.1021/jacs.5c19112</w:t>
        </w:r>
      </w:hyperlink>
    </w:p>
    <w:p>
      <w:pPr>
        <w:spacing w:before="0" w:after="120"/>
      </w:pPr>
      <w:r>
        <w:rPr>
          <w:b/>
        </w:rPr>
        <w:t xml:space="preserve">Notes: </w:t>
      </w:r>
      <w:r>
        <w:t>abstract_source=pubmed</w:t>
      </w:r>
    </w:p>
    <w:p>
      <w:pPr>
        <w:spacing w:before="0" w:after="200" w:lineRule="auto" w:line="276"/>
      </w:pPr>
      <w:r>
        <w:rPr>
          <w:b/>
        </w:rPr>
        <w:t xml:space="preserve">Abstract: </w:t>
      </w:r>
      <w:r>
        <w:t>Cladiellins are a group of marine natural products found in octocorals inhabiting Indo-Pacific reefs, and some members exhibit medically relevant biological activity. The 6/5/9-membered tricyclic ring skeleton of cladiellins comprises hydroisobenzofuran and oxonane moieties, and possesses three one-carbon branches and one three-carbon branch. Unsaturation and oxygenation at various positions endow structural diversity to this family; however, C4-oxygenated cladiellins are rare. Among these unusual structural features, the conformationally variable 9-membered ring presents an uncommon and formidable challenge for both NMR-based structure determination and chemical synthesis. Herein, we report the collective total synthesis of 12 structurally diverse C4-oxygenated cladiellins, 10 of which were chemically constructed for the first time. In addition, we revised the proposed structures of cladieunicellin D and cladielloide A, and established the previously unknown stereochemistry of cladielloides A/C. To accomplish this multifaceted endeavor, the project was divided into three parts. In the first part, we deduced the most likely stereoisomers of the three structurally ambiguous cladiellins from DP4+ probability analyses. In the second part, a common tricycle was assembled by a radical-polar crossover reaction of α-alkoxyacyl telluride with a 6-membered ring and an aldehyde, a reductive etherification reaction of a 5-membered ring, and a ring-closing metathesis reaction of a 9-membered ring. In the third part, the tricycle was systematically derivatized into 12 cladiellins by devising a series of selective transformations. The described results underscore the importance of designing an advanced common intermediate for collective total synthesis and combining density functional theory (DFT) calculations and syntheses for efficient structure elucidation.</w:t>
      </w:r>
    </w:p>
    <w:p>
      <w:pPr>
        <w:spacing w:before="120" w:after="120"/>
      </w:pPr>
      <w:r>
        <w:rPr>
          <w:sz w:val="18"/>
        </w:rPr>
        <w:t>——————————————————————————————————————————————————————————————————————</w:t>
      </w:r>
    </w:p>
    <w:p>
      <w:pPr>
        <w:spacing w:before="160" w:after="80" w:line="240" w:lineRule="auto"/>
      </w:pPr>
      <w:r>
        <w:rPr>
          <w:b/>
        </w:rPr>
        <w:t xml:space="preserve">[85] </w:t>
      </w:r>
      <w:hyperlink r:id="rId132">
        <w:r>
          <w:rPr>
            <w:color w:val="1155CC"/>
            <w:u w:val="single"/>
          </w:rPr>
          <w:t>[ASAP] In-Liquid Plasma Catalysis for Nitrogen Reduction</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2025-12-30 14:45:06+00:00</w:t>
      </w:r>
      <w:r>
        <w:t xml:space="preserve">    </w:t>
      </w:r>
      <w:r>
        <w:rPr>
          <w:b/>
        </w:rPr>
        <w:t xml:space="preserve">DOI: </w:t>
      </w:r>
      <w:hyperlink r:id="rId133">
        <w:r>
          <w:rPr>
            <w:color w:val="1155CC"/>
            <w:u w:val="single"/>
          </w:rPr>
          <w:t>10.1021/acsenergylett.5c01740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[86] </w:t>
      </w:r>
      <w:hyperlink r:id="rId134">
        <w:r>
          <w:rPr>
            <w:color w:val="1155CC"/>
            <w:u w:val="single"/>
          </w:rPr>
          <w:t>[ASAP] Key Strategies for the Performance Enhancement of Tin-Based Perovskite Solar Cells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2025-12-30 15:04:47+00:00</w:t>
      </w:r>
      <w:r>
        <w:t xml:space="preserve">    </w:t>
      </w:r>
      <w:r>
        <w:rPr>
          <w:b/>
        </w:rPr>
        <w:t xml:space="preserve">DOI: </w:t>
      </w:r>
      <w:hyperlink r:id="rId135">
        <w:r>
          <w:rPr>
            <w:color w:val="1155CC"/>
            <w:u w:val="single"/>
          </w:rPr>
          <w:t>10.1021/acsenergylett.5c03596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[87] </w:t>
      </w:r>
      <w:hyperlink r:id="rId136">
        <w:r>
          <w:rPr>
            <w:color w:val="1155CC"/>
            <w:u w:val="single"/>
          </w:rPr>
          <w:t>[ASAP] Designable Multiphase Nanocrystals Based on Phase Rearrangement</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15:19:56+00:00</w:t>
      </w:r>
      <w:r>
        <w:t xml:space="preserve">    </w:t>
      </w:r>
      <w:r>
        <w:rPr>
          <w:b/>
        </w:rPr>
        <w:t xml:space="preserve">DOI: </w:t>
      </w:r>
      <w:hyperlink r:id="rId137">
        <w:r>
          <w:rPr>
            <w:color w:val="1155CC"/>
            <w:u w:val="single"/>
          </w:rPr>
          <w:t>10.1021/jacs.5c14589</w:t>
        </w:r>
      </w:hyperlink>
    </w:p>
    <w:p>
      <w:pPr>
        <w:spacing w:before="0" w:after="120"/>
      </w:pPr>
      <w:r>
        <w:rPr>
          <w:b/>
        </w:rPr>
        <w:t xml:space="preserve">Notes: </w:t>
      </w:r>
      <w:r>
        <w:t>abstract_source=pubmed</w:t>
      </w:r>
    </w:p>
    <w:p>
      <w:pPr>
        <w:spacing w:before="0" w:after="200" w:lineRule="auto" w:line="276"/>
      </w:pPr>
      <w:r>
        <w:rPr>
          <w:b/>
        </w:rPr>
        <w:t xml:space="preserve">Abstract: </w:t>
      </w:r>
      <w:r>
        <w:t>Phase engineering is a significant means of effectively enhancing catalytic performance. However, achieving continuous and precise phase control in intermetallic compounds remains a challenge, which has hindered the development of phase-dependent catalysis. In this work, we demonstrate continuous phase regulation and unveil the crucial role of phase rearrangement in the selective construction of nanocrystals. Through a mechanistic investigation, we uncovered a phase-dependent behavior governing the selective phase transformation during phase rearrangement. When a Pd-rich (Pd20Te7, the ratios of Pd/Te &gt; 1) template was used, Pd20Te7 rearranged into PdTe. The Te vacancies generated in this process were occupied by Pb atoms, leading to the formation of a Pd-Pb alloy. Conversely, Te-rich template (PdTe2, the ratios of Pd/Te &lt; 1) rearranged to PdTe, with the resulting Pd vacancies being occupied by Pb atoms to form a Pb-Te alloy. The customized interface in PdTe-PbTe significantly enhanced its formic acid oxidation reaction (FAOR) activity. The catalyst achieved a mass activity of 4.17 A mgPd-1 and a specific activity of 9.12 mA cm-2, surpassing commercial Pd/C by factors of 16.68 and 12.67, respectively. This work establishes a selective phase-regulation strategy to create customized nanostructures for diverse applications.</w:t>
      </w:r>
    </w:p>
    <w:p>
      <w:pPr>
        <w:spacing w:before="120" w:after="120"/>
      </w:pPr>
      <w:r>
        <w:rPr>
          <w:sz w:val="18"/>
        </w:rPr>
        <w:t>——————————————————————————————————————————————————————————————————————</w:t>
      </w:r>
    </w:p>
    <w:p>
      <w:pPr>
        <w:spacing w:before="160" w:after="80" w:line="240" w:lineRule="auto"/>
      </w:pPr>
      <w:r>
        <w:rPr>
          <w:b/>
        </w:rPr>
        <w:t xml:space="preserve">[88] </w:t>
      </w:r>
      <w:hyperlink r:id="rId138">
        <w:r>
          <w:rPr>
            <w:color w:val="1155CC"/>
            <w:u w:val="single"/>
          </w:rPr>
          <w:t>[ASAP] Stereoselective Dihalogenation of Alkynes to Access Enantioenriched Z-Vicinal Dihaloalkene Atropisomers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15:28:33+00:00</w:t>
      </w:r>
      <w:r>
        <w:t xml:space="preserve">    </w:t>
      </w:r>
      <w:r>
        <w:rPr>
          <w:b/>
        </w:rPr>
        <w:t xml:space="preserve">DOI: </w:t>
      </w:r>
      <w:hyperlink r:id="rId139">
        <w:r>
          <w:rPr>
            <w:color w:val="1155CC"/>
            <w:u w:val="single"/>
          </w:rPr>
          <w:t>10.1021/jacs.5c14722</w:t>
        </w:r>
      </w:hyperlink>
    </w:p>
    <w:p>
      <w:pPr>
        <w:spacing w:before="0" w:after="120"/>
      </w:pPr>
      <w:r>
        <w:rPr>
          <w:b/>
        </w:rPr>
        <w:t xml:space="preserve">Notes: </w:t>
      </w:r>
      <w:r>
        <w:t>abstract_source=pubmed</w:t>
      </w:r>
    </w:p>
    <w:p>
      <w:pPr>
        <w:spacing w:before="0" w:after="200" w:lineRule="auto" w:line="276"/>
      </w:pPr>
      <w:r>
        <w:rPr>
          <w:b/>
        </w:rPr>
        <w:t xml:space="preserve">Abstract: </w:t>
      </w:r>
      <w:r>
        <w:t>The stereoselective construction of Z-configured olefins remains a fundamental challenge in synthetic chemistry, particularly when additional stereogenic elements with high enantioselectivity are simultaneously introduced. Furthermore, vicinal dihaloalkenes are privileged scaffolds in organic and medicinal chemistry, and the traditional protocol for preparing vicinal dihaloalkenes relies on a halonium intermediate-mediated pathway and typically yields E-configured adducts. Herein, we report the catalytic stereoselective synthesis of enantioenriched Z-vicinal dihaloalkene atropisomers in high yields (up to 95%) with excellent enantioselectivity (up to 99%) and a Z/E ratio of more than 20:1. This transformation was achieved through an allene-mediated organocatalyzed assembly of readily available N-Bromosuccinimide (NBS) and acyl halides as halogenation reagents.</w:t>
      </w:r>
    </w:p>
    <w:p>
      <w:pPr>
        <w:spacing w:before="120" w:after="120"/>
      </w:pPr>
      <w:r>
        <w:rPr>
          <w:sz w:val="18"/>
        </w:rPr>
        <w:t>——————————————————————————————————————————————————————————————————————</w:t>
      </w:r>
    </w:p>
    <w:p>
      <w:pPr>
        <w:spacing w:before="160" w:after="80" w:line="240" w:lineRule="auto"/>
      </w:pPr>
      <w:r>
        <w:rPr>
          <w:b/>
        </w:rPr>
        <w:t xml:space="preserve">[89] </w:t>
      </w:r>
      <w:hyperlink r:id="rId140">
        <w:r>
          <w:rPr>
            <w:color w:val="1155CC"/>
            <w:u w:val="single"/>
          </w:rPr>
          <w:t>[ASAP] Programmed Twisting in Organic Lateral Heterostructures Driven by a Metastable Crystal Plane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15:54:48+00:00</w:t>
      </w:r>
      <w:r>
        <w:t xml:space="preserve">    </w:t>
      </w:r>
      <w:r>
        <w:rPr>
          <w:b/>
        </w:rPr>
        <w:t xml:space="preserve">DOI: </w:t>
      </w:r>
      <w:hyperlink r:id="rId141">
        <w:r>
          <w:rPr>
            <w:color w:val="1155CC"/>
            <w:u w:val="single"/>
          </w:rPr>
          <w:t>10.1021/jacs.5c19877</w:t>
        </w:r>
      </w:hyperlink>
    </w:p>
    <w:p>
      <w:pPr>
        <w:spacing w:before="0" w:after="120"/>
      </w:pPr>
      <w:r>
        <w:rPr>
          <w:b/>
        </w:rPr>
        <w:t xml:space="preserve">Notes: </w:t>
      </w:r>
      <w:r>
        <w:t>abstract_source=pubmed</w:t>
      </w:r>
    </w:p>
    <w:p>
      <w:pPr>
        <w:spacing w:before="0" w:after="200" w:lineRule="auto" w:line="276"/>
      </w:pPr>
      <w:r>
        <w:rPr>
          <w:b/>
        </w:rPr>
        <w:t xml:space="preserve">Abstract: </w:t>
      </w:r>
      <w:r>
        <w:t>The precise preparation of twisted heterostructures is crucial for optoelectronic applications; however, it remains a significant challenge of precise twist angle control. Here, we report a vapor-phase diffusion-based strategy for the direct growth of organic twisted lateral heterostructures (TLHs) with programmed twist angles. By leveraging distinct melting points of precursor materials and exploiting selective matching of metastable crystal facets, we achieved heteroepitaxial growth with an accurate 45° twisted angle. The ordered and controllable direct epitaxial process of organic crystals driven by high lattice matching induction is simple, efficient, and avoids the introduction of external pollution. The resulting TLHs exhibit excellent structural integrity and uniformity while maintaining superior optical waveguide properties. Furthermore, we demonstrate their potential for optical signal modulation through comprehensive photoconduction characterization. This work establishes a facet-selected epitaxy approach for precise fabrication of twisted architectures and provides a versatile platform for advanced twistronic and photonic applications.</w:t>
      </w:r>
    </w:p>
    <w:p>
      <w:pPr>
        <w:spacing w:before="120" w:after="120"/>
      </w:pPr>
      <w:r>
        <w:rPr>
          <w:sz w:val="18"/>
        </w:rPr>
        <w:t>——————————————————————————————————————————————————————————————————————</w:t>
      </w:r>
    </w:p>
    <w:p>
      <w:pPr>
        <w:spacing w:before="160" w:after="80" w:line="240" w:lineRule="auto"/>
      </w:pPr>
      <w:r>
        <w:rPr>
          <w:b/>
        </w:rPr>
        <w:t xml:space="preserve">[90] </w:t>
      </w:r>
      <w:hyperlink r:id="rId142">
        <w:r>
          <w:rPr>
            <w:color w:val="1155CC"/>
            <w:u w:val="single"/>
          </w:rPr>
          <w:t>[ASAP] Photochemical Fluoroalkylations with Fluorinated Gases Facilitated by a Robust Metal–Organic Framework</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17:02:55+00:00</w:t>
      </w:r>
      <w:r>
        <w:t xml:space="preserve">    </w:t>
      </w:r>
      <w:r>
        <w:rPr>
          <w:b/>
        </w:rPr>
        <w:t xml:space="preserve">DOI: </w:t>
      </w:r>
      <w:hyperlink r:id="rId143">
        <w:r>
          <w:rPr>
            <w:color w:val="1155CC"/>
            <w:u w:val="single"/>
          </w:rPr>
          <w:t>10.1021/jacs.5c17931</w:t>
        </w:r>
      </w:hyperlink>
    </w:p>
    <w:p>
      <w:pPr>
        <w:spacing w:before="0" w:after="120"/>
      </w:pPr>
      <w:r>
        <w:rPr>
          <w:b/>
        </w:rPr>
        <w:t xml:space="preserve">Notes: </w:t>
      </w:r>
      <w:r>
        <w:t>abstract_source=pubmed</w:t>
      </w:r>
    </w:p>
    <w:p>
      <w:pPr>
        <w:spacing w:before="0" w:after="200" w:lineRule="auto" w:line="276"/>
      </w:pPr>
      <w:r>
        <w:rPr>
          <w:b/>
        </w:rPr>
        <w:t xml:space="preserve">Abstract: </w:t>
      </w:r>
      <w:r>
        <w:t>Photochemistry has greatly advanced the sustainable synthesis of complex molecules, but its application for late-stage fluoroalkylation─crucial due to the presence of fluorine in &gt;20% of pharmaceuticals and &gt;65% of agrochemicals─is hindered by the poor atom economy of traditional fluoroalkylating agents. Herein, we demonstrate that simple fluorinated gases, which represent ideal building blocks for fluorochemical synthesis, can be stored within the robust, inexpensive, and redox-innocent metal-organic framework Al-fum to streamline the development of 11 photoinduced fluoroalkylation reactions, including bimolecular homolytic substitution (SH2), metallophotoredox cross-coupling, and [2+2] cycloaddition reactions. The gas-Al-fum reagents are prepared via simple gas-dosing procedures, stable for several months in a desiccator at room temperature, and are compatible with reaction optimization campaigns and mechanistic studies using precise quantities of gases. Overall, our findings provide a general platform for the utilization of inexpensive gaseous building blocks in photochemistry, paving the way for the sustainable synthesis of next-generation fluorochemicals.</w:t>
      </w:r>
    </w:p>
    <w:p>
      <w:pPr>
        <w:spacing w:before="120" w:after="120"/>
      </w:pPr>
      <w:r>
        <w:rPr>
          <w:sz w:val="18"/>
        </w:rPr>
        <w:t>——————————————————————————————————————————————————————————————————————</w:t>
      </w:r>
    </w:p>
    <w:p>
      <w:pPr>
        <w:spacing w:before="160" w:after="80" w:line="240" w:lineRule="auto"/>
      </w:pPr>
      <w:r>
        <w:rPr>
          <w:b/>
        </w:rPr>
        <w:t xml:space="preserve">[91] </w:t>
      </w:r>
      <w:hyperlink r:id="rId144">
        <w:r>
          <w:rPr>
            <w:color w:val="1155CC"/>
            <w:u w:val="single"/>
          </w:rPr>
          <w:t>[ASAP] Enantioselective Total Synthesis of (+)-Fusicoccadiene via Photocatalytic Polyene Isomerization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17:59:57+00:00</w:t>
      </w:r>
      <w:r>
        <w:t xml:space="preserve">    </w:t>
      </w:r>
      <w:r>
        <w:rPr>
          <w:b/>
        </w:rPr>
        <w:t xml:space="preserve">DOI: </w:t>
      </w:r>
      <w:hyperlink r:id="rId145">
        <w:r>
          <w:rPr>
            <w:color w:val="1155CC"/>
            <w:u w:val="single"/>
          </w:rPr>
          <w:t>10.1021/jacs.5c19654</w:t>
        </w:r>
      </w:hyperlink>
    </w:p>
    <w:p>
      <w:pPr>
        <w:spacing w:before="0" w:after="120"/>
      </w:pPr>
      <w:r>
        <w:rPr>
          <w:b/>
        </w:rPr>
        <w:t xml:space="preserve">Notes: </w:t>
      </w:r>
      <w:r>
        <w:t>abstract_source=pubmed</w:t>
      </w:r>
    </w:p>
    <w:p>
      <w:pPr>
        <w:spacing w:before="0" w:after="200" w:lineRule="auto" w:line="276"/>
      </w:pPr>
      <w:r>
        <w:rPr>
          <w:b/>
        </w:rPr>
        <w:t xml:space="preserve">Abstract: </w:t>
      </w:r>
      <w:r>
        <w:t>The fusicoccane diterpenes have amassed interest for their intricate 5-8-5 tricyclic framework and ability to interface with diverse signaling proteins. Herein, we report an enantioselective synthetic platform for the rapid assembly of fusicoccanes where the 5-8-5 motif is prepared via valence bond isomerization of a polyene precursor. A series of regio- and stereoselective modifications to the periphery of this substructure provides entry to diverse fusicoccane congeners. The utility of this strategy is demonstrated with a concise total synthesis of (+)-fusicoccadiene.</w:t>
      </w:r>
    </w:p>
    <w:p>
      <w:pPr>
        <w:spacing w:before="120" w:after="120"/>
      </w:pPr>
      <w:r>
        <w:rPr>
          <w:sz w:val="18"/>
        </w:rPr>
        <w:t>——————————————————————————————————————————————————————————————————————</w:t>
      </w:r>
    </w:p>
    <w:p>
      <w:pPr>
        <w:spacing w:before="160" w:after="80" w:line="240" w:lineRule="auto"/>
      </w:pPr>
      <w:r>
        <w:rPr>
          <w:b/>
        </w:rPr>
        <w:t xml:space="preserve">[92] </w:t>
      </w:r>
      <w:hyperlink r:id="rId146">
        <w:r>
          <w:rPr>
            <w:color w:val="1155CC"/>
            <w:u w:val="single"/>
          </w:rPr>
          <w:t>[ASAP] Correction to “Synthesis of Bicyclo[2.1.0]pentanes and Vinylcyclopropanes Using Palladium Carbenes: Ligand-Controlled Carbene Reactivity”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18:29:34+00:00</w:t>
      </w:r>
      <w:r>
        <w:t xml:space="preserve">    </w:t>
      </w:r>
      <w:r>
        <w:rPr>
          <w:b/>
        </w:rPr>
        <w:t xml:space="preserve">DOI: </w:t>
      </w:r>
      <w:hyperlink r:id="rId147">
        <w:r>
          <w:rPr>
            <w:color w:val="1155CC"/>
            <w:u w:val="single"/>
          </w:rPr>
          <w:t>10.1021/jacs.5c21238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[93] </w:t>
      </w:r>
      <w:hyperlink r:id="rId148">
        <w:r>
          <w:rPr>
            <w:color w:val="1155CC"/>
            <w:u w:val="single"/>
          </w:rPr>
          <w:t>[ASAP] Electrostatic Confinement of Photosensitizers within Molybdenum–Sulfur Cluster-Based Supramolecular Matrices for Efficient Dual-Photocatalysis: Hydrogen Evolution and Trifluoromethylation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18:34:54+00:00</w:t>
      </w:r>
      <w:r>
        <w:t xml:space="preserve">    </w:t>
      </w:r>
      <w:r>
        <w:rPr>
          <w:b/>
        </w:rPr>
        <w:t xml:space="preserve">DOI: </w:t>
      </w:r>
      <w:hyperlink r:id="rId149">
        <w:r>
          <w:rPr>
            <w:color w:val="1155CC"/>
            <w:u w:val="single"/>
          </w:rPr>
          <w:t>10.1021/jacs.5c15376</w:t>
        </w:r>
      </w:hyperlink>
    </w:p>
    <w:p>
      <w:pPr>
        <w:spacing w:before="0" w:after="120"/>
      </w:pPr>
      <w:r>
        <w:rPr>
          <w:b/>
        </w:rPr>
        <w:t xml:space="preserve">Notes: </w:t>
      </w:r>
      <w:r>
        <w:t>abstract_source=pubmed</w:t>
      </w:r>
    </w:p>
    <w:p>
      <w:pPr>
        <w:spacing w:before="0" w:after="200" w:lineRule="auto" w:line="276"/>
      </w:pPr>
      <w:r>
        <w:rPr>
          <w:b/>
        </w:rPr>
        <w:t xml:space="preserve">Abstract: </w:t>
      </w:r>
      <w:r>
        <w:t>Enhancing charge transfer efficiency between molecular photosensitizers and catalytic units remains a pivotal yet challenging objective in developing advanced photocatalytic systems. Herein, we present a crystallographic self-assembly strategy to construct Ru@MoS-MBIZ─a periodically ordered supramolecular architecture, wherein cationic photosensitizers, [Ru(bpy)3]2+, are electrostatically immobilized within cavities formed by anionic molybdenum-sulfur (Mo-S) clusters ([Mo3S7(MBIZ)3]-), enabling spatially defined coupling between light-harvesting and catalytic moieties. The atomically precise arrangement not only enhances structural stability and light absorption but also optimizes the electronic structure and energy-level alignment, facilitating efficient charge separation and directional charge transfer. The integrated system exhibits outstanding photocatalytic performance for hydrogen production with an impressive generation rate of 46 mmol g-1 h-1─118 and 4.5 times higher than those of pristine MoS-MBIZ and a physical mixture of [Ru(bpy)3]Cl2/MoS-MBIZ, respectively, surpassing most noble-metal-assisted crystalline photocatalysts. Notably, this integrated strategy enables a leap from single- to dual-function photocatalysis, concurrently achieving visible-light-driven trifluoromethylation with &gt;85% yield for trifluorotoluene and a broad substrate scope covering 25 diverse (hetero)arenes and pharmaceuticals, marking the first extension of Mo-S clusters to organic photosynthesis. Mechanistic investigations through experimental and theoretical analyses confirm enhanced charge separation and directional electron transfer from Ru to Mo centers. This work establishes a blueprint for programmable multifunctional photocatalysts via electrostatic confinement and crystallographic integration.</w:t>
      </w:r>
    </w:p>
    <w:p>
      <w:pPr>
        <w:spacing w:before="120" w:after="120"/>
      </w:pPr>
      <w:r>
        <w:rPr>
          <w:sz w:val="18"/>
        </w:rPr>
        <w:t>——————————————————————————————————————————————————————————————————————</w:t>
      </w:r>
    </w:p>
    <w:p>
      <w:pPr>
        <w:spacing w:before="160" w:after="80" w:line="240" w:lineRule="auto"/>
      </w:pPr>
      <w:r>
        <w:rPr>
          <w:b/>
        </w:rPr>
        <w:t xml:space="preserve">[94] </w:t>
      </w:r>
      <w:hyperlink r:id="rId150">
        <w:r>
          <w:rPr>
            <w:color w:val="1155CC"/>
            <w:u w:val="single"/>
          </w:rPr>
          <w:t>[ASAP] Fast, Bright, and Reversible Fluorescent Labeling of Rhodamine-Binding Proteins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19:37:45+00:00</w:t>
      </w:r>
      <w:r>
        <w:t xml:space="preserve">    </w:t>
      </w:r>
      <w:r>
        <w:rPr>
          <w:b/>
        </w:rPr>
        <w:t xml:space="preserve">DOI: </w:t>
      </w:r>
      <w:hyperlink r:id="rId151">
        <w:r>
          <w:rPr>
            <w:color w:val="1155CC"/>
            <w:u w:val="single"/>
          </w:rPr>
          <w:t>10.1021/jacs.5c18083</w:t>
        </w:r>
      </w:hyperlink>
    </w:p>
    <w:p>
      <w:pPr>
        <w:spacing w:before="0" w:after="120"/>
      </w:pPr>
      <w:r>
        <w:rPr>
          <w:b/>
        </w:rPr>
        <w:t xml:space="preserve">Notes: </w:t>
      </w:r>
      <w:r>
        <w:t>abstract_source=pubmed</w:t>
      </w:r>
    </w:p>
    <w:p>
      <w:pPr>
        <w:spacing w:before="0" w:after="200" w:lineRule="auto" w:line="276"/>
      </w:pPr>
      <w:r>
        <w:rPr>
          <w:b/>
        </w:rPr>
        <w:t xml:space="preserve">Abstract: </w:t>
      </w:r>
      <w:r>
        <w:t>Rhodamine dyes conjugated to targeting ligands can yield exceptionally bright fluorescent probes for live-cell imaging. However, the limited permeability of such rhodamine derivatives restricts their broader applications, particularly in vivo. Here, we present Rho-tag and SiR-tag, engineered protein tags derived from bacterial multidrug-resistant proteins that bind unsubstituted (silicon) rhodamines with nanomolar affinity. Unsubstituted (silicon) rhodamines readily cross membranes and enable rapid, reversible, and fluorogenic labeling of the tags in mammalian cells within seconds. The labeling of Rho-tag and SiR-tag is compatible with various super-resolution imaging methods and allows their use alongside self-labeling tags, such as HaloTag7 and SNAP-tag. The high affinity and specificity of both tags, combined with the permeability and outstanding spectroscopic properties of rhodamines, make them particularly attractive for in vivo bioimaging, as demonstrated by efficient fluorescent labeling inC. elegansembryos and zebrafish larvae.</w:t>
      </w:r>
    </w:p>
    <w:p>
      <w:pPr>
        <w:spacing w:before="120" w:after="120"/>
      </w:pPr>
      <w:r>
        <w:rPr>
          <w:sz w:val="18"/>
        </w:rPr>
        <w:t>——————————————————————————————————————————————————————————————————————</w:t>
      </w:r>
    </w:p>
    <w:p>
      <w:pPr>
        <w:spacing w:before="160" w:after="80" w:line="240" w:lineRule="auto"/>
      </w:pPr>
      <w:r>
        <w:rPr>
          <w:b/>
        </w:rPr>
        <w:t xml:space="preserve">[95] </w:t>
      </w:r>
      <w:hyperlink r:id="rId152">
        <w:r>
          <w:rPr>
            <w:color w:val="1155CC"/>
            <w:u w:val="single"/>
          </w:rPr>
          <w:t>[ASAP] Weakly Anisotropic Superconductivity of Pr4Ni3O10 Single Crystals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19:38:54+00:00</w:t>
      </w:r>
      <w:r>
        <w:t xml:space="preserve">    </w:t>
      </w:r>
      <w:r>
        <w:rPr>
          <w:b/>
        </w:rPr>
        <w:t xml:space="preserve">DOI: </w:t>
      </w:r>
      <w:hyperlink r:id="rId153">
        <w:r>
          <w:rPr>
            <w:color w:val="1155CC"/>
            <w:u w:val="single"/>
          </w:rPr>
          <w:t>10.1021/jacs.5c17977</w:t>
        </w:r>
      </w:hyperlink>
    </w:p>
    <w:p>
      <w:pPr>
        <w:spacing w:before="0" w:after="120"/>
      </w:pPr>
      <w:r>
        <w:rPr>
          <w:b/>
        </w:rPr>
        <w:t xml:space="preserve">Notes: </w:t>
      </w:r>
      <w:r>
        <w:t>abstract_source=pubmed</w:t>
      </w:r>
    </w:p>
    <w:p>
      <w:pPr>
        <w:spacing w:before="0" w:after="200" w:lineRule="auto" w:line="276"/>
      </w:pPr>
      <w:r>
        <w:rPr>
          <w:b/>
        </w:rPr>
        <w:t xml:space="preserve">Abstract: </w:t>
      </w:r>
      <w:r>
        <w:t>Since the discovery of high-temperature superconductivity, studying the upper critical field and its anisotropy has been crucial for understanding the superconducting mechanism and guiding applications. Here, we perform in situ high-pressure angular-dependent electrical transport measurements on Pr4Ni3O10 single crystals using a custom diamond anvil cell (DAC) rotator, confirming its anisotropic superconductivity. The anisotropy parameter γ, derived from the upper critical fields (μ0Hc2) for H⊥ab and H//ab, is approximately 1.6, decreasing with increasing temperature and approaching 1 near Tc. Comparing effective mass anisotropy and interblock distance in cuprates and iron-based superconductors (FeSCs) reveals that Pr4Ni3O10 single-crystal superconductors are consistent with a two-band model, where intralayer quantum confinement within the unit cell induces interlayer coherence, thereby leading to three-dimensional (3D) superconductivity. This study not only establishes the existence of weakly anisotropic superconductivity in bulk Ruddlesden-Popper nickelates but also provides critical insight into the role of dimensionality in high-temperature superconductivity.</w:t>
      </w:r>
    </w:p>
    <w:p>
      <w:pPr>
        <w:spacing w:before="120" w:after="120"/>
      </w:pPr>
      <w:r>
        <w:rPr>
          <w:sz w:val="18"/>
        </w:rPr>
        <w:t>——————————————————————————————————————————————————————————————————————</w:t>
      </w:r>
    </w:p>
    <w:p>
      <w:pPr>
        <w:spacing w:before="160" w:after="80" w:line="240" w:lineRule="auto"/>
      </w:pPr>
      <w:r>
        <w:rPr>
          <w:b/>
        </w:rPr>
        <w:t xml:space="preserve">[96] </w:t>
      </w:r>
      <w:hyperlink r:id="rId154">
        <w:r>
          <w:rPr>
            <w:color w:val="1155CC"/>
            <w:u w:val="single"/>
          </w:rPr>
          <w:t>[ASAP] Light-Induced NH4+ Deprotonation Drives NH4+/H+ Hybrid Storage Toward Near-Theoretical Capacity in NH4V4O10 Electrodes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2025-12-30 20:01:56+00:00</w:t>
      </w:r>
      <w:r>
        <w:t xml:space="preserve">    </w:t>
      </w:r>
      <w:r>
        <w:rPr>
          <w:b/>
        </w:rPr>
        <w:t xml:space="preserve">DOI: </w:t>
      </w:r>
      <w:hyperlink r:id="rId155">
        <w:r>
          <w:rPr>
            <w:color w:val="1155CC"/>
            <w:u w:val="single"/>
          </w:rPr>
          <w:t>10.1021/jacs.5c17886</w:t>
        </w:r>
      </w:hyperlink>
    </w:p>
    <w:p>
      <w:pPr>
        <w:spacing w:before="0" w:after="120"/>
      </w:pPr>
      <w:r>
        <w:rPr>
          <w:b/>
        </w:rPr>
        <w:t xml:space="preserve">Notes: </w:t>
      </w:r>
      <w:r>
        <w:t>abstract_source=pubmed</w:t>
      </w:r>
    </w:p>
    <w:p>
      <w:pPr>
        <w:spacing w:before="0" w:after="200" w:lineRule="auto" w:line="276"/>
      </w:pPr>
      <w:r>
        <w:rPr>
          <w:b/>
        </w:rPr>
        <w:t xml:space="preserve">Abstract: </w:t>
      </w:r>
      <w:r>
        <w:t>Ammonium-ion batteries (AIBs) utilize the earth abundance, low molar mass, and small hydrated radius of NH4+ to achieve high gravimetric specific capacity, offering a sustainable alternative to metal-ion systems for large-scale energy storage. However, achieving high capacity in AIB electrodes remains challenging due to inefficient NH4+ intercalation. Here, we demonstrate that photodriven NH4+ deprotonation on the NH4V4O10 electrodes enables near-theoretical capacity through hybrid NH4+/H+ storage. Light irradiation modulates the ions intercalation kinetics, enhancing the ion diffusion contribution while maintaining pseudocapacitive behavior, boosting capacity by 76.6%. The capacity of the NH4V4O10 electrode reaches 539 mAh g-1 at 1 A g-1, approaching its theoretical capacity (589 mAh g-1). TOF-SIMS and in situ Raman spectroscopy revealed that light triggers NH4+ deprotonation at the electrode/electrolyte interface, enabling proton intercalation as the primary capacity enhancement mechanism. DFT calculations rationalize this effect by showing that photoexcitation of NH4V4O10 reduces the NH4+ deprotonation barrier on surface, and facilitates proton intercalation. Such interfacial photocontrol of NH4+ dynamics explores new pathways toward efficient ammonium-ion batteries with photo assistance.</w:t>
      </w:r>
    </w:p>
    <w:p>
      <w:pPr>
        <w:spacing w:before="120" w:after="120"/>
      </w:pPr>
      <w:r>
        <w:rPr>
          <w:sz w:val="18"/>
        </w:rPr>
        <w:t>——————————————————————————————————————————————————————————————————————</w:t>
      </w:r>
    </w:p>
    <w:p>
      <w:pPr>
        <w:spacing w:before="160" w:after="80" w:line="240" w:lineRule="auto"/>
      </w:pPr>
      <w:r>
        <w:rPr>
          <w:b/>
        </w:rPr>
        <w:t xml:space="preserve">[97] </w:t>
      </w:r>
      <w:hyperlink r:id="rId156">
        <w:r>
          <w:rPr>
            <w:color w:val="1155CC"/>
            <w:u w:val="single"/>
          </w:rPr>
          <w:t>[ASAP] Design Principles for Non-Iridium-Based Oxygen Evolution Catalysts in Proton Exchange Membrane Water Electrolyzers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2025-12-30 20:26:04+00:00</w:t>
      </w:r>
      <w:r>
        <w:t xml:space="preserve">    </w:t>
      </w:r>
      <w:r>
        <w:rPr>
          <w:b/>
        </w:rPr>
        <w:t xml:space="preserve">DOI: </w:t>
      </w:r>
      <w:hyperlink r:id="rId157">
        <w:r>
          <w:rPr>
            <w:color w:val="1155CC"/>
            <w:u w:val="single"/>
          </w:rPr>
          <w:t>10.1021/acsenergylett.5c03284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[98] </w:t>
      </w:r>
      <w:hyperlink r:id="rId158">
        <w:r>
          <w:rPr>
            <w:color w:val="1155CC"/>
            <w:u w:val="single"/>
          </w:rPr>
          <w:t>[ASAP] Collectively-Modified Intermolecular Electron Correlations: The Connection of Polaritonic Chemistry and Spin Glass Physics</w:t>
        </w:r>
      </w:hyperlink>
    </w:p>
    <w:p>
      <w:pPr>
        <w:spacing w:before="0" w:after="120" w:line="240" w:lineRule="auto"/>
      </w:pPr>
      <w:r>
        <w:rPr>
          <w:b/>
        </w:rPr>
        <w:t xml:space="preserve">Source: </w:t>
      </w:r>
      <w:r>
        <w:t>Chemical Reviews: Latest Articles (ACS Publications)</w:t>
      </w:r>
      <w:r>
        <w:t xml:space="preserve">    </w:t>
      </w:r>
      <w:r>
        <w:rPr>
          <w:b/>
        </w:rPr>
        <w:t xml:space="preserve">Pub date: </w:t>
      </w:r>
      <w:r>
        <w:t>2025-12-30 20:49:39+00:00</w:t>
      </w:r>
      <w:r>
        <w:t xml:space="preserve">    </w:t>
      </w:r>
      <w:r>
        <w:rPr>
          <w:b/>
        </w:rPr>
        <w:t xml:space="preserve">DOI: </w:t>
      </w:r>
      <w:hyperlink r:id="rId159">
        <w:r>
          <w:rPr>
            <w:color w:val="1155CC"/>
            <w:u w:val="single"/>
          </w:rPr>
          <w:t>10.1021/acs.chemrev.4c00711</w:t>
        </w:r>
      </w:hyperlink>
    </w:p>
    <w:p>
      <w:pPr>
        <w:spacing w:before="0" w:after="120"/>
      </w:pPr>
      <w:r>
        <w:rPr>
          <w:b/>
        </w:rPr>
        <w:t xml:space="preserve">Notes: </w:t>
      </w:r>
      <w:r>
        <w:t>abstract_source=pubmed</w:t>
      </w:r>
    </w:p>
    <w:p>
      <w:pPr>
        <w:spacing w:before="0" w:after="200" w:lineRule="auto" w:line="276"/>
      </w:pPr>
      <w:r>
        <w:rPr>
          <w:b/>
        </w:rPr>
        <w:t xml:space="preserve">Abstract: </w:t>
      </w:r>
      <w:r>
        <w:t>Polaritonic chemistry has garnered increasing attention in recent years due to pioneering experimental results, which show that site- and bond-selective chemistry at room temperature is achievable through strong collective coupling to field fluctuations in optical cavities. Despite these notable experimental strides, the underlying theoretical mechanisms remain unclear. In this focus review, we highlight a fundamental theoretical link between the seemingly unrelated fields of polaritonic chemistry and spin glasses, exploring its profound implications for the theoretical framework of polaritonic chemistry. Specifically, we present a mapping of the dressed many-molecules electronic-structure problem under collective vibrational strong coupling to the analytically solvable spherical Sherrington-Kirkpatrick (SSK) model of a spin glass. This mapping uncovers a collectively induced spin glass phase of the intermolecular electron correlations, which could provide the long sought-after seed for significant local chemical modifications in polaritonic chemistry. Overall, the qualitative predictions made from the SSK solution (e.g., dispersion effects, phase transitions, differently modified bulk and rare event properties, heating, etc.) agree well with available experimental observations. Our connection not only demonstrates the relevance of moving beyond the dilute gas approximation, where the Fermionic nature of the electrons becomes an essential ingredient, but it also paves the way for novel computational strategies to quantify the subtle chemical characteristics of the cavity-induced spin glass phase. Moreover, our mapping provides a versatile framework to incorporate, adapt, and explore a wide range of spin glass concepts within polaritonic chemistry. Ultimately, the connection also offers fresh insights into the applicability of spin glass theory beyond condensed matter systems suggesting novel theoretical directions such as spin glasses with explicitly time-dependent (random) interactions.</w:t>
      </w:r>
    </w:p>
    <w:p>
      <w:pPr>
        <w:spacing w:before="120" w:after="120"/>
      </w:pPr>
      <w:r>
        <w:rPr>
          <w:sz w:val="18"/>
        </w:rPr>
        <w:t>——————————————————————————————————————————————————————————————————————</w:t>
      </w:r>
    </w:p>
    <w:p>
      <w:pPr>
        <w:spacing w:before="160" w:after="80" w:line="240" w:lineRule="auto"/>
      </w:pPr>
      <w:r>
        <w:rPr>
          <w:b/>
        </w:rPr>
        <w:t xml:space="preserve">[99] </w:t>
      </w:r>
      <w:hyperlink r:id="rId160">
        <w:r>
          <w:rPr>
            <w:color w:val="1155CC"/>
            <w:u w:val="single"/>
          </w:rPr>
          <w:t>Efficient power system corrective control with adaptive operation condition handling: A GATN-RL based method</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[100] </w:t>
      </w:r>
      <w:hyperlink r:id="rId161">
        <w:r>
          <w:rPr>
            <w:color w:val="1155CC"/>
            <w:u w:val="single"/>
          </w:rPr>
          <w:t>Distinct diet-microbiome associations in autism spectrum disorder</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Autism spectrum disorder (ASD) is linked to both altered gut microbiota and unhealthy diets; however, the mechanistic connections remain elusive. In this study, we conducted a systematic analysis of fecal microbiome metagenomic data, paired with granular dietary assessments and phenotypic profiles, across a cohort of 818 children (462 with ASD, 356 without ASD; mean age = 8.4 years; 27.3% female). By integrating dietary indices, nutrient intake, and food additive exposures, we uncovered ASD-specific linkages to the microbiome. Poor dietary quality correlated with aggregated core autistic symptoms, gastrointestinal complications, and atypical eating behaviors. Notably, children with ASD exhibited a more pronounced diet-microbiome interaction network compared to neurotypical peers, suggesting heightened microbial sensitivity to nutritional inputs. Furthermore, synthetic emulsifiers—specifically polysorbate-80 and carrageenan—were associated with disrupted microbial connectivity in ASD, a phenomenon attenuated in neurotypical children. Our findings elucidate the mechanistic links between dietary factors—particularly synthetic food additives—and microbiome dysregulation in ASD, urging a re-evaluation of dietary guidelines for ASD populations and laying the groundwork for personalized nutritional strategies.</w:t>
      </w:r>
    </w:p>
    <w:p>
      <w:pPr>
        <w:spacing w:before="120" w:after="120"/>
      </w:pPr>
      <w:r>
        <w:rPr>
          <w:sz w:val="18"/>
        </w:rPr>
        <w:t>——————————————————————————————————————————————————————————————————————</w:t>
      </w:r>
    </w:p>
    <w:p>
      <w:pPr>
        <w:spacing w:before="160" w:after="80" w:line="240" w:lineRule="auto"/>
      </w:pPr>
      <w:r>
        <w:rPr>
          <w:b/>
        </w:rPr>
        <w:t xml:space="preserve">[101] </w:t>
      </w:r>
      <w:hyperlink r:id="rId162">
        <w:r>
          <w:rPr>
            <w:color w:val="1155CC"/>
            <w:u w:val="single"/>
          </w:rPr>
          <w:t>Technology-society nexus in post-COP 27 era: How digital innovation, energy transition, and green finance drive net-zero pathways in OECD countries</w:t>
        </w:r>
      </w:hyperlink>
    </w:p>
    <w:p>
      <w:pPr>
        <w:spacing w:before="0" w:after="120" w:line="240" w:lineRule="auto"/>
      </w:pPr>
      <w:r>
        <w:rPr>
          <w:b/>
        </w:rPr>
        <w:t xml:space="preserve">Source: </w:t>
      </w:r>
      <w:r>
        <w:t>ScienceDirect Publication: Energy Policy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[102] </w:t>
      </w:r>
      <w:hyperlink r:id="rId163">
        <w:r>
          <w:rPr>
            <w:color w:val="1155CC"/>
            <w:u w:val="single"/>
          </w:rPr>
          <w:t>Geopolitical fragmentation and energy transition inequalities: Climate policy uncertainty, sanctions, and the oil and gas sector</w:t>
        </w:r>
      </w:hyperlink>
    </w:p>
    <w:p>
      <w:pPr>
        <w:spacing w:before="0" w:after="120" w:line="240" w:lineRule="auto"/>
      </w:pPr>
      <w:r>
        <w:rPr>
          <w:b/>
        </w:rPr>
        <w:t xml:space="preserve">Source: </w:t>
      </w:r>
      <w:r>
        <w:t>ScienceDirect Publication: Energy Policy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[103] </w:t>
      </w:r>
      <w:hyperlink r:id="rId164">
        <w:r>
          <w:rPr>
            <w:color w:val="1155CC"/>
            <w:u w:val="single"/>
          </w:rPr>
          <w:t>Generating crossmodal gene expression from cancer histopathology improves multimodal AI predictions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Emerging research has highlighted that artificial intelligence-based multimodal fusion of digital pathology and transcriptomic features can improve cancer diagnosis (grading/subtyping) and prognosis (survival risk) prediction. However, such direct fusion is impractical in clinical settings, where histopathology remains the gold standard and transcriptomic tests are rarely requested in public healthcare. We experiment on two publicly available multimodal datasets, The Cancer Genomic Atlas and the Clinical Proteomic Tumor Analysis Consortium, spanning four independent cohorts: glioma-glioblastoma, renal, uterine, and breast, and observe significant performance gains in gradation and risk estimation (p-value p-value &gt; 0.05), consistently across cohorts. Here we show that with our diffusion based crossmodal generative AI model, PathGen, gene expressions synthesized from digital histopathology jointly predict cancer grading and patient survival risk with high accuracy (state-of-the-art performance), certainty (through conformal coverage guarantee) and interpretability (through distributed co-attention maps). PathGen code is available on GitHub at https://github.com/Samiran-Dey/PathGen for open use.</w:t>
      </w:r>
    </w:p>
    <w:p>
      <w:pPr>
        <w:spacing w:before="120" w:after="120"/>
      </w:pPr>
      <w:r>
        <w:rPr>
          <w:sz w:val="18"/>
        </w:rPr>
        <w:t>——————————————————————————————————————————————————————————————————————</w:t>
      </w:r>
    </w:p>
    <w:p>
      <w:pPr>
        <w:spacing w:before="160" w:after="80" w:line="240" w:lineRule="auto"/>
      </w:pPr>
      <w:r>
        <w:rPr>
          <w:b/>
        </w:rPr>
        <w:t xml:space="preserve">[104] </w:t>
      </w:r>
      <w:hyperlink r:id="rId165">
        <w:r>
          <w:rPr>
            <w:color w:val="1155CC"/>
            <w:u w:val="single"/>
          </w:rPr>
          <w:t>Profitability and scalability for waste-to-energy supply chains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[105] </w:t>
      </w:r>
      <w:hyperlink r:id="rId166">
        <w:r>
          <w:rPr>
            <w:color w:val="1155CC"/>
            <w:u w:val="single"/>
          </w:rPr>
          <w:t>Variable valve actuation (VVA) for next-generation marine and off-road engines: a comprehensive review for meeting future emissions legislation</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[106] </w:t>
      </w:r>
      <w:hyperlink r:id="rId167">
        <w:r>
          <w:rPr>
            <w:color w:val="1155CC"/>
            <w:u w:val="single"/>
          </w:rPr>
          <w:t>A physics-informed machine learning method for short-term solar radiation forecast with satellite-derived cloud optical depth</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[107] </w:t>
      </w:r>
      <w:hyperlink r:id="rId168">
        <w:r>
          <w:rPr>
            <w:color w:val="1155CC"/>
            <w:u w:val="single"/>
          </w:rPr>
          <w:t>Some of your cells are not genetically yours — what can they tell us about life and death?</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[108] </w:t>
      </w:r>
      <w:hyperlink r:id="rId169">
        <w:r>
          <w:rPr>
            <w:color w:val="1155CC"/>
            <w:u w:val="single"/>
          </w:rPr>
          <w:t>Short-term regional EV charging load forecasting based on GAT and GRU with trip distribution estimation</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[109] </w:t>
      </w:r>
      <w:hyperlink r:id="rId170">
        <w:r>
          <w:rPr>
            <w:color w:val="1155CC"/>
            <w:u w:val="single"/>
          </w:rPr>
          <w:t>Large-scale modeling of solar water pumps using machine learning</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[110] </w:t>
      </w:r>
      <w:hyperlink r:id="rId171">
        <w:r>
          <w:rPr>
            <w:color w:val="1155CC"/>
            <w:u w:val="single"/>
          </w:rPr>
          <w:t>Matching daily wind speed patterns with grid demand: An offshore wind assessment framework integrating source-load similarity and resource abundance</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[111] </w:t>
      </w:r>
      <w:hyperlink r:id="rId172">
        <w:r>
          <w:rPr>
            <w:color w:val="1155CC"/>
            <w:u w:val="single"/>
          </w:rPr>
          <w:t>Highly efficient LED device built by stacking layers of light-emitting perovskite</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[112] </w:t>
      </w:r>
      <w:hyperlink r:id="rId173">
        <w:r>
          <w:rPr>
            <w:color w:val="1155CC"/>
            <w:u w:val="single"/>
          </w:rPr>
          <w:t>Sub-Saharan Africa has lost almost one-quarter of its pre-industrial biodiversity</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[113] </w:t>
      </w:r>
      <w:hyperlink r:id="rId174">
        <w:r>
          <w:rPr>
            <w:color w:val="1155CC"/>
            <w:u w:val="single"/>
          </w:rPr>
          <w:t>Generative modeling for mid-term probabilistic load forecasting based on latent diffusion</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[114] </w:t>
      </w:r>
      <w:hyperlink r:id="rId175">
        <w:r>
          <w:rPr>
            <w:color w:val="1155CC"/>
            <w:u w:val="single"/>
          </w:rPr>
          <w:t>How to reduce the environmental impact of wearable health-care devices</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[115] </w:t>
      </w:r>
      <w:hyperlink r:id="rId176">
        <w:r>
          <w:rPr>
            <w:color w:val="1155CC"/>
            <w:u w:val="single"/>
          </w:rPr>
          <w:t>Economic inequality does not equate to poor well-being or mental health</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[116] </w:t>
      </w:r>
      <w:hyperlink r:id="rId177">
        <w:r>
          <w:rPr>
            <w:color w:val="1155CC"/>
            <w:u w:val="single"/>
          </w:rPr>
          <w:t>Global land and solar energy relationships for sustainability</w:t>
        </w:r>
      </w:hyperlink>
    </w:p>
    <w:p>
      <w:pPr>
        <w:spacing w:before="0" w:after="120" w:line="240" w:lineRule="auto"/>
      </w:pPr>
      <w:r>
        <w:rPr>
          <w:b/>
        </w:rPr>
        <w:t xml:space="preserve">Source: </w:t>
      </w:r>
      <w:r>
        <w:t>Joule</w:t>
      </w:r>
      <w:r>
        <w:t xml:space="preserve">    </w:t>
      </w:r>
      <w:r>
        <w:rPr>
          <w:b/>
        </w:rPr>
        <w:t xml:space="preserve">Pub date: </w:t>
      </w:r>
      <w:r>
        <w:t>2025-12-31 00:00:00+00:00</w:t>
      </w:r>
    </w:p>
    <w:p>
      <w:pPr>
        <w:spacing w:before="0" w:after="120"/>
      </w:pPr>
      <w:r>
        <w:rPr>
          <w:b/>
        </w:rPr>
        <w:t xml:space="preserve">Notes: </w:t>
      </w:r>
      <w:r>
        <w:t>abstract_source=rss_cell</w:t>
      </w:r>
    </w:p>
    <w:p>
      <w:pPr>
        <w:spacing w:before="0" w:after="200" w:lineRule="auto" w:line="276"/>
      </w:pPr>
      <w:r>
        <w:rPr>
          <w:b/>
        </w:rPr>
        <w:t xml:space="preserve">Abstract: </w:t>
      </w:r>
      <w:r>
        <w:t>A global, spatially explicit analysis of ∼69,000 solar photovoltaic detections yields average land-use efficiency and lifetime land transformation of 57 W/m² and 409 m²/GWh for 4,907 ground-mounted PV projects across 65 countries, respectively. The study compares rooftop- and ground-mounted projects through techno-economic analysis, revealing regional diversity in both land sparing and economics. Results serve as critical decision-support to inform policies that support energy transitions with high growth in solar.</w:t>
      </w:r>
    </w:p>
    <w:p>
      <w:pPr>
        <w:spacing w:before="120" w:after="120"/>
      </w:pPr>
      <w:r>
        <w:rPr>
          <w:sz w:val="18"/>
        </w:rPr>
        <w:t>——————————————————————————————————————————————————————————————————————</w:t>
      </w:r>
    </w:p>
    <w:p>
      <w:pPr>
        <w:spacing w:before="160" w:after="80" w:line="240" w:lineRule="auto"/>
      </w:pPr>
      <w:r>
        <w:rPr>
          <w:b/>
        </w:rPr>
        <w:t xml:space="preserve">[117] </w:t>
      </w:r>
      <w:hyperlink r:id="rId178">
        <w:r>
          <w:rPr>
            <w:color w:val="1155CC"/>
            <w:u w:val="single"/>
          </w:rPr>
          <w:t>Accelerating net-zero transition: Satellite insight reveals Decarbonization potential of coal-fired power plants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[118] </w:t>
      </w:r>
      <w:hyperlink r:id="rId179">
        <w:r>
          <w:rPr>
            <w:color w:val="1155CC"/>
            <w:u w:val="single"/>
          </w:rPr>
          <w:t>Feasibility of high-entropy ceramics as next-generation dry-machining tools</w:t>
        </w:r>
      </w:hyperlink>
    </w:p>
    <w:p>
      <w:pPr>
        <w:spacing w:before="0" w:after="120" w:line="240" w:lineRule="auto"/>
      </w:pPr>
      <w:r>
        <w:rPr>
          <w:b/>
        </w:rPr>
        <w:t xml:space="preserve">Source: </w:t>
      </w:r>
      <w:r>
        <w:t>ScienceDirect Publication: Materials Today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[119] </w:t>
      </w:r>
      <w:hyperlink r:id="rId180">
        <w:r>
          <w:rPr>
            <w:color w:val="1155CC"/>
            <w:u w:val="single"/>
          </w:rPr>
          <w:t>AI-empowered prediction of office building energy use from single-view conceptual images for early-stage design</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[120] </w:t>
      </w:r>
      <w:hyperlink r:id="rId181">
        <w:r>
          <w:rPr>
            <w:color w:val="1155CC"/>
            <w:u w:val="single"/>
          </w:rPr>
          <w:t>Explainable machine learning unveils a critical trade-off in SOFCs: The role of cathode-to-anode reaction site ratio</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[121] </w:t>
      </w:r>
      <w:hyperlink r:id="rId182">
        <w:r>
          <w:rPr>
            <w:color w:val="1155CC"/>
            <w:u w:val="single"/>
          </w:rPr>
          <w:t>Sideways lipid presentation by the antigen-presenting molecule CD1c</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For the MHC, MR1 and CD1 systems, antigen recognition involves contact of the membrane distal surfaces of both the αβ T cell receptor (TCR) and the antigen-presenting molecule. Whether other antigen display mechanisms by antigen-presenting molecules operate remains unknown. Here, we report mass spectrometry analyses of endogenous lipids captured by CD1c when bound to an autoreactive αβ TCR. CD1c binds twenty-six lipid species with bulky headgroups that cannot fit within the tight TCR-CD1c interface. We determined the crystal structures of CD1c presenting several gangliosides, revealing a general mechanism whereby two lipids, rather than one, are bound in the CD1c cleft. Bulky lipids are oriented sideways so that their polar headgroups protrude laterally through a side portal of the CD1c molecule - an evolutionarily conserved structural feature. The sideways-presented ganglioside headgroups do not hinder TCR binding and so represent a mechanism that allows autoreactive TCR recognition of CD1c. In addition, ex vivo studies showed that the sideways-presented gangliosides can also represent TCR recognition determinants. These findings reveal that CD1c simultaneously presents two lipid antigens from the top and side of its cleft, a general mechanism that differs markedly from other antigen-presenting molecules.</w:t>
      </w:r>
    </w:p>
    <w:p>
      <w:pPr>
        <w:spacing w:before="120" w:after="120"/>
      </w:pPr>
      <w:r>
        <w:rPr>
          <w:sz w:val="18"/>
        </w:rPr>
        <w:t>——————————————————————————————————————————————————————————————————————</w:t>
      </w:r>
    </w:p>
    <w:p>
      <w:pPr>
        <w:spacing w:before="160" w:after="80" w:line="240" w:lineRule="auto"/>
      </w:pPr>
      <w:r>
        <w:rPr>
          <w:b/>
        </w:rPr>
        <w:t xml:space="preserve">[122] </w:t>
      </w:r>
      <w:hyperlink r:id="rId183">
        <w:r>
          <w:rPr>
            <w:color w:val="1155CC"/>
            <w:u w:val="single"/>
          </w:rPr>
          <w:t>The marketization of green electricity trading and investment decisions of new energy enterprises</w:t>
        </w:r>
      </w:hyperlink>
    </w:p>
    <w:p>
      <w:pPr>
        <w:spacing w:before="0" w:after="120" w:line="240" w:lineRule="auto"/>
      </w:pPr>
      <w:r>
        <w:rPr>
          <w:b/>
        </w:rPr>
        <w:t xml:space="preserve">Source: </w:t>
      </w:r>
      <w:r>
        <w:t>ScienceDirect Publication: Energy Policy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[123] </w:t>
      </w:r>
      <w:hyperlink r:id="rId184">
        <w:r>
          <w:rPr>
            <w:color w:val="1155CC"/>
            <w:u w:val="single"/>
          </w:rPr>
          <w:t>Hysteresis and integrity in multiphase hydrogen storage: a review of flow, rock, and monitoring challenges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[124] </w:t>
      </w:r>
      <w:hyperlink r:id="rId185">
        <w:r>
          <w:rPr>
            <w:color w:val="1155CC"/>
            <w:u w:val="single"/>
          </w:rPr>
          <w:t>Allocation equality of battery replacement subsidy for electric buses: Evidence from provinces and cities in China</w:t>
        </w:r>
      </w:hyperlink>
    </w:p>
    <w:p>
      <w:pPr>
        <w:spacing w:before="0" w:after="120" w:line="240" w:lineRule="auto"/>
      </w:pPr>
      <w:r>
        <w:rPr>
          <w:b/>
        </w:rPr>
        <w:t xml:space="preserve">Source: </w:t>
      </w:r>
      <w:r>
        <w:t>ScienceDirect Publication: Energy Policy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[125] </w:t>
      </w:r>
      <w:hyperlink r:id="rId186">
        <w:r>
          <w:rPr>
            <w:color w:val="1155CC"/>
            <w:u w:val="single"/>
          </w:rPr>
          <w:t>A method for chiller performance modeling via SKR-based neural network under physical constraints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[126] </w:t>
      </w:r>
      <w:hyperlink r:id="rId187">
        <w:r>
          <w:rPr>
            <w:color w:val="1155CC"/>
            <w:u w:val="single"/>
          </w:rPr>
          <w:t>Enhanced interface regulation via π-conjugated heterojunctions for high-efficiency inverted perovskite solar cells</w:t>
        </w:r>
      </w:hyperlink>
    </w:p>
    <w:p>
      <w:pPr>
        <w:spacing w:before="0" w:after="120" w:line="240" w:lineRule="auto"/>
      </w:pPr>
      <w:r>
        <w:rPr>
          <w:b/>
        </w:rPr>
        <w:t xml:space="preserve">Source: </w:t>
      </w:r>
      <w:r>
        <w:t>RSC - Energy Environ. Sci. latest articles</w:t>
      </w:r>
      <w:r>
        <w:t xml:space="preserve">    </w:t>
      </w:r>
      <w:r>
        <w:rPr>
          <w:b/>
        </w:rPr>
        <w:t xml:space="preserve">Pub date: </w:t>
      </w:r>
      <w:r>
        <w:t>2025-12-31 00:00:00+00:00</w:t>
      </w:r>
    </w:p>
    <w:p>
      <w:pPr>
        <w:spacing w:before="0" w:after="120"/>
      </w:pPr>
      <w:r>
        <w:rPr>
          <w:b/>
        </w:rPr>
        <w:t xml:space="preserve">Notes: </w:t>
      </w:r>
      <w:r>
        <w:t>abstract_source=rsc_html</w:t>
      </w:r>
    </w:p>
    <w:p>
      <w:pPr>
        <w:spacing w:before="0" w:after="200" w:lineRule="auto" w:line="276"/>
      </w:pPr>
      <w:r>
        <w:rPr>
          <w:b/>
        </w:rPr>
        <w:t xml:space="preserve">Abstract: </w:t>
      </w:r>
      <w:r>
        <w:t>Self-assembled monolayers (SAMs) are increasingly utilized as effective hole-collecting material to boost the efficiency of inverted perovskite solar cells (PSCs). However, issues such as incomplete surface coverage and suboptimal interfacial bonding persist, leading to non-radiative recombination and compromise long-term stability. To address these challenges, we developed an innovative strategy by integrating 1-benzyl-3-methylimidazolium tetrafluoroborate (BzMIMBF4) onto the SAM, optimizing the buried interface and enhancing perovskite crystallization. BzMIMBF4 enhances SAM surface coverage through BzMIM+ interactions, forming a robust π-conjugated heterojunction with [4-(3,6-dimethyl-9H-carbazol-9-yl) butyl] phosphonic Acid (Me-4PACz) SAM that optimizes interfacial bonding, inhibits detrimental Pb2+/I- ion migration, and safeguards the bottom electrode. BzMIMBF4 stabilizes crystal nucleation, minimizing defect-related non-radiative recombination, promotes rapid α-phase formation, and enhances (100) plane alignment and charge carrier transfer to the hole-transport layer (HTL). Besides, time-of-flight secondary ion mass spectrometry (ToF-SIMS) depth profiling confirms the distribution of BF4- anions throughout the perovskite film. Simultaneously, BF4- anions effectively passivate perovskite surface and bulk defects, such as uncoordinated Pb2⁺ ions and iodine vacancies, thereby suppressing non-radiative recombination centers. The resulting perovskite films exhibit a pinhole-free structure, increased grain sizes, smoother surfaces, and significantly reduced residual strain. Consequently, BzMIMBF4-treated devices achieve remarkable power conversion efficiencies of up to 26.45% (certified 26.37%) and retain 90.8% of their initial efficiency after 700 hours of operation under one-sun illumination, demonstrating excellent stability. This approach paves the way for high-performance, durable PSCs and their potential in advanced photovoltaic applications.</w:t>
      </w:r>
    </w:p>
    <w:p>
      <w:pPr>
        <w:spacing w:before="120" w:after="120"/>
      </w:pPr>
      <w:r>
        <w:rPr>
          <w:sz w:val="18"/>
        </w:rPr>
        <w:t>——————————————————————————————————————————————————————————————————————</w:t>
      </w:r>
    </w:p>
    <w:p>
      <w:pPr>
        <w:spacing w:before="160" w:after="80" w:line="240" w:lineRule="auto"/>
      </w:pPr>
      <w:r>
        <w:rPr>
          <w:b/>
        </w:rPr>
        <w:t xml:space="preserve">[127] </w:t>
      </w:r>
      <w:hyperlink r:id="rId188">
        <w:r>
          <w:rPr>
            <w:color w:val="1155CC"/>
            <w:u w:val="single"/>
          </w:rPr>
          <w:t>Helical Counter-Directional Migration-Induced Solvation Sheath Constructing Reinforced Electrode-Electrolyte Interphases for Ultra-Stable Anode-Free Lithium Metal Batteries</w:t>
        </w:r>
      </w:hyperlink>
    </w:p>
    <w:p>
      <w:pPr>
        <w:spacing w:before="0" w:after="120" w:line="240" w:lineRule="auto"/>
      </w:pPr>
      <w:r>
        <w:rPr>
          <w:b/>
        </w:rPr>
        <w:t xml:space="preserve">Source: </w:t>
      </w:r>
      <w:r>
        <w:t>RSC - Energy Environ. Sci. latest articles</w:t>
      </w:r>
      <w:r>
        <w:t xml:space="preserve">    </w:t>
      </w:r>
      <w:r>
        <w:rPr>
          <w:b/>
        </w:rPr>
        <w:t xml:space="preserve">Pub date: </w:t>
      </w:r>
      <w:r>
        <w:t>2025-12-31 00:00:00+00:00</w:t>
      </w:r>
    </w:p>
    <w:p>
      <w:pPr>
        <w:spacing w:before="0" w:after="120"/>
      </w:pPr>
      <w:r>
        <w:rPr>
          <w:b/>
        </w:rPr>
        <w:t xml:space="preserve">Notes: </w:t>
      </w:r>
      <w:r>
        <w:t>abstract_source=rsc_html</w:t>
      </w:r>
    </w:p>
    <w:p>
      <w:pPr>
        <w:spacing w:before="0" w:after="200" w:lineRule="auto" w:line="276"/>
      </w:pPr>
      <w:r>
        <w:rPr>
          <w:b/>
        </w:rPr>
        <w:t xml:space="preserve">Abstract: </w:t>
      </w:r>
      <w:r>
        <w:t>Anode-free lithium metal batteries hold great promise for high-capacity energy storage by eliminating both the conventional graphite anode and any excess lithium metal. However, irreversible charge-discharge cycles lead to the rapid depletion of active lithium inventories. Moreover, the ether-based electrolytes suited for anode-free configuration are unstable at high voltages, which makes them incompatible with high-nickel cathodes and ultimately curtails their role in enhancing energy density. This study proposes an interface modification strategy driven by helical counter migration. During the formation process, ion movement pathways and anions-cations association effects regulated by internal force generated by a magnetized nickel-coated current collector synergistically guide anions into solvation structures of the adjacent lithium ions migrating in the opposite direction, thereby forming a mechanically robust ion-permeable solid electrolyte interphase, which is characterized by an ordered inorganic particle skeleton infused with organic components, similar to the structure of reinforced concrete. Consequently, the helical counter-directional migration-assisted copper electrode achieves a coulombic efficiency of 99.9%. The assembled anode-free Cu||LiFePO4 cell maintains over 80% capacity retention after 200 cycles, and the anode-less Cu||LiFePO4 cell sustains stable operation for over 1,000 cycles. Furthermore, the internal electric field drives helical counter-directional migration-induced anion-derived solvation sheaths to diffuse to the cathode side and optimize the cathode-electrolyte interphase, enabling stable operation of high-nickel cathodes. The anode-free Cu||NCM811 cells cycled at 4.5 V exhibit a capacity retention exceeding 75% after 100 cycles, and realize a 453.5 Wh kg-1 anode-free lithium metal pouch cell configuration.</w:t>
      </w:r>
    </w:p>
    <w:p>
      <w:pPr>
        <w:spacing w:before="120" w:after="120"/>
      </w:pPr>
      <w:r>
        <w:rPr>
          <w:sz w:val="18"/>
        </w:rPr>
        <w:t>——————————————————————————————————————————————————————————————————————</w:t>
      </w:r>
    </w:p>
    <w:p>
      <w:pPr>
        <w:spacing w:before="160" w:after="80" w:line="240" w:lineRule="auto"/>
      </w:pPr>
      <w:r>
        <w:rPr>
          <w:b/>
        </w:rPr>
        <w:t xml:space="preserve">[128] </w:t>
      </w:r>
      <w:hyperlink r:id="rId189">
        <w:r>
          <w:rPr>
            <w:color w:val="1155CC"/>
            <w:u w:val="single"/>
          </w:rPr>
          <w:t>Public-private partnership in energy investment and inclusive growth</w:t>
        </w:r>
      </w:hyperlink>
    </w:p>
    <w:p>
      <w:pPr>
        <w:spacing w:before="0" w:after="120" w:line="240" w:lineRule="auto"/>
      </w:pPr>
      <w:r>
        <w:rPr>
          <w:b/>
        </w:rPr>
        <w:t xml:space="preserve">Source: </w:t>
      </w:r>
      <w:r>
        <w:t>ScienceDirect Publication: Energy Policy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[129] </w:t>
      </w:r>
      <w:hyperlink r:id="rId190">
        <w:r>
          <w:rPr>
            <w:color w:val="1155CC"/>
            <w:u w:val="single"/>
          </w:rPr>
          <w:t>High-Asymmetry Bipolar Membrane Electrode Assemblies Generate a Superconcentration of Cations and Hydroxide at a Catalyst Surface</w:t>
        </w:r>
      </w:hyperlink>
    </w:p>
    <w:p>
      <w:pPr>
        <w:spacing w:before="0" w:after="120" w:line="240" w:lineRule="auto"/>
      </w:pPr>
      <w:r>
        <w:rPr>
          <w:b/>
        </w:rPr>
        <w:t xml:space="preserve">Source: </w:t>
      </w:r>
      <w:r>
        <w:t>RSC - Energy Environ. Sci. latest articles</w:t>
      </w:r>
      <w:r>
        <w:t xml:space="preserve">    </w:t>
      </w:r>
      <w:r>
        <w:rPr>
          <w:b/>
        </w:rPr>
        <w:t xml:space="preserve">Pub date: </w:t>
      </w:r>
      <w:r>
        <w:t>2025-12-31 00:00:00+00:00</w:t>
      </w:r>
    </w:p>
    <w:p>
      <w:pPr>
        <w:spacing w:before="0" w:after="120"/>
      </w:pPr>
      <w:r>
        <w:rPr>
          <w:b/>
        </w:rPr>
        <w:t xml:space="preserve">Notes: </w:t>
      </w:r>
      <w:r>
        <w:t>abstract_source=rsc_html</w:t>
      </w:r>
    </w:p>
    <w:p>
      <w:pPr>
        <w:spacing w:before="0" w:after="200" w:lineRule="auto" w:line="276"/>
      </w:pPr>
      <w:r>
        <w:rPr>
          <w:b/>
        </w:rPr>
        <w:t xml:space="preserve">Abstract: </w:t>
      </w:r>
      <w:r>
        <w:t>In electrochemical CO reduction reactions, a highly alkaline pH is typically desired to promote multicarbon liquid products and suppress hydrogen evolution, considerations that prioritize pH ≥ 14 (e.g. 1 M KOH). However, bulk electrolytes with pH exceeding 14 are prone to produce corrosion of catalyst and electrolyzer. Here we find that an engineered class of bipolar membrane assemblies (BPMEAs) achieves a superconcentration of local metal hydroxides, and generates a product slate consistent with local electrolyte pH = 15. We report that, in a cathode:anion exchange layer (AEL):cation exchange layer (CEL):anode architecture, a high thickness ratio of CEL:AEL generates a high local pH at the cathode, this achieved by blocking the transport of hydroxide ions, generated on the cathode, over to the anode side. This enables production of C2+ liquids at a total Faradaic efficiency of 93%, with an ethanol:ethylene productivity ratio of 70:1. Compared to anion-exchange membrane assemblies (AEMEAs) operating at the same 100 mA cm-2 current density for similar product selectivity, these BPMEA systems exhibit 28 hours stable operation (compared to</w:t>
      </w:r>
    </w:p>
    <w:p>
      <w:pPr>
        <w:spacing w:before="120" w:after="120"/>
      </w:pPr>
      <w:r>
        <w:rPr>
          <w:sz w:val="18"/>
        </w:rPr>
        <w:t>——————————————————————————————————————————————————————————————————————</w:t>
      </w:r>
    </w:p>
    <w:p>
      <w:pPr>
        <w:spacing w:before="160" w:after="80" w:line="240" w:lineRule="auto"/>
      </w:pPr>
      <w:r>
        <w:rPr>
          <w:b/>
        </w:rPr>
        <w:t xml:space="preserve">[130] </w:t>
      </w:r>
      <w:hyperlink r:id="rId191">
        <w:r>
          <w:rPr>
            <w:color w:val="1155CC"/>
            <w:u w:val="single"/>
          </w:rPr>
          <w:t>A chiral fermionic valve driven by quantum geometry</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Multifold topological semimetals host fermions with opposite chiralities at topological band crossings1,2,3. Chiral fermionic transport in topological systems often relies on high magnetic fields or magnetic dopants to suppress trivial transport and create an imbalance in occupancy of opposite Chern-number states4,5. Here we use the quantum geometry6,7 of topological bands to filter fermions by chirality into distinct Chern-number-polarized states. This allows for the real-space separation of currents with opposite fermionic chiralities, which we have demonstrated by observing their quantum interference in the absence of any magnetic field. Devices fabricated from single-crystal PdGa in a three-arm geometry exhibit quantum-geometry-induced anomalous velocities8,9 of chiral fermions, thereby exhibiting a nonlinear Hall effect. The resultant transverse chiral currents with opposite anomalous velocities are thereby spatially separated into the outer arms of the device. These chiral currents in opposing Chern number states also carry orbital magnetizations with opposite signs. The mesoscopic phase coherence of these chiral currents facilitated their quantum interference10 in a Mach–Zehnder interferometer. Our findings establish a chiral fermionic valve that exhibits three key properties: spatially separates chiral fermions into Chern-number polarized states by using their quantum geometry, enables tuneable current-induced magnetization and provides a platform for controllable quantum interference of chiral quasiparticles using an electric current and magnetic field.</w:t>
      </w:r>
    </w:p>
    <w:p>
      <w:pPr>
        <w:spacing w:before="120" w:after="120"/>
      </w:pPr>
      <w:r>
        <w:rPr>
          <w:sz w:val="18"/>
        </w:rPr>
        <w:t>——————————————————————————————————————————————————————————————————————</w:t>
      </w:r>
    </w:p>
    <w:p>
      <w:pPr>
        <w:spacing w:before="160" w:after="80" w:line="240" w:lineRule="auto"/>
      </w:pPr>
      <w:r>
        <w:rPr>
          <w:b/>
        </w:rPr>
        <w:t xml:space="preserve">[131] </w:t>
      </w:r>
      <w:hyperlink r:id="rId192">
        <w:r>
          <w:rPr>
            <w:color w:val="1155CC"/>
            <w:u w:val="single"/>
          </w:rPr>
          <w:t>Random heteropolymers as enzyme mimics</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Despite successes in replicating the primary–secondary–tertiary structure hierarchy of protein, it remains elusive to synthetically materialize protein functions that are deeply rooted in their chemical, structural and dynamic heterogeneities1,2,3,4,5,6,7,8,9,10,11,12. We propose that for polymers with backbone chemistries different from that of proteins, programming spatial and temporal projections of sidechains at the segmental level can be effective in replicating protein behaviours13,14; and leveraging the rotational freedom of polymer can mitigate deficiencies in monomeric sequence specificity and achieve behaviour uniformity at the ensemble level2,3,15,16,17,18,19,20. Here, guided by the active site analysis of about 1,300 metalloproteins, we design random heteropolymers (RHPs) as enzyme mimics based on one-pot synthesis. We introduce key monomers as the equivalents of the functional residues of protein and statistically modulate the chemical characteristics of key monomer-containing segments, such as segmental hydrophobicity21. The resultant RHPs form pseudo-active sites that provide key monomers with protein-like microenvironments, co-localize substrates with catalytic or cofactor-binding sidechains and catalyse reactions such as oxidation and cyclization of citronellal with isopulegol/menthoglycol selectivity. This RHP design led to enzyme-like materials that can retain catalytic activity under non-biological conditions, are compatible with scalable processing and have expanded substrate scope, including environmentally long-lasting antibiotic tetracycline22.</w:t>
      </w:r>
    </w:p>
    <w:p>
      <w:pPr>
        <w:spacing w:before="120" w:after="120"/>
      </w:pPr>
      <w:r>
        <w:rPr>
          <w:sz w:val="18"/>
        </w:rPr>
        <w:t>——————————————————————————————————————————————————————————————————————</w:t>
      </w:r>
    </w:p>
    <w:p>
      <w:pPr>
        <w:spacing w:before="160" w:after="80" w:line="240" w:lineRule="auto"/>
      </w:pPr>
      <w:r>
        <w:rPr>
          <w:b/>
        </w:rPr>
        <w:t xml:space="preserve">[132] </w:t>
      </w:r>
      <w:hyperlink r:id="rId193">
        <w:r>
          <w:rPr>
            <w:color w:val="1155CC"/>
            <w:u w:val="single"/>
          </w:rPr>
          <w:t>Quantifying the global eco-footprint of wearable healthcare electronics</w:t>
        </w:r>
      </w:hyperlink>
    </w:p>
    <w:p>
      <w:pPr>
        <w:spacing w:before="0" w:after="120" w:line="240" w:lineRule="auto"/>
      </w:pPr>
      <w:r>
        <w:rPr>
          <w:b/>
        </w:rPr>
        <w:t xml:space="preserve">Source: </w:t>
      </w:r>
      <w:r>
        <w:t>Nature</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Wearable healthcare electronics are rapidly emerging as a distinct electronics sector in the digital era1,2,3,4,5,6, offering substantial economic opportunities and crucial medical benefits. However, their interactions with environmental and social systems remain poorly understood7,8,9, leaving critical sustainability challenges unaddressed. Although current efforts have focused on material-level improvements, broader system-level dynamics remain unexplored. Here we present an integrated systems engineering framework based on de novo life-cycle inventories and diffusion-linked scaling to quantify global eco-footprint hotspots and identify effective mitigation strategies. Cradle-to-grave analysis of representative wearable healthcare electronics (glucose, cardiac and blood pressure monitors and diagnostic imagers) generates full-spectrum environmental impact metrics, identifying warming impacts of 1.1–6.1 kgCO2-equivalent per device. The global device consumption is projected to increase 42-fold by 2050, approaching 2 billion units annually and generating 3.4 MtCO2-equivalent emissions alongside ecotoxicity and e-waste issues. Contrary to the conventional sustainability emphasis on plastics, this work demonstrates that recyclable or biodegradable plastics offer only marginal benefits, whereas substituting critical-metal conductors and optimizing circuit architectures can significantly reduce impacts without compromising performance. This systems engineering-based life-cycle assessment framework holds promise for establishing ecologically responsible innovation in next-generation wearable electronics.</w:t>
      </w:r>
    </w:p>
    <w:p>
      <w:pPr>
        <w:spacing w:before="120" w:after="120"/>
      </w:pPr>
      <w:r>
        <w:rPr>
          <w:sz w:val="18"/>
        </w:rPr>
        <w:t>——————————————————————————————————————————————————————————————————————</w:t>
      </w:r>
    </w:p>
    <w:p>
      <w:pPr>
        <w:spacing w:before="160" w:after="80" w:line="240" w:lineRule="auto"/>
      </w:pPr>
      <w:r>
        <w:rPr>
          <w:b/>
        </w:rPr>
        <w:t xml:space="preserve">[133] </w:t>
      </w:r>
      <w:hyperlink r:id="rId194">
        <w:r>
          <w:rPr>
            <w:color w:val="1155CC"/>
            <w:u w:val="single"/>
          </w:rPr>
          <w:t>TOMATOES: Topology and material optimization for latent heat thermal energy storage devices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[134] </w:t>
      </w:r>
      <w:hyperlink r:id="rId195">
        <w:r>
          <w:rPr>
            <w:color w:val="1155CC"/>
            <w:u w:val="single"/>
          </w:rPr>
          <w:t>Multi-scale wake modeling based on physics-informed neural networks and transfer learning</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[135] </w:t>
      </w:r>
      <w:hyperlink r:id="rId196">
        <w:r>
          <w:rPr>
            <w:color w:val="1155CC"/>
            <w:u w:val="single"/>
          </w:rPr>
          <w:t>Economic autonomous operation of microgrids on islands with renewable energy interactions: A satellite-aided over-the-air federated reinforcement learning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[136] </w:t>
      </w:r>
      <w:hyperlink r:id="rId197">
        <w:r>
          <w:rPr>
            <w:color w:val="1155CC"/>
            <w:u w:val="single"/>
          </w:rPr>
          <w:t>City-scale rooftop retrofit prioritization: linking thermal performance, energy impacts, urban morphology, and population exposure</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[137] </w:t>
      </w:r>
      <w:hyperlink r:id="rId198">
        <w:r>
          <w:rPr>
            <w:color w:val="1155CC"/>
            <w:u w:val="single"/>
          </w:rPr>
          <w:t>Structured liquid-based reconfigurable all-liquid optical fibers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Quartz optical fibers are brittle, difficult to repair, and lack reconfigurability, limiting their adaptability in underwater communication. To overcome these impediments, here we show reconfigurable all-liquid optical fibers (RAOFs) produced by structured liquid, tuned by the interfacial assembly and jamming of nanoparticle surfactants at the water-oil interface (interfacial tension -1, refractive index contrast of 0.083). These RAOFs combine the structural stability of the interfacial assemblies with the inherent flexibility of liquids. They support real-time communication on an Ethernet platform (up to 1 Gbps), providing a practical alternative to conventional optical fibers for optical interconnects. Their liquid nature enables broken fibers to be repaired rapidly by a coalescence process. Their softness affords on-demand reconfigurability that enables in-situ fabrication of reconfigurable optical fibers and dynamic manipulation of signal transmission. RAOFs provide a versatile, self-healing, and resilient solution for optical communication systems in dynamic environments.</w:t>
      </w:r>
    </w:p>
    <w:p>
      <w:pPr>
        <w:spacing w:before="120" w:after="120"/>
      </w:pPr>
      <w:r>
        <w:rPr>
          <w:sz w:val="18"/>
        </w:rPr>
        <w:t>——————————————————————————————————————————————————————————————————————</w:t>
      </w:r>
    </w:p>
    <w:p>
      <w:pPr>
        <w:spacing w:before="160" w:after="80" w:line="240" w:lineRule="auto"/>
      </w:pPr>
      <w:r>
        <w:rPr>
          <w:b/>
        </w:rPr>
        <w:t xml:space="preserve">[138] </w:t>
      </w:r>
      <w:hyperlink r:id="rId199">
        <w:r>
          <w:rPr>
            <w:color w:val="1155CC"/>
            <w:u w:val="single"/>
          </w:rPr>
          <w:t>BARCODE: high throughput screening and analysis of soft active materials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Active, responsive, non-equilibrium materials–at the forefront of materials engineering–offer dynamical restructuring, mobility and other complex life-like properties. Yet, this enhanced functionality comes with significant amplification of the size and complexity of the datasets needed to characterize their properties, thereby challenging conventional approaches to analysis. To meet this need, we present BARCODE: Biomaterial Activity Readouts to Categorize, Optimize, Design and Engineer, an open-access software that automates high throughput screening of microscopy video data to enable non-equilibrium material optimization and discovery. BARCODE produces a unique fingerprint or ‘barcode’ of performance metrics that visually and quantitatively encodes dynamic material properties with minimal file size. Using three complementary material-agnostic analysis branches, BARCODE significantly reduces data dimensionality and size, while providing rich, multiparametric outputs and rapid tractable characterization of activity and structure. We analyze a series of datasets of cytoskeleton networks and cell monolayers to demonstrate BARCODE’s abilities to accelerate and streamline screening and analysis, reveal unexpected correlations and emergence, and enable broad non-expert data access, comparison, and sharing.</w:t>
      </w:r>
    </w:p>
    <w:p>
      <w:pPr>
        <w:spacing w:before="120" w:after="120"/>
      </w:pPr>
      <w:r>
        <w:rPr>
          <w:sz w:val="18"/>
        </w:rPr>
        <w:t>——————————————————————————————————————————————————————————————————————</w:t>
      </w:r>
    </w:p>
    <w:p>
      <w:pPr>
        <w:spacing w:before="160" w:after="80" w:line="240" w:lineRule="auto"/>
      </w:pPr>
      <w:r>
        <w:rPr>
          <w:b/>
        </w:rPr>
        <w:t xml:space="preserve">[139] </w:t>
      </w:r>
      <w:hyperlink r:id="rId200">
        <w:r>
          <w:rPr>
            <w:color w:val="1155CC"/>
            <w:u w:val="single"/>
          </w:rPr>
          <w:t>Domain oriented universal machine learning potential enables fast exploration of chemical space of battery electrolytes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Li-ion batteries, widely used in electronic devices, electric vehicles, and aviation, demand high energy density, fast charging capabilities, and broad operating temperature ranges. Computations combined with experiments have gained increasing attention for electrolyte development. However, the inherent complexity of electrolytes poses a significant challenge. Classical molecular dynamics often fails due to inaccuracies in force field parameters, while ab initio calculations are limited by high computational costs. Recently, machine learning molecular dynamics has emerged as an efficient and accurate alternative. However, its application is hindered by limited transferability of machine learning potentials. In this work, we developed a universal machine learning potential for electrolytes using an iterative training approach on randomly composed datasets, enabling the accurate computation of key properties for a broad range of electrolytes via molecular dynamics. Furthermore, coordination dynamics analysis of Li ion, by quantifying the coordination lifetime, provides a direct, quantitative measure of solvation strength. The universal machine learning potential for electrolytes facilitates the prediction and optimization of electrolyte properties, offering a powerful tool for electrolyte design.</w:t>
      </w:r>
    </w:p>
    <w:p>
      <w:pPr>
        <w:spacing w:before="120" w:after="120"/>
      </w:pPr>
      <w:r>
        <w:rPr>
          <w:sz w:val="18"/>
        </w:rPr>
        <w:t>——————————————————————————————————————————————————————————————————————</w:t>
      </w:r>
    </w:p>
    <w:p>
      <w:pPr>
        <w:spacing w:before="160" w:after="80" w:line="240" w:lineRule="auto"/>
      </w:pPr>
      <w:r>
        <w:rPr>
          <w:b/>
        </w:rPr>
        <w:t xml:space="preserve">[140] </w:t>
      </w:r>
      <w:hyperlink r:id="rId201">
        <w:r>
          <w:rPr>
            <w:color w:val="1155CC"/>
            <w:u w:val="single"/>
          </w:rPr>
          <w:t>Innovations and prospects on functional membrane design for advanced redox flow batteries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[141] </w:t>
      </w:r>
      <w:hyperlink r:id="rId202">
        <w:r>
          <w:rPr>
            <w:color w:val="1155CC"/>
            <w:u w:val="single"/>
          </w:rPr>
          <w:t>Two-layer coordinated operation of multi-energy system considering carbon-oriented collaborative pricing mechanism via two-stage stochastic programming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[142] </w:t>
      </w:r>
      <w:hyperlink r:id="rId203">
        <w:r>
          <w:rPr>
            <w:color w:val="1155CC"/>
            <w:u w:val="single"/>
          </w:rPr>
          <w:t>EatA mediated degradation of intestinal mucus is species-specific and driven by MUC2 structural features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Enterotoxigenic Escherichia coli (ETEC) infections are a leading cause of diarrheal illness, responsible for an estimated 100,000 deaths annually. ETEC pathogenesis is driven by various virulence factors, including toxins, adhesins, and noncanonical factors such as the protease EatA. The first line of host defense against intestinal pathogenic bacterial infections is the protective intestinal mucus layer. Here, we demonstrate the mechanism by which EatA degrades the core mucus component MUC2, thereby facilitating access to the epithelial cell surface and promoting infection. We identify the specific cleavage site region localized at the C-terminal of MUC2. EatA’s protease activity depends on the interaction between two distinct, uniquely spaced domains in human MUC2, which defines species specificity. We confirm this using a novel transgenic mouse model exclusively expressing human MUC2, which allows us to study the role of the mucus layer in the infection by human intestinal pathogens. These findings highlight how ETEC is adapted to specifically degrade the mucus layer of its human host.</w:t>
      </w:r>
    </w:p>
    <w:p>
      <w:pPr>
        <w:spacing w:before="120" w:after="120"/>
      </w:pPr>
      <w:r>
        <w:rPr>
          <w:sz w:val="18"/>
        </w:rPr>
        <w:t>——————————————————————————————————————————————————————————————————————</w:t>
      </w:r>
    </w:p>
    <w:p>
      <w:pPr>
        <w:spacing w:before="160" w:after="80" w:line="240" w:lineRule="auto"/>
      </w:pPr>
      <w:r>
        <w:rPr>
          <w:b/>
        </w:rPr>
        <w:t xml:space="preserve">[143] </w:t>
      </w:r>
      <w:hyperlink r:id="rId204">
        <w:r>
          <w:rPr>
            <w:color w:val="1155CC"/>
            <w:u w:val="single"/>
          </w:rPr>
          <w:t>A review on modeling, simulation and experiment of dynamic wake effect of floating offshore wind turbines</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[144] </w:t>
      </w:r>
      <w:hyperlink r:id="rId205">
        <w:r>
          <w:rPr>
            <w:color w:val="1155CC"/>
            <w:u w:val="single"/>
          </w:rPr>
          <w:t>Designing ionic liquid additives to increase the stability of perovskite solar cells</w:t>
        </w:r>
      </w:hyperlink>
    </w:p>
    <w:p>
      <w:pPr>
        <w:spacing w:before="0" w:after="120" w:line="240" w:lineRule="auto"/>
      </w:pPr>
      <w:r>
        <w:rPr>
          <w:b/>
        </w:rPr>
        <w:t xml:space="preserve">Source: </w:t>
      </w:r>
      <w:r>
        <w:t>Nature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[145] </w:t>
      </w:r>
      <w:hyperlink r:id="rId206">
        <w:r>
          <w:rPr>
            <w:color w:val="1155CC"/>
            <w:u w:val="single"/>
          </w:rPr>
          <w:t>Co-crystal engineering of a two-dimensional perovskite phase for perovskite solar modules with improved efficiency and stability</w:t>
        </w:r>
      </w:hyperlink>
    </w:p>
    <w:p>
      <w:pPr>
        <w:spacing w:before="0" w:after="120" w:line="240" w:lineRule="auto"/>
      </w:pPr>
      <w:r>
        <w:rPr>
          <w:b/>
        </w:rPr>
        <w:t xml:space="preserve">Source: </w:t>
      </w:r>
      <w:r>
        <w:t>Nature Energy</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The use of two-dimensional perovskite interlayers enables high efficiency in perovskite solar cells and modules but presents challenges for their long-term operational stability. Here we use a co-crystal engineering approach to improve the long-term stability of these devices. We use a neutral molecule, benzoguanamine, as a linker in low-dimensional perovskites, replacing conventional ionic molecules, and form a co-crystal. By applying this co-crystal layer onto the perovskite layer, we achieve power conversion efficiency of 23.4% in small-area solar cells, and 23.1% and 18.5% on solar modules with active areas of 9.0 cm2 and 48 cm2, respectively. The solar modules retain more than 95% and 98% of their initial efficiency after &gt;5,000 h of 1-sun light soaking and &gt;1,000 h of ultraviolet-ray exposure, respectively, at maximum power point conditions. They also retain more than 91% of their initial efficiency after &gt;5,000 h of continuous thermal stress at 85 °C.</w:t>
      </w:r>
    </w:p>
    <w:p>
      <w:pPr>
        <w:spacing w:before="120" w:after="120"/>
      </w:pPr>
      <w:r>
        <w:rPr>
          <w:sz w:val="18"/>
        </w:rPr>
        <w:t>——————————————————————————————————————————————————————————————————————</w:t>
      </w:r>
    </w:p>
    <w:p>
      <w:pPr>
        <w:spacing w:before="160" w:after="80" w:line="240" w:lineRule="auto"/>
      </w:pPr>
      <w:r>
        <w:rPr>
          <w:b/>
        </w:rPr>
        <w:t xml:space="preserve">[146] </w:t>
      </w:r>
      <w:hyperlink r:id="rId207">
        <w:r>
          <w:rPr>
            <w:color w:val="1155CC"/>
            <w:u w:val="single"/>
          </w:rPr>
          <w:t>SigmaR1 is an auxiliary translocon factor with lipid-binding activity that regulates protein and lipid droplet homeostasis</w:t>
        </w:r>
      </w:hyperlink>
    </w:p>
    <w:p>
      <w:pPr>
        <w:spacing w:before="0" w:after="120" w:line="240" w:lineRule="auto"/>
      </w:pPr>
      <w:r>
        <w:rPr>
          <w:b/>
        </w:rPr>
        <w:t xml:space="preserve">Source: </w:t>
      </w:r>
      <w:r>
        <w:t>Nature Communications</w:t>
      </w:r>
      <w:r>
        <w:t xml:space="preserve">    </w:t>
      </w:r>
      <w:r>
        <w:rPr>
          <w:b/>
        </w:rPr>
        <w:t xml:space="preserve">Pub date: </w:t>
      </w:r>
      <w:r>
        <w:t>2025-12-31 00:00:00+00:00</w:t>
      </w:r>
    </w:p>
    <w:p>
      <w:pPr>
        <w:spacing w:before="0" w:after="120"/>
      </w:pPr>
      <w:r>
        <w:rPr>
          <w:b/>
        </w:rPr>
        <w:t xml:space="preserve">Notes: </w:t>
      </w:r>
      <w:r>
        <w:t>abstract_source=nature_html</w:t>
      </w:r>
    </w:p>
    <w:p>
      <w:pPr>
        <w:spacing w:before="0" w:after="200" w:lineRule="auto" w:line="276"/>
      </w:pPr>
      <w:r>
        <w:rPr>
          <w:b/>
        </w:rPr>
        <w:t xml:space="preserve">Abstract: </w:t>
      </w:r>
      <w:r>
        <w:t>Sigma Non-Opioid Intracellular Receptor 1 (SigmaR1) is a member of the sigma family of receptors that interacts with a variety of psychotomimetic drugs and is involved in a wide range of cellular and physiological functions. Despite its increasing importance in human physiology and disease, the subcellular localization of SigmaR1 and its molecular function remain poorly defined. Using endogenous tagging and cell fractionation, we show that SigmaR1 is a type II integral ER membrane protein that is specifically enriched at ER sheets. A short region at the N-terminus of SigmaR1 promotes its ER-sheet localization. Importantly, our biochemical studies demonstrate that SigmaR1 directly interacts with components of the translocon complex including TRAPα and Nicalin. In addition, we found that a β-barrel at the C-terminal of SigmaR1 binds phosphatidylcholine (PC), and the binding of PC strengthens the association of SigmaR1 with the translocon complex. SigmaR1 knockout systematically impaired cellular protein and lipid homeostasis, resulting in accumulation of lipid droplets in hepatocytes. Collectively, we propose that SigmaR1 is an auxiliary translocon factor that binds lipids to regulate protein and lipid droplet homeostasis, which may underlie the broad and vital roles of SigmaR1 in physiology and disease.</w:t>
      </w:r>
    </w:p>
    <w:p>
      <w:pPr>
        <w:spacing w:before="120" w:after="120"/>
      </w:pPr>
      <w:r>
        <w:rPr>
          <w:sz w:val="18"/>
        </w:rPr>
        <w:t>——————————————————————————————————————————————————————————————————————</w:t>
      </w:r>
    </w:p>
    <w:p>
      <w:pPr>
        <w:spacing w:before="160" w:after="80" w:line="240" w:lineRule="auto"/>
      </w:pPr>
      <w:r>
        <w:rPr>
          <w:b/>
        </w:rPr>
        <w:t xml:space="preserve">[147] </w:t>
      </w:r>
      <w:hyperlink r:id="rId208">
        <w:r>
          <w:rPr>
            <w:color w:val="1155CC"/>
            <w:u w:val="single"/>
          </w:rPr>
          <w:t>Temperature-dependent cathode starvation effects on cold start behavior of PEMFC stacks: An experimental investigation</w:t>
        </w:r>
      </w:hyperlink>
    </w:p>
    <w:p>
      <w:pPr>
        <w:spacing w:before="0" w:after="120" w:line="240" w:lineRule="auto"/>
      </w:pPr>
      <w:r>
        <w:rPr>
          <w:b/>
        </w:rPr>
        <w:t xml:space="preserve">Source: </w:t>
      </w:r>
      <w:r>
        <w:t>ScienceDirect Publication: Applied Energy</w:t>
      </w:r>
      <w:r>
        <w:t xml:space="preserve">    </w:t>
      </w:r>
      <w:r>
        <w:rPr>
          <w:b/>
        </w:rPr>
        <w:t xml:space="preserve">Pub date: </w:t>
      </w:r>
      <w:r>
        <w:t>2025-12-31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[148] </w:t>
      </w:r>
      <w:hyperlink r:id="rId209">
        <w:r>
          <w:rPr>
            <w:color w:val="1155CC"/>
            <w:u w:val="single"/>
          </w:rPr>
          <w:t>4D‐Printed Dual‐Functional Hydrogels Breaking the Trade‐Off Between Rapid Kinetics and Ultrahigh Water Uptake for Atmospheric Water Harvesting</w:t>
        </w:r>
      </w:hyperlink>
    </w:p>
    <w:p>
      <w:pPr>
        <w:spacing w:before="0" w:after="120" w:line="240" w:lineRule="auto"/>
      </w:pPr>
      <w:r>
        <w:rPr>
          <w:b/>
        </w:rPr>
        <w:t xml:space="preserve">Source: </w:t>
      </w:r>
      <w:r>
        <w:t>Wiley: Advanced Materials: Table of Contents</w:t>
      </w:r>
      <w:r>
        <w:t xml:space="preserve">    </w:t>
      </w:r>
      <w:r>
        <w:rPr>
          <w:b/>
        </w:rPr>
        <w:t xml:space="preserve">Pub date: </w:t>
      </w:r>
      <w:r>
        <w:t>2025-12-31 04:20:51+00:00</w:t>
      </w:r>
      <w:r>
        <w:t xml:space="preserve">    </w:t>
      </w:r>
      <w:r>
        <w:rPr>
          <w:b/>
        </w:rPr>
        <w:t xml:space="preserve">DOI: </w:t>
      </w:r>
      <w:hyperlink r:id="rId210">
        <w:r>
          <w:rPr>
            <w:color w:val="1155CC"/>
            <w:u w:val="single"/>
          </w:rPr>
          <w:t>10.1002/adma.202516698</w:t>
        </w:r>
      </w:hyperlink>
    </w:p>
    <w:p>
      <w:pPr>
        <w:spacing w:before="0" w:after="120"/>
      </w:pPr>
      <w:r>
        <w:rPr>
          <w:b/>
        </w:rPr>
        <w:t xml:space="preserve">Notes: </w:t>
      </w:r>
      <w:r>
        <w:t>abstract_source=crossref</w:t>
      </w:r>
    </w:p>
    <w:p>
      <w:pPr>
        <w:spacing w:before="0" w:after="200" w:lineRule="auto" w:line="276"/>
      </w:pPr>
      <w:r>
        <w:rPr>
          <w:b/>
        </w:rPr>
        <w:t xml:space="preserve">Abstract: </w:t>
      </w:r>
      <w:r>
        <w:t>Sorption‐based Atmospheric Water Harvesting (AWH) is an innovative approach to mitigate global freshwater scarcity. However, there is a trade‐off between rapid kinetics and ultrahigh water uptake, which is a formidable challenge in designing sorbent materials. Herein, 4D printed dual‐functional hydrogel is constructed through the collaborative design of molecular‐scale dynamic response network and macro‐scale structure. The 4D dual‐functional hydrogel integrates thermoresponsive (PNIPAM) and zwitterionic (PDMPAS) to form dynamic response networks, and is loaded with polypyrrole (PPY) and lithium chloride (4D TZG‐PPY‐LiCl). Simultaneously, 4D TZG‐PPY‐LiCl utilizes an abundant air‐sorbent interface to accelerate moisture absorption kinetics, exhibiting a large swelling ratio under humidity stimulation to capture more water. The moisture absorption rate and water uptake of 4D TZG‐PPY‐LiCl are double those of bulk TZG‐PPY‐LiCl between 30% and 90% RH, exhibiting an ultrahigh water uptake of 1.62–6.85 g g</w:t>
      </w:r>
      <w:r>
        <w:t xml:space="preserve"> </w:t>
      </w:r>
      <w:r>
        <w:t>−1</w:t>
      </w:r>
      <w:r>
        <w:t xml:space="preserve"> </w:t>
      </w:r>
      <w:r>
        <w:t>, which is superior to that of the state‐of‐the‐art sorbents. In addition, the excellent photothermal conversion of 4D TZG‐PPY‐LiCl induces a hydrophilic to hydrophobic transition and structural shrinkage under one‐sun illumination, facilitating rapid water release. Furthermore, 4D TZG‐PPY‐LiCl AWH device has been further constructed, enabling continuous freshwater production. This breakthrough provides a new idea for the development of sorbent materials.</w:t>
      </w:r>
    </w:p>
    <w:p>
      <w:pPr>
        <w:spacing w:before="120" w:after="120"/>
      </w:pPr>
      <w:r>
        <w:rPr>
          <w:sz w:val="18"/>
        </w:rPr>
        <w:t>——————————————————————————————————————————————————————————————————————</w:t>
      </w:r>
    </w:p>
    <w:p>
      <w:pPr>
        <w:spacing w:before="160" w:after="80" w:line="240" w:lineRule="auto"/>
      </w:pPr>
      <w:r>
        <w:rPr>
          <w:b/>
        </w:rPr>
        <w:t xml:space="preserve">[149] </w:t>
      </w:r>
      <w:hyperlink r:id="rId211">
        <w:r>
          <w:rPr>
            <w:color w:val="1155CC"/>
            <w:u w:val="single"/>
          </w:rPr>
          <w:t>Tailorable Polarity Switching and Optoelectronic Transition in a Gate‐Source Integrated 2D Ferroelectric Phototransistor</w:t>
        </w:r>
      </w:hyperlink>
    </w:p>
    <w:p>
      <w:pPr>
        <w:spacing w:before="0" w:after="120" w:line="240" w:lineRule="auto"/>
      </w:pPr>
      <w:r>
        <w:rPr>
          <w:b/>
        </w:rPr>
        <w:t xml:space="preserve">Source: </w:t>
      </w:r>
      <w:r>
        <w:t>Wiley: Advanced Materials: Table of Contents</w:t>
      </w:r>
      <w:r>
        <w:t xml:space="preserve">    </w:t>
      </w:r>
      <w:r>
        <w:rPr>
          <w:b/>
        </w:rPr>
        <w:t xml:space="preserve">Pub date: </w:t>
      </w:r>
      <w:r>
        <w:t>2025-12-31 04:22:38+00:00</w:t>
      </w:r>
      <w:r>
        <w:t xml:space="preserve">    </w:t>
      </w:r>
      <w:r>
        <w:rPr>
          <w:b/>
        </w:rPr>
        <w:t xml:space="preserve">DOI: </w:t>
      </w:r>
      <w:hyperlink r:id="rId212">
        <w:r>
          <w:rPr>
            <w:color w:val="1155CC"/>
            <w:u w:val="single"/>
          </w:rPr>
          <w:t>10.1002/adma.202512334</w:t>
        </w:r>
      </w:hyperlink>
    </w:p>
    <w:p>
      <w:pPr>
        <w:spacing w:before="0" w:after="120"/>
      </w:pPr>
      <w:r>
        <w:rPr>
          <w:b/>
        </w:rPr>
        <w:t xml:space="preserve">Notes: </w:t>
      </w:r>
      <w:r>
        <w:t>abstract_source=crossref</w:t>
      </w:r>
    </w:p>
    <w:p>
      <w:pPr>
        <w:spacing w:before="0" w:after="200" w:lineRule="auto" w:line="276"/>
      </w:pPr>
      <w:r>
        <w:rPr>
          <w:b/>
        </w:rPr>
        <w:t xml:space="preserve">Abstract: </w:t>
      </w:r>
      <w:r>
        <w:t>2D ferroelectric phototransistors are innovative devices capable of regulating the optoelectronic characteristics of channel materials through ferroelectric polarization, demonstrating immense potential in photodetection, optical storage, and optical communication. Herein, we present a novel 2D ferroelectric phototransistor structure—Au/WSe</w:t>
      </w:r>
      <w:r>
        <w:rPr>
          <w:vertAlign w:val="subscript"/>
        </w:rPr>
        <w:t>2</w:t>
      </w:r>
      <w:r>
        <w:t>/CuCrP</w:t>
      </w:r>
      <w:r>
        <w:rPr>
          <w:vertAlign w:val="subscript"/>
        </w:rPr>
        <w:t>2</w:t>
      </w:r>
      <w:r>
        <w:t>S</w:t>
      </w:r>
      <w:r>
        <w:rPr>
          <w:vertAlign w:val="subscript"/>
        </w:rPr>
        <w:t>6</w:t>
      </w:r>
      <w:r>
        <w:t>/graphene—featuring an integrated gate–source electrode. By applying only the channel voltage, the major carrier type can be switched, and the optoelectronic performance is significantly enriched. Specifically, the structure enables positive/negative photoconduction switching at a low channel voltage of only 0.75 V, around which an optoelectronic transition occurs because of the ion migration. The optoelectronic transition manifests as a variation up to three orders of magnitude in the photocurrent decay time driven by the capture and release of photogenerated holes by Cu‐ion vacancies, as well as positive and negative photoconduction switching triggered by different laser pulse intervals. This novel architecture offers an integrated platform that harnesses the distinctive characteristics of 2D ferroelectrics to dynamically and precisely tune the optoelectronic properties of 2D semiconductors.</w:t>
      </w:r>
    </w:p>
    <w:p>
      <w:pPr>
        <w:spacing w:before="120" w:after="120"/>
      </w:pPr>
      <w:r>
        <w:rPr>
          <w:sz w:val="18"/>
        </w:rPr>
        <w:t>——————————————————————————————————————————————————————————————————————</w:t>
      </w:r>
    </w:p>
    <w:p>
      <w:pPr>
        <w:spacing w:before="160" w:after="80" w:line="240" w:lineRule="auto"/>
      </w:pPr>
      <w:r>
        <w:rPr>
          <w:b/>
        </w:rPr>
        <w:t xml:space="preserve">[150] </w:t>
      </w:r>
      <w:hyperlink r:id="rId213">
        <w:r>
          <w:rPr>
            <w:color w:val="1155CC"/>
            <w:u w:val="single"/>
          </w:rPr>
          <w:t>Machine Learning–Guided Solvation Engineering of Chiral Viologens for Durable Neutral Aqueous Organic Flow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06:56:15+00:00</w:t>
      </w:r>
      <w:r>
        <w:t xml:space="preserve">    </w:t>
      </w:r>
      <w:r>
        <w:rPr>
          <w:b/>
        </w:rPr>
        <w:t xml:space="preserve">DOI: </w:t>
      </w:r>
      <w:hyperlink r:id="rId214">
        <w:r>
          <w:rPr>
            <w:color w:val="1155CC"/>
            <w:u w:val="single"/>
          </w:rPr>
          <w:t>10.1002/anie.202522442</w:t>
        </w:r>
      </w:hyperlink>
    </w:p>
    <w:p>
      <w:pPr>
        <w:spacing w:before="0" w:after="120"/>
      </w:pPr>
      <w:r>
        <w:rPr>
          <w:b/>
        </w:rPr>
        <w:t xml:space="preserve">Notes: </w:t>
      </w:r>
      <w:r>
        <w:t>abstract_source=crossref</w:t>
      </w:r>
    </w:p>
    <w:p>
      <w:pPr>
        <w:spacing w:before="0" w:after="200" w:lineRule="auto" w:line="276"/>
      </w:pPr>
      <w:r>
        <w:rPr>
          <w:b/>
        </w:rPr>
        <w:t xml:space="preserve">Abstract: </w:t>
      </w:r>
      <w:r>
        <w:t>Conventional</w:t>
      </w:r>
      <w:r>
        <w:t xml:space="preserve"> </w:t>
      </w:r>
      <w:r>
        <w:t>N</w:t>
      </w:r>
      <w:r>
        <w:t xml:space="preserve"> </w:t>
      </w:r>
      <w:r>
        <w:t>‐alkylated viologen electrolytes in neutral aqueous organic redox flow batteries (AORFBs) undergo irreversible nucleophilic S</w:t>
      </w:r>
      <w:r>
        <w:t xml:space="preserve"> </w:t>
      </w:r>
      <w:r>
        <w:t>N</w:t>
      </w:r>
      <w:r>
        <w:t xml:space="preserve"> </w:t>
      </w:r>
      <w:r>
        <w:t>2 dealkylation degradation. Moreover, trial‐and‐error molecular design often fails to resolve the solubility–stability trade‐off in high‐concentration systems. Here we report a machine learning (ML) strategy using large language models (LLMs) trained on over 1300 AORFB studies to predict chiral viologens with</w:t>
      </w:r>
      <w:r>
        <w:t xml:space="preserve"> </w:t>
      </w:r>
      <w:r>
        <w:t>ortho</w:t>
      </w:r>
      <w:r>
        <w:t xml:space="preserve"> </w:t>
      </w:r>
      <w:r>
        <w:t>‐dihydroxy motifs. This bonding network forms a dynamic, pH‐adaptive “solvation armor” that stabilizes the viologen structure. The</w:t>
      </w:r>
      <w:r>
        <w:t xml:space="preserve"> </w:t>
      </w:r>
      <w:r>
        <w:t>R</w:t>
      </w:r>
      <w:r>
        <w:t xml:space="preserve"> </w:t>
      </w:r>
      <w:r>
        <w:t>‐/</w:t>
      </w:r>
      <w:r>
        <w:t>S</w:t>
      </w:r>
      <w:r>
        <w:t xml:space="preserve"> </w:t>
      </w:r>
      <w:r>
        <w:t>‐</w:t>
      </w:r>
      <w:r>
        <w:t xml:space="preserve"> </w:t>
      </w:r>
      <w:r>
        <w:t>enantiomers (2.75/2.76 M) exhibit 1.66 times higher solubility versus</w:t>
      </w:r>
      <w:r>
        <w:t xml:space="preserve"> </w:t>
      </w:r>
      <w:r>
        <w:t>RS</w:t>
      </w:r>
      <w:r>
        <w:t xml:space="preserve"> </w:t>
      </w:r>
      <w:r>
        <w:t>‐</w:t>
      </w:r>
      <w:r>
        <w:t xml:space="preserve"> </w:t>
      </w:r>
      <w:r>
        <w:t>racemate. Molecular simulations and in situ spectroscopy confirm that the dihydroxy groups protect reactive C─N bonds via a solvation structure (unrelated to chiral effect), enhancing stability to pH 11. The 1 M</w:t>
      </w:r>
      <w:r>
        <w:t xml:space="preserve"> </w:t>
      </w:r>
      <w:r>
        <w:t>R</w:t>
      </w:r>
      <w:r>
        <w:t xml:space="preserve"> </w:t>
      </w:r>
      <w:r>
        <w:t>2+</w:t>
      </w:r>
      <w:r>
        <w:t xml:space="preserve"> </w:t>
      </w:r>
      <w:r>
        <w:t>/</w:t>
      </w:r>
      <w:r>
        <w:t xml:space="preserve"> </w:t>
      </w:r>
      <w:r>
        <w:t>R</w:t>
      </w:r>
      <w:r>
        <w:t xml:space="preserve"> </w:t>
      </w:r>
      <w:r>
        <w:t>+•</w:t>
      </w:r>
      <w:r>
        <w:t xml:space="preserve"> </w:t>
      </w:r>
      <w:r>
        <w:t>redox couple sets a new record by achieving 99.42% capacity retention over 3652 cycles. The 1 M</w:t>
      </w:r>
      <w:r>
        <w:t xml:space="preserve"> </w:t>
      </w:r>
      <w:r>
        <w:t>R</w:t>
      </w:r>
      <w:r>
        <w:t xml:space="preserve"> </w:t>
      </w:r>
      <w:r>
        <w:t>‐based AORFB shows 100% retention over 533 cycles, outperforming quaternary ammonium‐ (</w:t>
      </w:r>
      <w:r>
        <w:t xml:space="preserve"> </w:t>
      </w:r>
      <w:r>
        <w:t>[(NPr)</w:t>
      </w:r>
      <w:r>
        <w:rPr>
          <w:vertAlign w:val="subscript"/>
        </w:rPr>
        <w:t>2</w:t>
      </w:r>
      <w:r>
        <w:t>V]Cl</w:t>
      </w:r>
      <w:r>
        <w:rPr>
          <w:vertAlign w:val="subscript"/>
        </w:rPr>
        <w:t>4</w:t>
      </w:r>
      <w:r>
        <w:t xml:space="preserve"> </w:t>
      </w:r>
      <w:r>
        <w:t>, 94.92%) and sulfonate‐modified viologen (</w:t>
      </w:r>
      <w:r>
        <w:t xml:space="preserve"> </w:t>
      </w:r>
      <w:r>
        <w:t>(SPr)</w:t>
      </w:r>
      <w:r>
        <w:rPr>
          <w:vertAlign w:val="subscript"/>
        </w:rPr>
        <w:t>2</w:t>
      </w:r>
      <w:r>
        <w:t>V)</w:t>
      </w:r>
      <w:r>
        <w:t xml:space="preserve"> </w:t>
      </w:r>
      <w:r>
        <w:t>, 65.49%). Stable cycling across 0.1 ∼ 2.5 M demonstrates decoupling of degradation from concentration. This strategy is validated by 2.5 kg‐scale synthesis and Ah‐class stack testing (98.65% retention over 77 cycles), demonstrating industrial scalability. This work establishes a generalizable, ML‐enabled platform for electrolyte development, bridging molecular design and practical AORFB deployment.</w:t>
      </w:r>
    </w:p>
    <w:p>
      <w:pPr>
        <w:spacing w:before="120" w:after="120"/>
      </w:pPr>
      <w:r>
        <w:rPr>
          <w:sz w:val="18"/>
        </w:rPr>
        <w:t>——————————————————————————————————————————————————————————————————————</w:t>
      </w:r>
    </w:p>
    <w:p>
      <w:pPr>
        <w:spacing w:before="160" w:after="80" w:line="240" w:lineRule="auto"/>
      </w:pPr>
      <w:r>
        <w:rPr>
          <w:b/>
        </w:rPr>
        <w:t xml:space="preserve">[151] </w:t>
      </w:r>
      <w:hyperlink r:id="rId215">
        <w:r>
          <w:rPr>
            <w:color w:val="1155CC"/>
            <w:u w:val="single"/>
          </w:rPr>
          <w:t>An Electrocatalytic/Heterogeneous Catalytic Cascade for Selective Production of Propylene Oxide via Anodic H2O2 Generation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07:01:29+00:00</w:t>
      </w:r>
      <w:r>
        <w:t xml:space="preserve">    </w:t>
      </w:r>
      <w:r>
        <w:rPr>
          <w:b/>
        </w:rPr>
        <w:t xml:space="preserve">DOI: </w:t>
      </w:r>
      <w:hyperlink r:id="rId216">
        <w:r>
          <w:rPr>
            <w:color w:val="1155CC"/>
            <w:u w:val="single"/>
          </w:rPr>
          <w:t>10.1002/anie.202521921</w:t>
        </w:r>
      </w:hyperlink>
    </w:p>
    <w:p>
      <w:pPr>
        <w:spacing w:before="0" w:after="120"/>
      </w:pPr>
      <w:r>
        <w:rPr>
          <w:b/>
        </w:rPr>
        <w:t xml:space="preserve">Notes: </w:t>
      </w:r>
      <w:r>
        <w:t>abstract_source=crossref</w:t>
      </w:r>
    </w:p>
    <w:p>
      <w:pPr>
        <w:spacing w:before="0" w:after="200" w:lineRule="auto" w:line="276"/>
      </w:pPr>
      <w:r>
        <w:rPr>
          <w:b/>
        </w:rPr>
        <w:t xml:space="preserve">Abstract: </w:t>
      </w:r>
      <w:r>
        <w:t>Propylene oxide, a key intermediate with wide applications in the plastics industry, is still mainly produced by energy‐intensive and environmentally non‐sustainable processes. Electrochemically assisted epoxidation of propylene is emerging as a sustainable and atom‐efficient method for highly selective synthesis of propylene oxide. Here, we introduce a cascade strategy that combines anodic H</w:t>
      </w:r>
      <w:r>
        <w:rPr>
          <w:vertAlign w:val="subscript"/>
        </w:rPr>
        <w:t>2</w:t>
      </w:r>
      <w:r>
        <w:t>O</w:t>
      </w:r>
      <w:r>
        <w:rPr>
          <w:vertAlign w:val="subscript"/>
        </w:rPr>
        <w:t>2</w:t>
      </w:r>
      <w:r>
        <w:t>generation with propylene epoxidation at a porous layer of immobilized titanium silicate (TS‐1). A ZnWO</w:t>
      </w:r>
      <w:r>
        <w:rPr>
          <w:vertAlign w:val="subscript"/>
        </w:rPr>
        <w:t>4</w:t>
      </w:r>
      <w:r>
        <w:t>electrocatalyst was developed for efficient anodic H</w:t>
      </w:r>
      <w:r>
        <w:rPr>
          <w:vertAlign w:val="subscript"/>
        </w:rPr>
        <w:t>2</w:t>
      </w:r>
      <w:r>
        <w:t>O</w:t>
      </w:r>
      <w:r>
        <w:rPr>
          <w:vertAlign w:val="subscript"/>
        </w:rPr>
        <w:t>2</w:t>
      </w:r>
      <w:r>
        <w:t>generation. To maximize local reactant concentrations, we designed an integrated TS‐1‐immobilized gas diffusion layer, which facilitates rapid propylene transport to the triple‐phase boundaries, while preventing TS‐1 loss and avoiding separation issues common in solution‐phase heterogeneous catalytic systems. Furthermore, an acetonitrile‐bicarbonate containing electrolyte system was optimized to facilitate direct utilization of H</w:t>
      </w:r>
      <w:r>
        <w:rPr>
          <w:vertAlign w:val="subscript"/>
        </w:rPr>
        <w:t>2</w:t>
      </w:r>
      <w:r>
        <w:t>O</w:t>
      </w:r>
      <w:r>
        <w:rPr>
          <w:vertAlign w:val="subscript"/>
        </w:rPr>
        <w:t>2</w:t>
      </w:r>
      <w:r>
        <w:t>for propylene epoxidation, leading to 98% H</w:t>
      </w:r>
      <w:r>
        <w:rPr>
          <w:vertAlign w:val="subscript"/>
        </w:rPr>
        <w:t>2</w:t>
      </w:r>
      <w:r>
        <w:t>O</w:t>
      </w:r>
      <w:r>
        <w:rPr>
          <w:vertAlign w:val="subscript"/>
        </w:rPr>
        <w:t>2</w:t>
      </w:r>
      <w:r>
        <w:t>utilization efficiency and over 97% selectivity for propylene oxide. This work offers a safer and greener alternative for propylene oxide production and broadens the application of electrochemically generated H</w:t>
      </w:r>
      <w:r>
        <w:rPr>
          <w:vertAlign w:val="subscript"/>
        </w:rPr>
        <w:t>2</w:t>
      </w:r>
      <w:r>
        <w:t>O</w:t>
      </w:r>
      <w:r>
        <w:rPr>
          <w:vertAlign w:val="subscript"/>
        </w:rPr>
        <w:t>2</w:t>
      </w:r>
      <w:r>
        <w:t>from water oxidation for selective oxygenation reactions.</w:t>
      </w:r>
    </w:p>
    <w:p>
      <w:pPr>
        <w:spacing w:before="120" w:after="120"/>
      </w:pPr>
      <w:r>
        <w:rPr>
          <w:sz w:val="18"/>
        </w:rPr>
        <w:t>——————————————————————————————————————————————————————————————————————</w:t>
      </w:r>
    </w:p>
    <w:p>
      <w:pPr>
        <w:spacing w:before="160" w:after="80" w:line="240" w:lineRule="auto"/>
      </w:pPr>
      <w:r>
        <w:rPr>
          <w:b/>
        </w:rPr>
        <w:t xml:space="preserve">[152] </w:t>
      </w:r>
      <w:hyperlink r:id="rId217">
        <w:r>
          <w:rPr>
            <w:color w:val="1155CC"/>
            <w:u w:val="single"/>
          </w:rPr>
          <w:t>Photoredox/Cobalt‐Catalyzed Asymmetric Radical Addition to Imines with Furanosyl 1,4‐Dihydropyridines to Access C‐Glycosyl Amino Esters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07:02:30+00:00</w:t>
      </w:r>
      <w:r>
        <w:t xml:space="preserve">    </w:t>
      </w:r>
      <w:r>
        <w:rPr>
          <w:b/>
        </w:rPr>
        <w:t xml:space="preserve">DOI: </w:t>
      </w:r>
      <w:hyperlink r:id="rId218">
        <w:r>
          <w:rPr>
            <w:color w:val="1155CC"/>
            <w:u w:val="single"/>
          </w:rPr>
          <w:t>10.1002/anie.202521583</w:t>
        </w:r>
      </w:hyperlink>
    </w:p>
    <w:p>
      <w:pPr>
        <w:spacing w:before="0" w:after="120"/>
      </w:pPr>
      <w:r>
        <w:rPr>
          <w:b/>
        </w:rPr>
        <w:t xml:space="preserve">Notes: </w:t>
      </w:r>
      <w:r>
        <w:t>abstract_source=crossref</w:t>
      </w:r>
    </w:p>
    <w:p>
      <w:pPr>
        <w:spacing w:before="0" w:after="200" w:lineRule="auto" w:line="276"/>
      </w:pPr>
      <w:r>
        <w:rPr>
          <w:b/>
        </w:rPr>
        <w:t xml:space="preserve">Abstract: </w:t>
      </w:r>
      <w:r>
        <w:t>Chiral oxygen‐containing heterocycles, particularly tetrahydrofuran scaffolds are pivotal structures found in numerous bioactive molecules. Among them, furanoses constitute a highly important class. While C‐glycosylation with furanosyl donors offers a promising route to access these frameworks, methods for simultaneously constructing multiple stereogenic centers remain unknown. Herein, we report a synergistic photoredox/cobalt‐catalyzed enantioselective radical addition strategy to imines that employs bench‐stable furanosyl 1,4‐dihydropyridines (DHPs) as the radical precursors. This redox‐neutral protocol directly forges C‐glycosidic bonds at the challenging non‐anomeric position while concurrently establishing a new tetrasubstituted carbon stereocenter. The chiral cobalt catalyst effectively governs the stereochemistry of both the glycosidic bond and the new tetrasubstituted center, as evidenced by ligand control experiments. Furthermore, the method is generalizable to simple alkyl‐substituted DHPs, providing a versatile and complementary approach to synthesize amino esters and C‐glycosides with multiple stereogenic centers.</w:t>
      </w:r>
    </w:p>
    <w:p>
      <w:pPr>
        <w:spacing w:before="120" w:after="120"/>
      </w:pPr>
      <w:r>
        <w:rPr>
          <w:sz w:val="18"/>
        </w:rPr>
        <w:t>——————————————————————————————————————————————————————————————————————</w:t>
      </w:r>
    </w:p>
    <w:p>
      <w:pPr>
        <w:spacing w:before="160" w:after="80" w:line="240" w:lineRule="auto"/>
      </w:pPr>
      <w:r>
        <w:rPr>
          <w:b/>
        </w:rPr>
        <w:t xml:space="preserve">[153] </w:t>
      </w:r>
      <w:hyperlink r:id="rId219">
        <w:r>
          <w:rPr>
            <w:color w:val="1155CC"/>
            <w:u w:val="single"/>
          </w:rPr>
          <w:t>Unveiling Anion‐Cation Interaction of Electrolyte for Long‐Life Ah‐Level Aqueous Zinc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07:03:35+00:00</w:t>
      </w:r>
      <w:r>
        <w:t xml:space="preserve">    </w:t>
      </w:r>
      <w:r>
        <w:rPr>
          <w:b/>
        </w:rPr>
        <w:t xml:space="preserve">DOI: </w:t>
      </w:r>
      <w:hyperlink r:id="rId220">
        <w:r>
          <w:rPr>
            <w:color w:val="1155CC"/>
            <w:u w:val="single"/>
          </w:rPr>
          <w:t>10.1002/anie.202519668</w:t>
        </w:r>
      </w:hyperlink>
    </w:p>
    <w:p>
      <w:pPr>
        <w:spacing w:before="0" w:after="120"/>
      </w:pPr>
      <w:r>
        <w:rPr>
          <w:b/>
        </w:rPr>
        <w:t xml:space="preserve">Notes: </w:t>
      </w:r>
      <w:r>
        <w:t>abstract_source=crossref</w:t>
      </w:r>
    </w:p>
    <w:p>
      <w:pPr>
        <w:spacing w:before="0" w:after="200" w:lineRule="auto" w:line="276"/>
      </w:pPr>
      <w:r>
        <w:rPr>
          <w:b/>
        </w:rPr>
        <w:t xml:space="preserve">Abstract: </w:t>
      </w:r>
      <w:r>
        <w:t>Aqueous zinc metal batteries (AZMBs) are attractive for stationary energy storage due to their low cost and high safety. However, parasitic side reactions and severe Zn dendrites hinder practical implementation. Here, we propose the anion/cation dehydration shielding force as an effective guideline for electrolyte engineering that prioritizes anion‐cation coordination structure. The methodology identifies 2‐ethoxyethanol solvent as optimal components, enhancing Zn</w:t>
      </w:r>
      <w:r>
        <w:t xml:space="preserve"> </w:t>
      </w:r>
      <w:r>
        <w:t>2+</w:t>
      </w:r>
      <w:r>
        <w:t xml:space="preserve"> </w:t>
      </w:r>
      <w:r>
        <w:t>diffusion kinetics and suppressing water activity through anion‐dominated coordination chemistry. The preferential reduction of OTF</w:t>
      </w:r>
      <w:r>
        <w:t xml:space="preserve"> </w:t>
      </w:r>
      <w:r>
        <w:t>−</w:t>
      </w:r>
      <w:r>
        <w:t>enables fluorine‐rich solid electrolyte interphase formation with high Zn</w:t>
      </w:r>
      <w:r>
        <w:t xml:space="preserve"> </w:t>
      </w:r>
      <w:r>
        <w:t>2+</w:t>
      </w:r>
      <w:r>
        <w:t xml:space="preserve"> </w:t>
      </w:r>
      <w:r>
        <w:t>conductivity and excellent mechanical robustness, protecting Zn anode from side reaction and dendrite growth. As a result, the designed electrolyte enables symmetric Zn||Zn pouch cells to achieve 1500 h cycling with a remarkable cumulative capacity of 30 Ah cm</w:t>
      </w:r>
      <w:r>
        <w:t xml:space="preserve"> </w:t>
      </w:r>
      <w:r>
        <w:t>−2</w:t>
      </w:r>
      <w:r>
        <w:t xml:space="preserve"> </w:t>
      </w:r>
      <w:r>
        <w:t>under demanding conditions (20 and 10 mAh cm</w:t>
      </w:r>
      <w:r>
        <w:t xml:space="preserve"> </w:t>
      </w:r>
      <w:r>
        <w:t>−2</w:t>
      </w:r>
      <w:r>
        <w:t xml:space="preserve"> </w:t>
      </w:r>
      <w:r>
        <w:t>). More importantly, Ah‐level pouch cells set extremely excellent durability milestones, maintaining 1400 cycles (4.2 months/3000 h operation) while outperforming most reported Zn metal counterparts in comparable capacity ranges.</w:t>
      </w:r>
    </w:p>
    <w:p>
      <w:pPr>
        <w:spacing w:before="120" w:after="120"/>
      </w:pPr>
      <w:r>
        <w:rPr>
          <w:sz w:val="18"/>
        </w:rPr>
        <w:t>——————————————————————————————————————————————————————————————————————</w:t>
      </w:r>
    </w:p>
    <w:p>
      <w:pPr>
        <w:spacing w:before="160" w:after="80" w:line="240" w:lineRule="auto"/>
      </w:pPr>
      <w:r>
        <w:rPr>
          <w:b/>
        </w:rPr>
        <w:t xml:space="preserve">[154] </w:t>
      </w:r>
      <w:hyperlink r:id="rId221">
        <w:r>
          <w:rPr>
            <w:color w:val="1155CC"/>
            <w:u w:val="single"/>
          </w:rPr>
          <w:t>Real‐Time Super‐Resolution Tracking of mtDNA Remodeling and Inflammatory Release with a Selective Fluorescent Probe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07:04:10+00:00</w:t>
      </w:r>
      <w:r>
        <w:t xml:space="preserve">    </w:t>
      </w:r>
      <w:r>
        <w:rPr>
          <w:b/>
        </w:rPr>
        <w:t xml:space="preserve">DOI: </w:t>
      </w:r>
      <w:hyperlink r:id="rId222">
        <w:r>
          <w:rPr>
            <w:color w:val="1155CC"/>
            <w:u w:val="single"/>
          </w:rPr>
          <w:t>10.1002/anie.202520934</w:t>
        </w:r>
      </w:hyperlink>
    </w:p>
    <w:p>
      <w:pPr>
        <w:spacing w:before="0" w:after="120"/>
      </w:pPr>
      <w:r>
        <w:rPr>
          <w:b/>
        </w:rPr>
        <w:t xml:space="preserve">Notes: </w:t>
      </w:r>
      <w:r>
        <w:t>abstract_source=crossref</w:t>
      </w:r>
    </w:p>
    <w:p>
      <w:pPr>
        <w:spacing w:before="0" w:after="200" w:lineRule="auto" w:line="276"/>
      </w:pPr>
      <w:r>
        <w:rPr>
          <w:b/>
        </w:rPr>
        <w:t xml:space="preserve">Abstract: </w:t>
      </w:r>
      <w:r>
        <w:t>Mitochondrial DNA (mtDNA) is vital for mitochondrial function and cellular homeostasis, with its spatiotemporal dynamics are tightly linked to development, metabolism, and disease progression. However, super‐resolution tracking of mtDNA in live cells remains limited by lack of selective, photostable small‐molecule probes. Here, we present mtNARed, a rationally engineered, wash‐free fluorescent probe featuring a large Stokes‐shift, and high photostability that enables super‐resolution tracking of mtDNA dynamics in live cells using stimulated emission depletion (STED) microscopy, with complementary readouts by fluorescence‐lifetime imaging microscopy (FLIM). mtNARed precisely localizes to mitochondrial nucleoids and supports long‐term imaging while minimizing interference from nuclear DNA. This capability generalizes across diverse mammalian cell types, including highly polarized sperm cells. Importantly, under mitochondrial stress or inflammatory stimulation, mtNARed reports in situ and at super‐resolution of the progressive release of mtDNA, correlating with mitochondrial depolarization, membrane disintegration, and immune activation. This work provides a robust and versatile platform for advanced mtDNA imaging, opening opportunities to dissect mitochondrial genome dynamics, maintenance, and signaling across physiological and pathological states.</w:t>
      </w:r>
    </w:p>
    <w:p>
      <w:pPr>
        <w:spacing w:before="120" w:after="120"/>
      </w:pPr>
      <w:r>
        <w:rPr>
          <w:sz w:val="18"/>
        </w:rPr>
        <w:t>——————————————————————————————————————————————————————————————————————</w:t>
      </w:r>
    </w:p>
    <w:p>
      <w:pPr>
        <w:spacing w:before="160" w:after="80" w:line="240" w:lineRule="auto"/>
      </w:pPr>
      <w:r>
        <w:rPr>
          <w:b/>
        </w:rPr>
        <w:t xml:space="preserve">[155] </w:t>
      </w:r>
      <w:hyperlink r:id="rId223">
        <w:r>
          <w:rPr>
            <w:color w:val="1155CC"/>
            <w:u w:val="single"/>
          </w:rPr>
          <w:t>Heterojunction Mediated Interfacial Selenium Vacancy Facilitating Spontaneous N═O Bonds Breakage Toward Efficient Ammonia Electrosynthesis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07:04:46+00:00</w:t>
      </w:r>
      <w:r>
        <w:t xml:space="preserve">    </w:t>
      </w:r>
      <w:r>
        <w:rPr>
          <w:b/>
        </w:rPr>
        <w:t xml:space="preserve">DOI: </w:t>
      </w:r>
      <w:hyperlink r:id="rId224">
        <w:r>
          <w:rPr>
            <w:color w:val="1155CC"/>
            <w:u w:val="single"/>
          </w:rPr>
          <w:t>10.1002/anie.202523247</w:t>
        </w:r>
      </w:hyperlink>
    </w:p>
    <w:p>
      <w:pPr>
        <w:spacing w:before="0" w:after="120"/>
      </w:pPr>
      <w:r>
        <w:rPr>
          <w:b/>
        </w:rPr>
        <w:t xml:space="preserve">Notes: </w:t>
      </w:r>
      <w:r>
        <w:t>abstract_source=crossref</w:t>
      </w:r>
    </w:p>
    <w:p>
      <w:pPr>
        <w:spacing w:before="0" w:after="200" w:lineRule="auto" w:line="276"/>
      </w:pPr>
      <w:r>
        <w:rPr>
          <w:b/>
        </w:rPr>
        <w:t xml:space="preserve">Abstract: </w:t>
      </w:r>
      <w:r>
        <w:t>The electrocatalytic nitrates reduction reaction driven by green electricity provides a feasible pathway for simultaneously achieving the elimination of nitrates pollutants and production of valuable ammonia. However, the electrocatalytic efficiency is limited by the low ammonia yield rate and Faradaic efficiency. Vacancy engineering is an efficient strategy for improving the performance of catalysts. Here, we develop an efficient strategy of heterojunction (Ni</w:t>
      </w:r>
      <w:r>
        <w:rPr>
          <w:vertAlign w:val="subscript"/>
        </w:rPr>
        <w:t>3</w:t>
      </w:r>
      <w:r>
        <w:t>Se</w:t>
      </w:r>
      <w:r>
        <w:rPr>
          <w:vertAlign w:val="subscript"/>
        </w:rPr>
        <w:t>4</w:t>
      </w:r>
      <w:r>
        <w:t>/CoSe</w:t>
      </w:r>
      <w:r>
        <w:rPr>
          <w:vertAlign w:val="subscript"/>
        </w:rPr>
        <w:t>2</w:t>
      </w:r>
      <w:r>
        <w:t>) mediated interfacial selenium vacancy toward efficient ammonia electrosynthesis. In situ characterizations combined with theoretical calculations reveal that the interfacial selenium vacancy on CoSe</w:t>
      </w:r>
      <w:r>
        <w:rPr>
          <w:vertAlign w:val="subscript"/>
        </w:rPr>
        <w:t>2</w:t>
      </w:r>
      <w:r>
        <w:t>segment strengthens the adsorption of nitrates, spontaneously breaks the N═O bonds of nitrates, thereby accelerating the overall NO</w:t>
      </w:r>
      <w:r>
        <w:rPr>
          <w:vertAlign w:val="subscript"/>
        </w:rPr>
        <w:t>3</w:t>
      </w:r>
      <w:r>
        <w:t>RR. The Ni</w:t>
      </w:r>
      <w:r>
        <w:rPr>
          <w:vertAlign w:val="subscript"/>
        </w:rPr>
        <w:t>3</w:t>
      </w:r>
      <w:r>
        <w:t>Se</w:t>
      </w:r>
      <w:r>
        <w:rPr>
          <w:vertAlign w:val="subscript"/>
        </w:rPr>
        <w:t>4</w:t>
      </w:r>
      <w:r>
        <w:t>/CoSe</w:t>
      </w:r>
      <w:r>
        <w:rPr>
          <w:vertAlign w:val="subscript"/>
        </w:rPr>
        <w:t>2</w:t>
      </w:r>
      <w:r>
        <w:t>heterojunction nanosheets array achieves an ammonia yield of 1.44 mmol cm</w:t>
      </w:r>
      <w:r>
        <w:t xml:space="preserve"> </w:t>
      </w:r>
      <w:r>
        <w:t>−2</w:t>
      </w:r>
      <w:r>
        <w:t xml:space="preserve"> </w:t>
      </w:r>
      <w:r>
        <w:t>h</w:t>
      </w:r>
      <w:r>
        <w:t xml:space="preserve"> </w:t>
      </w:r>
      <w:r>
        <w:t>−1</w:t>
      </w:r>
      <w:r>
        <w:t xml:space="preserve"> </w:t>
      </w:r>
      <w:r>
        <w:t>and Faradaic efficiency of 94.8% at a current density of 350 mA cm</w:t>
      </w:r>
      <w:r>
        <w:t xml:space="preserve"> </w:t>
      </w:r>
      <w:r>
        <w:t>−2</w:t>
      </w:r>
      <w:r>
        <w:t xml:space="preserve"> </w:t>
      </w:r>
      <w:r>
        <w:t>. Furthermore, the Ni</w:t>
      </w:r>
      <w:r>
        <w:rPr>
          <w:vertAlign w:val="subscript"/>
        </w:rPr>
        <w:t>3</w:t>
      </w:r>
      <w:r>
        <w:t>Se</w:t>
      </w:r>
      <w:r>
        <w:rPr>
          <w:vertAlign w:val="subscript"/>
        </w:rPr>
        <w:t>4</w:t>
      </w:r>
      <w:r>
        <w:t>/CoSe</w:t>
      </w:r>
      <w:r>
        <w:rPr>
          <w:vertAlign w:val="subscript"/>
        </w:rPr>
        <w:t>2</w:t>
      </w:r>
      <w:r>
        <w:t>heterojunction electrode was assembled into a zinc–nitrate battery as the cathode, delivering an open‐circuit voltage of 1.46 V, a maximum power density of 12.71 mW cm</w:t>
      </w:r>
      <w:r>
        <w:t xml:space="preserve"> </w:t>
      </w:r>
      <w:r>
        <w:t>−2</w:t>
      </w:r>
      <w:r>
        <w:t xml:space="preserve"> </w:t>
      </w:r>
      <w:r>
        <w:t>, and a charge–discharge stability of over 168 h.</w:t>
      </w:r>
    </w:p>
    <w:p>
      <w:pPr>
        <w:spacing w:before="120" w:after="120"/>
      </w:pPr>
      <w:r>
        <w:rPr>
          <w:sz w:val="18"/>
        </w:rPr>
        <w:t>——————————————————————————————————————————————————————————————————————</w:t>
      </w:r>
    </w:p>
    <w:p>
      <w:pPr>
        <w:spacing w:before="160" w:after="80" w:line="240" w:lineRule="auto"/>
      </w:pPr>
      <w:r>
        <w:rPr>
          <w:b/>
        </w:rPr>
        <w:t xml:space="preserve">[156] </w:t>
      </w:r>
      <w:hyperlink r:id="rId225">
        <w:r>
          <w:rPr>
            <w:color w:val="1155CC"/>
            <w:u w:val="single"/>
          </w:rPr>
          <w:t>A Precisely Bromo‐Functionalized [9]Cycloparaphenylene as a Platform for Late‐Stage Multisite π‐Extension Toward Chiral Nanohoops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07:06:09+00:00</w:t>
      </w:r>
      <w:r>
        <w:t xml:space="preserve">    </w:t>
      </w:r>
      <w:r>
        <w:rPr>
          <w:b/>
        </w:rPr>
        <w:t xml:space="preserve">DOI: </w:t>
      </w:r>
      <w:hyperlink r:id="rId226">
        <w:r>
          <w:rPr>
            <w:color w:val="1155CC"/>
            <w:u w:val="single"/>
          </w:rPr>
          <w:t>10.1002/anie.202525108</w:t>
        </w:r>
      </w:hyperlink>
    </w:p>
    <w:p>
      <w:pPr>
        <w:spacing w:before="0" w:after="120"/>
      </w:pPr>
      <w:r>
        <w:rPr>
          <w:b/>
        </w:rPr>
        <w:t xml:space="preserve">Notes: </w:t>
      </w:r>
      <w:r>
        <w:t>abstract_source=crossref</w:t>
      </w:r>
    </w:p>
    <w:p>
      <w:pPr>
        <w:spacing w:before="0" w:after="200" w:lineRule="auto" w:line="276"/>
      </w:pPr>
      <w:r>
        <w:rPr>
          <w:b/>
        </w:rPr>
        <w:t xml:space="preserve">Abstract: </w:t>
      </w:r>
      <w:r>
        <w:t>Selective functionalization of [</w:t>
      </w:r>
      <w:r>
        <w:t xml:space="preserve"> </w:t>
      </w:r>
      <w:r>
        <w:t>n</w:t>
      </w:r>
      <w:r>
        <w:t xml:space="preserve"> </w:t>
      </w:r>
      <w:r>
        <w:t>]cycloparaphenylenes ([</w:t>
      </w:r>
      <w:r>
        <w:t xml:space="preserve"> </w:t>
      </w:r>
      <w:r>
        <w:t>n</w:t>
      </w:r>
      <w:r>
        <w:t xml:space="preserve"> </w:t>
      </w:r>
      <w:r>
        <w:t>]CPPs) has remained a significant synthetic challenge due to their inherent ring strain. In this study, we present the synthesis of a [9]CPP derivative in which bromo groups are orderly introduced at the 2,5‐positions of three benzene rings in the [9]CPP framework, each separated by two phenylene units. The use of our developed Au‐mediated CPP synthetic method enabled efficient and scalable access to the target compound in five steps with an overall yield of 37%. The resulting molecule exhibited phosphorescence at low temperature, arising from the heavy‐atom effect of the bromo substituents. Furthermore, post‐functionalization through Pd‐catalyzed coupling reactions demonstrated multisite π‐extension and afforded a chiral nanohoop exhibiting exceptional chiroptical performance (|</w:t>
      </w:r>
      <w:r>
        <w:t xml:space="preserve"> </w:t>
      </w:r>
      <w:r>
        <w:t>g</w:t>
      </w:r>
      <w:r>
        <w:t xml:space="preserve"> </w:t>
      </w:r>
      <w:r>
        <w:t>lum</w:t>
      </w:r>
      <w:r>
        <w:t xml:space="preserve"> </w:t>
      </w:r>
      <w:r>
        <w:t>| = 0.100).</w:t>
      </w:r>
    </w:p>
    <w:p>
      <w:pPr>
        <w:spacing w:before="120" w:after="120"/>
      </w:pPr>
      <w:r>
        <w:rPr>
          <w:sz w:val="18"/>
        </w:rPr>
        <w:t>——————————————————————————————————————————————————————————————————————</w:t>
      </w:r>
    </w:p>
    <w:p>
      <w:pPr>
        <w:spacing w:before="160" w:after="80" w:line="240" w:lineRule="auto"/>
      </w:pPr>
      <w:r>
        <w:rPr>
          <w:b/>
        </w:rPr>
        <w:t xml:space="preserve">[157] </w:t>
      </w:r>
      <w:hyperlink r:id="rId227">
        <w:r>
          <w:rPr>
            <w:color w:val="1155CC"/>
            <w:u w:val="single"/>
          </w:rPr>
          <w:t>Autocatalytic Electrochemiluminescence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07:06:40+00:00</w:t>
      </w:r>
      <w:r>
        <w:t xml:space="preserve">    </w:t>
      </w:r>
      <w:r>
        <w:rPr>
          <w:b/>
        </w:rPr>
        <w:t xml:space="preserve">DOI: </w:t>
      </w:r>
      <w:hyperlink r:id="rId228">
        <w:r>
          <w:rPr>
            <w:color w:val="1155CC"/>
            <w:u w:val="single"/>
          </w:rPr>
          <w:t>10.1002/anie.202524093</w:t>
        </w:r>
      </w:hyperlink>
    </w:p>
    <w:p>
      <w:pPr>
        <w:spacing w:before="0" w:after="120"/>
      </w:pPr>
      <w:r>
        <w:rPr>
          <w:b/>
        </w:rPr>
        <w:t xml:space="preserve">Notes: </w:t>
      </w:r>
      <w:r>
        <w:t>abstract_source=crossref</w:t>
      </w:r>
    </w:p>
    <w:p>
      <w:pPr>
        <w:spacing w:before="0" w:after="200" w:lineRule="auto" w:line="276"/>
      </w:pPr>
      <w:r>
        <w:rPr>
          <w:b/>
        </w:rPr>
        <w:t xml:space="preserve">Abstract: </w:t>
      </w:r>
      <w:r>
        <w:t>Electrochemiluminescence (ECL) is a powerful analytical technique that generates light through electrochemically induced reactions, enabling ultrasensitive biosensing and imaging of submicrometric objects. Conventional ECL systems, such as those using Ru(bpy)</w:t>
      </w:r>
      <w:r>
        <w:rPr>
          <w:vertAlign w:val="subscript"/>
        </w:rPr>
        <w:t>3</w:t>
      </w:r>
      <w:r>
        <w:rPr>
          <w:vertAlign w:val="subscript"/>
        </w:rPr>
        <w:t>2</w:t>
      </w:r>
      <w:r>
        <w:t>⁺ and tri‐</w:t>
      </w:r>
      <w:r>
        <w:t xml:space="preserve"> </w:t>
      </w:r>
      <w:r>
        <w:t>n</w:t>
      </w:r>
      <w:r>
        <w:t xml:space="preserve"> </w:t>
      </w:r>
      <w:r>
        <w:t>‐propylamine (TPrA), require high applied potentials (oxidation at ∼1.4 V versus Ag/AgCl), leading to electrode surface modification and parasitic reactions. Herein, we present a novel autocatalytic ECL mechanism that drastically lowers the triggering potential to −0.2 V by exploiting the synergistic interplay between oxalate (C</w:t>
      </w:r>
      <w:r>
        <w:rPr>
          <w:vertAlign w:val="subscript"/>
        </w:rPr>
        <w:t>2</w:t>
      </w:r>
      <w:r>
        <w:t>O</w:t>
      </w:r>
      <w:r>
        <w:rPr>
          <w:vertAlign w:val="subscript"/>
        </w:rPr>
        <w:t>4</w:t>
      </w:r>
      <w:r>
        <w:t>2−</w:t>
      </w:r>
      <w:r>
        <w:t>) and peroxydisulfate (S</w:t>
      </w:r>
      <w:r>
        <w:rPr>
          <w:vertAlign w:val="subscript"/>
        </w:rPr>
        <w:t>2</w:t>
      </w:r>
      <w:r>
        <w:t>O</w:t>
      </w:r>
      <w:r>
        <w:rPr>
          <w:vertAlign w:val="subscript"/>
        </w:rPr>
        <w:t>8</w:t>
      </w:r>
      <w:r>
        <w:t>2−</w:t>
      </w:r>
      <w:r>
        <w:t>) radicals, mediated by Ru(NH</w:t>
      </w:r>
      <w:r>
        <w:rPr>
          <w:vertAlign w:val="subscript"/>
        </w:rPr>
        <w:t>3</w:t>
      </w:r>
      <w:r>
        <w:t>)</w:t>
      </w:r>
      <w:r>
        <w:rPr>
          <w:vertAlign w:val="subscript"/>
        </w:rPr>
        <w:t>6</w:t>
      </w:r>
      <w:r>
        <w:t>3+</w:t>
      </w:r>
      <w:r>
        <w:t xml:space="preserve"> </w:t>
      </w:r>
      <w:r>
        <w:t>reduction. This system generates ECL without direct oxidation of the luminophore, but instead through a mild reduction process, relying on homogeneous radical reactions (SO</w:t>
      </w:r>
      <w:r>
        <w:rPr>
          <w:vertAlign w:val="subscript"/>
        </w:rPr>
        <w:t>4</w:t>
      </w:r>
      <w:r>
        <w:t>•</w:t>
      </w:r>
      <w:r>
        <w:t xml:space="preserve"> </w:t>
      </w:r>
      <w:r>
        <w:t>−</w:t>
      </w:r>
      <w:r>
        <w:t>and CO</w:t>
      </w:r>
      <w:r>
        <w:rPr>
          <w:vertAlign w:val="subscript"/>
        </w:rPr>
        <w:t>2</w:t>
      </w:r>
      <w:r>
        <w:t>•</w:t>
      </w:r>
      <w:r>
        <w:t xml:space="preserve"> </w:t>
      </w:r>
      <w:r>
        <w:t>−</w:t>
      </w:r>
      <w:r>
        <w:t>) to populate the Ru(bpy)</w:t>
      </w:r>
      <w:r>
        <w:rPr>
          <w:vertAlign w:val="subscript"/>
        </w:rPr>
        <w:t>3</w:t>
      </w:r>
      <w:r>
        <w:rPr>
          <w:vertAlign w:val="subscript"/>
        </w:rPr>
        <w:t>2</w:t>
      </w:r>
      <w:r>
        <w:t>⁺* excited state. Experimental investigation at different Ru(NH</w:t>
      </w:r>
      <w:r>
        <w:rPr>
          <w:vertAlign w:val="subscript"/>
        </w:rPr>
        <w:t>3</w:t>
      </w:r>
      <w:r>
        <w:t>)</w:t>
      </w:r>
      <w:r>
        <w:rPr>
          <w:vertAlign w:val="subscript"/>
        </w:rPr>
        <w:t>6</w:t>
      </w:r>
      <w:r>
        <w:t>3+</w:t>
      </w:r>
      <w:r>
        <w:t xml:space="preserve"> </w:t>
      </w:r>
      <w:r>
        <w:t>/S</w:t>
      </w:r>
      <w:r>
        <w:rPr>
          <w:vertAlign w:val="subscript"/>
        </w:rPr>
        <w:t>2</w:t>
      </w:r>
      <w:r>
        <w:t>O</w:t>
      </w:r>
      <w:r>
        <w:rPr>
          <w:vertAlign w:val="subscript"/>
        </w:rPr>
        <w:t>8</w:t>
      </w:r>
      <w:r>
        <w:rPr>
          <w:vertAlign w:val="subscript"/>
        </w:rPr>
        <w:t>2</w:t>
      </w:r>
      <w:r>
        <w:t>−</w:t>
      </w:r>
      <w:r>
        <w:t>/C</w:t>
      </w:r>
      <w:r>
        <w:rPr>
          <w:vertAlign w:val="subscript"/>
        </w:rPr>
        <w:t>2</w:t>
      </w:r>
      <w:r>
        <w:t>O</w:t>
      </w:r>
      <w:r>
        <w:rPr>
          <w:vertAlign w:val="subscript"/>
        </w:rPr>
        <w:t>4</w:t>
      </w:r>
      <w:r>
        <w:rPr>
          <w:vertAlign w:val="subscript"/>
        </w:rPr>
        <w:t>2</w:t>
      </w:r>
      <w:r>
        <w:t>−</w:t>
      </w:r>
      <w:r>
        <w:t>concentration ratios, backed by finite element simulations, demonstrates the autocatalytic cycle's capability of exciting luminophores with a bandgap as high as 2.77 eV (blue‐emitting Ir(III) complex), while also showing a more stable ECL emission and achieving an emitting layer as thick as ∼4.8 ± 0.2 µm. These findings establish a low‐potential ECL pathway with a large emitting layer, extending the applicability of such nontoxic coreactants—historically limited by their short‐lived radicals—and potentially paving the way for new frontiers in ECL.</w:t>
      </w:r>
    </w:p>
    <w:p>
      <w:pPr>
        <w:spacing w:before="120" w:after="120"/>
      </w:pPr>
      <w:r>
        <w:rPr>
          <w:sz w:val="18"/>
        </w:rPr>
        <w:t>——————————————————————————————————————————————————————————————————————</w:t>
      </w:r>
    </w:p>
    <w:p>
      <w:pPr>
        <w:spacing w:before="160" w:after="80" w:line="240" w:lineRule="auto"/>
      </w:pPr>
      <w:r>
        <w:rPr>
          <w:b/>
        </w:rPr>
        <w:t xml:space="preserve">[158] </w:t>
      </w:r>
      <w:hyperlink r:id="rId229">
        <w:r>
          <w:rPr>
            <w:color w:val="1155CC"/>
            <w:u w:val="single"/>
          </w:rPr>
          <w:t>A High‐Entropy Hydrogel Electrolyte Generated by Intrinsically Disordered Polymer Segments for Efficient Zinc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07:07:43+00:00</w:t>
      </w:r>
      <w:r>
        <w:t xml:space="preserve">    </w:t>
      </w:r>
      <w:r>
        <w:rPr>
          <w:b/>
        </w:rPr>
        <w:t xml:space="preserve">DOI: </w:t>
      </w:r>
      <w:hyperlink r:id="rId230">
        <w:r>
          <w:rPr>
            <w:color w:val="1155CC"/>
            <w:u w:val="single"/>
          </w:rPr>
          <w:t>10.1002/anie.202523881</w:t>
        </w:r>
      </w:hyperlink>
    </w:p>
    <w:p>
      <w:pPr>
        <w:spacing w:before="0" w:after="120"/>
      </w:pPr>
      <w:r>
        <w:rPr>
          <w:b/>
        </w:rPr>
        <w:t xml:space="preserve">Notes: </w:t>
      </w:r>
      <w:r>
        <w:t>abstract_source=crossref</w:t>
      </w:r>
    </w:p>
    <w:p>
      <w:pPr>
        <w:spacing w:before="0" w:after="200" w:lineRule="auto" w:line="276"/>
      </w:pPr>
      <w:r>
        <w:rPr>
          <w:b/>
        </w:rPr>
        <w:t xml:space="preserve">Abstract: </w:t>
      </w:r>
      <w:r>
        <w:t>Hydrogel electrolytes hold promise in enabling aqueous zinc metal batteries (ZMBs) as a sustainable energy storage technology, but they still suffer from the trade‐off between high ion conduction and electrochemical stability. High‐entropy engineering strategies are powerful in unlocking new regimes in energy storage, yet this paradigm has rarely been reported in hydrogel electrolytes. Herein, we report a proof‐of‐concept high‐entropy hydrogel electrolyte (HEHE) that integrates three ionic monomers to maximize compositional diversity and entropic stabilization. Multimodal experimental characterizations and theoretical simulations reveal that the HEHE can promote the formation of entropically stabilized ion transport pathways, and minimize water reactivity and contact ion pairing, thereby enabling selective cation conduction, uniform ionic flux, low‐energy interfacial desolvation, and crystallographic zinc deposition. The resulting HEHE circumvents the aforementioned dilemma, achieving essential electrochemical properties far exceeding those of the low‐entropy counterpart, while enabling full ZMBs to work stably at a practically high areal capacity of 3.2 mAh cm</w:t>
      </w:r>
      <w:r>
        <w:t xml:space="preserve"> </w:t>
      </w:r>
      <w:r>
        <w:t>−2</w:t>
      </w:r>
      <w:r>
        <w:t xml:space="preserve"> </w:t>
      </w:r>
      <w:r>
        <w:t>. Such a HEHE uniquely orchestrates four entropy contributions within the gel matrix, and the applicability of this strategy is corroborated in parallel hydrogel electrolytes. This work establishes entropy‐driven design as a generalizable approach for soft ion conductors, expanding the scope of high‐entropy materials into aqueous batteries and beyond.</w:t>
      </w:r>
    </w:p>
    <w:p>
      <w:pPr>
        <w:spacing w:before="120" w:after="120"/>
      </w:pPr>
      <w:r>
        <w:rPr>
          <w:sz w:val="18"/>
        </w:rPr>
        <w:t>——————————————————————————————————————————————————————————————————————</w:t>
      </w:r>
    </w:p>
    <w:p>
      <w:pPr>
        <w:spacing w:before="160" w:after="80" w:line="240" w:lineRule="auto"/>
      </w:pPr>
      <w:r>
        <w:rPr>
          <w:b/>
        </w:rPr>
        <w:t xml:space="preserve">[159] </w:t>
      </w:r>
      <w:hyperlink r:id="rId231">
        <w:r>
          <w:rPr>
            <w:color w:val="1155CC"/>
            <w:u w:val="single"/>
          </w:rPr>
          <w:t>Primitive Ligands Drive 1D CsPbI3 Nanostructures with Strongly Polarized Photoluminescence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07:09:31+00:00</w:t>
      </w:r>
      <w:r>
        <w:t xml:space="preserve">    </w:t>
      </w:r>
      <w:r>
        <w:rPr>
          <w:b/>
        </w:rPr>
        <w:t xml:space="preserve">DOI: </w:t>
      </w:r>
      <w:hyperlink r:id="rId232">
        <w:r>
          <w:rPr>
            <w:color w:val="1155CC"/>
            <w:u w:val="single"/>
          </w:rPr>
          <w:t>10.1002/anie.202525782</w:t>
        </w:r>
      </w:hyperlink>
    </w:p>
    <w:p>
      <w:pPr>
        <w:spacing w:before="0" w:after="120"/>
      </w:pPr>
      <w:r>
        <w:rPr>
          <w:b/>
        </w:rPr>
        <w:t xml:space="preserve">Notes: </w:t>
      </w:r>
      <w:r>
        <w:t>abstract_source=crossref</w:t>
      </w:r>
    </w:p>
    <w:p>
      <w:pPr>
        <w:spacing w:before="0" w:after="200" w:lineRule="auto" w:line="276"/>
      </w:pPr>
      <w:r>
        <w:rPr>
          <w:b/>
        </w:rPr>
        <w:t xml:space="preserve">Abstract: </w:t>
      </w:r>
      <w:r>
        <w:t>Despite growing research efforts on inorganic lead halide perovskite nanocrystals, the mechanistic understanding of nucleation and growth kinetics remains insufficient for achieving precise morphology and crystal structure control. Herein, by simply modulating the concentrations of primitive ligands (</w:t>
      </w:r>
      <w:r>
        <w:t xml:space="preserve"> </w:t>
      </w:r>
      <w:r>
        <w:t>e.g</w:t>
      </w:r>
      <w:r>
        <w:t xml:space="preserve"> </w:t>
      </w:r>
      <w:r>
        <w:t>., I</w:t>
      </w:r>
      <w:r>
        <w:t xml:space="preserve"> </w:t>
      </w:r>
      <w:r>
        <w:t>−</w:t>
      </w:r>
      <w:r>
        <w:t>and oleylamine) into conventional synthetic strategies, CsPbI</w:t>
      </w:r>
      <w:r>
        <w:rPr>
          <w:vertAlign w:val="subscript"/>
        </w:rPr>
        <w:t>3</w:t>
      </w:r>
      <w:r>
        <w:t>perovskites, ranging from zero‐dimensional quantum dots to unique one‐dimensional nanowires/nanorods and ginkgo leaf‐like architectures, can be realized. Mechanistic studies suggests that capping agents compete for adsorption on specific crystal facets, a finding further confirmed by density functional theory (DFT) calculations. Simultaneously, the crystal structures of the products undergo a phase transition from cubic to orthorhombic symmetry driven by lattice distortion that disrupts the crystal symmetry. In addition, temperature‐dependent photoluminescence studies revealed that the electron‐phonon coupling strengths of longitudinal optical (LO) phonons (γ</w:t>
      </w:r>
      <w:r>
        <w:t xml:space="preserve"> </w:t>
      </w:r>
      <w:r>
        <w:t>LO</w:t>
      </w:r>
      <w:r>
        <w:t xml:space="preserve"> </w:t>
      </w:r>
      <w:r>
        <w:t>= 73.14 meV and  = 28.74 meV) of CsPbI</w:t>
      </w:r>
      <w:r>
        <w:rPr>
          <w:vertAlign w:val="subscript"/>
        </w:rPr>
        <w:t>3</w:t>
      </w:r>
      <w:r>
        <w:t>nanorods were much lower (γ</w:t>
      </w:r>
      <w:r>
        <w:t xml:space="preserve"> </w:t>
      </w:r>
      <w:r>
        <w:t>LO</w:t>
      </w:r>
      <w:r>
        <w:t xml:space="preserve"> </w:t>
      </w:r>
      <w:r>
        <w:t>= 103.25 meV and</w:t>
      </w:r>
      <w:r>
        <w:t xml:space="preserve"> </w:t>
      </w:r>
      <w:r>
        <w:t>E</w:t>
      </w:r>
      <w:r>
        <w:t xml:space="preserve"> </w:t>
      </w:r>
      <w:r>
        <w:t>LO</w:t>
      </w:r>
      <w:r>
        <w:t xml:space="preserve"> </w:t>
      </w:r>
      <w:r>
        <w:t>= 33.62 meV) than those of ginkgo leaf‐like CsPbI</w:t>
      </w:r>
      <w:r>
        <w:rPr>
          <w:vertAlign w:val="subscript"/>
        </w:rPr>
        <w:t>3</w:t>
      </w:r>
      <w:r>
        <w:t>superstructures, limiting multi‐phonon‐assisted non‐radiative pathways. As a result, CsPbI</w:t>
      </w:r>
      <w:r>
        <w:rPr>
          <w:vertAlign w:val="subscript"/>
        </w:rPr>
        <w:t>3</w:t>
      </w:r>
      <w:r>
        <w:t>nanorods display a strong polarization dependence with a polarization degree of up to ∼0.49. These results not only demonstrates novel perovskite nanocrystals but also provide a versatile platform for tailoring perovskite NCs with combined morphological diversity and tunable optical properties.</w:t>
      </w:r>
    </w:p>
    <w:p>
      <w:pPr>
        <w:spacing w:before="120" w:after="120"/>
      </w:pPr>
      <w:r>
        <w:rPr>
          <w:sz w:val="18"/>
        </w:rPr>
        <w:t>——————————————————————————————————————————————————————————————————————</w:t>
      </w:r>
    </w:p>
    <w:p>
      <w:pPr>
        <w:spacing w:before="160" w:after="80" w:line="240" w:lineRule="auto"/>
      </w:pPr>
      <w:r>
        <w:rPr>
          <w:b/>
        </w:rPr>
        <w:t xml:space="preserve">[160] </w:t>
      </w:r>
      <w:hyperlink r:id="rId233">
        <w:r>
          <w:rPr>
            <w:color w:val="1155CC"/>
            <w:u w:val="single"/>
          </w:rPr>
          <w:t>Seamlessly Overcoming Biological Barriers with a Small Photosensitizer to Treat Metastatic Tumors with Photodynamic Therapy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07:11:17+00:00</w:t>
      </w:r>
      <w:r>
        <w:t xml:space="preserve">    </w:t>
      </w:r>
      <w:r>
        <w:rPr>
          <w:b/>
        </w:rPr>
        <w:t xml:space="preserve">DOI: </w:t>
      </w:r>
      <w:hyperlink r:id="rId234">
        <w:r>
          <w:rPr>
            <w:color w:val="1155CC"/>
            <w:u w:val="single"/>
          </w:rPr>
          <w:t>10.1002/anie.202509121</w:t>
        </w:r>
      </w:hyperlink>
    </w:p>
    <w:p>
      <w:pPr>
        <w:spacing w:before="0" w:after="120"/>
      </w:pPr>
      <w:r>
        <w:rPr>
          <w:b/>
        </w:rPr>
        <w:t xml:space="preserve">Notes: </w:t>
      </w:r>
      <w:r>
        <w:t>abstract_source=crossref</w:t>
      </w:r>
    </w:p>
    <w:p>
      <w:pPr>
        <w:spacing w:before="0" w:after="200" w:lineRule="auto" w:line="276"/>
      </w:pPr>
      <w:r>
        <w:rPr>
          <w:b/>
        </w:rPr>
        <w:t xml:space="preserve">Abstract: </w:t>
      </w:r>
      <w:r>
        <w:t>A breakthrough in the treatment of solid tumors requires primary tumor ablation and remission of metastasis. Photodynamic therapy (PDT) may meet these requirements, but current photosensitizers poorly infiltrate dense tumors and insufficiently stimulate the immune system. We introduce LUZ51, a small bacteriochlorin that features strong near‐infrared absorption, high photostability, moderate lipophilicity, amphiphilicity, and appropriate singlet oxygen quantum yield. LUZ51 has a fast cellular uptake via passive diffusion and EC50s of 5–15 nM range for a light dose of 1 J/cm</w:t>
      </w:r>
      <w:r>
        <w:rPr>
          <w:vertAlign w:val="subscript"/>
        </w:rPr>
        <w:t>2</w:t>
      </w:r>
      <w:r>
        <w:t>. It seamlessly crosses biological barriers and accumulates in tumors. Mice with CT26 tumors cured in one treatment (0.15 mg/kg and 20 J/cm</w:t>
      </w:r>
      <w:r>
        <w:rPr>
          <w:vertAlign w:val="subscript"/>
        </w:rPr>
        <w:t>2</w:t>
      </w:r>
      <w:r>
        <w:t>) resisted tumor rechallenge. Treatment of mice with 5 mm orthotopic 4T1 tumors enabled cures, with the associated inhibition of metastasis. The blood half‐life is 82 min and no skin photosensitivity was detected. Small‐size LUZ51 enables tissue‐agnostic PDT, with strong local and systemic effects.</w:t>
      </w:r>
    </w:p>
    <w:p>
      <w:pPr>
        <w:spacing w:before="120" w:after="120"/>
      </w:pPr>
      <w:r>
        <w:rPr>
          <w:sz w:val="18"/>
        </w:rPr>
        <w:t>——————————————————————————————————————————————————————————————————————</w:t>
      </w:r>
    </w:p>
    <w:p>
      <w:pPr>
        <w:spacing w:before="160" w:after="80" w:line="240" w:lineRule="auto"/>
      </w:pPr>
      <w:r>
        <w:rPr>
          <w:b/>
        </w:rPr>
        <w:t xml:space="preserve">[161] </w:t>
      </w:r>
      <w:hyperlink r:id="rId235">
        <w:r>
          <w:rPr>
            <w:color w:val="1155CC"/>
            <w:u w:val="single"/>
          </w:rPr>
          <w:t>Rational Design of Asymmetric Lithium Salts with Multi‐Functional Capabilities for Stable Lithium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07:12:16+00:00</w:t>
      </w:r>
      <w:r>
        <w:t xml:space="preserve">    </w:t>
      </w:r>
      <w:r>
        <w:rPr>
          <w:b/>
        </w:rPr>
        <w:t xml:space="preserve">DOI: </w:t>
      </w:r>
      <w:hyperlink r:id="rId236">
        <w:r>
          <w:rPr>
            <w:color w:val="1155CC"/>
            <w:u w:val="single"/>
          </w:rPr>
          <w:t>10.1002/anie.202523528</w:t>
        </w:r>
      </w:hyperlink>
    </w:p>
    <w:p>
      <w:pPr>
        <w:spacing w:before="0" w:after="120"/>
      </w:pPr>
      <w:r>
        <w:rPr>
          <w:b/>
        </w:rPr>
        <w:t xml:space="preserve">Notes: </w:t>
      </w:r>
      <w:r>
        <w:t>abstract_source=crossref</w:t>
      </w:r>
    </w:p>
    <w:p>
      <w:pPr>
        <w:spacing w:before="0" w:after="200" w:lineRule="auto" w:line="276"/>
      </w:pPr>
      <w:r>
        <w:rPr>
          <w:b/>
        </w:rPr>
        <w:t xml:space="preserve">Abstract: </w:t>
      </w:r>
      <w:r>
        <w:t>Lithium metal batteries (LMBs) face severe interfacial instability in carbonate‐based electrolytes, where solvent‐centric solvation structures drive the formation of fragile, organic‐rich solid–electrolyte interphases (SEIs). However, existing strategies mainly rely on solvent engineering, whereas lithium salt design remains underexplored. Herein, we design an asymmetric lithium salt, lithium (N, N‐dimethylsulfamoyl) (trifluoromethanesulfonyl)imide (LiDMTFSI), featuring an electron‐donating dimethylamino group that enhances the anion's nucleophilicity and Lewis basicity. By introducing a push‐pull effect on the anionic charge, LiDMTFSI shifts the solvation structure from solvent‐rich to anion‐rich, thereby facilitating the co‐dissolution of beneficial lithium salt. The resulting solvent‐deficient solvation sheath governs the interphasial chemistry to favor the formation of a compact inorganic‐rich SEI (e.g., LiF, Li</w:t>
      </w:r>
      <w:r>
        <w:rPr>
          <w:vertAlign w:val="subscript"/>
        </w:rPr>
        <w:t>2</w:t>
      </w:r>
      <w:r>
        <w:t>O, Li</w:t>
      </w:r>
      <w:r>
        <w:rPr>
          <w:vertAlign w:val="subscript"/>
        </w:rPr>
        <w:t>3</w:t>
      </w:r>
      <w:r>
        <w:t>N, Li</w:t>
      </w:r>
      <w:r>
        <w:rPr>
          <w:vertAlign w:val="subscript"/>
        </w:rPr>
        <w:t>2</w:t>
      </w:r>
      <w:r>
        <w:t>S, and other beneficial components) with excellent mechanical integrity and interfacial ion transport, enabling uniform Li deposition and mitigating parasitic side‐reactions. A high Li plating/stripping Coulombic efficiency of 99.1% was achieved in dilute carbonate‐based electrolytes, and full cells with ultrathin Li anodes and high‐loading NMC811 cathodes demonstrated consistent operation for over 120 cycles with 83% capacity retention at a high voltage of 4.3 V. These findings underscore the potential of anion molecular design as a powerful strategy for interphasial engineering in high‐energy LMBs.</w:t>
      </w:r>
    </w:p>
    <w:p>
      <w:pPr>
        <w:spacing w:before="120" w:after="120"/>
      </w:pPr>
      <w:r>
        <w:rPr>
          <w:sz w:val="18"/>
        </w:rPr>
        <w:t>——————————————————————————————————————————————————————————————————————</w:t>
      </w:r>
    </w:p>
    <w:p>
      <w:pPr>
        <w:spacing w:before="160" w:after="80" w:line="240" w:lineRule="auto"/>
      </w:pPr>
      <w:r>
        <w:rPr>
          <w:b/>
        </w:rPr>
        <w:t xml:space="preserve">[162] </w:t>
      </w:r>
      <w:hyperlink r:id="rId237">
        <w:r>
          <w:rPr>
            <w:color w:val="1155CC"/>
            <w:u w:val="single"/>
          </w:rPr>
          <w:t>Unveiling the Mechanism of Photocatalytic CO2 Cycloaddition over Linker‐Engineered Metal‐Organic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07:15:33+00:00</w:t>
      </w:r>
      <w:r>
        <w:t xml:space="preserve">    </w:t>
      </w:r>
      <w:r>
        <w:rPr>
          <w:b/>
        </w:rPr>
        <w:t xml:space="preserve">DOI: </w:t>
      </w:r>
      <w:hyperlink r:id="rId238">
        <w:r>
          <w:rPr>
            <w:color w:val="1155CC"/>
            <w:u w:val="single"/>
          </w:rPr>
          <w:t>10.1002/anie.202525369</w:t>
        </w:r>
      </w:hyperlink>
    </w:p>
    <w:p>
      <w:pPr>
        <w:spacing w:before="0" w:after="120"/>
      </w:pPr>
      <w:r>
        <w:rPr>
          <w:b/>
        </w:rPr>
        <w:t xml:space="preserve">Notes: </w:t>
      </w:r>
      <w:r>
        <w:t>abstract_source=crossref</w:t>
      </w:r>
    </w:p>
    <w:p>
      <w:pPr>
        <w:spacing w:before="0" w:after="200" w:lineRule="auto" w:line="276"/>
      </w:pPr>
      <w:r>
        <w:rPr>
          <w:b/>
        </w:rPr>
        <w:t xml:space="preserve">Abstract: </w:t>
      </w:r>
      <w:r>
        <w:t>Photocatalytic CO</w:t>
      </w:r>
      <w:r>
        <w:rPr>
          <w:vertAlign w:val="subscript"/>
        </w:rPr>
        <w:t>2</w:t>
      </w:r>
      <w:r>
        <w:t>cycloaddition represents a promising route for solar‐driven synthesis of value‐added C</w:t>
      </w:r>
      <w:r>
        <w:t xml:space="preserve"> </w:t>
      </w:r>
      <w:r>
        <w:t>2+</w:t>
      </w:r>
      <w:r>
        <w:t xml:space="preserve"> </w:t>
      </w:r>
      <w:r>
        <w:t>chemicals and simultaneously mitigating anthropogenic CO</w:t>
      </w:r>
      <w:r>
        <w:rPr>
          <w:vertAlign w:val="subscript"/>
        </w:rPr>
        <w:t>2</w:t>
      </w:r>
      <w:r>
        <w:t>emissions. However, the pivotal step of direct one‐electron reduction of CO</w:t>
      </w:r>
      <w:r>
        <w:rPr>
          <w:vertAlign w:val="subscript"/>
        </w:rPr>
        <w:t>2</w:t>
      </w:r>
      <w:r>
        <w:t>to CO</w:t>
      </w:r>
      <w:r>
        <w:rPr>
          <w:vertAlign w:val="subscript"/>
        </w:rPr>
        <w:t>2</w:t>
      </w:r>
      <w:r>
        <w:t>•−</w:t>
      </w:r>
      <w:r>
        <w:t>requires a very high reduction potential of −1.9 V versus NHE, posing a formidable challenge. In this study, cerium‐based metal‐organic frameworks (MOFs) with linker‐induced defects, specifically Ce‐UiO‐66‐X (X = Me, H, and F), are investigated to elucidate the underlying mechanisms of photocatalytic CO</w:t>
      </w:r>
      <w:r>
        <w:rPr>
          <w:vertAlign w:val="subscript"/>
        </w:rPr>
        <w:t>2</w:t>
      </w:r>
      <w:r>
        <w:t>cycloaddition. Among them, Ce‐UiO‐66‐H, which strikes an optimal balance between light absorption and charge separation, demonstrates superior catalytic performance (yield &amp;gt; 90%) when coupled with tetrabutylammonium bromide (TBAB) as a co‐catalyst. In‐situ experiments and theoretical calculations reveal that TBAB stabilizes CO</w:t>
      </w:r>
      <w:r>
        <w:rPr>
          <w:vertAlign w:val="subscript"/>
        </w:rPr>
        <w:t>2</w:t>
      </w:r>
      <w:r>
        <w:t>through the formation of [Br</w:t>
      </w:r>
      <w:r>
        <w:t xml:space="preserve"> </w:t>
      </w:r>
      <w:r>
        <w:t>−</w:t>
      </w:r>
      <w:r>
        <w:t>···TBA</w:t>
      </w:r>
      <w:r>
        <w:t xml:space="preserve"> </w:t>
      </w:r>
      <w:r>
        <w:t>+</w:t>
      </w:r>
      <w:r>
        <w:t xml:space="preserve"> </w:t>
      </w:r>
      <w:r>
        <w:t>]∼CO</w:t>
      </w:r>
      <w:r>
        <w:rPr>
          <w:vertAlign w:val="subscript"/>
        </w:rPr>
        <w:t>2</w:t>
      </w:r>
      <w:r>
        <w:t>adducts, which lowers the thermodynamic energy requirement for CO</w:t>
      </w:r>
      <w:r>
        <w:rPr>
          <w:vertAlign w:val="subscript"/>
        </w:rPr>
        <w:t>2</w:t>
      </w:r>
      <w:r>
        <w:t>•−</w:t>
      </w:r>
      <w:r>
        <w:t>generation from 0.66 eV (in the direct CO</w:t>
      </w:r>
      <w:r>
        <w:rPr>
          <w:vertAlign w:val="subscript"/>
        </w:rPr>
        <w:t>2</w:t>
      </w:r>
      <w:r>
        <w:t>‐to‐CO</w:t>
      </w:r>
      <w:r>
        <w:rPr>
          <w:vertAlign w:val="subscript"/>
        </w:rPr>
        <w:t>2</w:t>
      </w:r>
      <w:r>
        <w:t>•−</w:t>
      </w:r>
      <w:r>
        <w:t>route) to −0.90 eV. This potential modulation promotes efficient photoelectron transfer from the MOFs to CO</w:t>
      </w:r>
      <w:r>
        <w:rPr>
          <w:vertAlign w:val="subscript"/>
        </w:rPr>
        <w:t>2</w:t>
      </w:r>
      <w:r>
        <w:t>, substantially enhancing the overall cycloaddition efficiency.</w:t>
      </w:r>
    </w:p>
    <w:p>
      <w:pPr>
        <w:spacing w:before="120" w:after="120"/>
      </w:pPr>
      <w:r>
        <w:rPr>
          <w:sz w:val="18"/>
        </w:rPr>
        <w:t>——————————————————————————————————————————————————————————————————————</w:t>
      </w:r>
    </w:p>
    <w:p>
      <w:pPr>
        <w:spacing w:before="160" w:after="80" w:line="240" w:lineRule="auto"/>
      </w:pPr>
      <w:r>
        <w:rPr>
          <w:b/>
        </w:rPr>
        <w:t xml:space="preserve">[163] </w:t>
      </w:r>
      <w:hyperlink r:id="rId239">
        <w:r>
          <w:rPr>
            <w:color w:val="1155CC"/>
            <w:u w:val="single"/>
          </w:rPr>
          <w:t>Self‐Discharge Behaviors in Aqueous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07:16:20+00:00</w:t>
      </w:r>
      <w:r>
        <w:t xml:space="preserve">    </w:t>
      </w:r>
      <w:r>
        <w:rPr>
          <w:b/>
        </w:rPr>
        <w:t xml:space="preserve">DOI: </w:t>
      </w:r>
      <w:hyperlink r:id="rId240">
        <w:r>
          <w:rPr>
            <w:color w:val="1155CC"/>
            <w:u w:val="single"/>
          </w:rPr>
          <w:t>10.1002/anie.202520601</w:t>
        </w:r>
      </w:hyperlink>
    </w:p>
    <w:p>
      <w:pPr>
        <w:spacing w:before="0" w:after="120"/>
      </w:pPr>
      <w:r>
        <w:rPr>
          <w:b/>
        </w:rPr>
        <w:t xml:space="preserve">Notes: </w:t>
      </w:r>
      <w:r>
        <w:t>abstract_source=crossref</w:t>
      </w:r>
    </w:p>
    <w:p>
      <w:pPr>
        <w:spacing w:before="0" w:after="200" w:lineRule="auto" w:line="276"/>
      </w:pPr>
      <w:r>
        <w:rPr>
          <w:b/>
        </w:rPr>
        <w:t xml:space="preserve">Abstract: </w:t>
      </w:r>
      <w:r>
        <w:t>Aqueous batteries (ABs) are considered emerging candidates for grid‐scale energy storage due to their inherent safety, cost‐effectiveness, and environmental compatibility. In recent years, major advances have been made in ABs toward improving their energy density and cycling stability, and progressing their prospects for real application. However, self‐discharge, a critical parameter for practical applications, remains largely underexplored. Many studies either overlook this aspect entirely or employ inconsistent testing protocols, making cross‐system comparisons difficult and diminishing the reliability of reported data. To date, no comprehensive review that systematically addresses self‐discharge in ABs is available. In this review, we aim to fill this gap by providing an in‐depth analysis of self‐discharge phenomena in state‐of‐the‐art ABs. We first summarize the underlying mechanisms responsible for self‐discharge and then critically evaluate current measurement approaches, offering recommendations for practical and standardized testing protocols. Furthermore, we highlight mitigation strategies from both electrolyte and electrode perspectives, providing a materials‐oriented overview of self‐discharge suppression. This review not only offers a theoretical framework for understanding self‐discharge behaviors in ABs, but also proposes clear guidelines for future experimental assessment, thereby enhancing their practical relevance and accelerating their development toward commercialization.</w:t>
      </w:r>
    </w:p>
    <w:p>
      <w:pPr>
        <w:spacing w:before="120" w:after="120"/>
      </w:pPr>
      <w:r>
        <w:rPr>
          <w:sz w:val="18"/>
        </w:rPr>
        <w:t>——————————————————————————————————————————————————————————————————————</w:t>
      </w:r>
    </w:p>
    <w:p>
      <w:pPr>
        <w:spacing w:before="160" w:after="80" w:line="240" w:lineRule="auto"/>
      </w:pPr>
      <w:r>
        <w:rPr>
          <w:b/>
        </w:rPr>
        <w:t xml:space="preserve">[164] </w:t>
      </w:r>
      <w:hyperlink r:id="rId241">
        <w:r>
          <w:rPr>
            <w:color w:val="1155CC"/>
            <w:u w:val="single"/>
          </w:rPr>
          <w:t>In Situ Polymerized Polysiloxane Enables Cohesive Solid‐Electrolyte Interphase for Practical Lithium‐Metal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2025-12-31 07:17:32+00:00</w:t>
      </w:r>
      <w:r>
        <w:t xml:space="preserve">    </w:t>
      </w:r>
      <w:r>
        <w:rPr>
          <w:b/>
        </w:rPr>
        <w:t xml:space="preserve">DOI: </w:t>
      </w:r>
      <w:hyperlink r:id="rId242">
        <w:r>
          <w:rPr>
            <w:color w:val="1155CC"/>
            <w:u w:val="single"/>
          </w:rPr>
          <w:t>10.1002/adma.202519565</w:t>
        </w:r>
      </w:hyperlink>
    </w:p>
    <w:p>
      <w:pPr>
        <w:spacing w:before="0" w:after="120"/>
      </w:pPr>
      <w:r>
        <w:rPr>
          <w:b/>
        </w:rPr>
        <w:t xml:space="preserve">Notes: </w:t>
      </w:r>
      <w:r>
        <w:t>abstract_source=crossref</w:t>
      </w:r>
    </w:p>
    <w:p>
      <w:pPr>
        <w:spacing w:before="0" w:after="200" w:lineRule="auto" w:line="276"/>
      </w:pPr>
      <w:r>
        <w:rPr>
          <w:b/>
        </w:rPr>
        <w:t xml:space="preserve">Abstract: </w:t>
      </w:r>
      <w:r>
        <w:t>The mechanical instability of nanostructured solid‐electrolyte interphase (SEI) on lithium (Li)‐metal anodes severely limits the cycle life of Li‐metal batteries because SEI undergoes endless cracking and regeneration due to anode volume fluctuations. Here, a cohesive SEI nanostructure is proposed to enhance SEI mechanical stability. The inorganic nanoparticles with weak interparticle cohesion in SEI are glued using polysiloxane, in situ formed from hexamethylcyclotrisiloxane (CTS) as an electrolyte additive. This approach strengthens interparticle cohesion of inorganic components, and the elastic modulus of SEI increases by 109%, significantly improving its tolerance to anode volume fluctuations. As a result, Li‐metal coin cells with glued SEI exhibit an extended cycle life of 320 cycles, compared with 183 cycles with routine SEI, under practical conditions. Furthermore, a prototype 505 Wh kg</w:t>
      </w:r>
      <w:r>
        <w:t xml:space="preserve"> </w:t>
      </w:r>
      <w:r>
        <w:t>−1</w:t>
      </w:r>
      <w:r>
        <w:t xml:space="preserve"> </w:t>
      </w:r>
      <w:r>
        <w:t>Li‐metal pouch cell with glued SEI achieves 175 cycles. Specifically, the pouch cell with glued SEI exhibits superior high‐rate discharge capabilities, as demonstrated by its capacity to power a micro‐unmanned aerial vehicle, advancing Li‐metal batteries towards practical applications. This work presents a generalizable strategy to in situ reinforcement of SEI for high‐energy‐density Li‐metal batteries.</w:t>
      </w:r>
    </w:p>
    <w:p>
      <w:pPr>
        <w:spacing w:before="120" w:after="120"/>
      </w:pPr>
      <w:r>
        <w:rPr>
          <w:sz w:val="18"/>
        </w:rPr>
        <w:t>——————————————————————————————————————————————————————————————————————</w:t>
      </w:r>
    </w:p>
    <w:p>
      <w:pPr>
        <w:spacing w:before="160" w:after="80" w:line="240" w:lineRule="auto"/>
      </w:pPr>
      <w:r>
        <w:rPr>
          <w:b/>
        </w:rPr>
        <w:t xml:space="preserve">[165] </w:t>
      </w:r>
      <w:hyperlink r:id="rId243">
        <w:r>
          <w:rPr>
            <w:color w:val="1155CC"/>
            <w:u w:val="single"/>
          </w:rPr>
          <w:t>Efficient Ethanol Dehydrogenation to Acetaldehyde and H2 via Synergistic Thermocatalysis and Electrocatalysis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07:27:05+00:00</w:t>
      </w:r>
      <w:r>
        <w:t xml:space="preserve">    </w:t>
      </w:r>
      <w:r>
        <w:rPr>
          <w:b/>
        </w:rPr>
        <w:t xml:space="preserve">DOI: </w:t>
      </w:r>
      <w:hyperlink r:id="rId244">
        <w:r>
          <w:rPr>
            <w:color w:val="1155CC"/>
            <w:u w:val="single"/>
          </w:rPr>
          <w:t>10.1002/anie.202525825</w:t>
        </w:r>
      </w:hyperlink>
    </w:p>
    <w:p>
      <w:pPr>
        <w:spacing w:before="0" w:after="120"/>
      </w:pPr>
      <w:r>
        <w:rPr>
          <w:b/>
        </w:rPr>
        <w:t xml:space="preserve">Notes: </w:t>
      </w:r>
      <w:r>
        <w:t>abstract_source=crossref</w:t>
      </w:r>
    </w:p>
    <w:p>
      <w:pPr>
        <w:spacing w:before="0" w:after="200" w:lineRule="auto" w:line="276"/>
      </w:pPr>
      <w:r>
        <w:rPr>
          <w:b/>
        </w:rPr>
        <w:t xml:space="preserve">Abstract: </w:t>
      </w:r>
      <w:r>
        <w:t>The dehydrogenation of ethanol to acetaldehyde and H</w:t>
      </w:r>
      <w:r>
        <w:rPr>
          <w:vertAlign w:val="subscript"/>
        </w:rPr>
        <w:t>2</w:t>
      </w:r>
      <w:r>
        <w:t>represents an attractive synthetic route, owing to the versatile applications of acetaldehyde and the high atom economy. In this work, efficient ethanol dehydrogenation was achieved at the anode of a high‐temperature polymer electrolyte membrane electrolyzer by integrating thermocatalytic ethanol dehydrogenation (EDHR) with electrochemical hydrogen oxidation (HOR) over Ru/C and PdAu/C composite catalytic layer. The Ru/C serves as a bifunctional catalyst for the EDHR and HOR, and the PdAu/C could rapidly electrooxidize retained acetaldehyde of the catalyst layer into acetic acid, thereby effectively promoting the dehydrogenation of ethanol. Under the conditions of 200 °C and 0.6 V, this reaction enabled high production rates of acetaldehyde (1479 mmol g</w:t>
      </w:r>
      <w:r>
        <w:t xml:space="preserve"> </w:t>
      </w:r>
      <w:r>
        <w:t>−1</w:t>
      </w:r>
      <w:r>
        <w:t xml:space="preserve"> </w:t>
      </w:r>
      <w:r>
        <w:t>h</w:t>
      </w:r>
      <w:r>
        <w:t xml:space="preserve"> </w:t>
      </w:r>
      <w:r>
        <w:t>−1</w:t>
      </w:r>
      <w:r>
        <w:t xml:space="preserve"> </w:t>
      </w:r>
      <w:r>
        <w:t>with 99.06% selectivity) at the anode and H</w:t>
      </w:r>
      <w:r>
        <w:rPr>
          <w:vertAlign w:val="subscript"/>
        </w:rPr>
        <w:t>2</w:t>
      </w:r>
      <w:r>
        <w:t>(1728 mmol g</w:t>
      </w:r>
      <w:r>
        <w:t xml:space="preserve"> </w:t>
      </w:r>
      <w:r>
        <w:t>−1</w:t>
      </w:r>
      <w:r>
        <w:t xml:space="preserve"> </w:t>
      </w:r>
      <w:r>
        <w:t>h</w:t>
      </w:r>
      <w:r>
        <w:t xml:space="preserve"> </w:t>
      </w:r>
      <w:r>
        <w:t>−1</w:t>
      </w:r>
      <w:r>
        <w:t xml:space="preserve"> </w:t>
      </w:r>
      <w:r>
        <w:t>) at the cathode, substantially outperforming traditional thermal catalytic and electrocatalytic processes. This work provides a novel strategy for efficient alcohol dehydrogenation and facilitates the sustainable synthesis of value‐added products.</w:t>
      </w:r>
    </w:p>
    <w:p>
      <w:pPr>
        <w:spacing w:before="120" w:after="120"/>
      </w:pPr>
      <w:r>
        <w:rPr>
          <w:sz w:val="18"/>
        </w:rPr>
        <w:t>——————————————————————————————————————————————————————————————————————</w:t>
      </w:r>
    </w:p>
    <w:p>
      <w:pPr>
        <w:spacing w:before="160" w:after="80" w:line="240" w:lineRule="auto"/>
      </w:pPr>
      <w:r>
        <w:rPr>
          <w:b/>
        </w:rPr>
        <w:t xml:space="preserve">[166] </w:t>
      </w:r>
      <w:hyperlink r:id="rId245">
        <w:r>
          <w:rPr>
            <w:color w:val="1155CC"/>
            <w:u w:val="single"/>
          </w:rPr>
          <w:t>Personal Thermoregulation by Heat‐Conducting Engineered Materials</w:t>
        </w:r>
      </w:hyperlink>
    </w:p>
    <w:p>
      <w:pPr>
        <w:spacing w:before="0" w:after="120" w:line="240" w:lineRule="auto"/>
      </w:pPr>
      <w:r>
        <w:rPr>
          <w:b/>
        </w:rPr>
        <w:t xml:space="preserve">Source: </w:t>
      </w:r>
      <w:r>
        <w:t>Wiley: Advanced Materials: Table of Contents</w:t>
      </w:r>
      <w:r>
        <w:t xml:space="preserve">    </w:t>
      </w:r>
      <w:r>
        <w:rPr>
          <w:b/>
        </w:rPr>
        <w:t xml:space="preserve">Pub date: </w:t>
      </w:r>
      <w:r>
        <w:t>2025-12-31 07:27:34+00:00</w:t>
      </w:r>
      <w:r>
        <w:t xml:space="preserve">    </w:t>
      </w:r>
      <w:r>
        <w:rPr>
          <w:b/>
        </w:rPr>
        <w:t xml:space="preserve">DOI: </w:t>
      </w:r>
      <w:hyperlink r:id="rId246">
        <w:r>
          <w:rPr>
            <w:color w:val="1155CC"/>
            <w:u w:val="single"/>
          </w:rPr>
          <w:t>10.1002/adma.202514460</w:t>
        </w:r>
      </w:hyperlink>
    </w:p>
    <w:p>
      <w:pPr>
        <w:spacing w:before="0" w:after="120"/>
      </w:pPr>
      <w:r>
        <w:rPr>
          <w:b/>
        </w:rPr>
        <w:t xml:space="preserve">Notes: </w:t>
      </w:r>
      <w:r>
        <w:t>abstract_source=crossref</w:t>
      </w:r>
    </w:p>
    <w:p>
      <w:pPr>
        <w:spacing w:before="0" w:after="200" w:lineRule="auto" w:line="276"/>
      </w:pPr>
      <w:r>
        <w:rPr>
          <w:b/>
        </w:rPr>
        <w:t xml:space="preserve">Abstract: </w:t>
      </w:r>
      <w:r>
        <w:t>Personal thermal management (PTM) is a technique leveraging advanced textile design to control the heat exchange between the human body and the external environment, thereby regulating microenvironments surrounding individuals and ensuring optimal thermal comfort. Critical to the PTM is heat conductivity, which serves as the primary mode of thermal transfer in textiles. Various materials with engineered thermal conductivities have been developed and incorporated into textiles for modulating warming and cooling effects toward achieving the optimal thermal comfort. However, the performance of reported textiles remains far from being satisfactory to meet the needs of daily use, especially in terms of heat management, wearability, and operational stability. Here, we first introduce mechanistic models for predicting the textiles’ thermal conductivity. Then, we provide a comprehensive overview of recent advancements in the design and realization of both single‐function textiles (warming or cooling) and bifunctional textiles (switchable warming and cooling) based on mechanical force and various stimuli‐responsive materials. We also analyze the major scientific and technological challenges for materializing the potential of textiles into practical applications in the PTM. Finally, an outlook is made on the future developments of the heat‐conducting textiles and on the emerging applications of PTM technology.</w:t>
      </w:r>
    </w:p>
    <w:p>
      <w:pPr>
        <w:spacing w:before="120" w:after="120"/>
      </w:pPr>
      <w:r>
        <w:rPr>
          <w:sz w:val="18"/>
        </w:rPr>
        <w:t>——————————————————————————————————————————————————————————————————————</w:t>
      </w:r>
    </w:p>
    <w:p>
      <w:pPr>
        <w:spacing w:before="160" w:after="80" w:line="240" w:lineRule="auto"/>
      </w:pPr>
      <w:r>
        <w:rPr>
          <w:b/>
        </w:rPr>
        <w:t xml:space="preserve">[167] </w:t>
      </w:r>
      <w:hyperlink r:id="rId247">
        <w:r>
          <w:rPr>
            <w:color w:val="1155CC"/>
            <w:u w:val="single"/>
          </w:rPr>
          <w:t>Sono‐Flexocatalytic Tumor Suppression Enabled by SrTiO3 Nanoflexocatalysts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07:28:15+00:00</w:t>
      </w:r>
      <w:r>
        <w:t xml:space="preserve">    </w:t>
      </w:r>
      <w:r>
        <w:rPr>
          <w:b/>
        </w:rPr>
        <w:t xml:space="preserve">DOI: </w:t>
      </w:r>
      <w:hyperlink r:id="rId248">
        <w:r>
          <w:rPr>
            <w:color w:val="1155CC"/>
            <w:u w:val="single"/>
          </w:rPr>
          <w:t>10.1002/anie.202525868</w:t>
        </w:r>
      </w:hyperlink>
    </w:p>
    <w:p>
      <w:pPr>
        <w:spacing w:before="0" w:after="120"/>
      </w:pPr>
      <w:r>
        <w:rPr>
          <w:b/>
        </w:rPr>
        <w:t xml:space="preserve">Notes: </w:t>
      </w:r>
      <w:r>
        <w:t>abstract_source=crossref</w:t>
      </w:r>
    </w:p>
    <w:p>
      <w:pPr>
        <w:spacing w:before="0" w:after="200" w:lineRule="auto" w:line="276"/>
      </w:pPr>
      <w:r>
        <w:rPr>
          <w:b/>
        </w:rPr>
        <w:t xml:space="preserve">Abstract: </w:t>
      </w:r>
      <w:r>
        <w:t>Despite piezocatalytic tumor therapy offers a promising non‐invasive modality for disease treatment, its application is fundamentally limited by the requirement for non‐centrosymmetric piezocatalysts. To solve this critical issue, we present a novel “sono‐flexocatalytic therapy” (SFT) strategy using centrosymmetric strontium titanate (SrTiO</w:t>
      </w:r>
      <w:r>
        <w:rPr>
          <w:vertAlign w:val="subscript"/>
        </w:rPr>
        <w:t>3</w:t>
      </w:r>
      <w:r>
        <w:t>) nanocatalysts. Under ultrasound irradiation, SrTiO</w:t>
      </w:r>
      <w:r>
        <w:rPr>
          <w:vertAlign w:val="subscript"/>
        </w:rPr>
        <w:t>3</w:t>
      </w:r>
      <w:r>
        <w:t>generates significant flexoelectric polarization due to the induced strain gradients, effectively separating charges. This drives robust redox reactions on the nanocatalyst surfaces, producing abundant cytotoxic reactive oxygen species (ROS) such as hydroxyl radicals and superoxide anions within tumor cells. The resultant ROS surge induces severe oxidative stress, mitochondrial dysfunction, and ultimately apoptosis, effectively suppressing tumor growth as validated by both in vitro and in vivo studies. Furthermore, theoretical simulations elucidate the specific strain‐gradient dependent sono‐flexocatalytic mechanism. This work pioneers sono‐flexocatalytic tumor therapy by leveraging ultrasound‐triggered flexoelectricity in SrTiO</w:t>
      </w:r>
      <w:r>
        <w:rPr>
          <w:vertAlign w:val="subscript"/>
        </w:rPr>
        <w:t>3</w:t>
      </w:r>
      <w:r>
        <w:t>nanocatalysts, thereby not only introducing centrosymmetric biomaterials into sonocatalytic treatments but also establishing a new paradigm for pancatalytic medicine with broad material applicability.</w:t>
      </w:r>
    </w:p>
    <w:p>
      <w:pPr>
        <w:spacing w:before="120" w:after="120"/>
      </w:pPr>
      <w:r>
        <w:rPr>
          <w:sz w:val="18"/>
        </w:rPr>
        <w:t>——————————————————————————————————————————————————————————————————————</w:t>
      </w:r>
    </w:p>
    <w:p>
      <w:pPr>
        <w:spacing w:before="160" w:after="80" w:line="240" w:lineRule="auto"/>
      </w:pPr>
      <w:r>
        <w:rPr>
          <w:b/>
        </w:rPr>
        <w:t xml:space="preserve">[168] </w:t>
      </w:r>
      <w:hyperlink r:id="rId249">
        <w:r>
          <w:rPr>
            <w:color w:val="1155CC"/>
            <w:u w:val="single"/>
          </w:rPr>
          <w:t>Suppressing Electric‐Field‐Induced Cathodic Salt Crystallization for Stable Zinc‐Ion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2025-12-31 07:28:59+00:00</w:t>
      </w:r>
      <w:r>
        <w:t xml:space="preserve">    </w:t>
      </w:r>
      <w:r>
        <w:rPr>
          <w:b/>
        </w:rPr>
        <w:t xml:space="preserve">DOI: </w:t>
      </w:r>
      <w:hyperlink r:id="rId250">
        <w:r>
          <w:rPr>
            <w:color w:val="1155CC"/>
            <w:u w:val="single"/>
          </w:rPr>
          <w:t>10.1002/adma.202519444</w:t>
        </w:r>
      </w:hyperlink>
    </w:p>
    <w:p>
      <w:pPr>
        <w:spacing w:before="0" w:after="120"/>
      </w:pPr>
      <w:r>
        <w:rPr>
          <w:b/>
        </w:rPr>
        <w:t xml:space="preserve">Notes: </w:t>
      </w:r>
      <w:r>
        <w:t>abstract_source=crossref</w:t>
      </w:r>
    </w:p>
    <w:p>
      <w:pPr>
        <w:spacing w:before="0" w:after="200" w:lineRule="auto" w:line="276"/>
      </w:pPr>
      <w:r>
        <w:rPr>
          <w:b/>
        </w:rPr>
        <w:t xml:space="preserve">Abstract: </w:t>
      </w:r>
      <w:r>
        <w:t>Aqueous zinc‐ion batteries (AZIBs) hold promise for sustainable energy storage but suffer rapid capacity decay, particularly at subzero conditions. Beyond cathode instability and side reactions, we unveil an interfacial failure pathway: electric‐field‐induced phase separation that triggers catastrophic interfacial salt crystallization (CISC). The insulating crystalline layer rapidly engulfs the cathode, precipitating accelerated degradation. Mechanistic studies pinpoint solvent depletion and anion enrichment within the electric double layer as the origin of CISC. Molecular dynamics simulations and experimental observations demonstrate that sulfolane (TS) disrupts interfacial ion ordering, elevates the crystallization barrier, and thereby effectively suppresses CICS. This strategy stabilizes the cathode structure, enhances zinc availability, facilitates the V</w:t>
      </w:r>
      <w:r>
        <w:rPr>
          <w:vertAlign w:val="subscript"/>
        </w:rPr>
        <w:t>2</w:t>
      </w:r>
      <w:r>
        <w:t>O</w:t>
      </w:r>
      <w:r>
        <w:rPr>
          <w:vertAlign w:val="subscript"/>
        </w:rPr>
        <w:t>5</w:t>
      </w:r>
      <w:r>
        <w:t>activation phase transition, increases the Zn</w:t>
      </w:r>
      <w:r>
        <w:t xml:space="preserve"> </w:t>
      </w:r>
      <w:r>
        <w:t>2+</w:t>
      </w:r>
      <w:r>
        <w:t xml:space="preserve"> </w:t>
      </w:r>
      <w:r>
        <w:t>transference number, and promotes uniform Zn</w:t>
      </w:r>
      <w:r>
        <w:t xml:space="preserve"> </w:t>
      </w:r>
      <w:r>
        <w:t>2+</w:t>
      </w:r>
      <w:r>
        <w:t xml:space="preserve"> </w:t>
      </w:r>
      <w:r>
        <w:t>deposition. Consequently, V</w:t>
      </w:r>
      <w:r>
        <w:rPr>
          <w:vertAlign w:val="subscript"/>
        </w:rPr>
        <w:t>2</w:t>
      </w:r>
      <w:r>
        <w:t>O</w:t>
      </w:r>
      <w:r>
        <w:rPr>
          <w:vertAlign w:val="subscript"/>
        </w:rPr>
        <w:t>5</w:t>
      </w:r>
      <w:r>
        <w:t>||Zn batteries display remarkable stability, retaining 378.9 mAh g</w:t>
      </w:r>
      <w:r>
        <w:t xml:space="preserve"> </w:t>
      </w:r>
      <w:r>
        <w:t>−1</w:t>
      </w:r>
      <w:r>
        <w:t xml:space="preserve"> </w:t>
      </w:r>
      <w:r>
        <w:t>after 300 cycles at room temperature and sustaining nearly invariant capacity over 20 000 cycles at −20°C. These findings expose interfacial salt crystallization as a critical failure pathway in AZIBs and provide a molecular‐level design strategy for electrolyte engineering.</w:t>
      </w:r>
    </w:p>
    <w:p>
      <w:pPr>
        <w:spacing w:before="120" w:after="120"/>
      </w:pPr>
      <w:r>
        <w:rPr>
          <w:sz w:val="18"/>
        </w:rPr>
        <w:t>——————————————————————————————————————————————————————————————————————</w:t>
      </w:r>
    </w:p>
    <w:p>
      <w:pPr>
        <w:spacing w:before="160" w:after="80" w:line="240" w:lineRule="auto"/>
      </w:pPr>
      <w:r>
        <w:rPr>
          <w:b/>
        </w:rPr>
        <w:t xml:space="preserve">[169] </w:t>
      </w:r>
      <w:hyperlink r:id="rId251">
        <w:r>
          <w:rPr>
            <w:color w:val="1155CC"/>
            <w:u w:val="single"/>
          </w:rPr>
          <w:t>La‐Doped Mullite Bi2Fe4O9 Chemiresistive Gas Sensor for Ultra‐Highly Selective Detection of Ethylene Glycol</w:t>
        </w:r>
      </w:hyperlink>
    </w:p>
    <w:p>
      <w:pPr>
        <w:spacing w:before="0" w:after="120" w:line="240" w:lineRule="auto"/>
      </w:pPr>
      <w:r>
        <w:rPr>
          <w:b/>
        </w:rPr>
        <w:t xml:space="preserve">Source: </w:t>
      </w:r>
      <w:r>
        <w:t>Wiley: Advanced Materials: Table of Contents</w:t>
      </w:r>
      <w:r>
        <w:t xml:space="preserve">    </w:t>
      </w:r>
      <w:r>
        <w:rPr>
          <w:b/>
        </w:rPr>
        <w:t xml:space="preserve">Pub date: </w:t>
      </w:r>
      <w:r>
        <w:t>2025-12-31 07:35:17+00:00</w:t>
      </w:r>
      <w:r>
        <w:t xml:space="preserve">    </w:t>
      </w:r>
      <w:r>
        <w:rPr>
          <w:b/>
        </w:rPr>
        <w:t xml:space="preserve">DOI: </w:t>
      </w:r>
      <w:hyperlink r:id="rId252">
        <w:r>
          <w:rPr>
            <w:color w:val="1155CC"/>
            <w:u w:val="single"/>
          </w:rPr>
          <w:t>10.1002/adma.202517585</w:t>
        </w:r>
      </w:hyperlink>
    </w:p>
    <w:p>
      <w:pPr>
        <w:spacing w:before="0" w:after="120"/>
      </w:pPr>
      <w:r>
        <w:rPr>
          <w:b/>
        </w:rPr>
        <w:t xml:space="preserve">Notes: </w:t>
      </w:r>
      <w:r>
        <w:t>abstract_source=crossref</w:t>
      </w:r>
    </w:p>
    <w:p>
      <w:pPr>
        <w:spacing w:before="0" w:after="200" w:lineRule="auto" w:line="276"/>
      </w:pPr>
      <w:r>
        <w:rPr>
          <w:b/>
        </w:rPr>
        <w:t xml:space="preserve">Abstract: </w:t>
      </w:r>
      <w:r>
        <w:t>The detection of ethylene glycol (EG) vapor is critical for industrial safety and environmental monitoring, yet existing chemiresistive sensors suffer from limited selectivity and stability. Herein, a facile synthesis of lanthanum‐doped mullite bismuth ferrite mullite (La‐Bi</w:t>
      </w:r>
      <w:r>
        <w:rPr>
          <w:vertAlign w:val="subscript"/>
        </w:rPr>
        <w:t>2</w:t>
      </w:r>
      <w:r>
        <w:t>Fe</w:t>
      </w:r>
      <w:r>
        <w:rPr>
          <w:vertAlign w:val="subscript"/>
        </w:rPr>
        <w:t>4</w:t>
      </w:r>
      <w:r>
        <w:t>O</w:t>
      </w:r>
      <w:r>
        <w:rPr>
          <w:vertAlign w:val="subscript"/>
        </w:rPr>
        <w:t>9</w:t>
      </w:r>
      <w:r>
        <w:t>) is presented. Atomic‐resolution imaging and microchemical analysis, in combination with theoretical calculations, confirm uniform Bi‐site doping, increased oxygen vacancy concentration, and enhanced gas adsorption. The optimized BLFO‐5 sensor demonstrates exceptional EG‐sensing performance, with ultrahigh selectivity, outstanding reproducibility and long‐term stability, and an ultralow detection limit. By integrating in situ infrared spectroscopy and density functional theory (DFT) calculations, we elucidate the EG surface oxidization reaction mechanism, revealing significantly enhanced dehydrogenation kinetics and a complete oxidation pathway. Moreover, we develop a wearable real‐time gas monitoring platform for practical validation and incorporate deep learning algorithms to improve gas recognition accuracy. This work presents an integrated strategy for chemical gas sensing that combines material defect engineering, mechanistic understanding, and functional device development, enabling wireless EG quantification in complex environments.</w:t>
      </w:r>
    </w:p>
    <w:p>
      <w:pPr>
        <w:spacing w:before="120" w:after="120"/>
      </w:pPr>
      <w:r>
        <w:rPr>
          <w:sz w:val="18"/>
        </w:rPr>
        <w:t>——————————————————————————————————————————————————————————————————————</w:t>
      </w:r>
    </w:p>
    <w:p>
      <w:pPr>
        <w:spacing w:before="160" w:after="80" w:line="240" w:lineRule="auto"/>
      </w:pPr>
      <w:r>
        <w:rPr>
          <w:b/>
        </w:rPr>
        <w:t xml:space="preserve">[170] </w:t>
      </w:r>
      <w:hyperlink r:id="rId253">
        <w:r>
          <w:rPr>
            <w:color w:val="1155CC"/>
            <w:u w:val="single"/>
          </w:rPr>
          <w:t>Sculpting 2D Nanosheet Architectures via Predictive Low‐Field Magnetic Alignment</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2025-12-31 07:37:40+00:00</w:t>
      </w:r>
      <w:r>
        <w:t xml:space="preserve">    </w:t>
      </w:r>
      <w:r>
        <w:rPr>
          <w:b/>
        </w:rPr>
        <w:t xml:space="preserve">DOI: </w:t>
      </w:r>
      <w:hyperlink r:id="rId254">
        <w:r>
          <w:rPr>
            <w:color w:val="1155CC"/>
            <w:u w:val="single"/>
          </w:rPr>
          <w:t>10.1002/aenm.202506366</w:t>
        </w:r>
      </w:hyperlink>
    </w:p>
    <w:p>
      <w:pPr>
        <w:spacing w:before="0" w:after="120"/>
      </w:pPr>
      <w:r>
        <w:rPr>
          <w:b/>
        </w:rPr>
        <w:t xml:space="preserve">Notes: </w:t>
      </w:r>
      <w:r>
        <w:t>abstract_source=crossref</w:t>
      </w:r>
    </w:p>
    <w:p>
      <w:pPr>
        <w:spacing w:before="0" w:after="200" w:lineRule="auto" w:line="276"/>
      </w:pPr>
      <w:r>
        <w:rPr>
          <w:b/>
        </w:rPr>
        <w:t xml:space="preserve">Abstract: </w:t>
      </w:r>
      <w:r>
        <w:t>Controlling the macroscopic assembly of two‐dimensional (2D) nanosheets into functional, ordered architectures is a central challenge in materials science. Their intrinsic tendency to restack into dense, disordered films severely limits their potential in applications requiring directional transport, from catalysis to energy storage. Aligning atomically‐thin nanosheets has remained a major hurdle, a failure previously ascribed to thermal motion but which we identify as stemming from dominant, many‐body van der Waals interactions creating deep kinetic traps. Here, we overcome this barrier with a magnetic strategy enabling predictive architectural control at low field strengths (&amp;lt;50 mT). We establish a parameter‐matching model that deciphers the complex energy landscape, transforming assembly into a rational design framework. This approach allows us to sculpt architectures like vertically aligned, biaxially ordered MXene structures, creating ion superhighways with minimized tortuosity. As a demonstration, engineered MXene electrodes deliver exceptional rate capabilities in supercapacitors and sodium‐ion batteries. This work provides a universal, scalable platform for architecting 2D materials, unlocking their potential where directional transport is paramount.</w:t>
      </w:r>
    </w:p>
    <w:p>
      <w:pPr>
        <w:spacing w:before="120" w:after="120"/>
      </w:pPr>
      <w:r>
        <w:rPr>
          <w:sz w:val="18"/>
        </w:rPr>
        <w:t>——————————————————————————————————————————————————————————————————————</w:t>
      </w:r>
    </w:p>
    <w:p>
      <w:pPr>
        <w:spacing w:before="160" w:after="80" w:line="240" w:lineRule="auto"/>
      </w:pPr>
      <w:r>
        <w:rPr>
          <w:b/>
        </w:rPr>
        <w:t xml:space="preserve">[171] </w:t>
      </w:r>
      <w:hyperlink r:id="rId255">
        <w:r>
          <w:rPr>
            <w:color w:val="1155CC"/>
            <w:u w:val="single"/>
          </w:rPr>
          <w:t>Grain‐Boundary Engineered Co‐Crystal Electrolytes for Dendrite‐Free High‐Voltage Solid‐State Li‐Metal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2025-12-31 07:38:17+00:00</w:t>
      </w:r>
      <w:r>
        <w:t xml:space="preserve">    </w:t>
      </w:r>
      <w:r>
        <w:rPr>
          <w:b/>
        </w:rPr>
        <w:t xml:space="preserve">DOI: </w:t>
      </w:r>
      <w:hyperlink r:id="rId256">
        <w:r>
          <w:rPr>
            <w:color w:val="1155CC"/>
            <w:u w:val="single"/>
          </w:rPr>
          <w:t>10.1002/aenm.202505192</w:t>
        </w:r>
      </w:hyperlink>
    </w:p>
    <w:p>
      <w:pPr>
        <w:spacing w:before="0" w:after="120"/>
      </w:pPr>
      <w:r>
        <w:rPr>
          <w:b/>
        </w:rPr>
        <w:t xml:space="preserve">Notes: </w:t>
      </w:r>
      <w:r>
        <w:t>abstract_source=crossref</w:t>
      </w:r>
    </w:p>
    <w:p>
      <w:pPr>
        <w:spacing w:before="0" w:after="200" w:lineRule="auto" w:line="276"/>
      </w:pPr>
      <w:r>
        <w:rPr>
          <w:b/>
        </w:rPr>
        <w:t xml:space="preserve">Abstract: </w:t>
      </w:r>
      <w:r>
        <w:t>Solid‐state lithium‐metal batteries (SSLBs) are considered as promising next‐generation energy storage systems due to their high energy density and substantially improved safety. However, the poor interfacial contact between electrodes and solid electrolytes leads to high internal impedance, low coulombic efficiency, and rapid capacity degradation. Herein, a novel organic co‐crystal (LiDFOB‐SN) containing lithium difluoro(oxalato)borate (LiDFOB) and succinonitrile (SN) is developed to establish cohesive contact at the electrode/electrolyte interface. The designed LiDFOB</w:t>
      </w:r>
      <w:r>
        <w:t xml:space="preserve"> </w:t>
      </w:r>
      <w:r>
        <w:t>0.5</w:t>
      </w:r>
      <w:r>
        <w:t xml:space="preserve"> </w:t>
      </w:r>
      <w:r>
        <w:t>‐SN electrolyte shows a wide electrochemical window (anodic reduction potential &amp;gt;5.2 V) and high conductivity (0.56 mS·cm</w:t>
      </w:r>
      <w:r>
        <w:t xml:space="preserve"> </w:t>
      </w:r>
      <w:r>
        <w:t>−1</w:t>
      </w:r>
      <w:r>
        <w:t xml:space="preserve"> </w:t>
      </w:r>
      <w:r>
        <w:t>at 30°C). Assembled with this electrolyte, lithium cobalt oxide (LiCoO</w:t>
      </w:r>
      <w:r>
        <w:rPr>
          <w:vertAlign w:val="subscript"/>
        </w:rPr>
        <w:t>2</w:t>
      </w:r>
      <w:r>
        <w:t>, LCO) || Li batteries cycled between 3.0 and 4.5 V exhibit a high‐capacity retention of over 87% after 500 cycles. The improved high‐voltage cycling performance originates from the designed solid electrolytes, which reduce irreversible phase transformation in cathode materials and suppress Li dendrite growth. Furthermore,</w:t>
      </w:r>
      <w:r>
        <w:t xml:space="preserve"> </w:t>
      </w:r>
      <w:r>
        <w:t>operando</w:t>
      </w:r>
      <w:r>
        <w:t xml:space="preserve"> </w:t>
      </w:r>
      <w:r>
        <w:t>Raman measurements and molecular dynamics simulations are combined to explore the Li‐ion transport mechanism, suggesting that Li‐ions tend to transport along the highly conductive grain boundaries of the polycrystalline LiDFOB‐SN. This work provides a comprehensive insight into the operation mechanisms of organic co‐crystal electrolytes, which can further enable high‐performance solid‐state Li‐metal batteries and promote their practical applications.</w:t>
      </w:r>
    </w:p>
    <w:p>
      <w:pPr>
        <w:spacing w:before="120" w:after="120"/>
      </w:pPr>
      <w:r>
        <w:rPr>
          <w:sz w:val="18"/>
        </w:rPr>
        <w:t>——————————————————————————————————————————————————————————————————————</w:t>
      </w:r>
    </w:p>
    <w:p>
      <w:pPr>
        <w:spacing w:before="160" w:after="80" w:line="240" w:lineRule="auto"/>
      </w:pPr>
      <w:r>
        <w:rPr>
          <w:b/>
        </w:rPr>
        <w:t xml:space="preserve">[172] </w:t>
      </w:r>
      <w:hyperlink r:id="rId257">
        <w:r>
          <w:rPr>
            <w:color w:val="1155CC"/>
            <w:u w:val="single"/>
          </w:rPr>
          <w:t>Mass spectrometry footprinting reveals how kinetic stabilizers counteract transthyretin dynamics altered by pathogenic mutations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58">
        <w:r>
          <w:rPr>
            <w:color w:val="1155CC"/>
            <w:u w:val="single"/>
          </w:rPr>
          <w:t>10.1073/pnas.2519908122</w:t>
        </w:r>
      </w:hyperlink>
    </w:p>
    <w:p>
      <w:pPr>
        <w:spacing w:before="0" w:after="120"/>
      </w:pPr>
      <w:r>
        <w:rPr>
          <w:b/>
        </w:rPr>
        <w:t xml:space="preserve">Notes: </w:t>
      </w:r>
      <w:r>
        <w:t>abstract_source=crossref</w:t>
      </w:r>
    </w:p>
    <w:p>
      <w:pPr>
        <w:spacing w:before="0" w:after="200" w:lineRule="auto" w:line="276"/>
      </w:pPr>
      <w:r>
        <w:rPr>
          <w:b/>
        </w:rPr>
        <w:t xml:space="preserve">Abstract: </w:t>
      </w:r>
      <w:r>
        <w:t>The aggregation of transthyretin (TTR) results in life-threatening transthyretin amyloidosis. Familial forms of the disease arise from point mutations that destabilize the TTR tetramer, leading to its dissociation and/or monomer unfolding and subsequent formation of amyloid fibrils. Small molecules that kinetically stabilize the native tetramer effectively inhibit this aggregation. Although over 300 X-ray crystal structures of TTR have been determined, these data refer to a static structure and do not capture the conformational effects of mutations and ligand binding. Here, we demonstrate that hydrogen–deuterium exchange (HDX) and fast photochemical oxidation of proteins (FPOP) coupled with mass spectrometry (MS) offer critical insights into the conformational dynamics associated with TTR amyloidogenic mutations and the binding of kinetic stabilizers. The results indicate that the design of TTR binders should consider the specific conformational traits of each TTR pathogenic variant. We propose that incorporating MS-based techniques into TTR drug discovery will expedite the development of effective pathology-specific aggregation inhibitors.</w:t>
      </w:r>
    </w:p>
    <w:p>
      <w:pPr>
        <w:spacing w:before="120" w:after="120"/>
      </w:pPr>
      <w:r>
        <w:rPr>
          <w:sz w:val="18"/>
        </w:rPr>
        <w:t>——————————————————————————————————————————————————————————————————————</w:t>
      </w:r>
    </w:p>
    <w:p>
      <w:pPr>
        <w:spacing w:before="160" w:after="80" w:line="240" w:lineRule="auto"/>
      </w:pPr>
      <w:r>
        <w:rPr>
          <w:b/>
        </w:rPr>
        <w:t xml:space="preserve">[173] </w:t>
      </w:r>
      <w:hyperlink r:id="rId259">
        <w:r>
          <w:rPr>
            <w:color w:val="1155CC"/>
            <w:u w:val="single"/>
          </w:rPr>
          <w:t>Controlled dynamic remodeling of the spliceosome active site enables the first step of splicing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60">
        <w:r>
          <w:rPr>
            <w:color w:val="1155CC"/>
            <w:u w:val="single"/>
          </w:rPr>
          <w:t>10.1073/pnas.2522293123</w:t>
        </w:r>
      </w:hyperlink>
    </w:p>
    <w:p>
      <w:pPr>
        <w:spacing w:before="0" w:after="120"/>
      </w:pPr>
      <w:r>
        <w:rPr>
          <w:b/>
        </w:rPr>
        <w:t xml:space="preserve">Notes: </w:t>
      </w:r>
      <w:r>
        <w:t>abstract_source=crossref</w:t>
      </w:r>
    </w:p>
    <w:p>
      <w:pPr>
        <w:spacing w:before="0" w:after="200" w:lineRule="auto" w:line="276"/>
      </w:pPr>
      <w:r>
        <w:rPr>
          <w:b/>
        </w:rPr>
        <w:t xml:space="preserve">Abstract: </w:t>
      </w:r>
      <w:r>
        <w:t>Recent cryoelectron microscopy data have revealed significant conformational rearrangements of the megadalton spliceosome structure during splicing, an essential catalytic process for maturing most human transcripts. However, the molecular trigger of these structural rearrangements for splicing catalysis remains unclear at the atomic level. Here, by analyzing a consistent dataset of multicomponent spliceosome structures, we identified a minimal set of positively charged residues whose dynamic action remodels the spliceosome active site during the first step of splicing. Through equilibrium and enhanced sampling molecular dynamics simulations of multiple splicing intermediates (&amp;gt;2M atoms), we uncover how these residues dynamically operate in coordination with the transient, temporally ordered binding of key spliceosomal proteins (Prp11, Prp8, and Yju2) at the spliceosome core. Our findings reveal a molecular mechanism that ensures precise and timely spliceosome activation, opening promising directions to probe splicing regulation and potentially target its dysfunction in diseases, with broad implications for drug discovery and medicine.</w:t>
      </w:r>
    </w:p>
    <w:p>
      <w:pPr>
        <w:spacing w:before="120" w:after="120"/>
      </w:pPr>
      <w:r>
        <w:rPr>
          <w:sz w:val="18"/>
        </w:rPr>
        <w:t>——————————————————————————————————————————————————————————————————————</w:t>
      </w:r>
    </w:p>
    <w:p>
      <w:pPr>
        <w:spacing w:before="160" w:after="80" w:line="240" w:lineRule="auto"/>
      </w:pPr>
      <w:r>
        <w:rPr>
          <w:b/>
        </w:rPr>
        <w:t xml:space="preserve">[174] </w:t>
      </w:r>
      <w:hyperlink r:id="rId261">
        <w:r>
          <w:rPr>
            <w:color w:val="1155CC"/>
            <w:u w:val="single"/>
          </w:rPr>
          <w:t>Competition between a transmembrane helix on Scap and a membrane cholesterol regulates Scap–Insig interaction and SREBP activation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62">
        <w:r>
          <w:rPr>
            <w:color w:val="1155CC"/>
            <w:u w:val="single"/>
          </w:rPr>
          <w:t>10.1073/pnas.2525043123</w:t>
        </w:r>
      </w:hyperlink>
    </w:p>
    <w:p>
      <w:pPr>
        <w:spacing w:before="0" w:after="120"/>
      </w:pPr>
      <w:r>
        <w:rPr>
          <w:b/>
        </w:rPr>
        <w:t xml:space="preserve">Notes: </w:t>
      </w:r>
      <w:r>
        <w:t>abstract_source=crossref</w:t>
      </w:r>
    </w:p>
    <w:p>
      <w:pPr>
        <w:spacing w:before="0" w:after="200" w:lineRule="auto" w:line="276"/>
      </w:pPr>
      <w:r>
        <w:rPr>
          <w:b/>
        </w:rPr>
        <w:t xml:space="preserve">Abstract: </w:t>
      </w:r>
      <w:r>
        <w:t>Cholesterol homeostasis in mammalian cells relies on the interaction between two endoplasmic reticulum (ER) sterol-sensing membrane proteins, Scap and Insig. Their interaction regulates activation of transcription factors called sterol regulatory element–binding proteins (SREBPs) that control genes for cholesterol biosynthesis and uptake. Previous studies suggested a model where cholesterol sensing by Scap involves communication across the ER membrane between two functional domains, a cholesterol-binding domain on the luminal side and a COPII-binding domain on the cytosolic side. When ER cholesterol is low, Scap binds COPII adapter proteins to facilitate ER-to-Golgi transport and proteolytic activation of SREBPs. When ER cholesterol is above a threshold concentration, this transport is blocked, a process that requires Insigs. However, the precise molecular mechanisms by which cholesterol and Insigs control the conformations of Scap remain unknown. Here, we elucidate the 3.2 Å cryo-EM structure of a Scap/Insig complex in the presence of saturating amounts of cholesterol. Structure-guided mutagenesis of the Scap/Insig interface indicates that Scap’s transmembrane helix 7 (TM7) plays a critical role in transducing conformational changes between the luminal and cytosolic sides of the ER membrane to control Scap/SREBP transport from ER to Golgi. An intramembrane cholesterol bound at the Scap/Insig interface competes with the intramolecular interaction of Scap’s TM7 at this interface to modulate cholesterol sensing. These results further advance our understanding of how Scap senses cholesterol and provides additional targets for controlling cholesterol and lipid synthesis in the context of metabolic diseases and even some cancers.</w:t>
      </w:r>
    </w:p>
    <w:p>
      <w:pPr>
        <w:spacing w:before="120" w:after="120"/>
      </w:pPr>
      <w:r>
        <w:rPr>
          <w:sz w:val="18"/>
        </w:rPr>
        <w:t>——————————————————————————————————————————————————————————————————————</w:t>
      </w:r>
    </w:p>
    <w:p>
      <w:pPr>
        <w:spacing w:before="160" w:after="80" w:line="240" w:lineRule="auto"/>
      </w:pPr>
      <w:r>
        <w:rPr>
          <w:b/>
        </w:rPr>
        <w:t xml:space="preserve">[175] </w:t>
      </w:r>
      <w:hyperlink r:id="rId263">
        <w:r>
          <w:rPr>
            <w:color w:val="1155CC"/>
            <w:u w:val="single"/>
          </w:rPr>
          <w:t>MET goes to the membrane—A new place for the “old” juvenile hormone receptor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64">
        <w:r>
          <w:rPr>
            <w:color w:val="1155CC"/>
            <w:u w:val="single"/>
          </w:rPr>
          <w:t>10.1073/pnas.2530588122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[176] </w:t>
      </w:r>
      <w:hyperlink r:id="rId265">
        <w:r>
          <w:rPr>
            <w:color w:val="1155CC"/>
            <w:u w:val="single"/>
          </w:rPr>
          <w:t>Locating a control of plant and ecosystem water fluxes deep in the leaf</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66">
        <w:r>
          <w:rPr>
            <w:color w:val="1155CC"/>
            <w:u w:val="single"/>
          </w:rPr>
          <w:t>10.1073/pnas.2530591122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[177] </w:t>
      </w:r>
      <w:hyperlink r:id="rId267">
        <w:r>
          <w:rPr>
            <w:color w:val="1155CC"/>
            <w:u w:val="single"/>
          </w:rPr>
          <w:t>How attention-like behavior emerges in an artificial neural network</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68">
        <w:r>
          <w:rPr>
            <w:color w:val="1155CC"/>
            <w:u w:val="single"/>
          </w:rPr>
          <w:t>10.1073/pnas.2530824122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[178] </w:t>
      </w:r>
      <w:hyperlink r:id="rId269">
        <w:r>
          <w:rPr>
            <w:color w:val="1155CC"/>
            <w:u w:val="single"/>
          </w:rPr>
          <w:t>Life without sex: Lack of desire or traumatic retire?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70">
        <w:r>
          <w:rPr>
            <w:color w:val="1155CC"/>
            <w:u w:val="single"/>
          </w:rPr>
          <w:t>10.1073/pnas.2532417123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[179] </w:t>
      </w:r>
      <w:hyperlink r:id="rId271">
        <w:r>
          <w:rPr>
            <w:color w:val="1155CC"/>
            <w:u w:val="single"/>
          </w:rPr>
          <w:t>Correction for Xiao et al., The modern pattern of insect herbivory predates the advent of angiosperms by 60 My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72">
        <w:r>
          <w:rPr>
            <w:color w:val="1155CC"/>
            <w:u w:val="single"/>
          </w:rPr>
          <w:t>10.1073/pnas.2535719123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[180] </w:t>
      </w:r>
      <w:hyperlink r:id="rId273">
        <w:r>
          <w:rPr>
            <w:color w:val="1155CC"/>
            <w:u w:val="single"/>
          </w:rPr>
          <w:t>Peptide-based covalent inhibitor of tubulin detyrosination promotes mesenchymal-to-epithelial transition in lung cancer cells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74">
        <w:r>
          <w:rPr>
            <w:color w:val="1155CC"/>
            <w:u w:val="single"/>
          </w:rPr>
          <w:t>10.1073/pnas.2514990123</w:t>
        </w:r>
      </w:hyperlink>
    </w:p>
    <w:p>
      <w:pPr>
        <w:spacing w:before="0" w:after="120"/>
      </w:pPr>
      <w:r>
        <w:rPr>
          <w:b/>
        </w:rPr>
        <w:t xml:space="preserve">Notes: </w:t>
      </w:r>
      <w:r>
        <w:t>abstract_source=crossref</w:t>
      </w:r>
    </w:p>
    <w:p>
      <w:pPr>
        <w:spacing w:before="0" w:after="200" w:lineRule="auto" w:line="276"/>
      </w:pPr>
      <w:r>
        <w:rPr>
          <w:b/>
        </w:rPr>
        <w:t xml:space="preserve">Abstract: </w:t>
      </w:r>
      <w:r>
        <w:t>Detyrosination is a reversible posttranslational modification specific to α-tubulin, which has been implicated in cancer progression and invasiveness by promoting epithelial-to-mesenchymal transition. The members of the vasohibin family, VASH1 and VASH2, were previously identified as the first class of enzymes involved in catalyzing this modification. Here, we report the development of a covalent VASH inhibitor, which is characterized by high specificity and low toxicity. By combining the use of a new compound with molecular approaches in lung cancer cell lines, we find that tubulin detyrosination plays an important role in the maintenance of mesenchymal properties. We show that in the absence of VASH activity, collective cell migration and 3D spheroid formation are severely compromised. Moreover, we demonstrate that the observed phenotypes are caused by the accumulation of the important epithelial marker E-cadherin with simultaneous reduction in mesenchymal markers N-cadherin and vimentin. Taken together, our study establishes tubulin detyrosination as a promising target for the future development of anticancer treatment.</w:t>
      </w:r>
    </w:p>
    <w:p>
      <w:pPr>
        <w:spacing w:before="120" w:after="120"/>
      </w:pPr>
      <w:r>
        <w:rPr>
          <w:sz w:val="18"/>
        </w:rPr>
        <w:t>——————————————————————————————————————————————————————————————————————</w:t>
      </w:r>
    </w:p>
    <w:p>
      <w:pPr>
        <w:spacing w:before="160" w:after="80" w:line="240" w:lineRule="auto"/>
      </w:pPr>
      <w:r>
        <w:rPr>
          <w:b/>
        </w:rPr>
        <w:t xml:space="preserve">[181] </w:t>
      </w:r>
      <w:hyperlink r:id="rId275">
        <w:r>
          <w:rPr>
            <w:color w:val="1155CC"/>
            <w:u w:val="single"/>
          </w:rPr>
          <w:t>Combinatorial treatment of glioblastoma with temozolomide (TMZ) plus 5-ethynyl-2′-deoxyuridine (EdU)</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76">
        <w:r>
          <w:rPr>
            <w:color w:val="1155CC"/>
            <w:u w:val="single"/>
          </w:rPr>
          <w:t>10.1073/pnas.2532187123</w:t>
        </w:r>
      </w:hyperlink>
    </w:p>
    <w:p>
      <w:pPr>
        <w:spacing w:before="0" w:after="120"/>
      </w:pPr>
      <w:r>
        <w:rPr>
          <w:b/>
        </w:rPr>
        <w:t xml:space="preserve">Notes: </w:t>
      </w:r>
      <w:r>
        <w:t>abstract_source=crossref</w:t>
      </w:r>
    </w:p>
    <w:p>
      <w:pPr>
        <w:spacing w:before="0" w:after="200" w:lineRule="auto" w:line="276"/>
      </w:pPr>
      <w:r>
        <w:rPr>
          <w:b/>
        </w:rPr>
        <w:t xml:space="preserve">Abstract: </w:t>
      </w:r>
      <w:r>
        <w:t>Glioblastoma (GBM) is the most aggressive malignant primary brain tumor in adults, with incidence peaking in later life. It is commonly treated with surgery followed by administration of ionizing radiation and the DNA-alkylating agent temozolomide (TMZ). Even though this regimen confers some progression-free survival, there is essentially no cure with the median survival with the standard of care being about 12 mo. Currently, several alternative approaches are being developed to improve upon this outcome. We have already shown EdU alone effectively treats GBM, and we now study the efficacy of TMZ+EdU combination therapy. TMZ+EdU significantly improves antitumor efficacy compared to either single-agent therapy against GBM cell lines in vitro, against three different orthotopic GBM xenograft models, and against passage-zero GBM patient tumor tissues engrafted within an organotypic brain slice culture-based platform. Together, our results suggest that EdU could be effective alongside standard-of-care TMZ in patients with GBM.</w:t>
      </w:r>
    </w:p>
    <w:p>
      <w:pPr>
        <w:spacing w:before="120" w:after="120"/>
      </w:pPr>
      <w:r>
        <w:rPr>
          <w:sz w:val="18"/>
        </w:rPr>
        <w:t>——————————————————————————————————————————————————————————————————————</w:t>
      </w:r>
    </w:p>
    <w:p>
      <w:pPr>
        <w:spacing w:before="160" w:after="80" w:line="240" w:lineRule="auto"/>
      </w:pPr>
      <w:r>
        <w:rPr>
          <w:b/>
        </w:rPr>
        <w:t xml:space="preserve">[182] </w:t>
      </w:r>
      <w:hyperlink r:id="rId277">
        <w:r>
          <w:rPr>
            <w:color w:val="1155CC"/>
            <w:u w:val="single"/>
          </w:rPr>
          <w:t>Glycosylation of GETV E2 promotes pathogenesis in animal models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2025-12-31 08:00:00+00:00</w:t>
      </w:r>
      <w:r>
        <w:t xml:space="preserve">    </w:t>
      </w:r>
      <w:r>
        <w:rPr>
          <w:b/>
        </w:rPr>
        <w:t xml:space="preserve">DOI: </w:t>
      </w:r>
      <w:hyperlink r:id="rId278">
        <w:r>
          <w:rPr>
            <w:color w:val="1155CC"/>
            <w:u w:val="single"/>
          </w:rPr>
          <w:t>10.1073/pnas.2516425123</w:t>
        </w:r>
      </w:hyperlink>
    </w:p>
    <w:p>
      <w:pPr>
        <w:spacing w:before="0" w:after="120"/>
      </w:pPr>
      <w:r>
        <w:rPr>
          <w:b/>
        </w:rPr>
        <w:t xml:space="preserve">Notes: </w:t>
      </w:r>
      <w:r>
        <w:t>abstract_source=crossref</w:t>
      </w:r>
    </w:p>
    <w:p>
      <w:pPr>
        <w:spacing w:before="0" w:after="200" w:lineRule="auto" w:line="276"/>
      </w:pPr>
      <w:r>
        <w:rPr>
          <w:b/>
        </w:rPr>
        <w:t xml:space="preserve">Abstract: </w:t>
      </w:r>
      <w:r>
        <w:t>Getah virus (GETV) is a mosquito-borne alphavirus. It has posed a threat to various livestock and humans during decades of evolution and spread. However, the viral determinants and mechanisms underlying enhanced virulence remain largely unknown. In this study, we identified E2-N262 glycosylation in GETV as an evolutionary adaptation that promotes receptor binding, innate immune evasion, and virulence. Using reverse genetics technology, we generated recombinant GETV strains―rSD2206 WT and the N262D substitution. In vitro, rSD2206 WT formed larger plaques and replicated more efficiently across multiple cell lines. Despite exhibiting enhanced pathogenicity, higher replication efficiency, and a weaker induction of host antiviral responses compared to the N262D virus in both mouse and suckling pig models, the rSD2206 WT virus retained immunogenicity. Mechanistically, we found that rSD2206 WT increased virion attachment and entry into host cells by enhancing binding affinity to both HS (a GETV attachment factor) and LDLR (a GETV receptor). In addition, the rSD2206 WT strain can evade the host’s antiviral response by interrupting the activation of interferon regulatory factor 3. Structural analysis revealed a significant reduction in binding free energy for rSD2206 WT. This reduction resulted in conformational changes within the E2 protein, which in turn enhanced its stability and subsequently strengthening its receptor-binding capacity. Ultimately, compared to N262D, rSD2206 WT exhibited increased replication in cells overexpressing LDLR, but significantly reduced replication in LDLR</w:t>
      </w:r>
      <w:r>
        <w:t xml:space="preserve"> </w:t>
      </w:r>
      <w:r>
        <w:t>−/−</w:t>
      </w:r>
      <w:r>
        <w:t>mice. These results highlight the critical importance of proactive surveillance of GETV molecular evolution to prevent future outbreaks, which could provide the foundation for the development of attenuated vaccines.</w:t>
      </w:r>
    </w:p>
    <w:p>
      <w:pPr>
        <w:spacing w:before="120" w:after="120"/>
      </w:pPr>
      <w:r>
        <w:rPr>
          <w:sz w:val="18"/>
        </w:rPr>
        <w:t>——————————————————————————————————————————————————————————————————————</w:t>
      </w:r>
    </w:p>
    <w:p>
      <w:pPr>
        <w:spacing w:before="160" w:after="80" w:line="240" w:lineRule="auto"/>
      </w:pPr>
      <w:r>
        <w:rPr>
          <w:b/>
        </w:rPr>
        <w:t xml:space="preserve">[183] </w:t>
      </w:r>
      <w:hyperlink r:id="rId279">
        <w:r>
          <w:rPr>
            <w:color w:val="1155CC"/>
            <w:u w:val="single"/>
          </w:rPr>
          <w:t>[ASAP] Synthesizing Polymer Woven Metal–Organic Framework Glass Membranes for Exceptional Pressure-Tolerant Carbon Capture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10:27:47+00:00</w:t>
      </w:r>
      <w:r>
        <w:t xml:space="preserve">    </w:t>
      </w:r>
      <w:r>
        <w:rPr>
          <w:b/>
        </w:rPr>
        <w:t xml:space="preserve">DOI: </w:t>
      </w:r>
      <w:hyperlink r:id="rId280">
        <w:r>
          <w:rPr>
            <w:color w:val="1155CC"/>
            <w:u w:val="single"/>
          </w:rPr>
          <w:t>10.1021/jacs.5c17503</w:t>
        </w:r>
      </w:hyperlink>
    </w:p>
    <w:p>
      <w:pPr>
        <w:spacing w:before="0" w:after="120"/>
      </w:pPr>
      <w:r>
        <w:rPr>
          <w:b/>
        </w:rPr>
        <w:t xml:space="preserve">Notes: </w:t>
      </w:r>
      <w:r>
        <w:t>abstract_source=pubmed</w:t>
      </w:r>
    </w:p>
    <w:p>
      <w:pPr>
        <w:spacing w:before="0" w:after="200" w:lineRule="auto" w:line="276"/>
      </w:pPr>
      <w:r>
        <w:rPr>
          <w:b/>
        </w:rPr>
        <w:t xml:space="preserve">Abstract: </w:t>
      </w:r>
      <w:r>
        <w:t>Liquid-processable metal-organic framework (MOF) glasses well redefine the ideal materials for energy-efficient carbon capture membranes. However, MOF glass membranes still suffer from poor pore connectivity, inadequate porosity and severe pressure vulnerability, hindering the sustainable deployment of membrane technologies in flue gas decarbonization, natural gas valorization, etc. Herein, we report a nature-inspired molecular weaving method to synthesize a de novo pw-MOF (polymer woven MOF) glass family. During melting, the woven polymer protects against lattice deformation while undergoing a nanophase interface segregation (nano-IS) evolution, which effectively regulates the kinetic mass transfer efficiency and thermodynamic polar adsorption effect. The newly synthesized pw-MOF glass membranes contain connected subnanometer penetrating channel networks with high-density polar domains for adsorption along the polymer chains to achieve a recorded performance, exemplified by the CO2/N2 and CO2/CH4 systems, surpassing the most recent upper bound. Owing to the unique woven reinforced framework, our pw-MOF glass membranes demonstrate an unprecedented pressure tolerance of up to 7.5 atm, which has not been realized by contemporary MOF membranes, which usually malfunction at 1 atm. This nature-inspired weaving design philosophy for synthesizing unconventional materials and constructing exceptional architectures is versatile for cultivating next-generation sustainable materials.</w:t>
      </w:r>
    </w:p>
    <w:p>
      <w:pPr>
        <w:spacing w:before="120" w:after="120"/>
      </w:pPr>
      <w:r>
        <w:rPr>
          <w:sz w:val="18"/>
        </w:rPr>
        <w:t>——————————————————————————————————————————————————————————————————————</w:t>
      </w:r>
    </w:p>
    <w:p>
      <w:pPr>
        <w:spacing w:before="160" w:after="80" w:line="240" w:lineRule="auto"/>
      </w:pPr>
      <w:r>
        <w:rPr>
          <w:b/>
        </w:rPr>
        <w:t xml:space="preserve">[184] </w:t>
      </w:r>
      <w:hyperlink r:id="rId281">
        <w:r>
          <w:rPr>
            <w:color w:val="1155CC"/>
            <w:u w:val="single"/>
          </w:rPr>
          <w:t>[ASAP] Cyano-Enriched Auxiliary Salts Mitigating Corrosion-Induced Crosstalk in Sulfonimide Salt Electrolytes toward Long-Life High-Safety Lithium Metal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2025-12-31 10:37:01+00:00</w:t>
      </w:r>
      <w:r>
        <w:t xml:space="preserve">    </w:t>
      </w:r>
      <w:r>
        <w:rPr>
          <w:b/>
        </w:rPr>
        <w:t xml:space="preserve">DOI: </w:t>
      </w:r>
      <w:hyperlink r:id="rId282">
        <w:r>
          <w:rPr>
            <w:color w:val="1155CC"/>
            <w:u w:val="single"/>
          </w:rPr>
          <w:t>10.1021/acsenergylett.5c03660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[185] </w:t>
      </w:r>
      <w:hyperlink r:id="rId283">
        <w:r>
          <w:rPr>
            <w:color w:val="1155CC"/>
            <w:u w:val="single"/>
          </w:rPr>
          <w:t>[ASAP] Lattice-Distortion-Driven Electron Delocalization Enables Efficient Electrosynthesis of Glycolic Acid and Terephthalic Acid from Plastic Wastes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11:33:58+00:00</w:t>
      </w:r>
      <w:r>
        <w:t xml:space="preserve">    </w:t>
      </w:r>
      <w:r>
        <w:rPr>
          <w:b/>
        </w:rPr>
        <w:t xml:space="preserve">DOI: </w:t>
      </w:r>
      <w:hyperlink r:id="rId284">
        <w:r>
          <w:rPr>
            <w:color w:val="1155CC"/>
            <w:u w:val="single"/>
          </w:rPr>
          <w:t>10.1021/jacs.5c17861</w:t>
        </w:r>
      </w:hyperlink>
    </w:p>
    <w:p>
      <w:pPr>
        <w:spacing w:before="0" w:after="120"/>
      </w:pPr>
      <w:r>
        <w:rPr>
          <w:b/>
        </w:rPr>
        <w:t xml:space="preserve">Notes: </w:t>
      </w:r>
      <w:r>
        <w:t>abstract_source=pubmed</w:t>
      </w:r>
    </w:p>
    <w:p>
      <w:pPr>
        <w:spacing w:before="0" w:after="200" w:lineRule="auto" w:line="276"/>
      </w:pPr>
      <w:r>
        <w:rPr>
          <w:b/>
        </w:rPr>
        <w:t xml:space="preserve">Abstract: </w:t>
      </w:r>
      <w:r>
        <w:t>Electrocatalytic upcycling of waste polyethylene terephthalate (PET) plastics into high-value-added C2 products (GA, etc.), coupled with hydrogen production, presents a promising solution to mitigate plastic pollution. However, the mechanisms by which the adsorption of key reaction intermediates affects the ethylene glycol oxidation reaction are not well understood. Herein, we synthesize two model catalysts: pristine-lattice Pd/NF (p-Pd) and lattice-distorted Pd/NiOx (l-Pd), the latter constructed by controlling the interfacial metal-support interaction. Detailed characterizations and theoretical calculations reveal that lattice distortion of Pd drives interfacial electron delocalization and generates electron-deficient Pd sites, which strongly attract OH- anions via electrostatic interaction and result in enhanced *OH adsorption on Pd. Enriched surface *OH coverage is crucial for weakening *CO-CH2OH or other carbonyl intermediate adsorption and promoting C-H bond oxidation, thereby greatly inhibiting surface poisoning and synergistically promoting GA generation. Specifically, l-Pd delivers a current density of 300 mA cm-2 at an ultralow potential of 1.03 V vs RHE, while achieving a maximum GA Faradaic efficiency of 98.3% and a selectivity of 92.8% at 0.8 V vs RHE. Under membrane electrode assembly conditions, only a cell voltage of 1.26 V is needed for l-Pd to deliver an industrial-level current density of 500 mA cm-2, while enabling continuous PET electrolysis for 204 h at 1.2 V. This study unveils new perspectives on the key role of surface-adsorbed intermediates and offers valuable insights for designing efficient catalysts for the electrochemical upcycling of PET plastics.</w:t>
      </w:r>
    </w:p>
    <w:p>
      <w:pPr>
        <w:spacing w:before="120" w:after="120"/>
      </w:pPr>
      <w:r>
        <w:rPr>
          <w:sz w:val="18"/>
        </w:rPr>
        <w:t>——————————————————————————————————————————————————————————————————————</w:t>
      </w:r>
    </w:p>
    <w:p>
      <w:pPr>
        <w:spacing w:before="160" w:after="80" w:line="240" w:lineRule="auto"/>
      </w:pPr>
      <w:r>
        <w:rPr>
          <w:b/>
        </w:rPr>
        <w:t xml:space="preserve">[186] </w:t>
      </w:r>
      <w:hyperlink r:id="rId285">
        <w:r>
          <w:rPr>
            <w:color w:val="1155CC"/>
            <w:u w:val="single"/>
          </w:rPr>
          <w:t>[ASAP] Challenges in Transitioning from Pellet to Practical Argyrodite-Based All-Solid-State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2025-12-31 12:54:38+00:00</w:t>
      </w:r>
      <w:r>
        <w:t xml:space="preserve">    </w:t>
      </w:r>
      <w:r>
        <w:rPr>
          <w:b/>
        </w:rPr>
        <w:t xml:space="preserve">DOI: </w:t>
      </w:r>
      <w:hyperlink r:id="rId286">
        <w:r>
          <w:rPr>
            <w:color w:val="1155CC"/>
            <w:u w:val="single"/>
          </w:rPr>
          <w:t>10.1021/acsenergylett.5c03368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[187] </w:t>
      </w:r>
      <w:hyperlink r:id="rId287">
        <w:r>
          <w:rPr>
            <w:color w:val="1155CC"/>
            <w:u w:val="single"/>
          </w:rPr>
          <w:t>Substrate‐Selective Temperature‐Controlled Synthesis of Thiophene Derivatives at Interfaces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13:46:14+00:00</w:t>
      </w:r>
      <w:r>
        <w:t xml:space="preserve">    </w:t>
      </w:r>
      <w:r>
        <w:rPr>
          <w:b/>
        </w:rPr>
        <w:t xml:space="preserve">DOI: </w:t>
      </w:r>
      <w:hyperlink r:id="rId288">
        <w:r>
          <w:rPr>
            <w:color w:val="1155CC"/>
            <w:u w:val="single"/>
          </w:rPr>
          <w:t>10.1002/anie.202520887</w:t>
        </w:r>
      </w:hyperlink>
    </w:p>
    <w:p>
      <w:pPr>
        <w:spacing w:before="0" w:after="120"/>
      </w:pPr>
      <w:r>
        <w:rPr>
          <w:b/>
        </w:rPr>
        <w:t xml:space="preserve">Notes: </w:t>
      </w:r>
      <w:r>
        <w:t>abstract_source=crossref</w:t>
      </w:r>
    </w:p>
    <w:p>
      <w:pPr>
        <w:spacing w:before="0" w:after="200" w:lineRule="auto" w:line="276"/>
      </w:pPr>
      <w:r>
        <w:rPr>
          <w:b/>
        </w:rPr>
        <w:t xml:space="preserve">Abstract: </w:t>
      </w:r>
      <w:r>
        <w:t>The temperature‐controlled transformation of organic molecules at interfaces is an incipient yet powerful strategy for tailoring their structural and physico‐chemical properties. In this study, we investigate the substrate‐ and thermal‐selective reactions of bis(3,4‐thiophene‐fused)tetrabromo‐</w:t>
      </w:r>
      <w:r>
        <w:t xml:space="preserve"> </w:t>
      </w:r>
      <w:r>
        <w:t>p</w:t>
      </w:r>
      <w:r>
        <w:t xml:space="preserve"> </w:t>
      </w:r>
      <w:r>
        <w:t>‐benzoquinodimethane molecule (</w:t>
      </w:r>
      <w:r>
        <w:rPr>
          <w:vertAlign w:val="subscript"/>
        </w:rPr>
        <w:t>1</w:t>
      </w:r>
      <w:r>
        <w:t>), focusing on its behavior at distinct coinage metal interfaces, namely Au(111) and Ag(111). Combining scanning probe microscopy and theory, we demonstrate that its sequential transformations are highly dependent on the substrate material and the specific reaction temperatures. When a benzodithiophene precursor, endowed with = CBr</w:t>
      </w:r>
      <w:r>
        <w:rPr>
          <w:vertAlign w:val="subscript"/>
        </w:rPr>
        <w:t>2</w:t>
      </w:r>
      <w:r>
        <w:t>units, is deposited under ultra‐high vacuum (UHV) conditions on both substrates held at room temperature (RT), or annealed to 100 °C in the case of Au(111), a self‐assembly is formed comprising 1D covalent polymers achieved through debromination and homocoupling, which are aligned in a parallel fashion thanks to supramolecular interactions, giving rise to a 2D supramolecular polymer. However, when the substrate is held at or above 175 °C during deposition, the molecular precursors (</w:t>
      </w:r>
      <w:r>
        <w:rPr>
          <w:vertAlign w:val="subscript"/>
        </w:rPr>
        <w:t>1</w:t>
      </w:r>
      <w:r>
        <w:t>) undergo substrate‐specific intramolecular reactions. On Au(111), a major transformation into pentalenodithiophene species is observed, concomitant with the formation of benzotrithiophene. On Ag(111), instead, pentalenodithiophene species are precluded. These findings highlight the importance of substrate selection and temperature control in enabling precise molecular transformations at the nanoscale.</w:t>
      </w:r>
    </w:p>
    <w:p>
      <w:pPr>
        <w:spacing w:before="120" w:after="120"/>
      </w:pPr>
      <w:r>
        <w:rPr>
          <w:sz w:val="18"/>
        </w:rPr>
        <w:t>——————————————————————————————————————————————————————————————————————</w:t>
      </w:r>
    </w:p>
    <w:p>
      <w:pPr>
        <w:spacing w:before="160" w:after="80" w:line="240" w:lineRule="auto"/>
      </w:pPr>
      <w:r>
        <w:rPr>
          <w:b/>
        </w:rPr>
        <w:t xml:space="preserve">[188] </w:t>
      </w:r>
      <w:hyperlink r:id="rId289">
        <w:r>
          <w:rPr>
            <w:color w:val="1155CC"/>
            <w:u w:val="single"/>
          </w:rPr>
          <w:t>Fibril Structure of Desiccation‐Protective Tardigrade Protein CAHS‐8</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13:47:37+00:00</w:t>
      </w:r>
      <w:r>
        <w:t xml:space="preserve">    </w:t>
      </w:r>
      <w:r>
        <w:rPr>
          <w:b/>
        </w:rPr>
        <w:t xml:space="preserve">DOI: </w:t>
      </w:r>
      <w:hyperlink r:id="rId290">
        <w:r>
          <w:rPr>
            <w:color w:val="1155CC"/>
            <w:u w:val="single"/>
          </w:rPr>
          <w:t>10.1002/anie.202519912</w:t>
        </w:r>
      </w:hyperlink>
    </w:p>
    <w:p>
      <w:pPr>
        <w:spacing w:before="0" w:after="120"/>
      </w:pPr>
      <w:r>
        <w:rPr>
          <w:b/>
        </w:rPr>
        <w:t xml:space="preserve">Notes: </w:t>
      </w:r>
      <w:r>
        <w:t>abstract_source=crossref</w:t>
      </w:r>
    </w:p>
    <w:p>
      <w:pPr>
        <w:spacing w:before="0" w:after="200" w:lineRule="auto" w:line="276"/>
      </w:pPr>
      <w:r>
        <w:rPr>
          <w:b/>
        </w:rPr>
        <w:t xml:space="preserve">Abstract: </w:t>
      </w:r>
      <w:r>
        <w:t>Cytosolic Abundant Heat‐Soluble (CAHS) proteins are thought to be responsible for protection of tardigrades against conditions of extreme environmental stress, in particular desiccation.</w:t>
      </w:r>
      <w:r>
        <w:t xml:space="preserve"> </w:t>
      </w:r>
      <w:r>
        <w:t>Hypsibius exemplaris</w:t>
      </w:r>
      <w:r>
        <w:t xml:space="preserve"> </w:t>
      </w:r>
      <w:r>
        <w:t>CAHS‐8 is intrinsically disordered in solution, undergoing conformational transformation as a function of stress, assembling into fibres that form a hydrogel. Here we present the crystal structure of the fibrils of CAHS‐8, comprising a single 101 residue‐long helix, forming an atypical 90 amino‐acid coiled‐coil dimer exhibiting non‐canonical periodicities and assembling into fibrils via a second coiled coil interface associating adjacent dimers via the opposing face of the helix. Combination with electron microscopy, atomic force microscopy and disorder modelling provides structural insight into the details of this assembly that is essential for cell survival. Individual fibrils appear to interact in a pairwise manner, possibly via their intrinsically disordered tails, forming straight fibres.</w:t>
      </w:r>
    </w:p>
    <w:p>
      <w:pPr>
        <w:spacing w:before="120" w:after="120"/>
      </w:pPr>
      <w:r>
        <w:rPr>
          <w:sz w:val="18"/>
        </w:rPr>
        <w:t>——————————————————————————————————————————————————————————————————————</w:t>
      </w:r>
    </w:p>
    <w:p>
      <w:pPr>
        <w:spacing w:before="160" w:after="80" w:line="240" w:lineRule="auto"/>
      </w:pPr>
      <w:r>
        <w:rPr>
          <w:b/>
        </w:rPr>
        <w:t xml:space="preserve">[189] </w:t>
      </w:r>
      <w:hyperlink r:id="rId291">
        <w:r>
          <w:rPr>
            <w:color w:val="1155CC"/>
            <w:u w:val="single"/>
          </w:rPr>
          <w:t>An Energetic S0/S+ Redox Chemistry for Aqueous and Nonaqueous Sulfur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13:48:15+00:00</w:t>
      </w:r>
      <w:r>
        <w:t xml:space="preserve">    </w:t>
      </w:r>
      <w:r>
        <w:rPr>
          <w:b/>
        </w:rPr>
        <w:t xml:space="preserve">DOI: </w:t>
      </w:r>
      <w:hyperlink r:id="rId292">
        <w:r>
          <w:rPr>
            <w:color w:val="1155CC"/>
            <w:u w:val="single"/>
          </w:rPr>
          <w:t>10.1002/anie.202524441</w:t>
        </w:r>
      </w:hyperlink>
    </w:p>
    <w:p>
      <w:pPr>
        <w:spacing w:before="0" w:after="120"/>
      </w:pPr>
      <w:r>
        <w:rPr>
          <w:b/>
        </w:rPr>
        <w:t xml:space="preserve">Notes: </w:t>
      </w:r>
      <w:r>
        <w:t>abstract_source=crossref</w:t>
      </w:r>
    </w:p>
    <w:p>
      <w:pPr>
        <w:spacing w:before="0" w:after="200" w:lineRule="auto" w:line="276"/>
      </w:pPr>
      <w:r>
        <w:rPr>
          <w:b/>
        </w:rPr>
        <w:t xml:space="preserve">Abstract: </w:t>
      </w:r>
      <w:r>
        <w:t>State‐of‐the‐art sulfur‐based batteries are primarily driven by the S</w:t>
      </w:r>
      <w:r>
        <w:rPr>
          <w:vertAlign w:val="subscript"/>
        </w:rPr>
        <w:t>0</w:t>
      </w:r>
      <w:r>
        <w:t>/S</w:t>
      </w:r>
      <w:r>
        <w:t xml:space="preserve"> </w:t>
      </w:r>
      <w:r>
        <w:t>2−</w:t>
      </w:r>
      <w:r>
        <w:t>redox chemistry, yet their performance is limited by sluggish kinetics and low practical energy densities. In aqueous systems, slow solid‐solid conversion leads to high overpotentials (∼1 V) that restricts energy efficiency, while in nonaqueous systems, the sophisticated dissolution‐precipitation mechanism involving soluble polysulfide intermediates induces shuttle effects and capacity loss, necessitating catholyte configurations that compromise energy density. Here, we report an energetic and reversible S</w:t>
      </w:r>
      <w:r>
        <w:rPr>
          <w:vertAlign w:val="subscript"/>
        </w:rPr>
        <w:t>0</w:t>
      </w:r>
      <w:r>
        <w:t>/S</w:t>
      </w:r>
      <w:r>
        <w:t xml:space="preserve"> </w:t>
      </w:r>
      <w:r>
        <w:t>+</w:t>
      </w:r>
      <w:r>
        <w:t xml:space="preserve"> </w:t>
      </w:r>
      <w:r>
        <w:t>redox couple enabled by the formation of liquid‐phase S</w:t>
      </w:r>
      <w:r>
        <w:rPr>
          <w:vertAlign w:val="subscript"/>
        </w:rPr>
        <w:t>2</w:t>
      </w:r>
      <w:r>
        <w:t>Br</w:t>
      </w:r>
      <w:r>
        <w:rPr>
          <w:vertAlign w:val="subscript"/>
        </w:rPr>
        <w:t>2</w:t>
      </w:r>
      <w:r>
        <w:t>in both aqueous and nonaqueous electrolytes. Compared to traditional S</w:t>
      </w:r>
      <w:r>
        <w:rPr>
          <w:vertAlign w:val="subscript"/>
        </w:rPr>
        <w:t>0</w:t>
      </w:r>
      <w:r>
        <w:t>/S</w:t>
      </w:r>
      <w:r>
        <w:t xml:space="preserve"> </w:t>
      </w:r>
      <w:r>
        <w:t>2−</w:t>
      </w:r>
      <w:r>
        <w:t>reactions (0.45 V vs. Zn</w:t>
      </w:r>
      <w:r>
        <w:t xml:space="preserve"> </w:t>
      </w:r>
      <w:r>
        <w:t>2+</w:t>
      </w:r>
      <w:r>
        <w:t xml:space="preserve"> </w:t>
      </w:r>
      <w:r>
        <w:t>/Zn; 2.2 V vs. Li</w:t>
      </w:r>
      <w:r>
        <w:t xml:space="preserve"> </w:t>
      </w:r>
      <w:r>
        <w:t>+</w:t>
      </w:r>
      <w:r>
        <w:t xml:space="preserve"> </w:t>
      </w:r>
      <w:r>
        <w:t>/Li), the S</w:t>
      </w:r>
      <w:r>
        <w:rPr>
          <w:vertAlign w:val="subscript"/>
        </w:rPr>
        <w:t>0</w:t>
      </w:r>
      <w:r>
        <w:t>/S</w:t>
      </w:r>
      <w:r>
        <w:t xml:space="preserve"> </w:t>
      </w:r>
      <w:r>
        <w:t>+</w:t>
      </w:r>
      <w:r>
        <w:t xml:space="preserve"> </w:t>
      </w:r>
      <w:r>
        <w:t>redox chemistry offers significantly higher equilibrium redox potentials (1.68 V vs. Zn</w:t>
      </w:r>
      <w:r>
        <w:t xml:space="preserve"> </w:t>
      </w:r>
      <w:r>
        <w:t>2+</w:t>
      </w:r>
      <w:r>
        <w:t xml:space="preserve"> </w:t>
      </w:r>
      <w:r>
        <w:t>/Zn; 3.4 V vs. Li</w:t>
      </w:r>
      <w:r>
        <w:t xml:space="preserve"> </w:t>
      </w:r>
      <w:r>
        <w:t>+</w:t>
      </w:r>
      <w:r>
        <w:t xml:space="preserve"> </w:t>
      </w:r>
      <w:r>
        <w:t>/Li), a direct one‐step conversion pathway that avoids polysulfide intermediates formation, and intrinsically faster kinetics attributed to its solid‐liquid transition nature, enabling full sulfur utilization with a capacity of 837 mAh g</w:t>
      </w:r>
      <w:r>
        <w:t xml:space="preserve"> </w:t>
      </w:r>
      <w:r>
        <w:t>−1</w:t>
      </w:r>
      <w:r>
        <w:t xml:space="preserve"> </w:t>
      </w:r>
      <w:r>
        <w:t>. When paired with Zn or Li anodes in tailored aqueous and organic electrolytes, respectively, this chemistry delivers high energy densities of 1406 and 2689 Wh kg</w:t>
      </w:r>
      <w:r>
        <w:t xml:space="preserve"> </w:t>
      </w:r>
      <w:r>
        <w:t>−1</w:t>
      </w:r>
      <w:r>
        <w:t xml:space="preserve"> </w:t>
      </w:r>
      <w:r>
        <w:t>based on sulfur mass (402 and 768 Wh kg</w:t>
      </w:r>
      <w:r>
        <w:t xml:space="preserve"> </w:t>
      </w:r>
      <w:r>
        <w:t>−1</w:t>
      </w:r>
      <w:r>
        <w:t xml:space="preserve"> </w:t>
      </w:r>
      <w:r>
        <w:t>based on S</w:t>
      </w:r>
      <w:r>
        <w:rPr>
          <w:vertAlign w:val="subscript"/>
        </w:rPr>
        <w:t>2</w:t>
      </w:r>
      <w:r>
        <w:t>Br</w:t>
      </w:r>
      <w:r>
        <w:rPr>
          <w:vertAlign w:val="subscript"/>
        </w:rPr>
        <w:t>2</w:t>
      </w:r>
      <w:r>
        <w:t>mass) and demonstrating strong potential for high‐performance batteries.</w:t>
      </w:r>
    </w:p>
    <w:p>
      <w:pPr>
        <w:spacing w:before="120" w:after="120"/>
      </w:pPr>
      <w:r>
        <w:rPr>
          <w:sz w:val="18"/>
        </w:rPr>
        <w:t>——————————————————————————————————————————————————————————————————————</w:t>
      </w:r>
    </w:p>
    <w:p>
      <w:pPr>
        <w:spacing w:before="160" w:after="80" w:line="240" w:lineRule="auto"/>
      </w:pPr>
      <w:r>
        <w:rPr>
          <w:b/>
        </w:rPr>
        <w:t xml:space="preserve">[190] </w:t>
      </w:r>
      <w:hyperlink r:id="rId293">
        <w:r>
          <w:rPr>
            <w:color w:val="1155CC"/>
            <w:u w:val="single"/>
          </w:rPr>
          <w:t>Fast‐Ion‐Conductor Multiscale Nanoconfinement Overcomes Ion‐Transport Limitations in All‐Solid‐State Sodium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2025-12-31 13:50:25+00:00</w:t>
      </w:r>
      <w:r>
        <w:t xml:space="preserve">    </w:t>
      </w:r>
      <w:r>
        <w:rPr>
          <w:b/>
        </w:rPr>
        <w:t xml:space="preserve">DOI: </w:t>
      </w:r>
      <w:hyperlink r:id="rId294">
        <w:r>
          <w:rPr>
            <w:color w:val="1155CC"/>
            <w:u w:val="single"/>
          </w:rPr>
          <w:t>10.1002/adma.202518830</w:t>
        </w:r>
      </w:hyperlink>
    </w:p>
    <w:p>
      <w:pPr>
        <w:spacing w:before="0" w:after="120"/>
      </w:pPr>
      <w:r>
        <w:rPr>
          <w:b/>
        </w:rPr>
        <w:t xml:space="preserve">Notes: </w:t>
      </w:r>
      <w:r>
        <w:t>abstract_source=crossref</w:t>
      </w:r>
    </w:p>
    <w:p>
      <w:pPr>
        <w:spacing w:before="0" w:after="200" w:lineRule="auto" w:line="276"/>
      </w:pPr>
      <w:r>
        <w:rPr>
          <w:b/>
        </w:rPr>
        <w:t xml:space="preserve">Abstract: </w:t>
      </w:r>
      <w:r>
        <w:t>Composite polymer electrolytes (CPEs) hold significant potential for high‐performance all‐solid‐state sodium batteries, yet their development remains hindered by compromised ionic transport kinetics arising from limited conduction pathways and strong Na</w:t>
      </w:r>
      <w:r>
        <w:t xml:space="preserve"> </w:t>
      </w:r>
      <w:r>
        <w:t>+</w:t>
      </w:r>
      <w:r>
        <w:t xml:space="preserve"> </w:t>
      </w:r>
      <w:r>
        <w:t>coordination. Here, we report a fast‐ion‐conductor multiscale nanoconfinement strategy that enables continuous high‐throughput Na</w:t>
      </w:r>
      <w:r>
        <w:t xml:space="preserve"> </w:t>
      </w:r>
      <w:r>
        <w:t>+</w:t>
      </w:r>
      <w:r>
        <w:t xml:space="preserve"> </w:t>
      </w:r>
      <w:r>
        <w:t>migration in CPEs by embedding polyethylene glycol (PEG)‐confined boron‐rich covalent organic framework (BCOF) nanotubes into a poly(ethylene oxide) (PEO) matrix. Size‐compatible PEG oligomers as fast‐ion‐conductors are effectively confined within the well‐defined nanopores/tunnels of BCOF nanotube via Lewis acid‐base interactions, creating interconnected Na</w:t>
      </w:r>
      <w:r>
        <w:t xml:space="preserve"> </w:t>
      </w:r>
      <w:r>
        <w:t>+</w:t>
      </w:r>
      <w:r>
        <w:t xml:space="preserve"> </w:t>
      </w:r>
      <w:r>
        <w:t>migration pathways. Simultaneously, the intermolecular interactions between Lewis‐acidic boron sites in BCOF and oxygen atoms in PEO/PEG weaken Na</w:t>
      </w:r>
      <w:r>
        <w:t xml:space="preserve"> </w:t>
      </w:r>
      <w:r>
        <w:t>+</w:t>
      </w:r>
      <w:r>
        <w:t xml:space="preserve"> </w:t>
      </w:r>
      <w:r>
        <w:t>─O coordination strength, further boosting Na</w:t>
      </w:r>
      <w:r>
        <w:t xml:space="preserve"> </w:t>
      </w:r>
      <w:r>
        <w:t>+</w:t>
      </w:r>
      <w:r>
        <w:t xml:space="preserve"> </w:t>
      </w:r>
      <w:r>
        <w:t>transport kinetics. This pioneering design allows the constructed CPEs to achieve exceptional ionic conductivity of up to 1.99 mS cm</w:t>
      </w:r>
      <w:r>
        <w:t xml:space="preserve"> </w:t>
      </w:r>
      <w:r>
        <w:t>−1</w:t>
      </w:r>
      <w:r>
        <w:t xml:space="preserve"> </w:t>
      </w:r>
      <w:r>
        <w:t>at 60°C and 0.36 mS cm</w:t>
      </w:r>
      <w:r>
        <w:t xml:space="preserve"> </w:t>
      </w:r>
      <w:r>
        <w:t>−1</w:t>
      </w:r>
      <w:r>
        <w:t xml:space="preserve"> </w:t>
      </w:r>
      <w:r>
        <w:t>at 30°C, with a high Na</w:t>
      </w:r>
      <w:r>
        <w:t xml:space="preserve"> </w:t>
      </w:r>
      <w:r>
        <w:t>+</w:t>
      </w:r>
      <w:r>
        <w:t xml:space="preserve"> </w:t>
      </w:r>
      <w:r>
        <w:t>transference number of 0.89. As such, the Na/Na symmetric cell delivers stable Na plating/stripping over 3200 h at 0.1 mA cm</w:t>
      </w:r>
      <w:r>
        <w:t xml:space="preserve"> </w:t>
      </w:r>
      <w:r>
        <w:t>−2</w:t>
      </w:r>
      <w:r>
        <w:t xml:space="preserve"> </w:t>
      </w:r>
      <w:r>
        <w:t>. High‐loading all‐solid‐state pouch cells exhibit exceptional cycling stability, maintaining 90.7 % capacity retention over 800 cycles at 1 C and near‐ambient conditions. This study emphasizes the significant impact of multiscale nanoconfinement chemistry on the advancement of all‐solid‐state batteries.</w:t>
      </w:r>
    </w:p>
    <w:p>
      <w:pPr>
        <w:spacing w:before="120" w:after="120"/>
      </w:pPr>
      <w:r>
        <w:rPr>
          <w:sz w:val="18"/>
        </w:rPr>
        <w:t>——————————————————————————————————————————————————————————————————————</w:t>
      </w:r>
    </w:p>
    <w:p>
      <w:pPr>
        <w:spacing w:before="160" w:after="80" w:line="240" w:lineRule="auto"/>
      </w:pPr>
      <w:r>
        <w:rPr>
          <w:b/>
        </w:rPr>
        <w:t xml:space="preserve">[191] </w:t>
      </w:r>
      <w:hyperlink r:id="rId295">
        <w:r>
          <w:rPr>
            <w:color w:val="1155CC"/>
            <w:u w:val="single"/>
          </w:rPr>
          <w:t>Cobalt‐Bridged Polyoxoniobate Framework for High Reversibility and Capacity Retention Polysulfide Redox Flow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2025-12-31 13:52:04+00:00</w:t>
      </w:r>
      <w:r>
        <w:t xml:space="preserve">    </w:t>
      </w:r>
      <w:r>
        <w:rPr>
          <w:b/>
        </w:rPr>
        <w:t xml:space="preserve">DOI: </w:t>
      </w:r>
      <w:hyperlink r:id="rId296">
        <w:r>
          <w:rPr>
            <w:color w:val="1155CC"/>
            <w:u w:val="single"/>
          </w:rPr>
          <w:t>10.1002/adma.202514281</w:t>
        </w:r>
      </w:hyperlink>
    </w:p>
    <w:p>
      <w:pPr>
        <w:spacing w:before="0" w:after="120"/>
      </w:pPr>
      <w:r>
        <w:rPr>
          <w:b/>
        </w:rPr>
        <w:t xml:space="preserve">Notes: </w:t>
      </w:r>
      <w:r>
        <w:t>abstract_source=crossref</w:t>
      </w:r>
    </w:p>
    <w:p>
      <w:pPr>
        <w:spacing w:before="0" w:after="200" w:lineRule="auto" w:line="276"/>
      </w:pPr>
      <w:r>
        <w:rPr>
          <w:b/>
        </w:rPr>
        <w:t xml:space="preserve">Abstract: </w:t>
      </w:r>
      <w:r>
        <w:t>In this work, we report for the first time a cobalt‐bridged polyoxoniobate framework (Co‐PONbs) featuring a 3D coordination architecture, constructed by linking {PNb</w:t>
      </w:r>
      <w:r>
        <w:rPr>
          <w:vertAlign w:val="subscript"/>
        </w:rPr>
        <w:t>12</w:t>
      </w:r>
      <w:r>
        <w:t>O</w:t>
      </w:r>
      <w:r>
        <w:rPr>
          <w:vertAlign w:val="subscript"/>
        </w:rPr>
        <w:t>40</w:t>
      </w:r>
      <w:r>
        <w:t>} clusters through the coordinatively versatile Co</w:t>
      </w:r>
      <w:r>
        <w:t xml:space="preserve"> </w:t>
      </w:r>
      <w:r>
        <w:t>2+</w:t>
      </w:r>
      <w:r>
        <w:t xml:space="preserve"> </w:t>
      </w:r>
      <w:r>
        <w:t>ions. This unique inorganic framework exhibits exceptional stability in strongly alkaline electrolytes, helping to address the challenge of catalyst degradation under operating conditions. Acting as an efficient electrocatalyst, Co‐PONbs significantly enhances the redox conversion kinetics of polysulfides in redox flow batteries. Electrochemical in situ Raman spectroscopy confirms the preferential adsorption of polysulfides on Co‐PONbs/SP‐modified electrodes. First‐principles calculations demonstrate that embedding cobalt centers in {PNb</w:t>
      </w:r>
      <w:r>
        <w:rPr>
          <w:vertAlign w:val="subscript"/>
        </w:rPr>
        <w:t>12</w:t>
      </w:r>
      <w:r>
        <w:t>O</w:t>
      </w:r>
      <w:r>
        <w:rPr>
          <w:vertAlign w:val="subscript"/>
        </w:rPr>
        <w:t>40</w:t>
      </w:r>
      <w:r>
        <w:t>} clusters generates asymmetric dual‐active sites. This unique configuration drives S─S bond cleavage in S</w:t>
      </w:r>
      <w:r>
        <w:rPr>
          <w:vertAlign w:val="subscript"/>
        </w:rPr>
        <w:t>4</w:t>
      </w:r>
      <w:r>
        <w:t>2−</w:t>
      </w:r>
      <w:r>
        <w:t>via a cooperative electron‐transfer mechanism, kinetically promoting conversion to S</w:t>
      </w:r>
      <w:r>
        <w:rPr>
          <w:vertAlign w:val="subscript"/>
        </w:rPr>
        <w:t>2</w:t>
      </w:r>
      <w:r>
        <w:t>2−</w:t>
      </w:r>
      <w:r>
        <w:t>intermediates. When implemented in aqueous polysulfide‐iodine redox flow batteries, the Co‐PONbs/SP composite‐modified carbon felt cathode sustains remarkable energy efficiency (82.7%) and Coulombic efficiency (99.5%) over 530 h of continuous operation. The system demonstrates unprecedented cycling stability with 99.96% capacity retention after 1500 cycles at 60 mA cm</w:t>
      </w:r>
      <w:r>
        <w:t xml:space="preserve"> </w:t>
      </w:r>
      <w:r>
        <w:t>−2</w:t>
      </w:r>
      <w:r>
        <w:t xml:space="preserve"> </w:t>
      </w:r>
      <w:r>
        <w:t>.</w:t>
      </w:r>
    </w:p>
    <w:p>
      <w:pPr>
        <w:spacing w:before="120" w:after="120"/>
      </w:pPr>
      <w:r>
        <w:rPr>
          <w:sz w:val="18"/>
        </w:rPr>
        <w:t>——————————————————————————————————————————————————————————————————————</w:t>
      </w:r>
    </w:p>
    <w:p>
      <w:pPr>
        <w:spacing w:before="160" w:after="80" w:line="240" w:lineRule="auto"/>
      </w:pPr>
      <w:r>
        <w:rPr>
          <w:b/>
        </w:rPr>
        <w:t xml:space="preserve">[192] </w:t>
      </w:r>
      <w:hyperlink r:id="rId297">
        <w:r>
          <w:rPr>
            <w:color w:val="1155CC"/>
            <w:u w:val="single"/>
          </w:rPr>
          <w:t>Possible Peierls Distortion Through Re2 Dimer Formation in the LaNiO2‐Type Nitrides LnReN2 (Ln = Pr, Nd)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13:54:52+00:00</w:t>
      </w:r>
      <w:r>
        <w:t xml:space="preserve">    </w:t>
      </w:r>
      <w:r>
        <w:rPr>
          <w:b/>
        </w:rPr>
        <w:t xml:space="preserve">DOI: </w:t>
      </w:r>
      <w:hyperlink r:id="rId298">
        <w:r>
          <w:rPr>
            <w:color w:val="1155CC"/>
            <w:u w:val="single"/>
          </w:rPr>
          <w:t>10.1002/anie.202519710</w:t>
        </w:r>
      </w:hyperlink>
    </w:p>
    <w:p>
      <w:pPr>
        <w:spacing w:before="0" w:after="120"/>
      </w:pPr>
      <w:r>
        <w:rPr>
          <w:b/>
        </w:rPr>
        <w:t xml:space="preserve">Notes: </w:t>
      </w:r>
      <w:r>
        <w:t>abstract_source=crossref</w:t>
      </w:r>
    </w:p>
    <w:p>
      <w:pPr>
        <w:spacing w:before="0" w:after="200" w:lineRule="auto" w:line="276"/>
      </w:pPr>
      <w:r>
        <w:rPr>
          <w:b/>
        </w:rPr>
        <w:t xml:space="preserve">Abstract: </w:t>
      </w:r>
      <w:r>
        <w:t>Nitride perovskites are a recently opened class of materials with a limited number of stable compounds. Notably, anion‐vacancy‐ordered materials such as LaNiO</w:t>
      </w:r>
      <w:r>
        <w:rPr>
          <w:vertAlign w:val="subscript"/>
        </w:rPr>
        <w:t>2</w:t>
      </w:r>
      <w:r>
        <w:t>‐type nitrides are rare despite useful properties such as superconductivity reported for analogous oxides. Here, we report the preparation of two</w:t>
      </w:r>
      <w:r>
        <w:t xml:space="preserve"> </w:t>
      </w:r>
      <w:r>
        <w:t>Ln</w:t>
      </w:r>
      <w:r>
        <w:t xml:space="preserve"> </w:t>
      </w:r>
      <w:r>
        <w:t>ReN</w:t>
      </w:r>
      <w:r>
        <w:rPr>
          <w:vertAlign w:val="subscript"/>
        </w:rPr>
        <w:t>2</w:t>
      </w:r>
      <w:r>
        <w:t>(</w:t>
      </w:r>
      <w:r>
        <w:t xml:space="preserve"> </w:t>
      </w:r>
      <w:r>
        <w:t>Ln</w:t>
      </w:r>
      <w:r>
        <w:t xml:space="preserve"> </w:t>
      </w:r>
      <w:r>
        <w:t>= Pr, Nd) materials with a distorted LaNiO</w:t>
      </w:r>
      <w:r>
        <w:rPr>
          <w:vertAlign w:val="subscript"/>
        </w:rPr>
        <w:t>2</w:t>
      </w:r>
      <w:r>
        <w:t>‐type structure at high‐pressure, high‐temperature conditions of a large volume press. Powder X‐ray and neutron diffraction show that the orthorhombic distortion (o‐</w:t>
      </w:r>
      <w:r>
        <w:t xml:space="preserve"> </w:t>
      </w:r>
      <w:r>
        <w:t>Ln</w:t>
      </w:r>
      <w:r>
        <w:t xml:space="preserve"> </w:t>
      </w:r>
      <w:r>
        <w:t>ReN</w:t>
      </w:r>
      <w:r>
        <w:rPr>
          <w:vertAlign w:val="subscript"/>
        </w:rPr>
        <w:t>2</w:t>
      </w:r>
      <w:r>
        <w:t>) of the LaNiO</w:t>
      </w:r>
      <w:r>
        <w:rPr>
          <w:vertAlign w:val="subscript"/>
        </w:rPr>
        <w:t>2</w:t>
      </w:r>
      <w:r>
        <w:t>‐aristotype structure is caused by buckling of the ReN</w:t>
      </w:r>
      <w:r>
        <w:t xml:space="preserve"> </w:t>
      </w:r>
      <w:r>
        <w:t>4/2</w:t>
      </w:r>
      <w:r>
        <w:t xml:space="preserve"> </w:t>
      </w:r>
      <w:r>
        <w:t>layers through Re dimerization. Electronic structure analysis reveals that the o‐</w:t>
      </w:r>
      <w:r>
        <w:t xml:space="preserve"> </w:t>
      </w:r>
      <w:r>
        <w:t>Ln</w:t>
      </w:r>
      <w:r>
        <w:t xml:space="preserve"> </w:t>
      </w:r>
      <w:r>
        <w:t>ReN</w:t>
      </w:r>
      <w:r>
        <w:rPr>
          <w:vertAlign w:val="subscript"/>
        </w:rPr>
        <w:t>2</w:t>
      </w:r>
      <w:r>
        <w:t>materials are composed of classic nitridometallate anions and a cationic intermetallic framework. Moreover, the calculations reveal the driving force of the Re dimerization likely to be from an electronic instability related to a Peierls‐type distortion. We further characterize the magnetic ground state of both materials with magnetization measurements as well as magnetic neutron scattering uncovering a long‐range antiferromagnetic order of Nd</w:t>
      </w:r>
      <w:r>
        <w:t xml:space="preserve"> </w:t>
      </w:r>
      <w:r>
        <w:t>3+</w:t>
      </w:r>
      <w:r>
        <w:t xml:space="preserve"> </w:t>
      </w:r>
      <w:r>
        <w:t>moments in NdReN</w:t>
      </w:r>
      <w:r>
        <w:rPr>
          <w:vertAlign w:val="subscript"/>
        </w:rPr>
        <w:t>2</w:t>
      </w:r>
      <w:r>
        <w:t>at T</w:t>
      </w:r>
      <w:r>
        <w:t xml:space="preserve"> </w:t>
      </w:r>
      <w:r>
        <w:t>N</w:t>
      </w:r>
      <w:r>
        <w:t xml:space="preserve"> </w:t>
      </w:r>
      <w:r>
        <w:t>= 15.5 K. The stability of the compounds is investigated by temperature‐dependent powder X‐ray diffraction showing decomposition of NdReN</w:t>
      </w:r>
      <w:r>
        <w:rPr>
          <w:vertAlign w:val="subscript"/>
        </w:rPr>
        <w:t>2</w:t>
      </w:r>
      <w:r>
        <w:t>at ca. 750 °C. The o‐</w:t>
      </w:r>
      <w:r>
        <w:t xml:space="preserve"> </w:t>
      </w:r>
      <w:r>
        <w:t>Ln</w:t>
      </w:r>
      <w:r>
        <w:t xml:space="preserve"> </w:t>
      </w:r>
      <w:r>
        <w:t>ReN</w:t>
      </w:r>
      <w:r>
        <w:rPr>
          <w:vertAlign w:val="subscript"/>
        </w:rPr>
        <w:t>2</w:t>
      </w:r>
      <w:r>
        <w:t>materials represent a curious class of nitrides at the border of classic nitridometallates, intermetallics, and low‐dimensional complex chemistry.</w:t>
      </w:r>
    </w:p>
    <w:p>
      <w:pPr>
        <w:spacing w:before="120" w:after="120"/>
      </w:pPr>
      <w:r>
        <w:rPr>
          <w:sz w:val="18"/>
        </w:rPr>
        <w:t>——————————————————————————————————————————————————————————————————————</w:t>
      </w:r>
    </w:p>
    <w:p>
      <w:pPr>
        <w:spacing w:before="160" w:after="80" w:line="240" w:lineRule="auto"/>
      </w:pPr>
      <w:r>
        <w:rPr>
          <w:b/>
        </w:rPr>
        <w:t xml:space="preserve">[193] </w:t>
      </w:r>
      <w:hyperlink r:id="rId299">
        <w:r>
          <w:rPr>
            <w:color w:val="1155CC"/>
            <w:u w:val="single"/>
          </w:rPr>
          <w:t>Engineering Interfacial Immunity in High‐Nickel Batteries with a Mediating Biodegradable Separator</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2025-12-31 13:57:11+00:00</w:t>
      </w:r>
      <w:r>
        <w:t xml:space="preserve">    </w:t>
      </w:r>
      <w:r>
        <w:rPr>
          <w:b/>
        </w:rPr>
        <w:t xml:space="preserve">DOI: </w:t>
      </w:r>
      <w:hyperlink r:id="rId300">
        <w:r>
          <w:rPr>
            <w:color w:val="1155CC"/>
            <w:u w:val="single"/>
          </w:rPr>
          <w:t>10.1002/aenm.202505311</w:t>
        </w:r>
      </w:hyperlink>
    </w:p>
    <w:p>
      <w:pPr>
        <w:spacing w:before="0" w:after="120"/>
      </w:pPr>
      <w:r>
        <w:rPr>
          <w:b/>
        </w:rPr>
        <w:t xml:space="preserve">Notes: </w:t>
      </w:r>
      <w:r>
        <w:t>abstract_source=crossref</w:t>
      </w:r>
    </w:p>
    <w:p>
      <w:pPr>
        <w:spacing w:before="0" w:after="200" w:lineRule="auto" w:line="276"/>
      </w:pPr>
      <w:r>
        <w:rPr>
          <w:b/>
        </w:rPr>
        <w:t xml:space="preserve">Abstract: </w:t>
      </w:r>
      <w:r>
        <w:t>While high‐nickel cathodes offer compelling energy density, their cycle life is severely compromised by transition metal (TM) dissolution and subsequent interfacial degradation at the anode. Herein, we engineer a fully biodegradable composite separator comprising poly(lactic acid) and poly(ethylene glycol) (PLA/PEG) to address these issues through multifunctional integration. The ether‐oxygen‐rich PEG chains not only effectively scavenge dissolved TM ions through strong Lewis acid‐base interactions and enhance interfacial ion transport, but also facilitate hydrolytic breakdown of the PLA matrix, collectively contributing to a self‐mediating interphase, while the mutually‐reinforced degradability of both polymers ensures environmental benignity. The Graphite || NCM811 full cell employing the PLA/PEG separator demonstrates exceptional cyclability, retaining 70.4% capacity after 2000 cycles at 5 C with a cathode loading of 10.56 mg cm</w:t>
      </w:r>
      <w:r>
        <w:t xml:space="preserve"> </w:t>
      </w:r>
      <w:r>
        <w:t>−2</w:t>
      </w:r>
      <w:r>
        <w:t xml:space="preserve"> </w:t>
      </w:r>
      <w:r>
        <w:t>. This work presents a paradigm of eco‐adaptive separator design that concurrently enhances electrochemical durability and environmental sustainability.</w:t>
      </w:r>
    </w:p>
    <w:p>
      <w:pPr>
        <w:spacing w:before="120" w:after="120"/>
      </w:pPr>
      <w:r>
        <w:rPr>
          <w:sz w:val="18"/>
        </w:rPr>
        <w:t>——————————————————————————————————————————————————————————————————————</w:t>
      </w:r>
    </w:p>
    <w:p>
      <w:pPr>
        <w:spacing w:before="160" w:after="80" w:line="240" w:lineRule="auto"/>
      </w:pPr>
      <w:r>
        <w:rPr>
          <w:b/>
        </w:rPr>
        <w:t xml:space="preserve">[194] </w:t>
      </w:r>
      <w:hyperlink r:id="rId301">
        <w:r>
          <w:rPr>
            <w:color w:val="1155CC"/>
            <w:u w:val="single"/>
          </w:rPr>
          <w:t>Conductive Cation Traps for Synthesizing Efficient and Stable Perovskite Catalysts</w:t>
        </w:r>
      </w:hyperlink>
    </w:p>
    <w:p>
      <w:pPr>
        <w:spacing w:before="0" w:after="120" w:line="240" w:lineRule="auto"/>
      </w:pPr>
      <w:r>
        <w:rPr>
          <w:b/>
        </w:rPr>
        <w:t xml:space="preserve">Source: </w:t>
      </w:r>
      <w:r>
        <w:t>Wiley: Advanced Materials: Table of Contents</w:t>
      </w:r>
      <w:r>
        <w:t xml:space="preserve">    </w:t>
      </w:r>
      <w:r>
        <w:rPr>
          <w:b/>
        </w:rPr>
        <w:t xml:space="preserve">Pub date: </w:t>
      </w:r>
      <w:r>
        <w:t>2025-12-31 13:58:39+00:00</w:t>
      </w:r>
      <w:r>
        <w:t xml:space="preserve">    </w:t>
      </w:r>
      <w:r>
        <w:rPr>
          <w:b/>
        </w:rPr>
        <w:t xml:space="preserve">DOI: </w:t>
      </w:r>
      <w:hyperlink r:id="rId302">
        <w:r>
          <w:rPr>
            <w:color w:val="1155CC"/>
            <w:u w:val="single"/>
          </w:rPr>
          <w:t>10.1002/adma.202521954</w:t>
        </w:r>
      </w:hyperlink>
    </w:p>
    <w:p>
      <w:pPr>
        <w:spacing w:before="0" w:after="120"/>
      </w:pPr>
      <w:r>
        <w:rPr>
          <w:b/>
        </w:rPr>
        <w:t xml:space="preserve">Notes: </w:t>
      </w:r>
      <w:r>
        <w:t>abstract_source=crossref</w:t>
      </w:r>
    </w:p>
    <w:p>
      <w:pPr>
        <w:spacing w:before="0" w:after="200" w:lineRule="auto" w:line="276"/>
      </w:pPr>
      <w:r>
        <w:rPr>
          <w:b/>
        </w:rPr>
        <w:t xml:space="preserve">Abstract: </w:t>
      </w:r>
      <w:r>
        <w:t>Perovskite oxides are promising material candidates for many important catalytic and energy conversion processes. Strontium doping at the A sites of perovskite oxides can potentially enhance their performance in these applications. However, the segregation of Sr</w:t>
      </w:r>
      <w:r>
        <w:t xml:space="preserve"> </w:t>
      </w:r>
      <w:r>
        <w:t>2+</w:t>
      </w:r>
      <w:r>
        <w:t xml:space="preserve"> </w:t>
      </w:r>
      <w:r>
        <w:t>to form inert phases, driven by its enrichment on surfaces, renders perovskite oxide materials unstable and inefficient during long‐term operation. Here, we design a Sr</w:t>
      </w:r>
      <w:r>
        <w:t xml:space="preserve"> </w:t>
      </w:r>
      <w:r>
        <w:t>2+</w:t>
      </w:r>
      <w:r>
        <w:t xml:space="preserve"> </w:t>
      </w:r>
      <w:r>
        <w:t>cation trap by introducing SrMoO</w:t>
      </w:r>
      <w:r>
        <w:rPr>
          <w:vertAlign w:val="subscript"/>
        </w:rPr>
        <w:t>4</w:t>
      </w:r>
      <w:r>
        <w:t>during cell fabrication, which partially transforms into conductive SrMoO</w:t>
      </w:r>
      <w:r>
        <w:rPr>
          <w:vertAlign w:val="subscript"/>
        </w:rPr>
        <w:t>3</w:t>
      </w:r>
      <w:r>
        <w:t>under reducing conditions. In the scenario of the high‐temperature CO</w:t>
      </w:r>
      <w:r>
        <w:rPr>
          <w:vertAlign w:val="subscript"/>
        </w:rPr>
        <w:t>2</w:t>
      </w:r>
      <w:r>
        <w:t>reduction reaction (HT‐CO</w:t>
      </w:r>
      <w:r>
        <w:rPr>
          <w:vertAlign w:val="subscript"/>
        </w:rPr>
        <w:t>2</w:t>
      </w:r>
      <w:r>
        <w:t>RR), this conductive cation trap effectively prevents Sr</w:t>
      </w:r>
      <w:r>
        <w:t xml:space="preserve"> </w:t>
      </w:r>
      <w:r>
        <w:t>2+</w:t>
      </w:r>
      <w:r>
        <w:t xml:space="preserve"> </w:t>
      </w:r>
      <w:r>
        <w:t>segregation in electrochemically inert SrCO</w:t>
      </w:r>
      <w:r>
        <w:rPr>
          <w:vertAlign w:val="subscript"/>
        </w:rPr>
        <w:t>3</w:t>
      </w:r>
      <w:r>
        <w:t>phases, concurrently enhancing electrode conductivity and electrocatalytic activity. As a result, we demonstrate, using catalysts consisting of Pr</w:t>
      </w:r>
      <w:r>
        <w:t xml:space="preserve"> </w:t>
      </w:r>
      <w:r>
        <w:t>0.90</w:t>
      </w:r>
      <w:r>
        <w:t xml:space="preserve"> </w:t>
      </w:r>
      <w:r>
        <w:t>Sr</w:t>
      </w:r>
      <w:r>
        <w:t xml:space="preserve"> </w:t>
      </w:r>
      <w:r>
        <w:t>0.10</w:t>
      </w:r>
      <w:r>
        <w:t xml:space="preserve"> </w:t>
      </w:r>
      <w:r>
        <w:t>Co</w:t>
      </w:r>
      <w:r>
        <w:t xml:space="preserve"> </w:t>
      </w:r>
      <w:r>
        <w:t>0.95</w:t>
      </w:r>
      <w:r>
        <w:t xml:space="preserve"> </w:t>
      </w:r>
      <w:r>
        <w:t>Cu</w:t>
      </w:r>
      <w:r>
        <w:t xml:space="preserve"> </w:t>
      </w:r>
      <w:r>
        <w:t>0.05</w:t>
      </w:r>
      <w:r>
        <w:t xml:space="preserve"> </w:t>
      </w:r>
      <w:r>
        <w:t>O</w:t>
      </w:r>
      <w:r>
        <w:t xml:space="preserve"> </w:t>
      </w:r>
      <w:r>
        <w:t>3‐δ</w:t>
      </w:r>
      <w:r>
        <w:t xml:space="preserve"> </w:t>
      </w:r>
      <w:r>
        <w:t>and 19 wt.% SrMoO</w:t>
      </w:r>
      <w:r>
        <w:rPr>
          <w:vertAlign w:val="subscript"/>
        </w:rPr>
        <w:t>4</w:t>
      </w:r>
      <w:r>
        <w:t>, a one‐order‐magnitude reduction of degradation rate compared to the case without cation trapping. We report a current density of 3 A cm</w:t>
      </w:r>
      <w:r>
        <w:t xml:space="preserve"> </w:t>
      </w:r>
      <w:r>
        <w:t>−2</w:t>
      </w:r>
      <w:r>
        <w:t xml:space="preserve"> </w:t>
      </w:r>
      <w:r>
        <w:t>at 1.57 V, along with near‐unity Faradaic efficiencies (FEs) for CO, energy efficiencies (EEs) exceeding 70%, and stable operation for over 160 h at 1 A cm</w:t>
      </w:r>
      <w:r>
        <w:t xml:space="preserve"> </w:t>
      </w:r>
      <w:r>
        <w:t>−2</w:t>
      </w:r>
      <w:r>
        <w:t xml:space="preserve"> </w:t>
      </w:r>
      <w:r>
        <w:t>without degradation.</w:t>
      </w:r>
    </w:p>
    <w:p>
      <w:pPr>
        <w:spacing w:before="120" w:after="120"/>
      </w:pPr>
      <w:r>
        <w:rPr>
          <w:sz w:val="18"/>
        </w:rPr>
        <w:t>——————————————————————————————————————————————————————————————————————</w:t>
      </w:r>
    </w:p>
    <w:p>
      <w:pPr>
        <w:spacing w:before="160" w:after="80" w:line="240" w:lineRule="auto"/>
      </w:pPr>
      <w:r>
        <w:rPr>
          <w:b/>
        </w:rPr>
        <w:t xml:space="preserve">[195] </w:t>
      </w:r>
      <w:hyperlink r:id="rId303">
        <w:r>
          <w:rPr>
            <w:color w:val="1155CC"/>
            <w:u w:val="single"/>
          </w:rPr>
          <w:t>Tunable Charge Transport Properties Through Precise π‐Stacking Modulation in Isostructural Porous Molecular Conductors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14:01:26+00:00</w:t>
      </w:r>
      <w:r>
        <w:t xml:space="preserve">    </w:t>
      </w:r>
      <w:r>
        <w:rPr>
          <w:b/>
        </w:rPr>
        <w:t xml:space="preserve">DOI: </w:t>
      </w:r>
      <w:hyperlink r:id="rId304">
        <w:r>
          <w:rPr>
            <w:color w:val="1155CC"/>
            <w:u w:val="single"/>
          </w:rPr>
          <w:t>10.1002/anie.202515533</w:t>
        </w:r>
      </w:hyperlink>
    </w:p>
    <w:p>
      <w:pPr>
        <w:spacing w:before="0" w:after="120"/>
      </w:pPr>
      <w:r>
        <w:rPr>
          <w:b/>
        </w:rPr>
        <w:t xml:space="preserve">Notes: </w:t>
      </w:r>
      <w:r>
        <w:t>abstract_source=crossref</w:t>
      </w:r>
    </w:p>
    <w:p>
      <w:pPr>
        <w:spacing w:before="0" w:after="200" w:lineRule="auto" w:line="276"/>
      </w:pPr>
      <w:r>
        <w:rPr>
          <w:b/>
        </w:rPr>
        <w:t xml:space="preserve">Abstract: </w:t>
      </w:r>
      <w:r>
        <w:t>Understanding the structure–property relationships in electrically conductive metal–organic frameworks (MOFs) is critical for their rational design toward practical applications. Since single crystals of MOFs with through‐space conductive π‐stacked columnar structures are relatively easy to obtain, their structures can be determined with high accuracy. However, elucidating those structure–property relationships without interference from carrier scattering and variations in carrier concentration remains challenging. Herein, we synthesized three isostructural porous molecular conductors (denoted as</w:t>
      </w:r>
      <w:r>
        <w:t xml:space="preserve"> </w:t>
      </w:r>
      <w:r>
        <w:t>PMC‐3</w:t>
      </w:r>
      <w:r>
        <w:t xml:space="preserve"> </w:t>
      </w:r>
      <w:r>
        <w:t>) via electrocrystallization using a redox‐active</w:t>
      </w:r>
      <w:r>
        <w:t xml:space="preserve"> </w:t>
      </w:r>
      <w:r>
        <w:t>N,N’</w:t>
      </w:r>
      <w:r>
        <w:t xml:space="preserve"> </w:t>
      </w:r>
      <w:r>
        <w:t>‐di(4‐pyridyl)‐1,4,5,8‐naphthalenetetracarboxdiimide (NDI‐py) ligand and ZnX</w:t>
      </w:r>
      <w:r>
        <w:rPr>
          <w:vertAlign w:val="subscript"/>
        </w:rPr>
        <w:t>2</w:t>
      </w:r>
      <w:r>
        <w:t>(X = Cl, Br, I). Single crystals of</w:t>
      </w:r>
      <w:r>
        <w:t xml:space="preserve"> </w:t>
      </w:r>
      <w:r>
        <w:t>PMC‐3</w:t>
      </w:r>
      <w:r>
        <w:t xml:space="preserve"> </w:t>
      </w:r>
      <w:r>
        <w:t>exhibit high electrical conductivity (∼10</w:t>
      </w:r>
      <w:r>
        <w:t xml:space="preserve"> </w:t>
      </w:r>
      <w:r>
        <w:t>−3</w:t>
      </w:r>
      <w:r>
        <w:t xml:space="preserve"> </w:t>
      </w:r>
      <w:r>
        <w:t>S cm</w:t>
      </w:r>
      <w:r>
        <w:t xml:space="preserve"> </w:t>
      </w:r>
      <w:r>
        <w:t>−1</w:t>
      </w:r>
      <w:r>
        <w:t xml:space="preserve"> </w:t>
      </w:r>
      <w:r>
        <w:t>), comparable to the highest values reported for NDI‐based crystalline materials. Moreover,</w:t>
      </w:r>
      <w:r>
        <w:t xml:space="preserve"> </w:t>
      </w:r>
      <w:r>
        <w:t>PMC‐3</w:t>
      </w:r>
      <w:r>
        <w:t xml:space="preserve"> </w:t>
      </w:r>
      <w:r>
        <w:t>serves as a model system for probing structure–property relationships in through‐space conductive MOFs, offering three key advantages. First, the absence of counterions, eliminating carrier scattering; second, identical carrier concentrations across the series, allowing isolation of the effects of</w:t>
      </w:r>
      <w:r>
        <w:t xml:space="preserve"> </w:t>
      </w:r>
      <w:r>
        <w:t>π</w:t>
      </w:r>
      <w:r>
        <w:t xml:space="preserve"> </w:t>
      </w:r>
      <w:r>
        <w:t>‐stacking geometry on transport properties; and third, tunable</w:t>
      </w:r>
      <w:r>
        <w:t xml:space="preserve"> </w:t>
      </w:r>
      <w:r>
        <w:t>π</w:t>
      </w:r>
      <w:r>
        <w:t xml:space="preserve"> </w:t>
      </w:r>
      <w:r>
        <w:t>‐stacking geometries via halide ligand substitution. As a result, a linear correlation between the lattice parameter along the stacking axis and intrinsic charge transport properties is revealed, representing a significant advance in understanding charge transport in through‐space conductive MOFs.</w:t>
      </w:r>
    </w:p>
    <w:p>
      <w:pPr>
        <w:spacing w:before="120" w:after="120"/>
      </w:pPr>
      <w:r>
        <w:rPr>
          <w:sz w:val="18"/>
        </w:rPr>
        <w:t>——————————————————————————————————————————————————————————————————————</w:t>
      </w:r>
    </w:p>
    <w:p>
      <w:pPr>
        <w:spacing w:before="160" w:after="80" w:line="240" w:lineRule="auto"/>
      </w:pPr>
      <w:r>
        <w:rPr>
          <w:b/>
        </w:rPr>
        <w:t xml:space="preserve">[196] </w:t>
      </w:r>
      <w:hyperlink r:id="rId305">
        <w:r>
          <w:rPr>
            <w:color w:val="1155CC"/>
            <w:u w:val="single"/>
          </w:rPr>
          <w:t>Binding Energy‐Assisted Oxidation Potential as a Measure of Prelithiation Capability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2025-12-31 14:05:35+00:00</w:t>
      </w:r>
      <w:r>
        <w:t xml:space="preserve">    </w:t>
      </w:r>
      <w:r>
        <w:rPr>
          <w:b/>
        </w:rPr>
        <w:t xml:space="preserve">DOI: </w:t>
      </w:r>
      <w:hyperlink r:id="rId306">
        <w:r>
          <w:rPr>
            <w:color w:val="1155CC"/>
            <w:u w:val="single"/>
          </w:rPr>
          <w:t>10.1002/anie.202515463</w:t>
        </w:r>
      </w:hyperlink>
    </w:p>
    <w:p>
      <w:pPr>
        <w:spacing w:before="0" w:after="120"/>
      </w:pPr>
      <w:r>
        <w:rPr>
          <w:b/>
        </w:rPr>
        <w:t xml:space="preserve">Notes: </w:t>
      </w:r>
      <w:r>
        <w:t>abstract_source=crossref</w:t>
      </w:r>
    </w:p>
    <w:p>
      <w:pPr>
        <w:spacing w:before="0" w:after="200" w:lineRule="auto" w:line="276"/>
      </w:pPr>
      <w:r>
        <w:rPr>
          <w:b/>
        </w:rPr>
        <w:t xml:space="preserve">Abstract: </w:t>
      </w:r>
      <w:r>
        <w:t>The solution‐based chemical prelithiation of electrode materials is an effective approach to elevate the initial coulombic efficiency (ICE) and energy‐density of the Li‐ion battery. Although various lithium‐aromatic compound complex solutions (LACSs) have been reported as prelithiation reagents, fundamental understandings are still lacking regarding their drastic difference in prelithiation behavior. In this work, the rate‐determining step and some key factors that affect the prelithiation capability were recognized via electrochemical evaluation, spectroscopic analysis, and density functional theory (DFT) calculations. Considering the inherent correlations between the potential of electrochemical Li</w:t>
      </w:r>
      <w:r>
        <w:t xml:space="preserve"> </w:t>
      </w:r>
      <w:r>
        <w:t>+</w:t>
      </w:r>
      <w:r>
        <w:t xml:space="preserve"> </w:t>
      </w:r>
      <w:r>
        <w:t>‐extraction from LACS upon cyclic voltammetry (the oxidation potential of LACS, E</w:t>
      </w:r>
      <w:r>
        <w:t xml:space="preserve"> </w:t>
      </w:r>
      <w:r>
        <w:t>O</w:t>
      </w:r>
      <w:r>
        <w:t xml:space="preserve"> </w:t>
      </w:r>
      <w:r>
        <w:t>), the calculated highest occupied molecular orbital (HOMO) energy level, the binding energy (BE) of the solvated Li‐ions to the solution (BE</w:t>
      </w:r>
      <w:r>
        <w:t xml:space="preserve"> </w:t>
      </w:r>
      <w:r>
        <w:t>solution</w:t>
      </w:r>
      <w:r>
        <w:t xml:space="preserve"> </w:t>
      </w:r>
      <w:r>
        <w:t>), and the prediction accuracy of prelithiation capability and calculations efficiency, we proposed BE‐assisted E</w:t>
      </w:r>
      <w:r>
        <w:t xml:space="preserve"> </w:t>
      </w:r>
      <w:r>
        <w:t>O</w:t>
      </w:r>
      <w:r>
        <w:t xml:space="preserve"> </w:t>
      </w:r>
      <w:r>
        <w:t>as a descriptor for its prelithiation feasibility. This strategy will provide important guidance for the rapid selection and rational design of LACSs for efficient chemical prelithiation.</w:t>
      </w:r>
    </w:p>
    <w:p>
      <w:pPr>
        <w:spacing w:before="120" w:after="120"/>
      </w:pPr>
      <w:r>
        <w:rPr>
          <w:sz w:val="18"/>
        </w:rPr>
        <w:t>——————————————————————————————————————————————————————————————————————</w:t>
      </w:r>
    </w:p>
    <w:p>
      <w:pPr>
        <w:spacing w:before="160" w:after="80" w:line="240" w:lineRule="auto"/>
      </w:pPr>
      <w:r>
        <w:rPr>
          <w:b/>
        </w:rPr>
        <w:t xml:space="preserve">[197] </w:t>
      </w:r>
      <w:hyperlink r:id="rId307">
        <w:r>
          <w:rPr>
            <w:color w:val="1155CC"/>
            <w:u w:val="single"/>
          </w:rPr>
          <w:t>[ASAP] Tracking Interphase Growth at Alloy Anode Interfaces in Sulfide Solid-State Batteries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14:15:56+00:00</w:t>
      </w:r>
      <w:r>
        <w:t xml:space="preserve">    </w:t>
      </w:r>
      <w:r>
        <w:rPr>
          <w:b/>
        </w:rPr>
        <w:t xml:space="preserve">DOI: </w:t>
      </w:r>
      <w:hyperlink r:id="rId308">
        <w:r>
          <w:rPr>
            <w:color w:val="1155CC"/>
            <w:u w:val="single"/>
          </w:rPr>
          <w:t>10.1021/jacs.5c15251</w:t>
        </w:r>
      </w:hyperlink>
    </w:p>
    <w:p>
      <w:pPr>
        <w:spacing w:before="0" w:after="120"/>
      </w:pPr>
      <w:r>
        <w:rPr>
          <w:b/>
        </w:rPr>
        <w:t xml:space="preserve">Notes: </w:t>
      </w:r>
      <w:r>
        <w:t>abstract_source=pubmed</w:t>
      </w:r>
    </w:p>
    <w:p>
      <w:pPr>
        <w:spacing w:before="0" w:after="200" w:lineRule="auto" w:line="276"/>
      </w:pPr>
      <w:r>
        <w:rPr>
          <w:b/>
        </w:rPr>
        <w:t xml:space="preserve">Abstract: </w:t>
      </w:r>
      <w:r>
        <w:t>The chemical stability of solid-state electrolytes (SSEs) in contact with negative electrode materials is essential to enable high performance and safety of solid-state batteries (SSBs). While interphase layers are known to form between Li metal and various sulfide SSEs, there is a lack of understanding of interphase growth in contact with other promising anode materials, such as silicon and aluminum alloys. Here, we track and quantify interphase growth rate, thickness, and composition of various alloy anode thin films in contact with the widely used argyrodite Li6PS5Cl SSE. Using coulometric titration time analysis (CTTA), we find that the average interphase thickness on four alloy anode materials (Ag, Al, Si, and Ge) is less than half that of pure Li metal after 400 h of growth. Furthermore, the interphase growth rate is strongly dependent on the applied stack pressure and varies among the different alloy materials. The interfacial contact area, which is governed by alloy mechanical properties and deformation under stack pressure, is found to be a critical factor in determining interphase growth rate. Time-of-flight secondary-ion mass spectrometry further confirmed thinner and uniform interphase growth on alloy anodes compared to Li metal. This study bolsters our understanding of interfacial stability of various alloy anode materials married with Li6PS5Cl SSE, and it suggests that alloy anodes could exhibit enhanced stability compared to Li in sulfide SSB applications.</w:t>
      </w:r>
    </w:p>
    <w:p>
      <w:pPr>
        <w:spacing w:before="120" w:after="120"/>
      </w:pPr>
      <w:r>
        <w:rPr>
          <w:sz w:val="18"/>
        </w:rPr>
        <w:t>——————————————————————————————————————————————————————————————————————</w:t>
      </w:r>
    </w:p>
    <w:p>
      <w:pPr>
        <w:spacing w:before="160" w:after="80" w:line="240" w:lineRule="auto"/>
      </w:pPr>
      <w:r>
        <w:rPr>
          <w:b/>
        </w:rPr>
        <w:t xml:space="preserve">[198] </w:t>
      </w:r>
      <w:hyperlink r:id="rId309">
        <w:r>
          <w:rPr>
            <w:color w:val="1155CC"/>
            <w:u w:val="single"/>
          </w:rPr>
          <w:t>[ASAP] Redemption of Na2CO3: A Precursor for Ideal Interphase Formation</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2025-12-31 14:18:40+00:00</w:t>
      </w:r>
      <w:r>
        <w:t xml:space="preserve">    </w:t>
      </w:r>
      <w:r>
        <w:rPr>
          <w:b/>
        </w:rPr>
        <w:t xml:space="preserve">DOI: </w:t>
      </w:r>
      <w:hyperlink r:id="rId310">
        <w:r>
          <w:rPr>
            <w:color w:val="1155CC"/>
            <w:u w:val="single"/>
          </w:rPr>
          <w:t>10.1021/acsenergylett.5c03775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[199] </w:t>
      </w:r>
      <w:hyperlink r:id="rId311">
        <w:r>
          <w:rPr>
            <w:color w:val="1155CC"/>
            <w:u w:val="single"/>
          </w:rPr>
          <w:t>[ASAP] Charge Separation Dynamics of Aromatic Molecules at Aqueous Interfaces Revealed by Ultrafast Photoelectron Spectroscopy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15:51:21+00:00</w:t>
      </w:r>
      <w:r>
        <w:t xml:space="preserve">    </w:t>
      </w:r>
      <w:r>
        <w:rPr>
          <w:b/>
        </w:rPr>
        <w:t xml:space="preserve">DOI: </w:t>
      </w:r>
      <w:hyperlink r:id="rId312">
        <w:r>
          <w:rPr>
            <w:color w:val="1155CC"/>
            <w:u w:val="single"/>
          </w:rPr>
          <w:t>10.1021/jacs.5c18369</w:t>
        </w:r>
      </w:hyperlink>
    </w:p>
    <w:p>
      <w:pPr>
        <w:spacing w:before="0" w:after="120"/>
      </w:pPr>
      <w:r>
        <w:rPr>
          <w:b/>
        </w:rPr>
        <w:t xml:space="preserve">Notes: </w:t>
      </w:r>
      <w:r>
        <w:t>abstract_source=pubmed</w:t>
      </w:r>
    </w:p>
    <w:p>
      <w:pPr>
        <w:spacing w:before="0" w:after="200" w:lineRule="auto" w:line="276"/>
      </w:pPr>
      <w:r>
        <w:rPr>
          <w:b/>
        </w:rPr>
        <w:t xml:space="preserve">Abstract: </w:t>
      </w:r>
      <w:r>
        <w:t>Hydrophobic molecules can preferentially accumulate at the air-water interface, leading to interfacial concentrations far exceeding those in bulk solution and causing reactions to occur at higher rates. However, it remains unclear whether the reaction rate constants are intrinsically altered by the interfacial solvation environment. Here, we employ extreme ultraviolet time-resolved photoelectron spectroscopy (EUV-TRPES) to investigate the photoinduced charge-separation dynamics of the surface-active organic molecules indole, phenol, and phenolate. Ultraviolet photoexcitation of interfacial indole was found to produce both valence excited states and electron-cation contact pairs, both of which decayed faster than in the bulk solution. In contrast, interfacial phenol produced only valence excited states, with no detectable hydrated electrons or their precursors. Interfacial phenolate exhibited faster photodetachment than in the bulk solution. Both indole and phenol exhibit concentration-dependent dynamics due to interfacial molecular aggregation. These results contribute to a more comprehensive understanding of interfacial dynamics when considered alongside prior nonlinear optical spectroscopy studies. We further demonstrate EUV-TRPES with 18 fs time resolution, enabling direct observation of the 5 fs internal conversion of interfacial indole from the 1La to 1Lb state, followed by clear vibrational quantum beats. Thus, EUV-TRPES provides a powerful means for probing electronic and vibrational dynamics at interfaces.</w:t>
      </w:r>
    </w:p>
    <w:p>
      <w:pPr>
        <w:spacing w:before="120" w:after="120"/>
      </w:pPr>
      <w:r>
        <w:rPr>
          <w:sz w:val="18"/>
        </w:rPr>
        <w:t>——————————————————————————————————————————————————————————————————————</w:t>
      </w:r>
    </w:p>
    <w:p>
      <w:pPr>
        <w:spacing w:before="160" w:after="80" w:line="240" w:lineRule="auto"/>
      </w:pPr>
      <w:r>
        <w:rPr>
          <w:b/>
        </w:rPr>
        <w:t xml:space="preserve">[200] </w:t>
      </w:r>
      <w:hyperlink r:id="rId313">
        <w:r>
          <w:rPr>
            <w:color w:val="1155CC"/>
            <w:u w:val="single"/>
          </w:rPr>
          <w:t>[ASAP] Partial Desolvation Causes Lithium Structural Transport in Liquid and Gel Polymer Electrolytes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16:01:14+00:00</w:t>
      </w:r>
      <w:r>
        <w:t xml:space="preserve">    </w:t>
      </w:r>
      <w:r>
        <w:rPr>
          <w:b/>
        </w:rPr>
        <w:t xml:space="preserve">DOI: </w:t>
      </w:r>
      <w:hyperlink r:id="rId314">
        <w:r>
          <w:rPr>
            <w:color w:val="1155CC"/>
            <w:u w:val="single"/>
          </w:rPr>
          <w:t>10.1021/jacs.5c18290</w:t>
        </w:r>
      </w:hyperlink>
    </w:p>
    <w:p>
      <w:pPr>
        <w:spacing w:before="0" w:after="120"/>
      </w:pPr>
      <w:r>
        <w:rPr>
          <w:b/>
        </w:rPr>
        <w:t xml:space="preserve">Notes: </w:t>
      </w:r>
      <w:r>
        <w:t>abstract_source=pubmed</w:t>
      </w:r>
    </w:p>
    <w:p>
      <w:pPr>
        <w:spacing w:before="0" w:after="200" w:lineRule="auto" w:line="276"/>
      </w:pPr>
      <w:r>
        <w:rPr>
          <w:b/>
        </w:rPr>
        <w:t xml:space="preserve">Abstract: </w:t>
      </w:r>
      <w:r>
        <w:t>A molecular-level understanding of ion transport is critical for optimizing lithium diffusion in gel polymer electrolytes (GPEs). Using polarization-selective pump-probe and two-dimensional infrared (2D IR) spectroscopy, we quantified lithium solvation structures and desolvation dynamics across the transition from propylene carbonate (PC)/lithium bis(trifluoromethanesulfonyl)imide (LiTFSI) liquid electrolytes to GPEs containing up to 60% poly(propylene carbonate) (PPC). Lithium ions remain preferentially coordinated by PC across all compositions, but the Li+-PC coordination number (CNLi-PC) decreases from four to two with increasing polymer, exhibiting a sharp transition near 30% PPC. Li+-solvent residence times, extracted independently from 2D IR chemical exchange and spectral diffusion measurements, slow from ∼500 ps in liquids to ∼2 ns in 60% GPEs. Strikingly, we find that the residence time, a metric commonly used to quantify structural transport, fails to capture ionic conductivity trends when the coordination environment changes; instead, we introduce a new descriptor, the structural step times (τss), which is defined as residence times normalized by CNLi-PC, capturing the total rate of parallel dissociation pathways available to a lithium cluster. τss quantitatively predicts ionic conductivity across both liquid and gel electrolytes, even when salt concentration and polymer fraction are varied independently. These findings show that lithium structural diffusion is initiated by partial desolvation events, not through concerted "hopping" between solvation sites, underscoring the need for caution when invoking ion hopping as the structural transport mechanism in common nonaqueous electrolytes.</w:t>
      </w:r>
    </w:p>
    <w:p>
      <w:pPr>
        <w:spacing w:before="120" w:after="120"/>
      </w:pPr>
      <w:r>
        <w:rPr>
          <w:sz w:val="18"/>
        </w:rPr>
        <w:t>——————————————————————————————————————————————————————————————————————</w:t>
      </w:r>
    </w:p>
    <w:p>
      <w:pPr>
        <w:spacing w:before="160" w:after="80" w:line="240" w:lineRule="auto"/>
      </w:pPr>
      <w:r>
        <w:rPr>
          <w:b/>
        </w:rPr>
        <w:t xml:space="preserve">[201] </w:t>
      </w:r>
      <w:hyperlink r:id="rId315">
        <w:r>
          <w:rPr>
            <w:color w:val="1155CC"/>
            <w:u w:val="single"/>
          </w:rPr>
          <w:t>[ASAP] Complementary Adsorption within Metal–Organic Frameworks for Ethylene Upgrading from Refinery Dry Gas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16:03:07+00:00</w:t>
      </w:r>
      <w:r>
        <w:t xml:space="preserve">    </w:t>
      </w:r>
      <w:r>
        <w:rPr>
          <w:b/>
        </w:rPr>
        <w:t xml:space="preserve">DOI: </w:t>
      </w:r>
      <w:hyperlink r:id="rId316">
        <w:r>
          <w:rPr>
            <w:color w:val="1155CC"/>
            <w:u w:val="single"/>
          </w:rPr>
          <w:t>10.1021/jacs.5c18112</w:t>
        </w:r>
      </w:hyperlink>
    </w:p>
    <w:p>
      <w:pPr>
        <w:spacing w:before="0" w:after="120"/>
      </w:pPr>
      <w:r>
        <w:rPr>
          <w:b/>
        </w:rPr>
        <w:t xml:space="preserve">Notes: </w:t>
      </w:r>
      <w:r>
        <w:t>abstract_source=pubmed</w:t>
      </w:r>
    </w:p>
    <w:p>
      <w:pPr>
        <w:spacing w:before="0" w:after="200" w:lineRule="auto" w:line="276"/>
      </w:pPr>
      <w:r>
        <w:rPr>
          <w:b/>
        </w:rPr>
        <w:t xml:space="preserve">Abstract: </w:t>
      </w:r>
      <w:r>
        <w:t>Molecule-specific adsorption offers an efficient approach for target molecule purification from complex mixtures that demand a series of energy-intensive separation units. However, existing separation mechanisms that discriminate molecular sizes or functional groups are generally unable to achieve molecule-specific adsorption due to insufficiently identified molecular information. We reveal the complementary adsorption mechanism that discriminates molecules through surface electrostatic potential and molecular shape, covering more comprehensive physical and chemical molecular properties, and realizing precise molecular recognition. The constructed novel porous material ZU-501, which exhibits electrostatic potential and shape complementarity toward ethylene, first realizes ethylene-specific adsorption from typical ethylene mixtures, including C1-C4 paraffins and olefins, and carbon dioxide. The practical use potential of ZU-501 for one-step ethylene recovery from a refinery dry gas is validated by scale-up breakthrough experiments and pressure swing adsorption modeling. This work paves an important avenue for the efficient utilization of low-concentration ethylene resources from diverse scenarios.</w:t>
      </w:r>
    </w:p>
    <w:p>
      <w:pPr>
        <w:spacing w:before="120" w:after="120"/>
      </w:pPr>
      <w:r>
        <w:rPr>
          <w:sz w:val="18"/>
        </w:rPr>
        <w:t>——————————————————————————————————————————————————————————————————————</w:t>
      </w:r>
    </w:p>
    <w:p>
      <w:pPr>
        <w:spacing w:before="160" w:after="80" w:line="240" w:lineRule="auto"/>
      </w:pPr>
      <w:r>
        <w:rPr>
          <w:b/>
        </w:rPr>
        <w:t xml:space="preserve">[202] </w:t>
      </w:r>
      <w:hyperlink r:id="rId317">
        <w:r>
          <w:rPr>
            <w:color w:val="1155CC"/>
            <w:u w:val="single"/>
          </w:rPr>
          <w:t>[ASAP] Dynamic Kinetic Control Enables Nickel-Catalyzed Enantioconvergent C(sp3)–O Coupling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16:48:03+00:00</w:t>
      </w:r>
      <w:r>
        <w:t xml:space="preserve">    </w:t>
      </w:r>
      <w:r>
        <w:rPr>
          <w:b/>
        </w:rPr>
        <w:t xml:space="preserve">DOI: </w:t>
      </w:r>
      <w:hyperlink r:id="rId318">
        <w:r>
          <w:rPr>
            <w:color w:val="1155CC"/>
            <w:u w:val="single"/>
          </w:rPr>
          <w:t>10.1021/jacs.5c18000</w:t>
        </w:r>
      </w:hyperlink>
    </w:p>
    <w:p>
      <w:pPr>
        <w:spacing w:before="0" w:after="120"/>
      </w:pPr>
      <w:r>
        <w:rPr>
          <w:b/>
        </w:rPr>
        <w:t xml:space="preserve">Notes: </w:t>
      </w:r>
      <w:r>
        <w:t>abstract_source=pubmed</w:t>
      </w:r>
    </w:p>
    <w:p>
      <w:pPr>
        <w:spacing w:before="0" w:after="200" w:lineRule="auto" w:line="276"/>
      </w:pPr>
      <w:r>
        <w:rPr>
          <w:b/>
        </w:rPr>
        <w:t xml:space="preserve">Abstract: </w:t>
      </w:r>
      <w:r>
        <w:t>The enantioselective formation of C(sp3)-O bonds from racemic alkyl electrophiles is a longstanding challenge in asymmetric catalysis. Here, we introduce a nickel(II)-catalyzed enantioconvergent SN2 alkylation of racemic secondary alkyl halides with hydroxamic acids that exploits halide-driven substrate racemization under a dynamic kinetic resolution pathway. The reaction proceeds under mild, air- and moisture-tolerant conditions, tolerates diverse electrophiles, and delivers enantioenriched hydroxamates with high selectivity. Gram-scale synthesis and downstream derivatizations highlight the utility of this protocol, enabling concise access to the Rho-pathway inhibitor (S)-CCG-1423 and a key intermediate for the γ-secretase inhibitor LY411575. This strategy establishes a general platform for late-stage, stereoselective C-O bond formation and provides a versatile route to oxygen-containing motifs relevant to bioactive molecules and drug discovery.</w:t>
      </w:r>
    </w:p>
    <w:p>
      <w:pPr>
        <w:spacing w:before="120" w:after="120"/>
      </w:pPr>
      <w:r>
        <w:rPr>
          <w:sz w:val="18"/>
        </w:rPr>
        <w:t>——————————————————————————————————————————————————————————————————————</w:t>
      </w:r>
    </w:p>
    <w:p>
      <w:pPr>
        <w:spacing w:before="160" w:after="80" w:line="240" w:lineRule="auto"/>
      </w:pPr>
      <w:r>
        <w:rPr>
          <w:b/>
        </w:rPr>
        <w:t xml:space="preserve">[203] </w:t>
      </w:r>
      <w:hyperlink r:id="rId319">
        <w:r>
          <w:rPr>
            <w:color w:val="1155CC"/>
            <w:u w:val="single"/>
          </w:rPr>
          <w:t>[ASAP] From Stability Strategies to Practical Implementation: Recent Progress and Prospects on Ultrathin Lithium Metal Anodes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2025-12-31 18:17:35+00:00</w:t>
      </w:r>
      <w:r>
        <w:t xml:space="preserve">    </w:t>
      </w:r>
      <w:r>
        <w:rPr>
          <w:b/>
        </w:rPr>
        <w:t xml:space="preserve">DOI: </w:t>
      </w:r>
      <w:hyperlink r:id="rId320">
        <w:r>
          <w:rPr>
            <w:color w:val="1155CC"/>
            <w:u w:val="single"/>
          </w:rPr>
          <w:t>10.1021/acsenergylett.5c03759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[204] </w:t>
      </w:r>
      <w:hyperlink r:id="rId321">
        <w:r>
          <w:rPr>
            <w:color w:val="1155CC"/>
            <w:u w:val="single"/>
          </w:rPr>
          <w:t>[ASAP] Efficient Surface to Bulk Catalysis in the Reverse Water–Gas Shift Reaction by the FeOx/Fe3C Catalyst</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18:49:47+00:00</w:t>
      </w:r>
      <w:r>
        <w:t xml:space="preserve">    </w:t>
      </w:r>
      <w:r>
        <w:rPr>
          <w:b/>
        </w:rPr>
        <w:t xml:space="preserve">DOI: </w:t>
      </w:r>
      <w:hyperlink r:id="rId322">
        <w:r>
          <w:rPr>
            <w:color w:val="1155CC"/>
            <w:u w:val="single"/>
          </w:rPr>
          <w:t>10.1021/jacs.5c17207</w:t>
        </w:r>
      </w:hyperlink>
    </w:p>
    <w:p>
      <w:pPr>
        <w:spacing w:before="0" w:after="120"/>
      </w:pPr>
      <w:r>
        <w:rPr>
          <w:b/>
        </w:rPr>
        <w:t xml:space="preserve">Notes: </w:t>
      </w:r>
      <w:r>
        <w:t>abstract_source=pubmed</w:t>
      </w:r>
    </w:p>
    <w:p>
      <w:pPr>
        <w:spacing w:before="0" w:after="200" w:lineRule="auto" w:line="276"/>
      </w:pPr>
      <w:r>
        <w:rPr>
          <w:b/>
        </w:rPr>
        <w:t xml:space="preserve">Abstract: </w:t>
      </w:r>
      <w:r>
        <w:t>Unraveling the dynamic structural evolution and reaction mechanisms of catalysts from the surface to bulk phase is key to advancing the understanding of catalytic origins. Herein, we report that an in situ formed dynamic FeOx/Fe3C heterostructure serves as the catalytically active phase, enabling rapid carbon and oxygen atom exchange with reactants under the reverse water-gas shift (RWGS) reaction. On the disordered FeOx (1 ≤ x ≤ 1.5) surface, CO2 is dissociated into gaseous CO and surface O, while partial CO further decomposes into C that infiltrates into the Fe3C lattice. The C atoms from bulk Fe3C can combine with the O atoms on FeOx to form CO, allowing Fe3C to serve as a reservoir for C atom transfer. Meanwhile, H2 effectively removes residual surface oxygen to prevent overoxidation. The FeOx/Fe3C catalyst, enabled by synergistic surface-to-bulk cycling mechanism, achieves an unprecedented rate of 1.1 × 10-2 mol/gcat/s at 600 °C in the RWGS reaction, exceeding all previously reported catalysts. This study reveals mechanistic insight into simultaneous catalysis from the surface to the bulk in heterostructured solid catalysts, offering a new perspective on the origin of the exceptional activity of iron-based catalysts in the RWGS reaction.</w:t>
      </w:r>
    </w:p>
    <w:p>
      <w:pPr>
        <w:spacing w:before="120" w:after="120"/>
      </w:pPr>
      <w:r>
        <w:rPr>
          <w:sz w:val="18"/>
        </w:rPr>
        <w:t>——————————————————————————————————————————————————————————————————————</w:t>
      </w:r>
    </w:p>
    <w:p>
      <w:pPr>
        <w:spacing w:before="160" w:after="80" w:line="240" w:lineRule="auto"/>
      </w:pPr>
      <w:r>
        <w:rPr>
          <w:b/>
        </w:rPr>
        <w:t xml:space="preserve">[205] </w:t>
      </w:r>
      <w:hyperlink r:id="rId323">
        <w:r>
          <w:rPr>
            <w:color w:val="1155CC"/>
            <w:u w:val="single"/>
          </w:rPr>
          <w:t>[ASAP] Beyond Conventional Doping: High-Valence Element Integrated Slight Li Enrichment in Ni-Rich Cathodes with High Capacity and Ultralong Cycle Life</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2025-12-31 19:18:52+00:00</w:t>
      </w:r>
      <w:r>
        <w:t xml:space="preserve">    </w:t>
      </w:r>
      <w:r>
        <w:rPr>
          <w:b/>
        </w:rPr>
        <w:t xml:space="preserve">DOI: </w:t>
      </w:r>
      <w:hyperlink r:id="rId324">
        <w:r>
          <w:rPr>
            <w:color w:val="1155CC"/>
            <w:u w:val="single"/>
          </w:rPr>
          <w:t>10.1021/acsenergylett.5c03896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[206] </w:t>
      </w:r>
      <w:hyperlink r:id="rId325">
        <w:r>
          <w:rPr>
            <w:color w:val="1155CC"/>
            <w:u w:val="single"/>
          </w:rPr>
          <w:t>[ASAP] Ligand-Relay Strategy Enabling Copper-Catalyzed C–C/C–O/C–N Cascade Trifunctionalization of Internal Alkynes and Propargylic Sites: Synthesis of Benzofuran-β-Lactams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20:33:24+00:00</w:t>
      </w:r>
      <w:r>
        <w:t xml:space="preserve">    </w:t>
      </w:r>
      <w:r>
        <w:rPr>
          <w:b/>
        </w:rPr>
        <w:t xml:space="preserve">DOI: </w:t>
      </w:r>
      <w:hyperlink r:id="rId326">
        <w:r>
          <w:rPr>
            <w:color w:val="1155CC"/>
            <w:u w:val="single"/>
          </w:rPr>
          <w:t>10.1021/jacs.5c18736</w:t>
        </w:r>
      </w:hyperlink>
    </w:p>
    <w:p>
      <w:pPr>
        <w:spacing w:before="0" w:after="120"/>
      </w:pPr>
      <w:r>
        <w:rPr>
          <w:b/>
        </w:rPr>
        <w:t xml:space="preserve">Notes: </w:t>
      </w:r>
      <w:r>
        <w:t>abstract_source=pubmed</w:t>
      </w:r>
    </w:p>
    <w:p>
      <w:pPr>
        <w:spacing w:before="0" w:after="200" w:lineRule="auto" w:line="276"/>
      </w:pPr>
      <w:r>
        <w:rPr>
          <w:b/>
        </w:rPr>
        <w:t xml:space="preserve">Abstract: </w:t>
      </w:r>
      <w:r>
        <w:t>Alkynes are versatile synthetic building blocks; however, trifunctionalizations involving both the alkyne and propargylic sites remain rare, primarily due to the challenge of achieving simultaneous π- and σ-activation within a single catalytic system. Herein, a ligand relay strategy has been applied to address this challenge in copper-catalyzed cascade coupling reactions involving the formation of C-C, C-O, and C-N bonds between internal alkynes and phenols in a single operation. This strategy involves an initial σ-activation mediated by a Cu/azodicarboxylate catalytic system to facilitate distal propargylic C-H activation. Subsequently, a nitrogen ligand exchange is employed to suppress the formation of propargylic hydrazide byproduct. Finally, a second ligand exchange with an N-heterocyclic carbene (NHC) induces π-activation of the alkyne moiety. DFT calculations demonstrate that the two ligands complementarily modulate the electronic properties of the copper center to facilitate their respective catalytic cycles, thereby accounting for the observed high chemoselectivity, excellent regioselectivity, and superior catalytic efficiency.</w:t>
      </w:r>
    </w:p>
    <w:p>
      <w:pPr>
        <w:spacing w:before="120" w:after="120"/>
      </w:pPr>
      <w:r>
        <w:rPr>
          <w:sz w:val="18"/>
        </w:rPr>
        <w:t>——————————————————————————————————————————————————————————————————————</w:t>
      </w:r>
    </w:p>
    <w:p>
      <w:pPr>
        <w:spacing w:before="160" w:after="80" w:line="240" w:lineRule="auto"/>
      </w:pPr>
      <w:r>
        <w:rPr>
          <w:b/>
        </w:rPr>
        <w:t xml:space="preserve">[207] </w:t>
      </w:r>
      <w:hyperlink r:id="rId327">
        <w:r>
          <w:rPr>
            <w:color w:val="1155CC"/>
            <w:u w:val="single"/>
          </w:rPr>
          <w:t>[ASAP] Nonclassical Crystallization of Covalent Organic Frameworks Guided by Exogenous Noncovalent Interactions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20:33:59+00:00</w:t>
      </w:r>
      <w:r>
        <w:t xml:space="preserve">    </w:t>
      </w:r>
      <w:r>
        <w:rPr>
          <w:b/>
        </w:rPr>
        <w:t xml:space="preserve">DOI: </w:t>
      </w:r>
      <w:hyperlink r:id="rId328">
        <w:r>
          <w:rPr>
            <w:color w:val="1155CC"/>
            <w:u w:val="single"/>
          </w:rPr>
          <w:t>10.1021/jacs.5c19135</w:t>
        </w:r>
      </w:hyperlink>
    </w:p>
    <w:p>
      <w:pPr>
        <w:spacing w:before="0" w:after="120"/>
      </w:pPr>
      <w:r>
        <w:rPr>
          <w:b/>
        </w:rPr>
        <w:t xml:space="preserve">Notes: </w:t>
      </w:r>
      <w:r>
        <w:t>abstract_source=pubmed</w:t>
      </w:r>
    </w:p>
    <w:p>
      <w:pPr>
        <w:spacing w:before="0" w:after="200" w:lineRule="auto" w:line="276"/>
      </w:pPr>
      <w:r>
        <w:rPr>
          <w:b/>
        </w:rPr>
        <w:t xml:space="preserve">Abstract: </w:t>
      </w:r>
      <w:r>
        <w:t>Nonclassical crystallization has been proposed as a process that breaks through the traditional monomer attachment mode and is widely used to change the crystallization kinetics and the products of various materials. However, the rapid kinetic self-assembly caused by the low crystallization barrier poses a great challenge in elucidating and regulating the control forces and mechanisms of this process. Here, we report for the first time the introduction of additional alkyl amines as a source of exogenous noncovalent interactions in the synthesis of covalent organic frameworks (COFs), thereby regulating the nonclassical crystallization of COFs. The introduction of exogenous noncovalent interactions guides the initial kinetic self-assembly to form intermediate one-dimensional (1D) nanotubes, which prolongs the kinetic assembly stage. We reveal and regulate the crystallization mechanism of nonclassical synergistic competition of COFs based on exogenous noncovalent interactions and endogenous covalent and π-π interactions. In addition, we demonstrate the "seed-germination-growth-maturity" mimicry growth process of COFs by using time-dependent morphological characterization techniques. We have realized the control of exogenous noncovalent interactions by changing the flexibility of supramolecular interactions and prepared a variety of COFs with different superstructures but with the same topology. We also verified through an amine monomer expansion experiment that this strategy has a certain adaptability. Finally, we preliminarily explored the adsorption potential of NNCOFs for anions such as ReO4-/TcO4-. This work emphasizes the understanding and control of crystallization mechanisms in crystalline materials, which will provide new perspectives in materials science and separation chemistry.</w:t>
      </w:r>
    </w:p>
    <w:p>
      <w:pPr>
        <w:spacing w:before="120" w:after="120"/>
      </w:pPr>
      <w:r>
        <w:rPr>
          <w:sz w:val="18"/>
        </w:rPr>
        <w:t>——————————————————————————————————————————————————————————————————————</w:t>
      </w:r>
    </w:p>
    <w:p>
      <w:pPr>
        <w:spacing w:before="160" w:after="80" w:line="240" w:lineRule="auto"/>
      </w:pPr>
      <w:r>
        <w:rPr>
          <w:b/>
        </w:rPr>
        <w:t xml:space="preserve">[208] </w:t>
      </w:r>
      <w:hyperlink r:id="rId329">
        <w:r>
          <w:rPr>
            <w:color w:val="1155CC"/>
            <w:u w:val="single"/>
          </w:rPr>
          <w:t>[ASAP] Circularly Polarized Luminescence in Chiral Potassium Europium Nitrate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20:50:04+00:00</w:t>
      </w:r>
      <w:r>
        <w:t xml:space="preserve">    </w:t>
      </w:r>
      <w:r>
        <w:rPr>
          <w:b/>
        </w:rPr>
        <w:t xml:space="preserve">DOI: </w:t>
      </w:r>
      <w:hyperlink r:id="rId330">
        <w:r>
          <w:rPr>
            <w:color w:val="1155CC"/>
            <w:u w:val="single"/>
          </w:rPr>
          <w:t>10.1021/jacs.5c15763</w:t>
        </w:r>
      </w:hyperlink>
    </w:p>
    <w:p>
      <w:pPr>
        <w:spacing w:before="0" w:after="120"/>
      </w:pPr>
      <w:r>
        <w:rPr>
          <w:b/>
        </w:rPr>
        <w:t xml:space="preserve">Notes: </w:t>
      </w:r>
      <w:r>
        <w:t>abstract_source=pubmed</w:t>
      </w:r>
    </w:p>
    <w:p>
      <w:pPr>
        <w:spacing w:before="0" w:after="200" w:lineRule="auto" w:line="276"/>
      </w:pPr>
      <w:r>
        <w:rPr>
          <w:b/>
        </w:rPr>
        <w:t xml:space="preserve">Abstract: </w:t>
      </w:r>
      <w:r>
        <w:t>Emissive chiral compounds exhibit circularly polarized luminescence (CPL), characterized by the emission intensity of right- and left-circularly polarized light. Unlike chiral organic molecules, inorganic compounds that emit CPL have rarely been reported because of the challenges in controlling the symmetry of inorganic crystals. In this study, we present an all-inorganic crystal with CPL. Single crystals of both enantiomorphs of double nitrate of europium, K3[Eu2(NO3)9], are obtained through spontaneous resolution. The optical rotation is directly confirmed by polarized microscopy. K3[Eu2(NO3)9] possesses an enantiomorphic crystal structure in which europium ions are surrounded by a dissymmetric environment. This compound exhibits sharp red CPL with a high photoluminescence quantum yield, originating from its chiral crystal structure. The arrangement of ions in inorganic crystals induces chiroptical properties, such as CPL.</w:t>
      </w:r>
    </w:p>
    <w:p>
      <w:pPr>
        <w:spacing w:before="120" w:after="120"/>
      </w:pPr>
      <w:r>
        <w:rPr>
          <w:sz w:val="18"/>
        </w:rPr>
        <w:t>——————————————————————————————————————————————————————————————————————</w:t>
      </w:r>
    </w:p>
    <w:p>
      <w:pPr>
        <w:spacing w:before="160" w:after="80" w:line="240" w:lineRule="auto"/>
      </w:pPr>
      <w:r>
        <w:rPr>
          <w:b/>
        </w:rPr>
        <w:t xml:space="preserve">[209] </w:t>
      </w:r>
      <w:hyperlink r:id="rId331">
        <w:r>
          <w:rPr>
            <w:color w:val="1155CC"/>
            <w:u w:val="single"/>
          </w:rPr>
          <w:t>[ASAP] A General Approach to Stereoregular Pseudo-Polysaccharides: Cationic Ring-Opening Polymerization of Monosaccharide Cyclic Thionocarbonates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2025-12-31 20:51:29+00:00</w:t>
      </w:r>
      <w:r>
        <w:t xml:space="preserve">    </w:t>
      </w:r>
      <w:r>
        <w:rPr>
          <w:b/>
        </w:rPr>
        <w:t xml:space="preserve">DOI: </w:t>
      </w:r>
      <w:hyperlink r:id="rId332">
        <w:r>
          <w:rPr>
            <w:color w:val="1155CC"/>
            <w:u w:val="single"/>
          </w:rPr>
          <w:t>10.1021/jacs.5c16382</w:t>
        </w:r>
      </w:hyperlink>
    </w:p>
    <w:p>
      <w:pPr>
        <w:spacing w:before="0" w:after="120"/>
      </w:pPr>
      <w:r>
        <w:rPr>
          <w:b/>
        </w:rPr>
        <w:t xml:space="preserve">Notes: </w:t>
      </w:r>
      <w:r>
        <w:t>abstract_source=pubmed</w:t>
      </w:r>
    </w:p>
    <w:p>
      <w:pPr>
        <w:spacing w:before="0" w:after="200" w:lineRule="auto" w:line="276"/>
      </w:pPr>
      <w:r>
        <w:rPr>
          <w:b/>
        </w:rPr>
        <w:t xml:space="preserve">Abstract: </w:t>
      </w:r>
      <w:r>
        <w:t>Polysaccharide synthesis via chemical polymerization offers an efficient, facile, and cost-effective route to natural and mimetic polysaccharides with diverse biological and material properties. However, current polymerization-based approaches are largely restricted to low molecular weights (&lt;50 kg/mol) and moderate stereoselectivity unlike their naturally derived counterparts where molecular weight is a key determinant of properties and function. Here, we report a robust strategy for constructing thiocarbonate-linked pseudo-polysaccharides via cationic ring-opening polymerization of readily accessible monosaccharide cyclic thionocarbonates. This polymerization proceeds with high reactivity and exclusive stereospecificity, affording pseudo-polysaccharides of high molecular weight (&gt;500 kg/mol) across a variety of monosaccharide repeating units. Incorporation of a chain transfer agent (CTA) enables living polymerization, yielding polymers with predictable chain lengths and defined chain ends. Upon deprotection and sulfation, the resulting pseudo-polysaccharides exhibit strong fibroblast growth factor 2 (FGF2) binding and anticoagulant activity comparable to that of heparin, underscoring their potential as bioactive mimetics of biologically significant natural polysaccharides.</w:t>
      </w:r>
    </w:p>
    <w:p>
      <w:pPr>
        <w:spacing w:before="120" w:after="120"/>
      </w:pPr>
      <w:r>
        <w:rPr>
          <w:sz w:val="18"/>
        </w:rPr>
        <w:t>——————————————————————————————————————————————————————————————————————</w:t>
      </w:r>
    </w:p>
    <w:p>
      <w:pPr>
        <w:spacing w:before="160" w:after="80" w:line="240" w:lineRule="auto"/>
      </w:pPr>
      <w:r>
        <w:rPr>
          <w:b/>
        </w:rPr>
        <w:t xml:space="preserve">[210] </w:t>
      </w:r>
      <w:hyperlink r:id="rId333">
        <w:r>
          <w:rPr>
            <w:color w:val="1155CC"/>
            <w:u w:val="single"/>
          </w:rPr>
          <w:t>Science in 2026: what to expect this year</w:t>
        </w:r>
      </w:hyperlink>
    </w:p>
    <w:p>
      <w:pPr>
        <w:spacing w:before="0" w:after="120" w:line="240" w:lineRule="auto"/>
      </w:pPr>
      <w:r>
        <w:rPr>
          <w:b/>
        </w:rPr>
        <w:t xml:space="preserve">Source: </w:t>
      </w:r>
      <w:r>
        <w:t>Nature</w:t>
      </w:r>
      <w:r>
        <w:t xml:space="preserve">    </w:t>
      </w:r>
      <w:r>
        <w:rPr>
          <w:b/>
        </w:rPr>
        <w:t xml:space="preserve">Pub date: </w:t>
      </w:r>
      <w:r>
        <w:t>2026-01-01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[211] </w:t>
      </w:r>
      <w:hyperlink r:id="rId334">
        <w:r>
          <w:rPr>
            <w:color w:val="1155CC"/>
            <w:u w:val="single"/>
          </w:rPr>
          <w:t>Genetic resistance to leukemia</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35">
        <w:r>
          <w:rPr>
            <w:color w:val="1155CC"/>
            <w:u w:val="single"/>
          </w:rPr>
          <w:t>10.1126/science.aed5244</w:t>
        </w:r>
      </w:hyperlink>
    </w:p>
    <w:p>
      <w:pPr>
        <w:spacing w:before="0" w:after="120"/>
      </w:pPr>
      <w:r>
        <w:rPr>
          <w:b/>
        </w:rPr>
        <w:t xml:space="preserve">Notes: </w:t>
      </w:r>
      <w:r>
        <w:t>abstract_source=crossref</w:t>
      </w:r>
    </w:p>
    <w:p>
      <w:pPr>
        <w:spacing w:before="0" w:after="200" w:lineRule="auto" w:line="276"/>
      </w:pPr>
      <w:r>
        <w:rPr>
          <w:b/>
        </w:rPr>
        <w:t xml:space="preserve">Abstract: </w:t>
      </w:r>
      <w:r>
        <w:t>A genome-wide association study identifies a genetic variant that reduces the risk of leukemia</w:t>
      </w:r>
    </w:p>
    <w:p>
      <w:pPr>
        <w:spacing w:before="120" w:after="120"/>
      </w:pPr>
      <w:r>
        <w:rPr>
          <w:sz w:val="18"/>
        </w:rPr>
        <w:t>——————————————————————————————————————————————————————————————————————</w:t>
      </w:r>
    </w:p>
    <w:p>
      <w:pPr>
        <w:spacing w:before="160" w:after="80" w:line="240" w:lineRule="auto"/>
      </w:pPr>
      <w:r>
        <w:rPr>
          <w:b/>
        </w:rPr>
        <w:t xml:space="preserve">[212] </w:t>
      </w:r>
      <w:hyperlink r:id="rId336">
        <w:r>
          <w:rPr>
            <w:color w:val="1155CC"/>
            <w:u w:val="single"/>
          </w:rPr>
          <w:t>A free-floating-planet microlensing event caused by a Saturn-mass object</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37">
        <w:r>
          <w:rPr>
            <w:color w:val="1155CC"/>
            <w:u w:val="single"/>
          </w:rPr>
          <w:t>10.1126/science.adv9266</w:t>
        </w:r>
      </w:hyperlink>
    </w:p>
    <w:p>
      <w:pPr>
        <w:spacing w:before="0" w:after="120"/>
      </w:pPr>
      <w:r>
        <w:rPr>
          <w:b/>
        </w:rPr>
        <w:t xml:space="preserve">Notes: </w:t>
      </w:r>
      <w:r>
        <w:t>abstract_source=crossref</w:t>
      </w:r>
    </w:p>
    <w:p>
      <w:pPr>
        <w:spacing w:before="0" w:after="200" w:lineRule="auto" w:line="276"/>
      </w:pPr>
      <w:r>
        <w:rPr>
          <w:b/>
        </w:rPr>
        <w:t xml:space="preserve">Abstract: </w:t>
      </w:r>
      <w:r>
        <w:t>A population of free-floating planets is known from gravitational microlensing surveys. None have a directly measured mass, owing to a degeneracy with the distance, but the population statistics indicate that many are less massive than Jupiter. We report a microlensing event—KMT-2024-BLG-0792/OGLE-2024-BLG-0516, which was observed from both ground- and space-based telescopes—that breaks the mass-distance degeneracy. The event was caused by an object with</w:t>
      </w:r>
      <w:r>
        <w:t xml:space="preserve"> </w:t>
      </w:r>
      <w:r>
        <w:t>0.219</w:t>
      </w:r>
      <w:r>
        <w:t xml:space="preserve"> </w:t>
      </w:r>
      <w:r>
        <w:t>−</w:t>
      </w:r>
      <w:r>
        <w:t>0.046</w:t>
      </w:r>
      <w:r>
        <w:t xml:space="preserve"> </w:t>
      </w:r>
      <w:r>
        <w:t>+</w:t>
      </w:r>
      <w:r>
        <w:t xml:space="preserve"> </w:t>
      </w:r>
      <w:r>
        <w:t>0.075</w:t>
      </w:r>
      <w:r>
        <w:t xml:space="preserve"> </w:t>
      </w:r>
      <w:r>
        <w:t>Jupiter masses that is either gravitationally unbound or on a very wide orbit. Through comparison with the statistical properties of other observed microlensing events and predictions from simulations, we infer that this object likely formed in a protoplanetary disk (like a planet), not in isolation (like a brown dwarf). Dynamical processes then ejected it from its birthplace, producing a free-floating object.</w:t>
      </w:r>
    </w:p>
    <w:p>
      <w:pPr>
        <w:spacing w:before="120" w:after="120"/>
      </w:pPr>
      <w:r>
        <w:rPr>
          <w:sz w:val="18"/>
        </w:rPr>
        <w:t>——————————————————————————————————————————————————————————————————————</w:t>
      </w:r>
    </w:p>
    <w:p>
      <w:pPr>
        <w:spacing w:before="160" w:after="80" w:line="240" w:lineRule="auto"/>
      </w:pPr>
      <w:r>
        <w:rPr>
          <w:b/>
        </w:rPr>
        <w:t xml:space="preserve">[213] </w:t>
      </w:r>
      <w:hyperlink r:id="rId338">
        <w:r>
          <w:rPr>
            <w:color w:val="1155CC"/>
            <w:u w:val="single"/>
          </w:rPr>
          <w:t>Two views of a rogue planet</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39">
        <w:r>
          <w:rPr>
            <w:color w:val="1155CC"/>
            <w:u w:val="single"/>
          </w:rPr>
          <w:t>10.1126/science.aed5209</w:t>
        </w:r>
      </w:hyperlink>
    </w:p>
    <w:p>
      <w:pPr>
        <w:spacing w:before="0" w:after="120"/>
      </w:pPr>
      <w:r>
        <w:rPr>
          <w:b/>
        </w:rPr>
        <w:t xml:space="preserve">Notes: </w:t>
      </w:r>
      <w:r>
        <w:t>abstract_source=crossref</w:t>
      </w:r>
    </w:p>
    <w:p>
      <w:pPr>
        <w:spacing w:before="0" w:after="200" w:lineRule="auto" w:line="276"/>
      </w:pPr>
      <w:r>
        <w:rPr>
          <w:b/>
        </w:rPr>
        <w:t xml:space="preserve">Abstract: </w:t>
      </w:r>
      <w:r>
        <w:t>A collaboration between ground and space observations unveils a rogue planet</w:t>
      </w:r>
    </w:p>
    <w:p>
      <w:pPr>
        <w:spacing w:before="120" w:after="120"/>
      </w:pPr>
      <w:r>
        <w:rPr>
          <w:sz w:val="18"/>
        </w:rPr>
        <w:t>——————————————————————————————————————————————————————————————————————</w:t>
      </w:r>
    </w:p>
    <w:p>
      <w:pPr>
        <w:spacing w:before="160" w:after="80" w:line="240" w:lineRule="auto"/>
      </w:pPr>
      <w:r>
        <w:rPr>
          <w:b/>
        </w:rPr>
        <w:t xml:space="preserve">[214] </w:t>
      </w:r>
      <w:hyperlink r:id="rId340">
        <w:r>
          <w:rPr>
            <w:color w:val="1155CC"/>
            <w:u w:val="single"/>
          </w:rPr>
          <w:t>Trump moves to break up leading U.S. climate center</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41">
        <w:r>
          <w:rPr>
            <w:color w:val="1155CC"/>
            <w:u w:val="single"/>
          </w:rPr>
          <w:t>10.1126/science.aef0584</w:t>
        </w:r>
      </w:hyperlink>
    </w:p>
    <w:p>
      <w:pPr>
        <w:spacing w:before="0" w:after="120"/>
      </w:pPr>
      <w:r>
        <w:rPr>
          <w:b/>
        </w:rPr>
        <w:t xml:space="preserve">Notes: </w:t>
      </w:r>
      <w:r>
        <w:t>abstract_source=crossref</w:t>
      </w:r>
    </w:p>
    <w:p>
      <w:pPr>
        <w:spacing w:before="0" w:after="200" w:lineRule="auto" w:line="276"/>
      </w:pPr>
      <w:r>
        <w:rPr>
          <w:b/>
        </w:rPr>
        <w:t xml:space="preserve">Abstract: </w:t>
      </w:r>
      <w:r>
        <w:t>White House budget director says Colorado institution is a source of “climate alarmism”</w:t>
      </w:r>
    </w:p>
    <w:p>
      <w:pPr>
        <w:spacing w:before="120" w:after="120"/>
      </w:pPr>
      <w:r>
        <w:rPr>
          <w:sz w:val="18"/>
        </w:rPr>
        <w:t>——————————————————————————————————————————————————————————————————————</w:t>
      </w:r>
    </w:p>
    <w:p>
      <w:pPr>
        <w:spacing w:before="160" w:after="80" w:line="240" w:lineRule="auto"/>
      </w:pPr>
      <w:r>
        <w:rPr>
          <w:b/>
        </w:rPr>
        <w:t xml:space="preserve">[215] </w:t>
      </w:r>
      <w:hyperlink r:id="rId342">
        <w:r>
          <w:rPr>
            <w:color w:val="1155CC"/>
            <w:u w:val="single"/>
          </w:rPr>
          <w:t>The genetics, evolution, and maintenance of a biological rock-paper-scissors game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43">
        <w:r>
          <w:rPr>
            <w:color w:val="1155CC"/>
            <w:u w:val="single"/>
          </w:rPr>
          <w:t>10.1126/science.adw8265</w:t>
        </w:r>
      </w:hyperlink>
    </w:p>
    <w:p>
      <w:pPr>
        <w:spacing w:before="0" w:after="120"/>
      </w:pPr>
      <w:r>
        <w:rPr>
          <w:b/>
        </w:rPr>
        <w:t xml:space="preserve">Notes: </w:t>
      </w:r>
      <w:r>
        <w:t>abstract_source=crossref</w:t>
      </w:r>
    </w:p>
    <w:p>
      <w:pPr>
        <w:spacing w:before="0" w:after="200" w:lineRule="auto" w:line="276"/>
      </w:pPr>
      <w:r>
        <w:rPr>
          <w:b/>
        </w:rPr>
        <w:t xml:space="preserve">Abstract: </w:t>
      </w:r>
      <w:r>
        <w:t>Side-blotched lizards (</w:t>
      </w:r>
      <w:r>
        <w:t xml:space="preserve"> </w:t>
      </w:r>
      <w:r>
        <w:t>Uta stansburiana</w:t>
      </w:r>
      <w:r>
        <w:t xml:space="preserve"> </w:t>
      </w:r>
      <w:r>
        <w:t>) play a biological rock-paper-scissors game in which three differently colored male morphs utilize alternative mating strategies. We identified the genetic basis of this polymorphism, which was previously posited to arise from three alleles at one locus. Orange usurper and blue mate-guarder morphs are associated with two divergent haplotypes in the regulatory region of the sepiapterin reductase gene, but yellow sneaker morphs appear to arise through phenotypic plasticity from the same genetic background as blue morphs. Our simulations show that rock-paper-scissors dynamics can better maintain a polymorphism with a genetic system of two alleles plus plasticity than with a three-allele system. This form of balancing selection that combines genetic determination with phenotypic plasticity expands the possibilities for how stable polymorphisms arise in nature.</w:t>
      </w:r>
    </w:p>
    <w:p>
      <w:pPr>
        <w:spacing w:before="120" w:after="120"/>
      </w:pPr>
      <w:r>
        <w:rPr>
          <w:sz w:val="18"/>
        </w:rPr>
        <w:t>——————————————————————————————————————————————————————————————————————</w:t>
      </w:r>
    </w:p>
    <w:p>
      <w:pPr>
        <w:spacing w:before="160" w:after="80" w:line="240" w:lineRule="auto"/>
      </w:pPr>
      <w:r>
        <w:rPr>
          <w:b/>
        </w:rPr>
        <w:t xml:space="preserve">[216] </w:t>
      </w:r>
      <w:hyperlink r:id="rId344">
        <w:r>
          <w:rPr>
            <w:color w:val="1155CC"/>
            <w:u w:val="single"/>
          </w:rPr>
          <w:t>Adaptive spread of a sexually selected syndrome eliminates an ancient color polymorphism in wall lizards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45">
        <w:r>
          <w:rPr>
            <w:color w:val="1155CC"/>
            <w:u w:val="single"/>
          </w:rPr>
          <w:t>10.1126/science.adx3708</w:t>
        </w:r>
      </w:hyperlink>
    </w:p>
    <w:p>
      <w:pPr>
        <w:spacing w:before="0" w:after="120"/>
      </w:pPr>
      <w:r>
        <w:rPr>
          <w:b/>
        </w:rPr>
        <w:t xml:space="preserve">Notes: </w:t>
      </w:r>
      <w:r>
        <w:t>abstract_source=crossref</w:t>
      </w:r>
    </w:p>
    <w:p>
      <w:pPr>
        <w:spacing w:before="0" w:after="200" w:lineRule="auto" w:line="276"/>
      </w:pPr>
      <w:r>
        <w:rPr>
          <w:b/>
        </w:rPr>
        <w:t xml:space="preserve">Abstract: </w:t>
      </w:r>
      <w:r>
        <w:t>Genetically determined color morphs are found in many animals. Polymorphism can be maintained by social selection if competitive interactions allow each morph to increase in frequency when rare. This reliance on negative frequency–dependent selection should make color polymorphism vulnerable to the appearance of novel phenotypes that disrupt competitive interactions among morphs. We show that the origin and adaptive spread of a sexually selected syndrome in common wall lizards (</w:t>
      </w:r>
      <w:r>
        <w:t xml:space="preserve"> </w:t>
      </w:r>
      <w:r>
        <w:t>Podarcis muralis</w:t>
      </w:r>
      <w:r>
        <w:t xml:space="preserve"> </w:t>
      </w:r>
      <w:r>
        <w:t>) selectively eliminates alleles coding for alternative color morphs that have been maintained for millions of years. The results demonstrate how the arrival of a novel phenotype can disrupt balancing selection, providing a link between rapid phenotypic evolution and the loss of color polymorphisms.</w:t>
      </w:r>
    </w:p>
    <w:p>
      <w:pPr>
        <w:spacing w:before="120" w:after="120"/>
      </w:pPr>
      <w:r>
        <w:rPr>
          <w:sz w:val="18"/>
        </w:rPr>
        <w:t>——————————————————————————————————————————————————————————————————————</w:t>
      </w:r>
    </w:p>
    <w:p>
      <w:pPr>
        <w:spacing w:before="160" w:after="80" w:line="240" w:lineRule="auto"/>
      </w:pPr>
      <w:r>
        <w:rPr>
          <w:b/>
        </w:rPr>
        <w:t xml:space="preserve">[217] </w:t>
      </w:r>
      <w:hyperlink r:id="rId346">
        <w:r>
          <w:rPr>
            <w:color w:val="1155CC"/>
            <w:u w:val="single"/>
          </w:rPr>
          <w:t>The future of marine fisheries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47">
        <w:r>
          <w:rPr>
            <w:color w:val="1155CC"/>
            <w:u w:val="single"/>
          </w:rPr>
          <w:t>10.1126/science.aec9287</w:t>
        </w:r>
      </w:hyperlink>
    </w:p>
    <w:p>
      <w:pPr>
        <w:spacing w:before="0" w:after="120"/>
      </w:pPr>
      <w:r>
        <w:rPr>
          <w:b/>
        </w:rPr>
        <w:t xml:space="preserve">Notes: </w:t>
      </w:r>
      <w:r>
        <w:t>abstract_source=crossref</w:t>
      </w:r>
    </w:p>
    <w:p>
      <w:pPr>
        <w:spacing w:before="0" w:after="200" w:lineRule="auto" w:line="276"/>
      </w:pPr>
      <w:r>
        <w:rPr>
          <w:b/>
        </w:rPr>
        <w:t xml:space="preserve">Abstract: </w:t>
      </w:r>
      <w:r>
        <w:t>A journalist warns of widespread harm, but better science and management practices point to a robust prognosis</w:t>
      </w:r>
    </w:p>
    <w:p>
      <w:pPr>
        <w:spacing w:before="120" w:after="120"/>
      </w:pPr>
      <w:r>
        <w:rPr>
          <w:sz w:val="18"/>
        </w:rPr>
        <w:t>——————————————————————————————————————————————————————————————————————</w:t>
      </w:r>
    </w:p>
    <w:p>
      <w:pPr>
        <w:spacing w:before="160" w:after="80" w:line="240" w:lineRule="auto"/>
      </w:pPr>
      <w:r>
        <w:rPr>
          <w:b/>
        </w:rPr>
        <w:t xml:space="preserve">[218] </w:t>
      </w:r>
      <w:hyperlink r:id="rId348">
        <w:r>
          <w:rPr>
            <w:color w:val="1155CC"/>
            <w:u w:val="single"/>
          </w:rPr>
          <w:t>Inherited resilience to clonal hematopoiesis by modifying stem cell RNA regulation</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49">
        <w:r>
          <w:rPr>
            <w:color w:val="1155CC"/>
            <w:u w:val="single"/>
          </w:rPr>
          <w:t>10.1126/science.adx4174</w:t>
        </w:r>
      </w:hyperlink>
    </w:p>
    <w:p>
      <w:pPr>
        <w:spacing w:before="0" w:after="120"/>
      </w:pPr>
      <w:r>
        <w:rPr>
          <w:b/>
        </w:rPr>
        <w:t xml:space="preserve">Notes: </w:t>
      </w:r>
      <w:r>
        <w:t>abstract_source=crossref</w:t>
      </w:r>
    </w:p>
    <w:p>
      <w:pPr>
        <w:spacing w:before="0" w:after="200" w:lineRule="auto" w:line="276"/>
      </w:pPr>
      <w:r>
        <w:rPr>
          <w:b/>
        </w:rPr>
        <w:t xml:space="preserve">Abstract: </w:t>
      </w:r>
      <w:r>
        <w:t>Somatic mutations that increase the fitness of hematopoietic stem cells (HSCs) drive their expansion in clonal hematopoiesis (CH) and predispose individuals to blood cancers. Population variation in the growth rate and potential of mutant clones suggests that genetic factors may confer resilience against CH. Here, we identified a noncoding regulatory variant, rs17834140-T, that protects against CH and myeloid malignancies by selectively down-regulating the RNA-binding protein MSI2 in HSCs. By modeling variant effects and mapping MSI2 binding targets, we uncovered an RNA network that maintains human HSCs and influences CH risk. Variant rs17834140-T was associated with slower CH expansion, and stem cell MSI2 levels modified</w:t>
      </w:r>
      <w:r>
        <w:t xml:space="preserve"> </w:t>
      </w:r>
      <w:r>
        <w:t>ASXL1</w:t>
      </w:r>
      <w:r>
        <w:t xml:space="preserve"> </w:t>
      </w:r>
      <w:r>
        <w:t>-mutant HSC clonal dominance. These findings leverage natural resilience to illuminate posttranscriptional regulation in human HSCs, suggesting that inhibition of MSI2 or its targets could be rational strategies for blood cancer prevention.</w:t>
      </w:r>
    </w:p>
    <w:p>
      <w:pPr>
        <w:spacing w:before="120" w:after="120"/>
      </w:pPr>
      <w:r>
        <w:rPr>
          <w:sz w:val="18"/>
        </w:rPr>
        <w:t>——————————————————————————————————————————————————————————————————————</w:t>
      </w:r>
    </w:p>
    <w:p>
      <w:pPr>
        <w:spacing w:before="160" w:after="80" w:line="240" w:lineRule="auto"/>
      </w:pPr>
      <w:r>
        <w:rPr>
          <w:b/>
        </w:rPr>
        <w:t xml:space="preserve">[219] </w:t>
      </w:r>
      <w:hyperlink r:id="rId350">
        <w:r>
          <w:rPr>
            <w:color w:val="1155CC"/>
            <w:u w:val="single"/>
          </w:rPr>
          <w:t>Quantifying host-microbe interactions with bacterial lineage tracing</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51">
        <w:r>
          <w:rPr>
            <w:color w:val="1155CC"/>
            <w:u w:val="single"/>
          </w:rPr>
          <w:t>10.1126/science.adx5362</w:t>
        </w:r>
      </w:hyperlink>
    </w:p>
    <w:p>
      <w:pPr>
        <w:spacing w:before="0" w:after="120"/>
      </w:pPr>
      <w:r>
        <w:rPr>
          <w:b/>
        </w:rPr>
        <w:t xml:space="preserve">Notes: </w:t>
      </w:r>
      <w:r>
        <w:t>abstract_source=crossref</w:t>
      </w:r>
    </w:p>
    <w:p>
      <w:pPr>
        <w:spacing w:before="0" w:after="200" w:lineRule="auto" w:line="276"/>
      </w:pPr>
      <w:r>
        <w:rPr>
          <w:b/>
        </w:rPr>
        <w:t xml:space="preserve">Abstract: </w:t>
      </w:r>
      <w:r>
        <w:t>Using genomic barcodes to trace bacterial lineages within a host reveals previously unobservable dynamics of infection, including the impact of infection bottlenecks, routes of bacterial dissemination, and patterns of within-host evolution. Barcoding introduces trackable diversity to otherwise isogenic bacterial populations. Comparing the barcodes within an inoculum to those within the host quantifies the “founding population,” which reveals the magnitude of population collapse caused by host bottlenecks. Furthermore, comparisons of the founders between tissues can reveal the patterns of pathogen dissemination. On longer timescales, the emergence of dominant barcoded lineages can also be used to detect within-host evolution. Collectively, barcoding studies quantify the hidden parameters that underlie bacterial colonization and create a quantitative framework for modeling and preventing infectious disease.</w:t>
      </w:r>
    </w:p>
    <w:p>
      <w:pPr>
        <w:spacing w:before="120" w:after="120"/>
      </w:pPr>
      <w:r>
        <w:rPr>
          <w:sz w:val="18"/>
        </w:rPr>
        <w:t>——————————————————————————————————————————————————————————————————————</w:t>
      </w:r>
    </w:p>
    <w:p>
      <w:pPr>
        <w:spacing w:before="160" w:after="80" w:line="240" w:lineRule="auto"/>
      </w:pPr>
      <w:r>
        <w:rPr>
          <w:b/>
        </w:rPr>
        <w:t xml:space="preserve">[220] </w:t>
      </w:r>
      <w:hyperlink r:id="rId352">
        <w:r>
          <w:rPr>
            <w:color w:val="1155CC"/>
            <w:u w:val="single"/>
          </w:rPr>
          <w:t>Next steps for WTO fisheries agreement</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53">
        <w:r>
          <w:rPr>
            <w:color w:val="1155CC"/>
            <w:u w:val="single"/>
          </w:rPr>
          <w:t>10.1126/science.aec4094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[221] </w:t>
      </w:r>
      <w:hyperlink r:id="rId354">
        <w:r>
          <w:rPr>
            <w:color w:val="1155CC"/>
            <w:u w:val="single"/>
          </w:rPr>
          <w:t>Hack reveals reviewer identities for huge AI conference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55">
        <w:r>
          <w:rPr>
            <w:color w:val="1155CC"/>
            <w:u w:val="single"/>
          </w:rPr>
          <w:t>10.1126/science.aef0583</w:t>
        </w:r>
      </w:hyperlink>
    </w:p>
    <w:p>
      <w:pPr>
        <w:spacing w:before="0" w:after="120"/>
      </w:pPr>
      <w:r>
        <w:rPr>
          <w:b/>
        </w:rPr>
        <w:t xml:space="preserve">Notes: </w:t>
      </w:r>
      <w:r>
        <w:t>abstract_source=crossref</w:t>
      </w:r>
    </w:p>
    <w:p>
      <w:pPr>
        <w:spacing w:before="0" w:after="200" w:lineRule="auto" w:line="276"/>
      </w:pPr>
      <w:r>
        <w:rPr>
          <w:b/>
        </w:rPr>
        <w:t xml:space="preserve">Abstract: </w:t>
      </w:r>
      <w:r>
        <w:t>Software bug leads to exposure of peer-review records for 10,000 papers</w:t>
      </w:r>
    </w:p>
    <w:p>
      <w:pPr>
        <w:spacing w:before="120" w:after="120"/>
      </w:pPr>
      <w:r>
        <w:rPr>
          <w:sz w:val="18"/>
        </w:rPr>
        <w:t>——————————————————————————————————————————————————————————————————————</w:t>
      </w:r>
    </w:p>
    <w:p>
      <w:pPr>
        <w:spacing w:before="160" w:after="80" w:line="240" w:lineRule="auto"/>
      </w:pPr>
      <w:r>
        <w:rPr>
          <w:b/>
        </w:rPr>
        <w:t xml:space="preserve">[222] </w:t>
      </w:r>
      <w:hyperlink r:id="rId356">
        <w:r>
          <w:rPr>
            <w:color w:val="1155CC"/>
            <w:u w:val="single"/>
          </w:rPr>
          <w:t>Translating climate science into legal standards: Lessons from the Milieudefensie v. Shell case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57">
        <w:r>
          <w:rPr>
            <w:color w:val="1155CC"/>
            <w:u w:val="single"/>
          </w:rPr>
          <w:t>10.1126/science.adz4857</w:t>
        </w:r>
      </w:hyperlink>
    </w:p>
    <w:p>
      <w:pPr>
        <w:spacing w:before="0" w:after="120"/>
      </w:pPr>
      <w:r>
        <w:rPr>
          <w:b/>
        </w:rPr>
        <w:t xml:space="preserve">Notes: </w:t>
      </w:r>
      <w:r>
        <w:t>abstract_source=crossref</w:t>
      </w:r>
    </w:p>
    <w:p>
      <w:pPr>
        <w:spacing w:before="0" w:after="200" w:lineRule="auto" w:line="276"/>
      </w:pPr>
      <w:r>
        <w:rPr>
          <w:b/>
        </w:rPr>
        <w:t xml:space="preserve">Abstract: </w:t>
      </w:r>
      <w:r>
        <w:t>Courts struggle with applying results of integrated assessment models to individual companies</w:t>
      </w:r>
    </w:p>
    <w:p>
      <w:pPr>
        <w:spacing w:before="120" w:after="120"/>
      </w:pPr>
      <w:r>
        <w:rPr>
          <w:sz w:val="18"/>
        </w:rPr>
        <w:t>——————————————————————————————————————————————————————————————————————</w:t>
      </w:r>
    </w:p>
    <w:p>
      <w:pPr>
        <w:spacing w:before="160" w:after="80" w:line="240" w:lineRule="auto"/>
      </w:pPr>
      <w:r>
        <w:rPr>
          <w:b/>
        </w:rPr>
        <w:t xml:space="preserve">[223] </w:t>
      </w:r>
      <w:hyperlink r:id="rId358">
        <w:r>
          <w:rPr>
            <w:color w:val="1155CC"/>
            <w:u w:val="single"/>
          </w:rPr>
          <w:t>Local fields reveal atomic-scale nonadiabatic carrier-phonon dynamics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59">
        <w:r>
          <w:rPr>
            <w:color w:val="1155CC"/>
            <w:u w:val="single"/>
          </w:rPr>
          <w:t>10.1126/science.aea1523</w:t>
        </w:r>
      </w:hyperlink>
    </w:p>
    <w:p>
      <w:pPr>
        <w:spacing w:before="0" w:after="120"/>
      </w:pPr>
      <w:r>
        <w:rPr>
          <w:b/>
        </w:rPr>
        <w:t xml:space="preserve">Notes: </w:t>
      </w:r>
      <w:r>
        <w:t>abstract_source=crossref</w:t>
      </w:r>
    </w:p>
    <w:p>
      <w:pPr>
        <w:spacing w:before="0" w:after="200" w:lineRule="auto" w:line="276"/>
      </w:pPr>
      <w:r>
        <w:rPr>
          <w:b/>
        </w:rPr>
        <w:t xml:space="preserve">Abstract: </w:t>
      </w:r>
      <w:r>
        <w:t>Understanding nonadiabatic carrier-lattice interactions at the atomic scale remains a fundamental challenge, yet these processes govern energy transfer in materials and ultimately set limits in microelectronics. We combined attosecond core-level transient absorption spectroscopy with many-body theory to uncover how nonadiabatic electron-phonon coupling drives ultrafast relaxations in a titanium-carbide MXene. Phonon-driven changes in carrier localization modulated local field effects (LFEs), yielding carrier-, site-, and orbital-specific absorption signatures. LFEs served as sensitive fingerprints of electron-phonon coupling strength across the phonon spectrum and revealed a breakdown of the Born–Oppenheimer approximation: Electrons lagged lattice oscillations by 32 ± 8 femtoseconds, whereas holes responded almost instantaneously (7 ± 7 femtoseconds). Our results establish a framework for probing and controlling nonadiabatic carrier-phonon interactions with orbital and site specificity.</w:t>
      </w:r>
    </w:p>
    <w:p>
      <w:pPr>
        <w:spacing w:before="120" w:after="120"/>
      </w:pPr>
      <w:r>
        <w:rPr>
          <w:sz w:val="18"/>
        </w:rPr>
        <w:t>——————————————————————————————————————————————————————————————————————</w:t>
      </w:r>
    </w:p>
    <w:p>
      <w:pPr>
        <w:spacing w:before="160" w:after="80" w:line="240" w:lineRule="auto"/>
      </w:pPr>
      <w:r>
        <w:rPr>
          <w:b/>
        </w:rPr>
        <w:t xml:space="preserve">[224] </w:t>
      </w:r>
      <w:hyperlink r:id="rId360">
        <w:r>
          <w:rPr>
            <w:color w:val="1155CC"/>
            <w:u w:val="single"/>
          </w:rPr>
          <w:t>Divergent destinies of polymorphism</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61">
        <w:r>
          <w:rPr>
            <w:color w:val="1155CC"/>
            <w:u w:val="single"/>
          </w:rPr>
          <w:t>10.1126/science.aed4903</w:t>
        </w:r>
      </w:hyperlink>
    </w:p>
    <w:p>
      <w:pPr>
        <w:spacing w:before="0" w:after="120"/>
      </w:pPr>
      <w:r>
        <w:rPr>
          <w:b/>
        </w:rPr>
        <w:t xml:space="preserve">Notes: </w:t>
      </w:r>
      <w:r>
        <w:t>abstract_source=crossref</w:t>
      </w:r>
    </w:p>
    <w:p>
      <w:pPr>
        <w:spacing w:before="0" w:after="200" w:lineRule="auto" w:line="276"/>
      </w:pPr>
      <w:r>
        <w:rPr>
          <w:b/>
        </w:rPr>
        <w:t xml:space="preserve">Abstract: </w:t>
      </w:r>
      <w:r>
        <w:t>Lizards maintain or lose color variation through interactions between genetics, selection, and plasticity</w:t>
      </w:r>
    </w:p>
    <w:p>
      <w:pPr>
        <w:spacing w:before="120" w:after="120"/>
      </w:pPr>
      <w:r>
        <w:rPr>
          <w:sz w:val="18"/>
        </w:rPr>
        <w:t>——————————————————————————————————————————————————————————————————————</w:t>
      </w:r>
    </w:p>
    <w:p>
      <w:pPr>
        <w:spacing w:before="160" w:after="80" w:line="240" w:lineRule="auto"/>
      </w:pPr>
      <w:r>
        <w:rPr>
          <w:b/>
        </w:rPr>
        <w:t xml:space="preserve">[225] </w:t>
      </w:r>
      <w:hyperlink r:id="rId362">
        <w:r>
          <w:rPr>
            <w:color w:val="1155CC"/>
            <w:u w:val="single"/>
          </w:rPr>
          <w:t>Lighting the spark of aptamer data science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63">
        <w:r>
          <w:rPr>
            <w:color w:val="1155CC"/>
            <w:u w:val="single"/>
          </w:rPr>
          <w:t>10.1126/science.aed6777</w:t>
        </w:r>
      </w:hyperlink>
    </w:p>
    <w:p>
      <w:pPr>
        <w:spacing w:before="0" w:after="120"/>
      </w:pPr>
      <w:r>
        <w:rPr>
          <w:b/>
        </w:rPr>
        <w:t xml:space="preserve">Notes: </w:t>
      </w:r>
      <w:r>
        <w:t>abstract_source=crossref</w:t>
      </w:r>
    </w:p>
    <w:p>
      <w:pPr>
        <w:spacing w:before="0" w:after="200" w:lineRule="auto" w:line="276"/>
      </w:pPr>
      <w:r>
        <w:rPr>
          <w:b/>
        </w:rPr>
        <w:t xml:space="preserve">Abstract: </w:t>
      </w:r>
      <w:r>
        <w:t>The application of data science to aptamer discovery reveals latent features of enriched libraries</w:t>
      </w:r>
    </w:p>
    <w:p>
      <w:pPr>
        <w:spacing w:before="120" w:after="120"/>
      </w:pPr>
      <w:r>
        <w:rPr>
          <w:sz w:val="18"/>
        </w:rPr>
        <w:t>——————————————————————————————————————————————————————————————————————</w:t>
      </w:r>
    </w:p>
    <w:p>
      <w:pPr>
        <w:spacing w:before="160" w:after="80" w:line="240" w:lineRule="auto"/>
      </w:pPr>
      <w:r>
        <w:rPr>
          <w:b/>
        </w:rPr>
        <w:t xml:space="preserve">[226] </w:t>
      </w:r>
      <w:hyperlink r:id="rId364">
        <w:r>
          <w:rPr>
            <w:color w:val="1155CC"/>
            <w:u w:val="single"/>
          </w:rPr>
          <w:t>Ferrioxalate photocatalysis: A multitasking platform for reductive iron catalysis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65">
        <w:r>
          <w:rPr>
            <w:color w:val="1155CC"/>
            <w:u w:val="single"/>
          </w:rPr>
          <w:t>10.1126/science.aeb1702</w:t>
        </w:r>
      </w:hyperlink>
    </w:p>
    <w:p>
      <w:pPr>
        <w:spacing w:before="0" w:after="120"/>
      </w:pPr>
      <w:r>
        <w:rPr>
          <w:b/>
        </w:rPr>
        <w:t xml:space="preserve">Notes: </w:t>
      </w:r>
      <w:r>
        <w:t>abstract_source=crossref</w:t>
      </w:r>
    </w:p>
    <w:p>
      <w:pPr>
        <w:spacing w:before="0" w:after="200" w:lineRule="auto" w:line="276"/>
      </w:pPr>
      <w:r>
        <w:rPr>
          <w:b/>
        </w:rPr>
        <w:t xml:space="preserve">Abstract: </w:t>
      </w:r>
      <w:r>
        <w:t>Iron’s abundance motivates its use in sustainable catalyst systems that also offer complementary reactivity manifolds compared to precious metals. However, the challenging reduction of benchmark iron salts to active species hinders their application in reductive transformations. In this work, we report a photochemical strategy that exploits the innate reactivity of ligand-to-metal charge transfer (LMCT) excited states of iron oxalate complexes to harness oxalate salts as latent terminal two-electron reductants in iron catalysis. The investigation of this activation mode has led to the development of a versatile catalytic platform enabling transformations hitherto inaccessible to previous iron catalyst systems. The synthetic value of this tactic is demonstrated on diverse reductive transformations using readily available building blocks with high chemoselectivity, opening new synthetic opportunities.</w:t>
      </w:r>
    </w:p>
    <w:p>
      <w:pPr>
        <w:spacing w:before="120" w:after="120"/>
      </w:pPr>
      <w:r>
        <w:rPr>
          <w:sz w:val="18"/>
        </w:rPr>
        <w:t>——————————————————————————————————————————————————————————————————————</w:t>
      </w:r>
    </w:p>
    <w:p>
      <w:pPr>
        <w:spacing w:before="160" w:after="80" w:line="240" w:lineRule="auto"/>
      </w:pPr>
      <w:r>
        <w:rPr>
          <w:b/>
        </w:rPr>
        <w:t xml:space="preserve">[227] </w:t>
      </w:r>
      <w:hyperlink r:id="rId366">
        <w:r>
          <w:rPr>
            <w:color w:val="1155CC"/>
            <w:u w:val="single"/>
          </w:rPr>
          <w:t>Resisting AI slop</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67">
        <w:r>
          <w:rPr>
            <w:color w:val="1155CC"/>
            <w:u w:val="single"/>
          </w:rPr>
          <w:t>10.1126/science.aee8267</w:t>
        </w:r>
      </w:hyperlink>
    </w:p>
    <w:p>
      <w:pPr>
        <w:spacing w:before="0" w:after="120"/>
      </w:pPr>
      <w:r>
        <w:rPr>
          <w:b/>
        </w:rPr>
        <w:t xml:space="preserve">Notes: </w:t>
      </w:r>
      <w:r>
        <w:t>abstract_source=crossref</w:t>
      </w:r>
    </w:p>
    <w:p>
      <w:pPr>
        <w:spacing w:before="0" w:after="200" w:lineRule="auto" w:line="276"/>
      </w:pPr>
      <w:r>
        <w:rPr>
          <w:b/>
        </w:rPr>
        <w:t xml:space="preserve">Abstract: </w:t>
      </w:r>
      <w:r>
        <w:t>It’s hard to talk about any topic in science or education today without the subject of artificial intelligence (AI) coming up—whether large language models should be allowed to aid in searching for a scientific paper or even to write or review the paper itself. In some of the wildest speculations, the humans involved in conducting scientific studies and experiments and vetting the results for publication will be steadily eliminated from the process. But when such grandiose rhetoric starts flying, we at</w:t>
      </w:r>
      <w:r>
        <w:t xml:space="preserve"> </w:t>
      </w:r>
      <w:r>
        <w:t>Science</w:t>
      </w:r>
      <w:r>
        <w:t xml:space="preserve"> </w:t>
      </w:r>
      <w:r>
        <w:t>try to keep calm and carry on in contributing to a robust, human-curated research literature that will stand the test of time.</w:t>
      </w:r>
    </w:p>
    <w:p>
      <w:pPr>
        <w:spacing w:before="120" w:after="120"/>
      </w:pPr>
      <w:r>
        <w:rPr>
          <w:sz w:val="18"/>
        </w:rPr>
        <w:t>——————————————————————————————————————————————————————————————————————</w:t>
      </w:r>
    </w:p>
    <w:p>
      <w:pPr>
        <w:spacing w:before="160" w:after="80" w:line="240" w:lineRule="auto"/>
      </w:pPr>
      <w:r>
        <w:rPr>
          <w:b/>
        </w:rPr>
        <w:t xml:space="preserve">[228] </w:t>
      </w:r>
      <w:hyperlink r:id="rId368">
        <w:r>
          <w:rPr>
            <w:color w:val="1155CC"/>
            <w:u w:val="single"/>
          </w:rPr>
          <w:t>In Other Journals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69">
        <w:r>
          <w:rPr>
            <w:color w:val="1155CC"/>
            <w:u w:val="single"/>
          </w:rPr>
          <w:t>10.1126/science.aee9317</w:t>
        </w:r>
      </w:hyperlink>
    </w:p>
    <w:p>
      <w:pPr>
        <w:spacing w:before="0" w:after="120"/>
      </w:pPr>
      <w:r>
        <w:rPr>
          <w:b/>
        </w:rPr>
        <w:t xml:space="preserve">Notes: </w:t>
      </w:r>
      <w:r>
        <w:t>abstract_source=crossref</w:t>
      </w:r>
    </w:p>
    <w:p>
      <w:pPr>
        <w:spacing w:before="0" w:after="200" w:lineRule="auto" w:line="276"/>
      </w:pPr>
      <w:r>
        <w:rPr>
          <w:b/>
        </w:rPr>
        <w:t xml:space="preserve">Abstract: </w:t>
      </w:r>
      <w:r>
        <w:t>Editors’ selections from the current scientific literature</w:t>
      </w:r>
    </w:p>
    <w:p>
      <w:pPr>
        <w:spacing w:before="120" w:after="120"/>
      </w:pPr>
      <w:r>
        <w:rPr>
          <w:sz w:val="18"/>
        </w:rPr>
        <w:t>——————————————————————————————————————————————————————————————————————</w:t>
      </w:r>
    </w:p>
    <w:p>
      <w:pPr>
        <w:spacing w:before="160" w:after="80" w:line="240" w:lineRule="auto"/>
      </w:pPr>
      <w:r>
        <w:rPr>
          <w:b/>
        </w:rPr>
        <w:t xml:space="preserve">[229] </w:t>
      </w:r>
      <w:hyperlink r:id="rId370">
        <w:r>
          <w:rPr>
            <w:color w:val="1155CC"/>
            <w:u w:val="single"/>
          </w:rPr>
          <w:t>Building confidence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71">
        <w:r>
          <w:rPr>
            <w:color w:val="1155CC"/>
            <w:u w:val="single"/>
          </w:rPr>
          <w:t>10.1126/science.aee9318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[230] </w:t>
      </w:r>
      <w:hyperlink r:id="rId372">
        <w:r>
          <w:rPr>
            <w:color w:val="1155CC"/>
            <w:u w:val="single"/>
          </w:rPr>
          <w:t>In Science Journals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73">
        <w:r>
          <w:rPr>
            <w:color w:val="1155CC"/>
            <w:u w:val="single"/>
          </w:rPr>
          <w:t>10.1126/science.aee9316</w:t>
        </w:r>
      </w:hyperlink>
    </w:p>
    <w:p>
      <w:pPr>
        <w:spacing w:before="0" w:after="120"/>
      </w:pPr>
      <w:r>
        <w:rPr>
          <w:b/>
        </w:rPr>
        <w:t xml:space="preserve">Notes: </w:t>
      </w:r>
      <w:r>
        <w:t>abstract_source=crossref</w:t>
      </w:r>
    </w:p>
    <w:p>
      <w:pPr>
        <w:spacing w:before="0" w:after="200" w:lineRule="auto" w:line="276"/>
      </w:pPr>
      <w:r>
        <w:rPr>
          <w:b/>
        </w:rPr>
        <w:t xml:space="preserve">Abstract: </w:t>
      </w:r>
      <w:r>
        <w:t>Highlights from the</w:t>
      </w:r>
      <w:r>
        <w:t xml:space="preserve"> </w:t>
      </w:r>
      <w:r>
        <w:t>Science</w:t>
      </w:r>
      <w:r>
        <w:t xml:space="preserve"> </w:t>
      </w:r>
      <w:r>
        <w:t>family of journals</w:t>
      </w:r>
    </w:p>
    <w:p>
      <w:pPr>
        <w:spacing w:before="120" w:after="120"/>
      </w:pPr>
      <w:r>
        <w:rPr>
          <w:sz w:val="18"/>
        </w:rPr>
        <w:t>——————————————————————————————————————————————————————————————————————</w:t>
      </w:r>
    </w:p>
    <w:p>
      <w:pPr>
        <w:spacing w:before="160" w:after="80" w:line="240" w:lineRule="auto"/>
      </w:pPr>
      <w:r>
        <w:rPr>
          <w:b/>
        </w:rPr>
        <w:t xml:space="preserve">[231] </w:t>
      </w:r>
      <w:hyperlink r:id="rId374">
        <w:r>
          <w:rPr>
            <w:color w:val="1155CC"/>
            <w:u w:val="single"/>
          </w:rPr>
          <w:t>AI threatens to upend online social science research</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75">
        <w:r>
          <w:rPr>
            <w:color w:val="1155CC"/>
            <w:u w:val="single"/>
          </w:rPr>
          <w:t>10.1126/science.aef0579</w:t>
        </w:r>
      </w:hyperlink>
    </w:p>
    <w:p>
      <w:pPr>
        <w:spacing w:before="0" w:after="120"/>
      </w:pPr>
      <w:r>
        <w:rPr>
          <w:b/>
        </w:rPr>
        <w:t xml:space="preserve">Notes: </w:t>
      </w:r>
      <w:r>
        <w:t>abstract_source=crossref</w:t>
      </w:r>
    </w:p>
    <w:p>
      <w:pPr>
        <w:spacing w:before="0" w:after="200" w:lineRule="auto" w:line="276"/>
      </w:pPr>
      <w:r>
        <w:rPr>
          <w:b/>
        </w:rPr>
        <w:t xml:space="preserve">Abstract: </w:t>
      </w:r>
      <w:r>
        <w:t>Researchers stuck in arms race as increasingly sophisticated models evade detection tools</w:t>
      </w:r>
    </w:p>
    <w:p>
      <w:pPr>
        <w:spacing w:before="120" w:after="120"/>
      </w:pPr>
      <w:r>
        <w:rPr>
          <w:sz w:val="18"/>
        </w:rPr>
        <w:t>——————————————————————————————————————————————————————————————————————</w:t>
      </w:r>
    </w:p>
    <w:p>
      <w:pPr>
        <w:spacing w:before="160" w:after="80" w:line="240" w:lineRule="auto"/>
      </w:pPr>
      <w:r>
        <w:rPr>
          <w:b/>
        </w:rPr>
        <w:t xml:space="preserve">[232] </w:t>
      </w:r>
      <w:hyperlink r:id="rId376">
        <w:r>
          <w:rPr>
            <w:color w:val="1155CC"/>
            <w:u w:val="single"/>
          </w:rPr>
          <w:t>Australia’s harmful fossil fuel approvals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77">
        <w:r>
          <w:rPr>
            <w:color w:val="1155CC"/>
            <w:u w:val="single"/>
          </w:rPr>
          <w:t>10.1126/science.aed7274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[233] </w:t>
      </w:r>
      <w:hyperlink r:id="rId378">
        <w:r>
          <w:rPr>
            <w:color w:val="1155CC"/>
            <w:u w:val="single"/>
          </w:rPr>
          <w:t>Man in the middle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79">
        <w:r>
          <w:rPr>
            <w:color w:val="1155CC"/>
            <w:u w:val="single"/>
          </w:rPr>
          <w:t>10.1126/science.aee9886</w:t>
        </w:r>
      </w:hyperlink>
    </w:p>
    <w:p>
      <w:pPr>
        <w:spacing w:before="0" w:after="120"/>
      </w:pPr>
      <w:r>
        <w:rPr>
          <w:b/>
        </w:rPr>
        <w:t xml:space="preserve">Notes: </w:t>
      </w:r>
      <w:r>
        <w:t>abstract_source=crossref</w:t>
      </w:r>
    </w:p>
    <w:p>
      <w:pPr>
        <w:spacing w:before="0" w:after="200" w:lineRule="auto" w:line="276"/>
      </w:pPr>
      <w:r>
        <w:rPr>
          <w:b/>
        </w:rPr>
        <w:t xml:space="preserve">Abstract: </w:t>
      </w:r>
      <w:r>
        <w:t>NIH Director Jay Bhattacharya has struggled to convince observers he has the agency’s best interests in mind—and is truly in charge</w:t>
      </w:r>
    </w:p>
    <w:p>
      <w:pPr>
        <w:spacing w:before="120" w:after="120"/>
      </w:pPr>
      <w:r>
        <w:rPr>
          <w:sz w:val="18"/>
        </w:rPr>
        <w:t>——————————————————————————————————————————————————————————————————————</w:t>
      </w:r>
    </w:p>
    <w:p>
      <w:pPr>
        <w:spacing w:before="160" w:after="80" w:line="240" w:lineRule="auto"/>
      </w:pPr>
      <w:r>
        <w:rPr>
          <w:b/>
        </w:rPr>
        <w:t xml:space="preserve">[234] </w:t>
      </w:r>
      <w:hyperlink r:id="rId380">
        <w:r>
          <w:rPr>
            <w:color w:val="1155CC"/>
            <w:u w:val="single"/>
          </w:rPr>
          <w:t>Australian rare earth plans imperil biodiversity</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81">
        <w:r>
          <w:rPr>
            <w:color w:val="1155CC"/>
            <w:u w:val="single"/>
          </w:rPr>
          <w:t>10.1126/science.aed7259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[235] </w:t>
      </w:r>
      <w:hyperlink r:id="rId382">
        <w:r>
          <w:rPr>
            <w:color w:val="1155CC"/>
            <w:u w:val="single"/>
          </w:rPr>
          <w:t>Sun-size lens could reveal alien continents and oceans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83">
        <w:r>
          <w:rPr>
            <w:color w:val="1155CC"/>
            <w:u w:val="single"/>
          </w:rPr>
          <w:t>10.1126/science.aef0581</w:t>
        </w:r>
      </w:hyperlink>
    </w:p>
    <w:p>
      <w:pPr>
        <w:spacing w:before="0" w:after="120"/>
      </w:pPr>
      <w:r>
        <w:rPr>
          <w:b/>
        </w:rPr>
        <w:t xml:space="preserve">Notes: </w:t>
      </w:r>
      <w:r>
        <w:t>abstract_source=crossref</w:t>
      </w:r>
    </w:p>
    <w:p>
      <w:pPr>
        <w:spacing w:before="0" w:after="200" w:lineRule="auto" w:line="276"/>
      </w:pPr>
      <w:r>
        <w:rPr>
          <w:b/>
        </w:rPr>
        <w:t xml:space="preserve">Abstract: </w:t>
      </w:r>
      <w:r>
        <w:t>Telescopes far beyond Pluto could use the Sun’s gravity to magnify a distant planet</w:t>
      </w:r>
    </w:p>
    <w:p>
      <w:pPr>
        <w:spacing w:before="120" w:after="120"/>
      </w:pPr>
      <w:r>
        <w:rPr>
          <w:sz w:val="18"/>
        </w:rPr>
        <w:t>——————————————————————————————————————————————————————————————————————</w:t>
      </w:r>
    </w:p>
    <w:p>
      <w:pPr>
        <w:spacing w:before="160" w:after="80" w:line="240" w:lineRule="auto"/>
      </w:pPr>
      <w:r>
        <w:rPr>
          <w:b/>
        </w:rPr>
        <w:t xml:space="preserve">[236] </w:t>
      </w:r>
      <w:hyperlink r:id="rId384">
        <w:r>
          <w:rPr>
            <w:color w:val="1155CC"/>
            <w:u w:val="single"/>
          </w:rPr>
          <w:t>Study of South Asian genomes illuminates roots of milk drinking</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85">
        <w:r>
          <w:rPr>
            <w:color w:val="1155CC"/>
            <w:u w:val="single"/>
          </w:rPr>
          <w:t>10.1126/science.aef0582</w:t>
        </w:r>
      </w:hyperlink>
    </w:p>
    <w:p>
      <w:pPr>
        <w:spacing w:before="0" w:after="120"/>
      </w:pPr>
      <w:r>
        <w:rPr>
          <w:b/>
        </w:rPr>
        <w:t xml:space="preserve">Notes: </w:t>
      </w:r>
      <w:r>
        <w:t>abstract_source=crossref</w:t>
      </w:r>
    </w:p>
    <w:p>
      <w:pPr>
        <w:spacing w:before="0" w:after="200" w:lineRule="auto" w:line="276"/>
      </w:pPr>
      <w:r>
        <w:rPr>
          <w:b/>
        </w:rPr>
        <w:t xml:space="preserve">Abstract: </w:t>
      </w:r>
      <w:r>
        <w:t>Natural selection was at work—but only in populations with no alternative to dairy</w:t>
      </w:r>
    </w:p>
    <w:p>
      <w:pPr>
        <w:spacing w:before="120" w:after="120"/>
      </w:pPr>
      <w:r>
        <w:rPr>
          <w:sz w:val="18"/>
        </w:rPr>
        <w:t>——————————————————————————————————————————————————————————————————————</w:t>
      </w:r>
    </w:p>
    <w:p>
      <w:pPr>
        <w:spacing w:before="160" w:after="80" w:line="240" w:lineRule="auto"/>
      </w:pPr>
      <w:r>
        <w:rPr>
          <w:b/>
        </w:rPr>
        <w:t xml:space="preserve">[237] </w:t>
      </w:r>
      <w:hyperlink r:id="rId386">
        <w:r>
          <w:rPr>
            <w:color w:val="1155CC"/>
            <w:u w:val="single"/>
          </w:rPr>
          <w:t>Bell Labs 2.0? Silicon Valley bets on science</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87">
        <w:r>
          <w:rPr>
            <w:color w:val="1155CC"/>
            <w:u w:val="single"/>
          </w:rPr>
          <w:t>10.1126/science.aef0580</w:t>
        </w:r>
      </w:hyperlink>
    </w:p>
    <w:p>
      <w:pPr>
        <w:spacing w:before="0" w:after="120"/>
      </w:pPr>
      <w:r>
        <w:rPr>
          <w:b/>
        </w:rPr>
        <w:t xml:space="preserve">Notes: </w:t>
      </w:r>
      <w:r>
        <w:t>abstract_source=crossref</w:t>
      </w:r>
    </w:p>
    <w:p>
      <w:pPr>
        <w:spacing w:before="0" w:after="200" w:lineRule="auto" w:line="276"/>
      </w:pPr>
      <w:r>
        <w:rPr>
          <w:b/>
        </w:rPr>
        <w:t xml:space="preserve">Abstract: </w:t>
      </w:r>
      <w:r>
        <w:t>Billionaire-backed Episteme aims to free research from bureaucracy. History shows that’s a tall task</w:t>
      </w:r>
    </w:p>
    <w:p>
      <w:pPr>
        <w:spacing w:before="120" w:after="120"/>
      </w:pPr>
      <w:r>
        <w:rPr>
          <w:sz w:val="18"/>
        </w:rPr>
        <w:t>——————————————————————————————————————————————————————————————————————</w:t>
      </w:r>
    </w:p>
    <w:p>
      <w:pPr>
        <w:spacing w:before="160" w:after="80" w:line="240" w:lineRule="auto"/>
      </w:pPr>
      <w:r>
        <w:rPr>
          <w:b/>
        </w:rPr>
        <w:t xml:space="preserve">[238] </w:t>
      </w:r>
      <w:hyperlink r:id="rId388">
        <w:r>
          <w:rPr>
            <w:color w:val="1155CC"/>
            <w:u w:val="single"/>
          </w:rPr>
          <w:t>Rethinking intersex interventions</w:t>
        </w:r>
      </w:hyperlink>
    </w:p>
    <w:p>
      <w:pPr>
        <w:spacing w:before="0" w:after="120" w:line="240" w:lineRule="auto"/>
      </w:pPr>
      <w:r>
        <w:rPr>
          <w:b/>
        </w:rPr>
        <w:t xml:space="preserve">Source: </w:t>
      </w:r>
      <w:r>
        <w:t>AAAS: Science: Table of Contents</w:t>
      </w:r>
      <w:r>
        <w:t xml:space="preserve">    </w:t>
      </w:r>
      <w:r>
        <w:rPr>
          <w:b/>
        </w:rPr>
        <w:t xml:space="preserve">Pub date: </w:t>
      </w:r>
      <w:r>
        <w:t>2026-01-01 07:00:11+00:00</w:t>
      </w:r>
      <w:r>
        <w:t xml:space="preserve">    </w:t>
      </w:r>
      <w:r>
        <w:rPr>
          <w:b/>
        </w:rPr>
        <w:t xml:space="preserve">DOI: </w:t>
      </w:r>
      <w:hyperlink r:id="rId389">
        <w:r>
          <w:rPr>
            <w:color w:val="1155CC"/>
            <w:u w:val="single"/>
          </w:rPr>
          <w:t>10.1126/science.aeb5814</w:t>
        </w:r>
      </w:hyperlink>
    </w:p>
    <w:p>
      <w:pPr>
        <w:spacing w:before="0" w:after="120"/>
      </w:pPr>
      <w:r>
        <w:rPr>
          <w:b/>
        </w:rPr>
        <w:t xml:space="preserve">Notes: </w:t>
      </w:r>
      <w:r>
        <w:t>abstract_source=crossref</w:t>
      </w:r>
    </w:p>
    <w:p>
      <w:pPr>
        <w:spacing w:before="0" w:after="200" w:lineRule="auto" w:line="276"/>
      </w:pPr>
      <w:r>
        <w:rPr>
          <w:b/>
        </w:rPr>
        <w:t xml:space="preserve">Abstract: </w:t>
      </w:r>
      <w:r>
        <w:t>Surgeries do more harm than good for those who do not meet binary sex expectations, argues a scholar</w:t>
      </w:r>
    </w:p>
    <w:p>
      <w:pPr>
        <w:spacing w:before="120" w:after="120"/>
      </w:pPr>
      <w:r>
        <w:rPr>
          <w:sz w:val="18"/>
        </w:rPr>
        <w:t>——————————————————————————————————————————————————————————————————————</w:t>
      </w:r>
    </w:p>
    <w:p>
      <w:pPr>
        <w:spacing w:before="160" w:after="80" w:line="240" w:lineRule="auto"/>
      </w:pPr>
      <w:r>
        <w:rPr>
          <w:b/>
        </w:rPr>
        <w:t xml:space="preserve">[239] </w:t>
      </w:r>
      <w:hyperlink r:id="rId390">
        <w:r>
          <w:rPr>
            <w:color w:val="1155CC"/>
            <w:u w:val="single"/>
          </w:rPr>
          <w:t>Cholesterol efflux protein, ABCA1, supports anticancer functions of myeloid immune cells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391">
        <w:r>
          <w:rPr>
            <w:color w:val="1155CC"/>
            <w:u w:val="single"/>
          </w:rPr>
          <w:t>10.1126/sciadv.adx5490</w:t>
        </w:r>
      </w:hyperlink>
    </w:p>
    <w:p>
      <w:pPr>
        <w:spacing w:before="0" w:after="120"/>
      </w:pPr>
      <w:r>
        <w:rPr>
          <w:b/>
        </w:rPr>
        <w:t xml:space="preserve">Notes: </w:t>
      </w:r>
      <w:r>
        <w:t>abstract_source=crossref</w:t>
      </w:r>
    </w:p>
    <w:p>
      <w:pPr>
        <w:spacing w:before="0" w:after="200" w:lineRule="auto" w:line="276"/>
      </w:pPr>
      <w:r>
        <w:rPr>
          <w:b/>
        </w:rPr>
        <w:t xml:space="preserve">Abstract: </w:t>
      </w:r>
      <w:r>
        <w:t>Breast and other solid tumors respond poorly to immune therapy. Myeloid cells (MCs) such as macrophages contribute to resistance. Established clinical evidence links cholesterol to cancer outcomes, with MC function being regulated by cholesterol metabolism. We screened MC-expressed regulators of cholesterol homeostasis linked to survival and identified the cholesterol efflux protein ABCA1. ABCA1 activity increases anticancer functions of macrophages: enhancing tumor infiltration, decreasing angiogenic potential, reducing efferocytosis, and improving support of CD8+ T cell activity. Mechanistically, different AKT isoforms are involved, through both PI3K-dependent and PI3K-independent mechanisms. Highlighting the clinical relevance of our findings are correlations between ABCA1 in macrophages and angiogenic potential,</w:t>
      </w:r>
      <w:r>
        <w:t xml:space="preserve"> </w:t>
      </w:r>
      <w:r>
        <w:t>VEGFA</w:t>
      </w:r>
      <w:r>
        <w:t xml:space="preserve"> </w:t>
      </w:r>
      <w:r>
        <w:t>, and CD8 T cell abundance and activity. The culmination of these activities was demonstrated through increased tumor growth and metastasis in mice lacking MC-expressed ABCA1. Tumors grown in these mice were also more resistant to immune therapy. Therefore, modulating ABCA1 activity within MCs may represent a previously unidentified approach to immune therapy.</w:t>
      </w:r>
    </w:p>
    <w:p>
      <w:pPr>
        <w:spacing w:before="120" w:after="120"/>
      </w:pPr>
      <w:r>
        <w:rPr>
          <w:sz w:val="18"/>
        </w:rPr>
        <w:t>——————————————————————————————————————————————————————————————————————</w:t>
      </w:r>
    </w:p>
    <w:p>
      <w:pPr>
        <w:spacing w:before="160" w:after="80" w:line="240" w:lineRule="auto"/>
      </w:pPr>
      <w:r>
        <w:rPr>
          <w:b/>
        </w:rPr>
        <w:t xml:space="preserve">[240] </w:t>
      </w:r>
      <w:hyperlink r:id="rId392">
        <w:r>
          <w:rPr>
            <w:color w:val="1155CC"/>
            <w:u w:val="single"/>
          </w:rPr>
          <w:t>Restoration of ovarian endocrine function with encapsulated immune-isolated human ovarian xenograft in ovariectomized mice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393">
        <w:r>
          <w:rPr>
            <w:color w:val="1155CC"/>
            <w:u w:val="single"/>
          </w:rPr>
          <w:t>10.1126/sciadv.adx6348</w:t>
        </w:r>
      </w:hyperlink>
    </w:p>
    <w:p>
      <w:pPr>
        <w:spacing w:before="0" w:after="120"/>
      </w:pPr>
      <w:r>
        <w:rPr>
          <w:b/>
        </w:rPr>
        <w:t xml:space="preserve">Notes: </w:t>
      </w:r>
      <w:r>
        <w:t>abstract_source=crossref</w:t>
      </w:r>
    </w:p>
    <w:p>
      <w:pPr>
        <w:spacing w:before="0" w:after="200" w:lineRule="auto" w:line="276"/>
      </w:pPr>
      <w:r>
        <w:rPr>
          <w:b/>
        </w:rPr>
        <w:t xml:space="preserve">Abstract: </w:t>
      </w:r>
      <w:r>
        <w:t>Anticancer treatments may cause depletion of the nonrenewable ovarian reserve of follicles, the source of key hormones, leading to premature ovarian insufficiency (POI) and substantial endocrine, musculoskeletal, and neurological complications. Hormone replacement therapy, the only approved treatment for POI, poorly mimics ovarian physiology. Here, we examined whether human ovarian tissue implanted in an immune-isolating hydrogel-based capsule restored ovarian endocrine function in ovariectomized immunodeficient mice. Daily vaginal cytology, hormone measurements, and histological analysis demonstrated that the encapsulated xenografts integrated into the murine hypothalamic-pituitary-gonad axis and responded to circulating gonadotropins. Without exogenous stimulation, regular estrous cyclicity resumed 12 weeks postimplantation, and mice experienced three to eight estrous cycles in 20 weeks. Large antral follicles, ~3 millimeters in diameter, were present in the grafts, consistent with regular cyclicity and increasing levels of estradiol that reached 50 picograms per milliliter, demonstrating integration with the host physiology and restoration of ovarian endocrine function, similar to the nonencapsulated controls.</w:t>
      </w:r>
    </w:p>
    <w:p>
      <w:pPr>
        <w:spacing w:before="120" w:after="120"/>
      </w:pPr>
      <w:r>
        <w:rPr>
          <w:sz w:val="18"/>
        </w:rPr>
        <w:t>——————————————————————————————————————————————————————————————————————</w:t>
      </w:r>
    </w:p>
    <w:p>
      <w:pPr>
        <w:spacing w:before="160" w:after="80" w:line="240" w:lineRule="auto"/>
      </w:pPr>
      <w:r>
        <w:rPr>
          <w:b/>
        </w:rPr>
        <w:t xml:space="preserve">[241] </w:t>
      </w:r>
      <w:hyperlink r:id="rId394">
        <w:r>
          <w:rPr>
            <w:color w:val="1155CC"/>
            <w:u w:val="single"/>
          </w:rPr>
          <w:t>Real-time imaging of rotation during synthesis by the replisome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395">
        <w:r>
          <w:rPr>
            <w:color w:val="1155CC"/>
            <w:u w:val="single"/>
          </w:rPr>
          <w:t>10.1126/sciadv.adx4089</w:t>
        </w:r>
      </w:hyperlink>
    </w:p>
    <w:p>
      <w:pPr>
        <w:spacing w:before="0" w:after="120"/>
      </w:pPr>
      <w:r>
        <w:rPr>
          <w:b/>
        </w:rPr>
        <w:t xml:space="preserve">Notes: </w:t>
      </w:r>
      <w:r>
        <w:t>abstract_source=crossref</w:t>
      </w:r>
    </w:p>
    <w:p>
      <w:pPr>
        <w:spacing w:before="0" w:after="200" w:lineRule="auto" w:line="276"/>
      </w:pPr>
      <w:r>
        <w:rPr>
          <w:b/>
        </w:rPr>
        <w:t xml:space="preserve">Abstract: </w:t>
      </w:r>
      <w:r>
        <w:t>During chromosome replication, unwinding by the helicase and synthesis by the polymerases can lead to overwinding and supercoiling of DNA. The mechanical consequences of these events and resulting local dynamics at the replication fork are not well understood. To address these issues, we developed a transverse DNA flow-stretching approach to spatially resolve the parental, leading, and lagging strands in real time. Using bacteriophage T7 as a model system, this approach revealed bursts of high-speed replisome rotation that support continuous DNA synthesis. Unexpectedly, excessive rotation does not reduce replisome speed, but increases pausing, reduces processivity, and increases the number of polymerases. Together, our observations reveal intrinsic pathways to overcome challenges posed by unfavorable DNA topologies during DNA replication.</w:t>
      </w:r>
    </w:p>
    <w:p>
      <w:pPr>
        <w:spacing w:before="120" w:after="120"/>
      </w:pPr>
      <w:r>
        <w:rPr>
          <w:sz w:val="18"/>
        </w:rPr>
        <w:t>——————————————————————————————————————————————————————————————————————</w:t>
      </w:r>
    </w:p>
    <w:p>
      <w:pPr>
        <w:spacing w:before="160" w:after="80" w:line="240" w:lineRule="auto"/>
      </w:pPr>
      <w:r>
        <w:rPr>
          <w:b/>
        </w:rPr>
        <w:t xml:space="preserve">[242] </w:t>
      </w:r>
      <w:hyperlink r:id="rId396">
        <w:r>
          <w:rPr>
            <w:color w:val="1155CC"/>
            <w:u w:val="single"/>
          </w:rPr>
          <w:t>Demonstration of topological acoustic tweezing for robust mass transport</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397">
        <w:r>
          <w:rPr>
            <w:color w:val="1155CC"/>
            <w:u w:val="single"/>
          </w:rPr>
          <w:t>10.1126/sciadv.adz4301</w:t>
        </w:r>
      </w:hyperlink>
    </w:p>
    <w:p>
      <w:pPr>
        <w:spacing w:before="0" w:after="120"/>
      </w:pPr>
      <w:r>
        <w:rPr>
          <w:b/>
        </w:rPr>
        <w:t xml:space="preserve">Notes: </w:t>
      </w:r>
      <w:r>
        <w:t>abstract_source=crossref</w:t>
      </w:r>
    </w:p>
    <w:p>
      <w:pPr>
        <w:spacing w:before="0" w:after="200" w:lineRule="auto" w:line="276"/>
      </w:pPr>
      <w:r>
        <w:rPr>
          <w:b/>
        </w:rPr>
        <w:t xml:space="preserve">Abstract: </w:t>
      </w:r>
      <w:r>
        <w:t>Acoustic tweezers harness the mechanical effects of ultrasound to achieve contact-free manipulation of micro/nanoparticles. In acoustofluidics, standing-wave tweezers were widely adopted for particle trapping and translation due to their facile implementation and on-chip integrability. However, those conventional standing-wave fields, typically generated by transducer pairs, exhibit limited manipulation flexibility owing to their simplistic field configurations. Here, we demonstrate topological mass transport along arbitrarily designed trajectories by constructing localized and tunable standing-wave fields based on valley interface states. Precise phase modulation of incident waves enables efficient particle conveyance through continuous displacement of standing-wave pressure nodes or antinodes, leveraging the radiation forces from topologically protected standing waves in scattering systems. Experimental results confirm that such topological tweezing and circulating effect enables robust mass transport, showing antibackscattering characteristics and immunity against various structural defects such as sharp corners or cavities. Our work establishes a foundational paradigm for investigating the radiation forces in topological acoustic fields and advances the development of acoustofluidics technologies.</w:t>
      </w:r>
    </w:p>
    <w:p>
      <w:pPr>
        <w:spacing w:before="120" w:after="120"/>
      </w:pPr>
      <w:r>
        <w:rPr>
          <w:sz w:val="18"/>
        </w:rPr>
        <w:t>——————————————————————————————————————————————————————————————————————</w:t>
      </w:r>
    </w:p>
    <w:p>
      <w:pPr>
        <w:spacing w:before="160" w:after="80" w:line="240" w:lineRule="auto"/>
      </w:pPr>
      <w:r>
        <w:rPr>
          <w:b/>
        </w:rPr>
        <w:t xml:space="preserve">[243] </w:t>
      </w:r>
      <w:hyperlink r:id="rId398">
        <w:r>
          <w:rPr>
            <w:color w:val="1155CC"/>
            <w:u w:val="single"/>
          </w:rPr>
          <w:t>Suspension physics govern the multiscale dynamics of blood flow in sickle cell disease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399">
        <w:r>
          <w:rPr>
            <w:color w:val="1155CC"/>
            <w:u w:val="single"/>
          </w:rPr>
          <w:t>10.1126/sciadv.adx3842</w:t>
        </w:r>
      </w:hyperlink>
    </w:p>
    <w:p>
      <w:pPr>
        <w:spacing w:before="0" w:after="120"/>
      </w:pPr>
      <w:r>
        <w:rPr>
          <w:b/>
        </w:rPr>
        <w:t xml:space="preserve">Notes: </w:t>
      </w:r>
      <w:r>
        <w:t>abstract_source=crossref</w:t>
      </w:r>
    </w:p>
    <w:p>
      <w:pPr>
        <w:spacing w:before="0" w:after="200" w:lineRule="auto" w:line="276"/>
      </w:pPr>
      <w:r>
        <w:rPr>
          <w:b/>
        </w:rPr>
        <w:t xml:space="preserve">Abstract: </w:t>
      </w:r>
      <w:r>
        <w:t>From diabetes to malaria, altered blood flow contributes to poor clinical outcomes. Heterogeneity in red blood cell (RBC) properties within and across individuals has hindered our ability to establish the multiscale mechanisms driving pathological flow dynamics in such diseases. To address this, we develop microfluidic platforms to measure RBC properties and flow dynamics in the same blood samples from patients with sickle cell disease (SCD). We find that effective blood viscosity across individuals is explained by the proportion of stiff RBCs, exhibiting qualitative similarities to rigid-particle suspensions, despite considerable mechanical heterogeneity. By combining simulations with spatially resolved measurements of cell dynamics, we show how features of emergent rheology are governed by spatiotemporal cell organization, via margination at intermediate oxygen tensions, and localized jamming caused by spatial hematocrit variations under hypoxia. Our work defines the suspension physics underlying pathological blood flow in SCD and, more broadly, emergent rheology in heterogeneous particle suspensions.</w:t>
      </w:r>
    </w:p>
    <w:p>
      <w:pPr>
        <w:spacing w:before="120" w:after="120"/>
      </w:pPr>
      <w:r>
        <w:rPr>
          <w:sz w:val="18"/>
        </w:rPr>
        <w:t>——————————————————————————————————————————————————————————————————————</w:t>
      </w:r>
    </w:p>
    <w:p>
      <w:pPr>
        <w:spacing w:before="160" w:after="80" w:line="240" w:lineRule="auto"/>
      </w:pPr>
      <w:r>
        <w:rPr>
          <w:b/>
        </w:rPr>
        <w:t xml:space="preserve">[244] </w:t>
      </w:r>
      <w:hyperlink r:id="rId400">
        <w:r>
          <w:rPr>
            <w:color w:val="1155CC"/>
            <w:u w:val="single"/>
          </w:rPr>
          <w:t>LPS-induced structural reorganization and polymerization drive noncanonical inflammasome activation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01">
        <w:r>
          <w:rPr>
            <w:color w:val="1155CC"/>
            <w:u w:val="single"/>
          </w:rPr>
          <w:t>10.1126/sciadv.adz4623</w:t>
        </w:r>
      </w:hyperlink>
    </w:p>
    <w:p>
      <w:pPr>
        <w:spacing w:before="0" w:after="120"/>
      </w:pPr>
      <w:r>
        <w:rPr>
          <w:b/>
        </w:rPr>
        <w:t xml:space="preserve">Notes: </w:t>
      </w:r>
      <w:r>
        <w:t>abstract_source=crossref</w:t>
      </w:r>
    </w:p>
    <w:p>
      <w:pPr>
        <w:spacing w:before="0" w:after="200" w:lineRule="auto" w:line="276"/>
      </w:pPr>
      <w:r>
        <w:rPr>
          <w:b/>
        </w:rPr>
        <w:t xml:space="preserve">Abstract: </w:t>
      </w:r>
      <w:r>
        <w:t>The noncanonical inflammasome, mediated by murine caspase-11 and its human orthologs caspase-4 and caspase-5, detects intracellular lipopolysaccharide (LPS) and triggers pyroptotic cell death. Upon LPS binding through their amino-terminal caspase activation and recruitment domains (CARDs), these inflammatory caspases oligomerize and activate. However, how LPS binding drives caspase-4/11 activation remains unclear. Here, we show that caspase-4/11 CARDs are intrinsically unstructured in their resting state and adopt an α-helical conformation upon LPS engagement. This structural rearrangement promotes CARD oligomerization, with electron-capture charge reduction–coupled native mass spectrometry and other techniques illustrating that hexa-acylated LPS induces the formation of large oligomers composed of eight or more protomers, whereas underacylated lipids trigger smaller assemblies. Using hydrogen-deuterium exchange mass spectrometry and cross-linking mass spectrometry, we identified a hydrophobic cleft critical for LPS binding and potential intersubunit interfaces that facilitate oligomerization. These findings uncover key structural features underlying LPS recognition and activation of the noncanonical inflammasome, providing mechanistic insight into an essential arm of the innate immune response.</w:t>
      </w:r>
    </w:p>
    <w:p>
      <w:pPr>
        <w:spacing w:before="120" w:after="120"/>
      </w:pPr>
      <w:r>
        <w:rPr>
          <w:sz w:val="18"/>
        </w:rPr>
        <w:t>——————————————————————————————————————————————————————————————————————</w:t>
      </w:r>
    </w:p>
    <w:p>
      <w:pPr>
        <w:spacing w:before="160" w:after="80" w:line="240" w:lineRule="auto"/>
      </w:pPr>
      <w:r>
        <w:rPr>
          <w:b/>
        </w:rPr>
        <w:t xml:space="preserve">[245] </w:t>
      </w:r>
      <w:hyperlink r:id="rId402">
        <w:r>
          <w:rPr>
            <w:color w:val="1155CC"/>
            <w:u w:val="single"/>
          </w:rPr>
          <w:t>Preempting fermion sign problem: Unveiling quantum criticality through nonequilibrium dynamics in imaginary time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03">
        <w:r>
          <w:rPr>
            <w:color w:val="1155CC"/>
            <w:u w:val="single"/>
          </w:rPr>
          <w:t>10.1126/sciadv.adz4856</w:t>
        </w:r>
      </w:hyperlink>
    </w:p>
    <w:p>
      <w:pPr>
        <w:spacing w:before="0" w:after="120"/>
      </w:pPr>
      <w:r>
        <w:rPr>
          <w:b/>
        </w:rPr>
        <w:t xml:space="preserve">Notes: </w:t>
      </w:r>
      <w:r>
        <w:t>abstract_source=crossref</w:t>
      </w:r>
    </w:p>
    <w:p>
      <w:pPr>
        <w:spacing w:before="0" w:after="200" w:lineRule="auto" w:line="276"/>
      </w:pPr>
      <w:r>
        <w:rPr>
          <w:b/>
        </w:rPr>
        <w:t xml:space="preserve">Abstract: </w:t>
      </w:r>
      <w:r>
        <w:t>The notorious fermion sign problem, arising from fermion statistics, presents a fundamental obstacle to the numerical simulation of quantum many-body systems. Here, we introduce a framework that circumvents the sign problem in the studies of quantum criticality and its associated phases by leveraging imaginary-time nonequilibrium critical dynamics. We demonstrate that the critical properties can be accurately determined from the system’s short-time relaxation, a regime where the sign problem remains manageable for quantum Monte Carlo simulations. After validating this approach on two benchmark fermionic models, we apply it to the sign-problematic Hubbard model hosting SU(3)-symmetric Dirac fermions. We present the first numerically exact characterization of its quantum phase diagram, revealing a continuous transition between a Dirac semimetal and a SU(3)-antiferromagnetic phase. This transition defines an unconventional Gross-Neveu universality class that fundamentally reshapes current understanding of Gross-Neveu criticality. Our work provides a powerful tool for investigating sign-problematic systems and quantum criticality.</w:t>
      </w:r>
    </w:p>
    <w:p>
      <w:pPr>
        <w:spacing w:before="120" w:after="120"/>
      </w:pPr>
      <w:r>
        <w:rPr>
          <w:sz w:val="18"/>
        </w:rPr>
        <w:t>——————————————————————————————————————————————————————————————————————</w:t>
      </w:r>
    </w:p>
    <w:p>
      <w:pPr>
        <w:spacing w:before="160" w:after="80" w:line="240" w:lineRule="auto"/>
      </w:pPr>
      <w:r>
        <w:rPr>
          <w:b/>
        </w:rPr>
        <w:t xml:space="preserve">[246] </w:t>
      </w:r>
      <w:hyperlink r:id="rId404">
        <w:r>
          <w:rPr>
            <w:color w:val="1155CC"/>
            <w:u w:val="single"/>
          </w:rPr>
          <w:t>Ideological bias in the production of research findings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05">
        <w:r>
          <w:rPr>
            <w:color w:val="1155CC"/>
            <w:u w:val="single"/>
          </w:rPr>
          <w:t>10.1126/sciadv.adz7173</w:t>
        </w:r>
      </w:hyperlink>
    </w:p>
    <w:p>
      <w:pPr>
        <w:spacing w:before="0" w:after="120"/>
      </w:pPr>
      <w:r>
        <w:rPr>
          <w:b/>
        </w:rPr>
        <w:t xml:space="preserve">Notes: </w:t>
      </w:r>
      <w:r>
        <w:t>abstract_source=crossref</w:t>
      </w:r>
    </w:p>
    <w:p>
      <w:pPr>
        <w:spacing w:before="0" w:after="200" w:lineRule="auto" w:line="276"/>
      </w:pPr>
      <w:r>
        <w:rPr>
          <w:b/>
        </w:rPr>
        <w:t xml:space="preserve">Abstract: </w:t>
      </w:r>
      <w:r>
        <w:t>When studying policy-relevant topics, researchers’ policy preferences may shape analytical decisions and results interpretations. Detecting this bias is challenging because the research process is not normally part of an observed experimental setting. Our study exploits an opportunity to observe 158 researchers working independently in 71 teams during an experiment. After being asked their position on immigration policy, they used the same data to answer the same empirical question: Does immigration affect public support for social welfare programs? The researchers estimated 1253 alternative regression models, and the estimated impacts ranged from strongly negative to strongly positive. We find that teams composed of pro-immigration researchers estimated more positive impacts of immigration on public support for social programs, while anti-immigration teams estimated more negative impacts. The differences arise because different teams adopted different model specifications. The underlying research design decisions are the mechanism through which ideology enters the process of producing parameter estimates.</w:t>
      </w:r>
    </w:p>
    <w:p>
      <w:pPr>
        <w:spacing w:before="120" w:after="120"/>
      </w:pPr>
      <w:r>
        <w:rPr>
          <w:sz w:val="18"/>
        </w:rPr>
        <w:t>——————————————————————————————————————————————————————————————————————</w:t>
      </w:r>
    </w:p>
    <w:p>
      <w:pPr>
        <w:spacing w:before="160" w:after="80" w:line="240" w:lineRule="auto"/>
      </w:pPr>
      <w:r>
        <w:rPr>
          <w:b/>
        </w:rPr>
        <w:t xml:space="preserve">[247] </w:t>
      </w:r>
      <w:hyperlink r:id="rId406">
        <w:r>
          <w:rPr>
            <w:color w:val="1155CC"/>
            <w:u w:val="single"/>
          </w:rPr>
          <w:t>Earliest evidence for intentional cremation of human remains in Africa</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07">
        <w:r>
          <w:rPr>
            <w:color w:val="1155CC"/>
            <w:u w:val="single"/>
          </w:rPr>
          <w:t>10.1126/sciadv.adz9554</w:t>
        </w:r>
      </w:hyperlink>
    </w:p>
    <w:p>
      <w:pPr>
        <w:spacing w:before="0" w:after="120"/>
      </w:pPr>
      <w:r>
        <w:rPr>
          <w:b/>
        </w:rPr>
        <w:t xml:space="preserve">Notes: </w:t>
      </w:r>
      <w:r>
        <w:t>abstract_source=crossref</w:t>
      </w:r>
    </w:p>
    <w:p>
      <w:pPr>
        <w:spacing w:before="0" w:after="200" w:lineRule="auto" w:line="276"/>
      </w:pPr>
      <w:r>
        <w:rPr>
          <w:b/>
        </w:rPr>
        <w:t xml:space="preserve">Abstract: </w:t>
      </w:r>
      <w:r>
        <w:t>Human cremation on an open pyre demands intensive labor, communal resources, and sensory exposures. We report the earliest evidence for intentional cremation in Africa, the oldest in situ adult pyre in the world, and one of only a few associated with hunter-gatherers. A large cremation feature at Hora 1 in Malawi dates to ~9500 years ago and contains the remains of a small, gracile adult with evidence for perimortem defleshing and postcremation manipulation. Subsequent revisiting of the site to build fires in the same place provided additional pyrotechnological spectacles. High-resolution, multiproxy reconstruction of the ritual associated with cremation and its subsequent deposition demonstrates complex mortuary practices among ancient African foraging groups with substantial social investment and use of natural landscape features as persistent mortuary monuments.</w:t>
      </w:r>
    </w:p>
    <w:p>
      <w:pPr>
        <w:spacing w:before="120" w:after="120"/>
      </w:pPr>
      <w:r>
        <w:rPr>
          <w:sz w:val="18"/>
        </w:rPr>
        <w:t>——————————————————————————————————————————————————————————————————————</w:t>
      </w:r>
    </w:p>
    <w:p>
      <w:pPr>
        <w:spacing w:before="160" w:after="80" w:line="240" w:lineRule="auto"/>
      </w:pPr>
      <w:r>
        <w:rPr>
          <w:b/>
        </w:rPr>
        <w:t xml:space="preserve">[248] </w:t>
      </w:r>
      <w:hyperlink r:id="rId408">
        <w:r>
          <w:rPr>
            <w:color w:val="1155CC"/>
            <w:u w:val="single"/>
          </w:rPr>
          <w:t>Trade-off between branching and polarity controls decision-making during cell migration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09">
        <w:r>
          <w:rPr>
            <w:color w:val="1155CC"/>
            <w:u w:val="single"/>
          </w:rPr>
          <w:t>10.1126/sciadv.ads2734</w:t>
        </w:r>
      </w:hyperlink>
    </w:p>
    <w:p>
      <w:pPr>
        <w:spacing w:before="0" w:after="120"/>
      </w:pPr>
      <w:r>
        <w:rPr>
          <w:b/>
        </w:rPr>
        <w:t xml:space="preserve">Notes: </w:t>
      </w:r>
      <w:r>
        <w:t>abstract_source=crossref</w:t>
      </w:r>
    </w:p>
    <w:p>
      <w:pPr>
        <w:spacing w:before="0" w:after="200" w:lineRule="auto" w:line="276"/>
      </w:pPr>
      <w:r>
        <w:rPr>
          <w:b/>
        </w:rPr>
        <w:t xml:space="preserve">Abstract: </w:t>
      </w:r>
      <w:r>
        <w:t>Motile cells often face microenvironmental constraints and obstacles that force them to extend multiple protrusions. However, the analysis of shape dynamics during directional decision-making has been restricted to single junctions. Here, we combined live-cell imaging and a coarse-grained model to study the migratory behavior of highly branched cells while simultaneously facing several junctions. The theoretical model predicts that the choice of a new direction is determined by the competition between the cellular protrusions in the form of seesaw oscillations. We found that macrophages and endothelial cells display different regimes moving on hexagonal networks, despite sharing a mesenchymal (i.e., adhesion-dependent) migratory strategy. The model describes the motility of both cell types and reveals a trade-off between branching and speed: Having many protrusions allows local microenvironmental exploration for directional cues, but long-range migration efficiency improves with fewer protrusions. Collectively, our data highlight the relevance and provide insights for the regulation of shape dynamics during cell navigation in complex geometries.</w:t>
      </w:r>
    </w:p>
    <w:p>
      <w:pPr>
        <w:spacing w:before="120" w:after="120"/>
      </w:pPr>
      <w:r>
        <w:rPr>
          <w:sz w:val="18"/>
        </w:rPr>
        <w:t>——————————————————————————————————————————————————————————————————————</w:t>
      </w:r>
    </w:p>
    <w:p>
      <w:pPr>
        <w:spacing w:before="160" w:after="80" w:line="240" w:lineRule="auto"/>
      </w:pPr>
      <w:r>
        <w:rPr>
          <w:b/>
        </w:rPr>
        <w:t xml:space="preserve">[249] </w:t>
      </w:r>
      <w:hyperlink r:id="rId410">
        <w:r>
          <w:rPr>
            <w:color w:val="1155CC"/>
            <w:u w:val="single"/>
          </w:rPr>
          <w:t>Targeted lung Lactobacillus johnsonii intervention alleviates virus-induced fibrosis post-HCT through PD-L1/PD-1 signaling</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11">
        <w:r>
          <w:rPr>
            <w:color w:val="1155CC"/>
            <w:u w:val="single"/>
          </w:rPr>
          <w:t>10.1126/sciadv.adw4654</w:t>
        </w:r>
      </w:hyperlink>
    </w:p>
    <w:p>
      <w:pPr>
        <w:spacing w:before="0" w:after="120"/>
      </w:pPr>
      <w:r>
        <w:rPr>
          <w:b/>
        </w:rPr>
        <w:t xml:space="preserve">Notes: </w:t>
      </w:r>
      <w:r>
        <w:t>abstract_source=crossref</w:t>
      </w:r>
    </w:p>
    <w:p>
      <w:pPr>
        <w:spacing w:before="0" w:after="200" w:lineRule="auto" w:line="276"/>
      </w:pPr>
      <w:r>
        <w:rPr>
          <w:b/>
        </w:rPr>
        <w:t xml:space="preserve">Abstract: </w:t>
      </w:r>
      <w:r>
        <w:t>Our study highlights the decrease of</w:t>
      </w:r>
      <w:r>
        <w:t xml:space="preserve"> </w:t>
      </w:r>
      <w:r>
        <w:t>Lactobacillus johnsonii</w:t>
      </w:r>
      <w:r>
        <w:t xml:space="preserve"> </w:t>
      </w:r>
      <w:r>
        <w:t>in the lungs following hematopoietic cell transplantation (HCT) and its immunomodulatory effects in attenuating post-HCT pulmonary complications. Introducing live or heat-killed</w:t>
      </w:r>
      <w:r>
        <w:t xml:space="preserve"> </w:t>
      </w:r>
      <w:r>
        <w:t>L. johnsonii</w:t>
      </w:r>
      <w:r>
        <w:t xml:space="preserve"> </w:t>
      </w:r>
      <w:r>
        <w:t>into the lungs of HCT mice significantly reduced gammaherpesvirus-induced lung inflammation and fibrosis. This protective effect was mediated in part by the up-regulation of PD-L1 on dendritic cells, which in turn dampened the production of the inflammatory cytokine IL-17A by T helper 17 cells post-HCT.</w:t>
      </w:r>
      <w:r>
        <w:t xml:space="preserve"> </w:t>
      </w:r>
      <w:r>
        <w:t>L. johnsonii</w:t>
      </w:r>
      <w:r>
        <w:t xml:space="preserve"> </w:t>
      </w:r>
      <w:r>
        <w:t>also reduced</w:t>
      </w:r>
      <w:r>
        <w:t xml:space="preserve"> </w:t>
      </w:r>
      <w:r>
        <w:t>Tgfb1</w:t>
      </w:r>
      <w:r>
        <w:t xml:space="preserve"> </w:t>
      </w:r>
      <w:r>
        <w:t>expression in lung macrophages. These anti-fibrotic effects of heat-killed</w:t>
      </w:r>
      <w:r>
        <w:t xml:space="preserve"> </w:t>
      </w:r>
      <w:r>
        <w:t>L. johnsonii</w:t>
      </w:r>
      <w:r>
        <w:t xml:space="preserve"> </w:t>
      </w:r>
      <w:r>
        <w:t>were absent in PD-1–deficient mice, highlighting the role of PD-L1/PD-1 signaling. Further analysis showed that dendritic cells uniquely recognized</w:t>
      </w:r>
      <w:r>
        <w:t xml:space="preserve"> </w:t>
      </w:r>
      <w:r>
        <w:t>L. johnsonii</w:t>
      </w:r>
      <w:r>
        <w:t xml:space="preserve"> </w:t>
      </w:r>
      <w:r>
        <w:t>and increased PD-L1 expression via TLR1/2- and TLR9-MyD88 pathways. Our findings suggest that heat-killed lactobacilli could serve as a safe postbiotic therapy to moderate immune responses and reduce lung inflammation and fibrosis post-HCT, offering a strategy for managing transplant-related lung complications.</w:t>
      </w:r>
    </w:p>
    <w:p>
      <w:pPr>
        <w:spacing w:before="120" w:after="120"/>
      </w:pPr>
      <w:r>
        <w:rPr>
          <w:sz w:val="18"/>
        </w:rPr>
        <w:t>——————————————————————————————————————————————————————————————————————</w:t>
      </w:r>
    </w:p>
    <w:p>
      <w:pPr>
        <w:spacing w:before="160" w:after="80" w:line="240" w:lineRule="auto"/>
      </w:pPr>
      <w:r>
        <w:rPr>
          <w:b/>
        </w:rPr>
        <w:t xml:space="preserve">[250] </w:t>
      </w:r>
      <w:hyperlink r:id="rId412">
        <w:r>
          <w:rPr>
            <w:color w:val="1155CC"/>
            <w:u w:val="single"/>
          </w:rPr>
          <w:t>Neuronal heterogeneity of normalization strength in a circuit model</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13">
        <w:r>
          <w:rPr>
            <w:color w:val="1155CC"/>
            <w:u w:val="single"/>
          </w:rPr>
          <w:t>10.1126/sciadv.adv9396</w:t>
        </w:r>
      </w:hyperlink>
    </w:p>
    <w:p>
      <w:pPr>
        <w:spacing w:before="0" w:after="120"/>
      </w:pPr>
      <w:r>
        <w:rPr>
          <w:b/>
        </w:rPr>
        <w:t xml:space="preserve">Notes: </w:t>
      </w:r>
      <w:r>
        <w:t>abstract_source=crossref</w:t>
      </w:r>
    </w:p>
    <w:p>
      <w:pPr>
        <w:spacing w:before="0" w:after="200" w:lineRule="auto" w:line="276"/>
      </w:pPr>
      <w:r>
        <w:rPr>
          <w:b/>
        </w:rPr>
        <w:t xml:space="preserve">Abstract: </w:t>
      </w:r>
      <w:r>
        <w:t>Neurons in higher-order visual areas integrate information through a canonical computation called normalization. The strength of normalization is highly heterogeneous across neurons, and this heterogeneity correlates with attention-mediated modulations in neural responses. However, the circuit mechanism underlying the heterogeneous normalization strength is unclear. In this work, we study normalization in a spiking neuron network model of visual cortex. Our model reveals that the heterogeneity of normalization strength is highly correlated with the inhibitory current each neuron receives. The correlation between inhibition and other synaptic inputs explains the experimentally observed dependence of spike count correlations on normalization strength. Further, we find that neurons with stronger normalization encode information more efficiently, and that networks with more heterogeneity in normalization encode visual stimuli with higher information and capacity. Together, our model provides a mechanistic explanation of heterogeneous normalization strengths in the visual cortex and sheds light on the computational benefits of neuronal heterogeneity.</w:t>
      </w:r>
    </w:p>
    <w:p>
      <w:pPr>
        <w:spacing w:before="120" w:after="120"/>
      </w:pPr>
      <w:r>
        <w:rPr>
          <w:sz w:val="18"/>
        </w:rPr>
        <w:t>——————————————————————————————————————————————————————————————————————</w:t>
      </w:r>
    </w:p>
    <w:p>
      <w:pPr>
        <w:spacing w:before="160" w:after="80" w:line="240" w:lineRule="auto"/>
      </w:pPr>
      <w:r>
        <w:rPr>
          <w:b/>
        </w:rPr>
        <w:t xml:space="preserve">[251] </w:t>
      </w:r>
      <w:hyperlink r:id="rId414">
        <w:r>
          <w:rPr>
            <w:color w:val="1155CC"/>
            <w:u w:val="single"/>
          </w:rPr>
          <w:t>Engineered anchoring aptamers induce relocalization and functional inactivation of transcription factors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15">
        <w:r>
          <w:rPr>
            <w:color w:val="1155CC"/>
            <w:u w:val="single"/>
          </w:rPr>
          <w:t>10.1126/sciadv.adw6496</w:t>
        </w:r>
      </w:hyperlink>
    </w:p>
    <w:p>
      <w:pPr>
        <w:spacing w:before="0" w:after="120"/>
      </w:pPr>
      <w:r>
        <w:rPr>
          <w:b/>
        </w:rPr>
        <w:t xml:space="preserve">Notes: </w:t>
      </w:r>
      <w:r>
        <w:t>abstract_source=crossref</w:t>
      </w:r>
    </w:p>
    <w:p>
      <w:pPr>
        <w:spacing w:before="0" w:after="200" w:lineRule="auto" w:line="276"/>
      </w:pPr>
      <w:r>
        <w:rPr>
          <w:b/>
        </w:rPr>
        <w:t xml:space="preserve">Abstract: </w:t>
      </w:r>
      <w:r>
        <w:t>Proper nucleocytoplasmic distribution of transcription factors (TFs) is crucial for cellular homeostasis. Mislocalization of TFs contributes to cancers, making TF relocalization a promising anticancer therapeutic strategy. We engineered anchoring aptamers as a platform for relocalizing TFs. Anchoring aptamers are heterobifunctional nucleic acids consisting of two ligands joined by a linker: one targeting the plasma membrane–anchored protein and the other recruiting the TF. As a proof of concept, we used the Ra1 aptamer targeting Ras and the DNA ligand specific for p65 or E2F1 to construct anchoring aptamers. Simultaneous binding of the anchoring aptamers to Ras and either p65 or E2F1 effectively induces cytoplasmic relocalization and functional inactivation of p65 or E2F1. Using a lentiviral expression system of anchoring aptamers, we achieved sustained cytoplasmic retention of p65 and marked inhibition of tumor growth. This work establishes a universal platform for TF relocalization, offering promising opportunities for innovative anticancer therapeutic strategies.</w:t>
      </w:r>
    </w:p>
    <w:p>
      <w:pPr>
        <w:spacing w:before="120" w:after="120"/>
      </w:pPr>
      <w:r>
        <w:rPr>
          <w:sz w:val="18"/>
        </w:rPr>
        <w:t>——————————————————————————————————————————————————————————————————————</w:t>
      </w:r>
    </w:p>
    <w:p>
      <w:pPr>
        <w:spacing w:before="160" w:after="80" w:line="240" w:lineRule="auto"/>
      </w:pPr>
      <w:r>
        <w:rPr>
          <w:b/>
        </w:rPr>
        <w:t xml:space="preserve">[252] </w:t>
      </w:r>
      <w:hyperlink r:id="rId416">
        <w:r>
          <w:rPr>
            <w:color w:val="1155CC"/>
            <w:u w:val="single"/>
          </w:rPr>
          <w:t>Surface freshening in the subpolar North Atlantic sustaining the weakened AMOC during the late Younger Dryas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17">
        <w:r>
          <w:rPr>
            <w:color w:val="1155CC"/>
            <w:u w:val="single"/>
          </w:rPr>
          <w:t>10.1126/sciadv.adv6220</w:t>
        </w:r>
      </w:hyperlink>
    </w:p>
    <w:p>
      <w:pPr>
        <w:spacing w:before="0" w:after="120"/>
      </w:pPr>
      <w:r>
        <w:rPr>
          <w:b/>
        </w:rPr>
        <w:t xml:space="preserve">Notes: </w:t>
      </w:r>
      <w:r>
        <w:t>abstract_source=crossref</w:t>
      </w:r>
    </w:p>
    <w:p>
      <w:pPr>
        <w:spacing w:before="0" w:after="200" w:lineRule="auto" w:line="276"/>
      </w:pPr>
      <w:r>
        <w:rPr>
          <w:b/>
        </w:rPr>
        <w:t xml:space="preserve">Abstract: </w:t>
      </w:r>
      <w:r>
        <w:t>The Younger Dryas (YD) cold event is widely attributed to a disruption of the Atlantic Meridional Overturning Circulation (AMOC), driven by the catastrophic Lake Agassiz flood. While recent studies have pinpointed the source and timing of this meltwater pulse, it remains controversial whether this freshwater event alone could have caused a millennial-scale cold period. Biomarker reconstructions from the Labrador Sea/Baffin Bay reveal an abrupt sea ice decline during the mid-YD, parallel with partial AMOC recovery and enhanced Irminger Current inflow. This warm water incursion may have initiated Heinrich Event 0, likely causing surface freshening in subpolar North Atlantic and subsequently triggering a second AMOC decline during the late YD. Model simulations further support a two-phase AMOC weakening associated with surface freshening during the YD. Our biphasic freshwater injection hypothesis provides fresh insights into the mechanisms driving the YD and underscores the critical role of surface freshening in the subpolar North Atlantic in shaping deglacial abrupt climate changes.</w:t>
      </w:r>
    </w:p>
    <w:p>
      <w:pPr>
        <w:spacing w:before="120" w:after="120"/>
      </w:pPr>
      <w:r>
        <w:rPr>
          <w:sz w:val="18"/>
        </w:rPr>
        <w:t>——————————————————————————————————————————————————————————————————————</w:t>
      </w:r>
    </w:p>
    <w:p>
      <w:pPr>
        <w:spacing w:before="160" w:after="80" w:line="240" w:lineRule="auto"/>
      </w:pPr>
      <w:r>
        <w:rPr>
          <w:b/>
        </w:rPr>
        <w:t xml:space="preserve">[253] </w:t>
      </w:r>
      <w:hyperlink r:id="rId418">
        <w:r>
          <w:rPr>
            <w:color w:val="1155CC"/>
            <w:u w:val="single"/>
          </w:rPr>
          <w:t>A distinct lineage pathway drives parvalbumin chandelier cell fate in human interneuron reprogramming</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19">
        <w:r>
          <w:rPr>
            <w:color w:val="1155CC"/>
            <w:u w:val="single"/>
          </w:rPr>
          <w:t>10.1126/sciadv.adv0588</w:t>
        </w:r>
      </w:hyperlink>
    </w:p>
    <w:p>
      <w:pPr>
        <w:spacing w:before="0" w:after="120"/>
      </w:pPr>
      <w:r>
        <w:rPr>
          <w:b/>
        </w:rPr>
        <w:t xml:space="preserve">Notes: </w:t>
      </w:r>
      <w:r>
        <w:t>abstract_source=crossref</w:t>
      </w:r>
    </w:p>
    <w:p>
      <w:pPr>
        <w:spacing w:before="0" w:after="200" w:lineRule="auto" w:line="276"/>
      </w:pPr>
      <w:r>
        <w:rPr>
          <w:b/>
        </w:rPr>
        <w:t xml:space="preserve">Abstract: </w:t>
      </w:r>
      <w:r>
        <w:t>Direct lineage reprogramming of glial cells to induced neurons has the potential for restoring brain circuits and function in neuronal disorders and states. We introduce three-dimensional (3D) human glia reprogramming into neurons with a GABAergic interneuron phenotype using stem cell–derived human glia. Single-nucleus RNA sequencing of the converted cells demonstrates distinct neuronal clusters within 2 weeks, including a parvalbumin (PV) cluster with high neuronal maturity and features of chandelier interneurons. A lineage trajectory analysis of the glia-to-neuron conversion reveals a distinct lineage pathway to PV chandelier fate, including various neuronal developmental stages and the establishment of synaptic machinery. This analysis reveals PV fate-important genes that are previously unknown to neural reprogramming with promising functional importance for future derivations. Our data demonstrate successful human glia conversion into interneurons with features of bona fide PV subtype and highlight the reprogramming trajectory with key transitional genes. This advancement holds promise for future human brain cell engineering and repair.</w:t>
      </w:r>
    </w:p>
    <w:p>
      <w:pPr>
        <w:spacing w:before="120" w:after="120"/>
      </w:pPr>
      <w:r>
        <w:rPr>
          <w:sz w:val="18"/>
        </w:rPr>
        <w:t>——————————————————————————————————————————————————————————————————————</w:t>
      </w:r>
    </w:p>
    <w:p>
      <w:pPr>
        <w:spacing w:before="160" w:after="80" w:line="240" w:lineRule="auto"/>
      </w:pPr>
      <w:r>
        <w:rPr>
          <w:b/>
        </w:rPr>
        <w:t xml:space="preserve">[254] </w:t>
      </w:r>
      <w:hyperlink r:id="rId420">
        <w:r>
          <w:rPr>
            <w:color w:val="1155CC"/>
            <w:u w:val="single"/>
          </w:rPr>
          <w:t>Magical thinking will not prevent future pandemics or improve public health</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421">
        <w:r>
          <w:rPr>
            <w:color w:val="1155CC"/>
            <w:u w:val="single"/>
          </w:rPr>
          <w:t>10.1126/science.aee2611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[255] </w:t>
      </w:r>
      <w:hyperlink r:id="rId422">
        <w:r>
          <w:rPr>
            <w:color w:val="1155CC"/>
            <w:u w:val="single"/>
          </w:rPr>
          <w:t>Genome-wide association study reveals genetic architecture and evolution of human retinal pigmentation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23">
        <w:r>
          <w:rPr>
            <w:color w:val="1155CC"/>
            <w:u w:val="single"/>
          </w:rPr>
          <w:t>10.1126/sciadv.adw7768</w:t>
        </w:r>
      </w:hyperlink>
    </w:p>
    <w:p>
      <w:pPr>
        <w:spacing w:before="0" w:after="120"/>
      </w:pPr>
      <w:r>
        <w:rPr>
          <w:b/>
        </w:rPr>
        <w:t xml:space="preserve">Notes: </w:t>
      </w:r>
      <w:r>
        <w:t>abstract_source=crossref</w:t>
      </w:r>
    </w:p>
    <w:p>
      <w:pPr>
        <w:spacing w:before="0" w:after="200" w:lineRule="auto" w:line="276"/>
      </w:pPr>
      <w:r>
        <w:rPr>
          <w:b/>
        </w:rPr>
        <w:t xml:space="preserve">Abstract: </w:t>
      </w:r>
      <w:r>
        <w:t>Pigmentation varies widely across humans and is shaped by melanin quantity, type, and spatial distribution. Retinal pigmentation protects against light-induced damage, yet its genetic and evolutionary bases remain unclear. We developed a deep learning framework (DeepGRP) to quantify retinal pigmentation from high-resolution fundus images and conducted a genome-wide association study (GWAS), identifying 42 signals, including 26 previously unidentified loci, with single-nucleotide polymorphism–based heritability of 21.4%. Single-nucleus assay for transposase-accessible chromatin by sequencing and RNA sequencing of human fetal retinal tissues revealed key cellular contributors, including retinal pigment epithelium and photoreceptor cells. Among candidate genes,</w:t>
      </w:r>
      <w:r>
        <w:t xml:space="preserve"> </w:t>
      </w:r>
      <w:r>
        <w:t>ARHGAP18</w:t>
      </w:r>
      <w:r>
        <w:t xml:space="preserve"> </w:t>
      </w:r>
      <w:r>
        <w:t>emerged as a previously unrecognized regulator of melanogenesis. Evidence of polygenic adaptation in Europeans suggests selection driven by snow-reflected light at high latitudes. A polygenic risk score for retinal pigmentation correlated with a 4.8-fold higher risk of myopia and a 1.5-fold lower risk of skin cancer. These findings demonstrate the power of deep learning for large-scale ocular phenotyping and reveal insights into the genetic and evolutionary architecture of retinal pigmentation.</w:t>
      </w:r>
    </w:p>
    <w:p>
      <w:pPr>
        <w:spacing w:before="120" w:after="120"/>
      </w:pPr>
      <w:r>
        <w:rPr>
          <w:sz w:val="18"/>
        </w:rPr>
        <w:t>——————————————————————————————————————————————————————————————————————</w:t>
      </w:r>
    </w:p>
    <w:p>
      <w:pPr>
        <w:spacing w:before="160" w:after="80" w:line="240" w:lineRule="auto"/>
      </w:pPr>
      <w:r>
        <w:rPr>
          <w:b/>
        </w:rPr>
        <w:t xml:space="preserve">[256] </w:t>
      </w:r>
      <w:hyperlink r:id="rId424">
        <w:r>
          <w:rPr>
            <w:color w:val="1155CC"/>
            <w:u w:val="single"/>
          </w:rPr>
          <w:t>Erratum for the Research Article “Convergent acquisition of disulfide-forming enzymes in malodorous flowers” by Y. Okuyama et al.</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425">
        <w:r>
          <w:rPr>
            <w:color w:val="1155CC"/>
            <w:u w:val="single"/>
          </w:rPr>
          <w:t>10.1126/science.aee5274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[257] </w:t>
      </w:r>
      <w:hyperlink r:id="rId426">
        <w:r>
          <w:rPr>
            <w:color w:val="1155CC"/>
            <w:u w:val="single"/>
          </w:rPr>
          <w:t>Machine learning–powered single-molecule cancer diagnosis using DNA origami tags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27">
        <w:r>
          <w:rPr>
            <w:color w:val="1155CC"/>
            <w:u w:val="single"/>
          </w:rPr>
          <w:t>10.1126/sciadv.adz8174</w:t>
        </w:r>
      </w:hyperlink>
    </w:p>
    <w:p>
      <w:pPr>
        <w:spacing w:before="0" w:after="120"/>
      </w:pPr>
      <w:r>
        <w:rPr>
          <w:b/>
        </w:rPr>
        <w:t xml:space="preserve">Notes: </w:t>
      </w:r>
      <w:r>
        <w:t>abstract_source=crossref</w:t>
      </w:r>
    </w:p>
    <w:p>
      <w:pPr>
        <w:spacing w:before="0" w:after="200" w:lineRule="auto" w:line="276"/>
      </w:pPr>
      <w:r>
        <w:rPr>
          <w:b/>
        </w:rPr>
        <w:t xml:space="preserve">Abstract: </w:t>
      </w:r>
      <w:r>
        <w:t>Single-molecule detection (SMD) holds considerable promise in biomedical research. Although atomic force microscopy (AFM) provides an important technique with nanoscale resolution for SMD, its broader application is limited by labeling challenges and slow data processing. Here, we present a machine learning (ML)–powered strategy combining AFM and DNA nanotags for SMD and cancer diagnosis. Nickases are applied to create specific single-strand breaks in target DNA, allowing insertion of exogenous DNA to attach shape-distinct nanotags for AFM imaging. A YOLOv5l algorithm is adopted to automatically recognize target objects in AFM images, which can classify 370 structures in 1.21 seconds with 98% accuracy. The proof of concept of this strategy is confirmed by identifying nickase-edited sites on both linear and circular DNA. Its practical applicability is demonstrated by detecting KRAS Gly12Arg (G12R) and p53 Arg175His (R175H) mutations in samples from patients with pancreatic and colorectal cancer, with accuracy rivaling Sanger sequencing and quantitative polymerase chain reaction, opening avenues for SMD.</w:t>
      </w:r>
    </w:p>
    <w:p>
      <w:pPr>
        <w:spacing w:before="120" w:after="120"/>
      </w:pPr>
      <w:r>
        <w:rPr>
          <w:sz w:val="18"/>
        </w:rPr>
        <w:t>——————————————————————————————————————————————————————————————————————</w:t>
      </w:r>
    </w:p>
    <w:p>
      <w:pPr>
        <w:spacing w:before="160" w:after="80" w:line="240" w:lineRule="auto"/>
      </w:pPr>
      <w:r>
        <w:rPr>
          <w:b/>
        </w:rPr>
        <w:t xml:space="preserve">[258] </w:t>
      </w:r>
      <w:hyperlink r:id="rId428">
        <w:r>
          <w:rPr>
            <w:color w:val="1155CC"/>
            <w:u w:val="single"/>
          </w:rPr>
          <w:t>Combining tethered and untethered magnetic robots via a magnetically triggerable latch for target payload delivery and retrieval</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29">
        <w:r>
          <w:rPr>
            <w:color w:val="1155CC"/>
            <w:u w:val="single"/>
          </w:rPr>
          <w:t>10.1126/sciadv.adu6025</w:t>
        </w:r>
      </w:hyperlink>
    </w:p>
    <w:p>
      <w:pPr>
        <w:spacing w:before="0" w:after="120"/>
      </w:pPr>
      <w:r>
        <w:rPr>
          <w:b/>
        </w:rPr>
        <w:t xml:space="preserve">Notes: </w:t>
      </w:r>
      <w:r>
        <w:t>abstract_source=crossref</w:t>
      </w:r>
    </w:p>
    <w:p>
      <w:pPr>
        <w:spacing w:before="0" w:after="200" w:lineRule="auto" w:line="276"/>
      </w:pPr>
      <w:r>
        <w:rPr>
          <w:b/>
        </w:rPr>
        <w:t xml:space="preserve">Abstract: </w:t>
      </w:r>
      <w:r>
        <w:t>The reach and scope of minimally invasive surgical procedures can be transformed via the development of continuum robots. Through soft, flexible structures and accurate navigation, previously inaccessible anatomical regions can be safely reached. Dependent on both actuation mode and clinical application, however, rigidity and miniaturization potential can still present substantial challenges. Magnetic soft continuum robots (mSCRs) offer promising solutions to these key questions. Furthermore, micrometer- to millimeter-scale untethered magnetic robots (mUMRs) offer unparalleled miniaturization potential enabling targeted therapeutic delivery. Leveraging the benefits of magnetic actuation, this study introduces a bespoke, continuously magnetized catheter that synergizes the navigational strengths of mSCRs with the functional effectiveness of mUMRs to precisely deliver drug-doped payloads to otherwise unreachable regions deep within the anatomy. In particular, this system uses a magnetic latching mechanism, ensuring precise drug delivery and efficient retrieval, demonstrated in an ex vivo porcine kidney model for organ transplantation–related immunosuppressant delivery.</w:t>
      </w:r>
    </w:p>
    <w:p>
      <w:pPr>
        <w:spacing w:before="120" w:after="120"/>
      </w:pPr>
      <w:r>
        <w:rPr>
          <w:sz w:val="18"/>
        </w:rPr>
        <w:t>——————————————————————————————————————————————————————————————————————</w:t>
      </w:r>
    </w:p>
    <w:p>
      <w:pPr>
        <w:spacing w:before="160" w:after="80" w:line="240" w:lineRule="auto"/>
      </w:pPr>
      <w:r>
        <w:rPr>
          <w:b/>
        </w:rPr>
        <w:t xml:space="preserve">[259] </w:t>
      </w:r>
      <w:hyperlink r:id="rId430">
        <w:r>
          <w:rPr>
            <w:color w:val="1155CC"/>
            <w:u w:val="single"/>
          </w:rPr>
          <w:t>Systemically inducing trained immunity overcomes solid tumors’ immunosuppressive microenvironment</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31">
        <w:r>
          <w:rPr>
            <w:color w:val="1155CC"/>
            <w:u w:val="single"/>
          </w:rPr>
          <w:t>10.1126/sciadv.adu0292</w:t>
        </w:r>
      </w:hyperlink>
    </w:p>
    <w:p>
      <w:pPr>
        <w:spacing w:before="0" w:after="120"/>
      </w:pPr>
      <w:r>
        <w:rPr>
          <w:b/>
        </w:rPr>
        <w:t xml:space="preserve">Notes: </w:t>
      </w:r>
      <w:r>
        <w:t>abstract_source=crossref</w:t>
      </w:r>
    </w:p>
    <w:p>
      <w:pPr>
        <w:spacing w:before="0" w:after="200" w:lineRule="auto" w:line="276"/>
      </w:pPr>
      <w:r>
        <w:rPr>
          <w:b/>
        </w:rPr>
        <w:t xml:space="preserve">Abstract: </w:t>
      </w:r>
      <w:r>
        <w:t>Hematopoietic bone marrow progenitors are increasingly implicated as an origin of immunosuppression in cancer. We have previously shown that trained immunity induction using nanomedicine potentiates checkpoint blockade therapy. Here, we studied how this approach’s induction of trained immunity systemically overcomes the immunosuppressive tumor microenvironment. We found changes in the tumor microenvironment to mirror functional changes in the hematopoietic system in a melanoma mouse model. Single cell sequencing methods disclosed a shift in the tumor-associated macrophage population from immunosuppressive to antitumorigenic. Uniquely, a trained immunity and checkpoint blockade combination therapy mobilized natural killer cells which, in conjunction with the functional changes in the myeloid cell compartment, effectively activated T cells. Last, we established the effectiveness of our approach in mouse models of breast, lung, and pancreatic cancer. Collectively, our data show that the systemic induction of trained immunity rebalances the immune system for effective checkpoint blockade therapy.</w:t>
      </w:r>
    </w:p>
    <w:p>
      <w:pPr>
        <w:spacing w:before="120" w:after="120"/>
      </w:pPr>
      <w:r>
        <w:rPr>
          <w:sz w:val="18"/>
        </w:rPr>
        <w:t>——————————————————————————————————————————————————————————————————————</w:t>
      </w:r>
    </w:p>
    <w:p>
      <w:pPr>
        <w:spacing w:before="160" w:after="80" w:line="240" w:lineRule="auto"/>
      </w:pPr>
      <w:r>
        <w:rPr>
          <w:b/>
        </w:rPr>
        <w:t xml:space="preserve">[260] </w:t>
      </w:r>
      <w:hyperlink r:id="rId432">
        <w:r>
          <w:rPr>
            <w:color w:val="1155CC"/>
            <w:u w:val="single"/>
          </w:rPr>
          <w:t>Bifacial carbodithioate-lead chelating for efficient and robust inverted perovskite solar cells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33">
        <w:r>
          <w:rPr>
            <w:color w:val="1155CC"/>
            <w:u w:val="single"/>
          </w:rPr>
          <w:t>10.1126/sciadv.adz2113</w:t>
        </w:r>
      </w:hyperlink>
    </w:p>
    <w:p>
      <w:pPr>
        <w:spacing w:before="0" w:after="120"/>
      </w:pPr>
      <w:r>
        <w:rPr>
          <w:b/>
        </w:rPr>
        <w:t xml:space="preserve">Notes: </w:t>
      </w:r>
      <w:r>
        <w:t>abstract_source=crossref</w:t>
      </w:r>
    </w:p>
    <w:p>
      <w:pPr>
        <w:spacing w:before="0" w:after="200" w:lineRule="auto" w:line="276"/>
      </w:pPr>
      <w:r>
        <w:rPr>
          <w:b/>
        </w:rPr>
        <w:t xml:space="preserve">Abstract: </w:t>
      </w:r>
      <w:r>
        <w:t>Low-dimensional conversion of lead iodide at perovskite grain boundaries (GBs) is of importance to address the interfacial instability of perovskite solar cells (PSCs), while current strategies relying on organic cations interacted with A/X site to low-dimensional lead-halide complexes are challenged by the instability caused by the introduction or residual cations and halides in perovskite films. Present work proposes and verifies a strategy of multidentate carbodithioate-lead chelation (MCLC), which is able to form a robust one-dimensional structure at the GBs, not only reducing interfacial defects and residual stress but also enhancing interfacial carrier transport in perovskite while substantially improving the photothermal and operational stabilities of PSCs. It was further demonstrated that bifacial modification at both top and buried interfaces of perovskite using MCLC strategy achieved PSCs with a high power conversion efficiency up to 26.15% (certified value of 25.75%) and 24.89% for 1-cm</w:t>
      </w:r>
      <w:r>
        <w:rPr>
          <w:vertAlign w:val="subscript"/>
        </w:rPr>
        <w:t>2</w:t>
      </w:r>
      <w:r>
        <w:t>-area device. The device retains 90.1% of its initial efficiency after 1700 hours of maximum power point tracking under illumination.</w:t>
      </w:r>
    </w:p>
    <w:p>
      <w:pPr>
        <w:spacing w:before="120" w:after="120"/>
      </w:pPr>
      <w:r>
        <w:rPr>
          <w:sz w:val="18"/>
        </w:rPr>
        <w:t>——————————————————————————————————————————————————————————————————————</w:t>
      </w:r>
    </w:p>
    <w:p>
      <w:pPr>
        <w:spacing w:before="160" w:after="80" w:line="240" w:lineRule="auto"/>
      </w:pPr>
      <w:r>
        <w:rPr>
          <w:b/>
        </w:rPr>
        <w:t xml:space="preserve">[261] </w:t>
      </w:r>
      <w:hyperlink r:id="rId434">
        <w:r>
          <w:rPr>
            <w:color w:val="1155CC"/>
            <w:u w:val="single"/>
          </w:rPr>
          <w:t>Dynamic adaptive coassembled sericin protein orchestrating stem cell development for nucleus pulposus regeneration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35">
        <w:r>
          <w:rPr>
            <w:color w:val="1155CC"/>
            <w:u w:val="single"/>
          </w:rPr>
          <w:t>10.1126/sciadv.adx2768</w:t>
        </w:r>
      </w:hyperlink>
    </w:p>
    <w:p>
      <w:pPr>
        <w:spacing w:before="0" w:after="120"/>
      </w:pPr>
      <w:r>
        <w:rPr>
          <w:b/>
        </w:rPr>
        <w:t xml:space="preserve">Notes: </w:t>
      </w:r>
      <w:r>
        <w:t>abstract_source=crossref</w:t>
      </w:r>
    </w:p>
    <w:p>
      <w:pPr>
        <w:spacing w:before="0" w:after="200" w:lineRule="auto" w:line="276"/>
      </w:pPr>
      <w:r>
        <w:rPr>
          <w:b/>
        </w:rPr>
        <w:t xml:space="preserve">Abstract: </w:t>
      </w:r>
      <w:r>
        <w:t>The zonal structure of natural extracellular matrix (ECM) creates a dynamic microenvironment that regulates mechanical and biochemical signals to support stem cell development. Here, we engineered a dynamic adaptive protein gel by coassembling bioactive sericin with an amphiphilic tripeptide, forming a nucleus pulposus (NP)–like viscoelastic network with rapid stress relaxation. This coassembled protein gel sequentially activated integrin β3–mediated mechanotransduction, promoted cytoskeletal remodeling and Yes-associated protein nuclear translocation, and subsequently up-regulated bioactive factors and ECM synthesis to orchestrate stem cell development. Incorporation of kartogenin provided sustained chondrogenic cues, thereby promoting stem cell differentiation and preserving NP tissue integrity in vivo. Together, these findings establish a phase separation–driven, adaptive protein matrix that orchestrates both mechanical and biochemical signaling for robust intervertebral disc regeneration.</w:t>
      </w:r>
    </w:p>
    <w:p>
      <w:pPr>
        <w:spacing w:before="120" w:after="120"/>
      </w:pPr>
      <w:r>
        <w:rPr>
          <w:sz w:val="18"/>
        </w:rPr>
        <w:t>——————————————————————————————————————————————————————————————————————</w:t>
      </w:r>
    </w:p>
    <w:p>
      <w:pPr>
        <w:spacing w:before="160" w:after="80" w:line="240" w:lineRule="auto"/>
      </w:pPr>
      <w:r>
        <w:rPr>
          <w:b/>
        </w:rPr>
        <w:t xml:space="preserve">[262] </w:t>
      </w:r>
      <w:hyperlink r:id="rId436">
        <w:r>
          <w:rPr>
            <w:color w:val="1155CC"/>
            <w:u w:val="single"/>
          </w:rPr>
          <w:t>Major heat wave in the North Atlantic had widespread and lasting impacts on marine life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37">
        <w:r>
          <w:rPr>
            <w:color w:val="1155CC"/>
            <w:u w:val="single"/>
          </w:rPr>
          <w:t>10.1126/sciadv.adt7125</w:t>
        </w:r>
      </w:hyperlink>
    </w:p>
    <w:p>
      <w:pPr>
        <w:spacing w:before="0" w:after="120"/>
      </w:pPr>
      <w:r>
        <w:rPr>
          <w:b/>
        </w:rPr>
        <w:t xml:space="preserve">Notes: </w:t>
      </w:r>
      <w:r>
        <w:t>abstract_source=crossref</w:t>
      </w:r>
    </w:p>
    <w:p>
      <w:pPr>
        <w:spacing w:before="0" w:after="200" w:lineRule="auto" w:line="276"/>
      </w:pPr>
      <w:r>
        <w:rPr>
          <w:b/>
        </w:rPr>
        <w:t xml:space="preserve">Abstract: </w:t>
      </w:r>
      <w:r>
        <w:t>Marine heat waves (MHWs) are increasing in frequency and intensity, but wider effects are unexamined in the North Atlantic, and there are uncertainties regarding the spatial scale, magnitude, and persistence of MHWs’ impacts on ecosystems. We show that a sudden and strong increase in the frequency of MHWs in and after 2003 was linked to widespread and abrupt ecological changes. This upheaval spanned multiple trophic levels, from unicellular protists to whales. Every examined region showed a reorganization from species adapted to colder, ice-prone environments to those favoring warmer waters and the event’s impacts altered socioecological dynamics. This review provides evidence for large-scale connectivity across ocean basins. However, it reveals that the magnitude of ecological impacts seems to vary among events highlighting key knowledge gaps for predicting ecosystem responses to MHWs. Understanding the importance of the subpolar gyre and air-sea heat exchange will be crucial for forecasting MHWs and their cascading effects.</w:t>
      </w:r>
    </w:p>
    <w:p>
      <w:pPr>
        <w:spacing w:before="120" w:after="120"/>
      </w:pPr>
      <w:r>
        <w:rPr>
          <w:sz w:val="18"/>
        </w:rPr>
        <w:t>——————————————————————————————————————————————————————————————————————</w:t>
      </w:r>
    </w:p>
    <w:p>
      <w:pPr>
        <w:spacing w:before="160" w:after="80" w:line="240" w:lineRule="auto"/>
      </w:pPr>
      <w:r>
        <w:rPr>
          <w:b/>
        </w:rPr>
        <w:t xml:space="preserve">[263] </w:t>
      </w:r>
      <w:hyperlink r:id="rId438">
        <w:r>
          <w:rPr>
            <w:color w:val="1155CC"/>
            <w:u w:val="single"/>
          </w:rPr>
          <w:t>Galectin-3 exacerbates autoimmune diabetes by limiting regulatory T cell differentiation and function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39">
        <w:r>
          <w:rPr>
            <w:color w:val="1155CC"/>
            <w:u w:val="single"/>
          </w:rPr>
          <w:t>10.1126/sciadv.adz7916</w:t>
        </w:r>
      </w:hyperlink>
    </w:p>
    <w:p>
      <w:pPr>
        <w:spacing w:before="0" w:after="120"/>
      </w:pPr>
      <w:r>
        <w:rPr>
          <w:b/>
        </w:rPr>
        <w:t xml:space="preserve">Notes: </w:t>
      </w:r>
      <w:r>
        <w:t>abstract_source=crossref</w:t>
      </w:r>
    </w:p>
    <w:p>
      <w:pPr>
        <w:spacing w:before="0" w:after="200" w:lineRule="auto" w:line="276"/>
      </w:pPr>
      <w:r>
        <w:rPr>
          <w:b/>
        </w:rPr>
        <w:t xml:space="preserve">Abstract: </w:t>
      </w:r>
      <w:r>
        <w:t>Galectin-3, a β-galactoside–binding lectin, has been implicated in several inflammatory and autoimmune diseases. However, the significance of circulating Galectin-3 in type 1 diabetes (T1D) remains unclear. Here, we report that compared to healthy controls, patients with T1D and their first-degree relatives (FDRs) exhibited significantly increased serum Galectin-3 levels primarily produced and secreted by monocytes/macrophages. Pharmacological inhibition (TD139) as well as knockout of Galectin-3 gene both attenuated Galectin-3–mediated suppression of regulatory T cells (T</w:t>
      </w:r>
      <w:r>
        <w:t xml:space="preserve"> </w:t>
      </w:r>
      <w:r>
        <w:t>reg</w:t>
      </w:r>
      <w:r>
        <w:t xml:space="preserve"> </w:t>
      </w:r>
      <w:r>
        <w:t>cells) and protected from insulitis and diabetes onset in NOD mice. Mechanistically, Galectin-3 bound to and activated lymphocyte activation gene 3 (LAG3), a receptor expressed on activated T cells, subsequently suppressing the MEK/ERK signaling pathway and thereby hindering T</w:t>
      </w:r>
      <w:r>
        <w:t xml:space="preserve"> </w:t>
      </w:r>
      <w:r>
        <w:t>reg</w:t>
      </w:r>
      <w:r>
        <w:t xml:space="preserve"> </w:t>
      </w:r>
      <w:r>
        <w:t>cell differentiation and function. In summary, our study identifies Galectin-3 as a potential biomarker for T1D and suggests that TD139 holds promise as a therapeutic candidate for patients with T1D and high serum Galectin-3 levels.</w:t>
      </w:r>
    </w:p>
    <w:p>
      <w:pPr>
        <w:spacing w:before="120" w:after="120"/>
      </w:pPr>
      <w:r>
        <w:rPr>
          <w:sz w:val="18"/>
        </w:rPr>
        <w:t>——————————————————————————————————————————————————————————————————————</w:t>
      </w:r>
    </w:p>
    <w:p>
      <w:pPr>
        <w:spacing w:before="160" w:after="80" w:line="240" w:lineRule="auto"/>
      </w:pPr>
      <w:r>
        <w:rPr>
          <w:b/>
        </w:rPr>
        <w:t xml:space="preserve">[264] </w:t>
      </w:r>
      <w:hyperlink r:id="rId440">
        <w:r>
          <w:rPr>
            <w:color w:val="1155CC"/>
            <w:u w:val="single"/>
          </w:rPr>
          <w:t>Immunosuppressive macrophages determine the effect of cellular senescence on tumor progression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41">
        <w:r>
          <w:rPr>
            <w:color w:val="1155CC"/>
            <w:u w:val="single"/>
          </w:rPr>
          <w:t>10.1126/sciadv.adx2988</w:t>
        </w:r>
      </w:hyperlink>
    </w:p>
    <w:p>
      <w:pPr>
        <w:spacing w:before="0" w:after="120"/>
      </w:pPr>
      <w:r>
        <w:rPr>
          <w:b/>
        </w:rPr>
        <w:t xml:space="preserve">Notes: </w:t>
      </w:r>
      <w:r>
        <w:t>abstract_source=crossref</w:t>
      </w:r>
    </w:p>
    <w:p>
      <w:pPr>
        <w:spacing w:before="0" w:after="200" w:lineRule="auto" w:line="276"/>
      </w:pPr>
      <w:r>
        <w:rPr>
          <w:b/>
        </w:rPr>
        <w:t xml:space="preserve">Abstract: </w:t>
      </w:r>
      <w:r>
        <w:t>Cells terminally arrested in the cell cycle that exhibit a distinct secretory phenotype are referred to as senescent. These cells play a complex role during tumor progression; they can inhibit or promote tumor growth depending on disease stage. We developed a mouse model that allows monitoring and selective elimination of cells expressing high levels of the cyclin-dependent kinase inhibitor p16 and interleukin-6. These mice, termed SuSe (suicidal senescence), were crossed with the mouse mammary tumor virus–polyomavirus middle T antigen (MMTV-PyMT) model of breast cancer. Functional characterization in SuSe/PyMT mice confirmed that depletion of senescent cells (senolysis) in early and late lesions accelerated and decelerated tumor growth and metastasis, respectively. Tumor acceleration was attributed to expansion of immunosuppressive, protumorigenic macrophages. C-C motif chemokine ligand 2 was identified as an autocrine chemokine essential for their recruitment and maintenance. Depletion of these macrophages reversed the effects of senescent cell clearance, rendering senolysis antitumorigenic even at early stages. Our results suggest that targeting immunosuppressive macrophages can preserve the benefits of senolysis while mitigating adverse effects.</w:t>
      </w:r>
    </w:p>
    <w:p>
      <w:pPr>
        <w:spacing w:before="120" w:after="120"/>
      </w:pPr>
      <w:r>
        <w:rPr>
          <w:sz w:val="18"/>
        </w:rPr>
        <w:t>——————————————————————————————————————————————————————————————————————</w:t>
      </w:r>
    </w:p>
    <w:p>
      <w:pPr>
        <w:spacing w:before="160" w:after="80" w:line="240" w:lineRule="auto"/>
      </w:pPr>
      <w:r>
        <w:rPr>
          <w:b/>
        </w:rPr>
        <w:t xml:space="preserve">[265] </w:t>
      </w:r>
      <w:hyperlink r:id="rId442">
        <w:r>
          <w:rPr>
            <w:color w:val="1155CC"/>
            <w:u w:val="single"/>
          </w:rPr>
          <w:t>Quantifying the impacts of rainfall and evaporation on Lake Bonneville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43">
        <w:r>
          <w:rPr>
            <w:color w:val="1155CC"/>
            <w:u w:val="single"/>
          </w:rPr>
          <w:t>10.1126/sciadv.adw4951</w:t>
        </w:r>
      </w:hyperlink>
    </w:p>
    <w:p>
      <w:pPr>
        <w:spacing w:before="0" w:after="120"/>
      </w:pPr>
      <w:r>
        <w:rPr>
          <w:b/>
        </w:rPr>
        <w:t xml:space="preserve">Notes: </w:t>
      </w:r>
      <w:r>
        <w:t>abstract_source=crossref</w:t>
      </w:r>
    </w:p>
    <w:p>
      <w:pPr>
        <w:spacing w:before="0" w:after="200" w:lineRule="auto" w:line="276"/>
      </w:pPr>
      <w:r>
        <w:rPr>
          <w:b/>
        </w:rPr>
        <w:t xml:space="preserve">Abstract: </w:t>
      </w:r>
      <w:r>
        <w:t>Improved understanding of hydroclimatic drivers in water-stressed regions enables more accurate forecasting of future climate change impacts. Lake Bonneville was the largest Pleistocene lake in western North America, with a maximum surface area of ~52,000 km</w:t>
      </w:r>
      <w:r>
        <w:rPr>
          <w:vertAlign w:val="subscript"/>
        </w:rPr>
        <w:t>2</w:t>
      </w:r>
      <w:r>
        <w:t>, before shrinking markedly to become the modern Great Salt Lake. After more than a century of study, the balance between enhanced precipitation and reduced evaporation as drivers of lake growth continues to be debated. Multiple studies identify precipitation as the main factor associated with the highest lake levels, but most proxies provide an estimate of net evaporation and cannot independently resolve precipitation from evaporation. Therefore, factors associated with lake size, growth, and retreat remain uncertain. This study uses the thermodynamically based carbonate clumped isotope geothermometer to estimate temperature, evaporation, and precipitation at Lake Bonneville from 23 to 16 thousand years ago (ka). Clumped isotope derived constraints on hydroclimate are also applied to assess the accuracy of regional climate model outputs. During transgressive and open phases of the lake, we find that regional and large-scale precipitation delivery were the driving factors of lake expansion. In contrast, at its maximum extent (~17.5 ka), Lake Bonneville was maintained via suppressed evaporation rates at 50% relative to modern while precipitation rates were similar to modern levels.</w:t>
      </w:r>
    </w:p>
    <w:p>
      <w:pPr>
        <w:spacing w:before="120" w:after="120"/>
      </w:pPr>
      <w:r>
        <w:rPr>
          <w:sz w:val="18"/>
        </w:rPr>
        <w:t>——————————————————————————————————————————————————————————————————————</w:t>
      </w:r>
    </w:p>
    <w:p>
      <w:pPr>
        <w:spacing w:before="160" w:after="80" w:line="240" w:lineRule="auto"/>
      </w:pPr>
      <w:r>
        <w:rPr>
          <w:b/>
        </w:rPr>
        <w:t xml:space="preserve">[266] </w:t>
      </w:r>
      <w:hyperlink r:id="rId444">
        <w:r>
          <w:rPr>
            <w:color w:val="1155CC"/>
            <w:u w:val="single"/>
          </w:rPr>
          <w:t>Accessing the density-free regime with ECRH-assisted ohmic start-up on EAST</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45">
        <w:r>
          <w:rPr>
            <w:color w:val="1155CC"/>
            <w:u w:val="single"/>
          </w:rPr>
          <w:t>10.1126/sciadv.adz3040</w:t>
        </w:r>
      </w:hyperlink>
    </w:p>
    <w:p>
      <w:pPr>
        <w:spacing w:before="0" w:after="120"/>
      </w:pPr>
      <w:r>
        <w:rPr>
          <w:b/>
        </w:rPr>
        <w:t xml:space="preserve">Notes: </w:t>
      </w:r>
      <w:r>
        <w:t>abstract_source=crossref</w:t>
      </w:r>
    </w:p>
    <w:p>
      <w:pPr>
        <w:spacing w:before="0" w:after="200" w:lineRule="auto" w:line="276"/>
      </w:pPr>
      <w:r>
        <w:rPr>
          <w:b/>
        </w:rPr>
        <w:t xml:space="preserve">Abstract: </w:t>
      </w:r>
      <w:r>
        <w:t>High plasma density operation is crucial for a tokamak to achieve energy breakeven and burning plasma. However, there is often an empirical upper limit of electron density in tokamak operation, namely, the Greenwald density limit</w:t>
      </w:r>
      <w:r>
        <w:t xml:space="preserve"> </w:t>
      </w:r>
      <w:r>
        <w:t>n</w:t>
      </w:r>
      <w:r>
        <w:t xml:space="preserve"> </w:t>
      </w:r>
      <w:r>
        <w:t>G</w:t>
      </w:r>
      <w:r>
        <w:t xml:space="preserve"> </w:t>
      </w:r>
      <w:r>
        <w:t>, above which tokamaks generally disrupt. Achieving high-density operation above the density limit has been a long-standing challenge in magnetic confinement fusion research. Here, we report experimental results on the Experimental Advanced Superconducting Tokamak (EAST) achieving line-averaged electron density in the range of (1.3 to 1.65)</w:t>
      </w:r>
      <w:r>
        <w:t xml:space="preserve"> </w:t>
      </w:r>
      <w:r>
        <w:t>n</w:t>
      </w:r>
      <w:r>
        <w:t xml:space="preserve"> </w:t>
      </w:r>
      <w:r>
        <w:t>G</w:t>
      </w:r>
      <w:r>
        <w:t xml:space="preserve"> </w:t>
      </w:r>
      <w:r>
        <w:t>, significantly above the typical EAST operational range of (0.8 to 1.0)</w:t>
      </w:r>
      <w:r>
        <w:t xml:space="preserve"> </w:t>
      </w:r>
      <w:r>
        <w:t>n</w:t>
      </w:r>
      <w:r>
        <w:t xml:space="preserve"> </w:t>
      </w:r>
      <w:r>
        <w:t>G</w:t>
      </w:r>
      <w:r>
        <w:t xml:space="preserve"> </w:t>
      </w:r>
      <w:r>
        <w:t>. This is performed with electron cyclotron resonance heating (ECRH)–assisted ohmic start-up and sufficiently high initial neutral density. These experiments are shown to operate in the density-free regime first predicted by a recent plasma-wall self-organization theory. These results suggest a promising scheme for substantially increasing the density limit in tokamaks, a critical advancement toward achieving burning plasma.</w:t>
      </w:r>
    </w:p>
    <w:p>
      <w:pPr>
        <w:spacing w:before="120" w:after="120"/>
      </w:pPr>
      <w:r>
        <w:rPr>
          <w:sz w:val="18"/>
        </w:rPr>
        <w:t>——————————————————————————————————————————————————————————————————————</w:t>
      </w:r>
    </w:p>
    <w:p>
      <w:pPr>
        <w:spacing w:before="160" w:after="80" w:line="240" w:lineRule="auto"/>
      </w:pPr>
      <w:r>
        <w:rPr>
          <w:b/>
        </w:rPr>
        <w:t xml:space="preserve">[267] </w:t>
      </w:r>
      <w:hyperlink r:id="rId446">
        <w:r>
          <w:rPr>
            <w:color w:val="1155CC"/>
            <w:u w:val="single"/>
          </w:rPr>
          <w:t>Limiting phosphonic acid interlayer–perovskite reactivity to stabilize perovskite solar modules</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447">
        <w:r>
          <w:rPr>
            <w:color w:val="1155CC"/>
            <w:u w:val="single"/>
          </w:rPr>
          <w:t>10.1126/science.adz7969</w:t>
        </w:r>
      </w:hyperlink>
    </w:p>
    <w:p>
      <w:pPr>
        <w:spacing w:before="0" w:after="120"/>
      </w:pPr>
      <w:r>
        <w:rPr>
          <w:b/>
        </w:rPr>
        <w:t xml:space="preserve">Notes: </w:t>
      </w:r>
      <w:r>
        <w:t>abstract_source=crossref</w:t>
      </w:r>
    </w:p>
    <w:p>
      <w:pPr>
        <w:spacing w:before="0" w:after="200" w:lineRule="auto" w:line="276"/>
      </w:pPr>
      <w:r>
        <w:rPr>
          <w:b/>
        </w:rPr>
        <w:t xml:space="preserve">Abstract: </w:t>
      </w:r>
      <w:r>
        <w:t>Phosphonic acid (PA)–based interlayers used in metal-halide perovskite solar cells (PSCs) can suffer from instability at elevated temperatures. We report that the acidic protons of PAs weakly bound to indium tin oxide (ITO) can accelerate the oxidation of iodide, decomposition of formamidinium, and reduction of lead ions and that these reactions accelerate at high temperature and on exposure to ultraviolet light. Also, some common PA molecules weakly bonded to ITO can desorb and react with perovskites. We synthesized a bis(diarylamino)biphenyl-based PA that binds more strongly to ITO and show that its use in PSCs led to an operational lifetime of nearly 3000 hours with 10% efficiency loss (T</w:t>
      </w:r>
      <w:r>
        <w:rPr>
          <w:vertAlign w:val="subscript"/>
        </w:rPr>
        <w:t>90</w:t>
      </w:r>
      <w:r>
        <w:t>) at 85°C under a metal halide lamp (including ultraviolet light) with maximum power point tracking. Minimodules had power conversion efficiencies &amp;gt;22% with an aperture area of &amp;gt;20 square centimeters and exhibited a T</w:t>
      </w:r>
      <w:r>
        <w:rPr>
          <w:vertAlign w:val="subscript"/>
        </w:rPr>
        <w:t>90</w:t>
      </w:r>
      <w:r>
        <w:t>lifetime of ~2200 hours under similar testing conditions.</w:t>
      </w:r>
    </w:p>
    <w:p>
      <w:pPr>
        <w:spacing w:before="120" w:after="120"/>
      </w:pPr>
      <w:r>
        <w:rPr>
          <w:sz w:val="18"/>
        </w:rPr>
        <w:t>——————————————————————————————————————————————————————————————————————</w:t>
      </w:r>
    </w:p>
    <w:p>
      <w:pPr>
        <w:spacing w:before="160" w:after="80" w:line="240" w:lineRule="auto"/>
      </w:pPr>
      <w:r>
        <w:rPr>
          <w:b/>
        </w:rPr>
        <w:t xml:space="preserve">[268] </w:t>
      </w:r>
      <w:hyperlink r:id="rId448">
        <w:r>
          <w:rPr>
            <w:color w:val="1155CC"/>
            <w:u w:val="single"/>
          </w:rPr>
          <w:t>HLA-Shuttle: A system for enhancing antigen presentation in immunologically cold tumors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49">
        <w:r>
          <w:rPr>
            <w:color w:val="1155CC"/>
            <w:u w:val="single"/>
          </w:rPr>
          <w:t>10.1126/sciadv.aeb0821</w:t>
        </w:r>
      </w:hyperlink>
    </w:p>
    <w:p>
      <w:pPr>
        <w:spacing w:before="0" w:after="120"/>
      </w:pPr>
      <w:r>
        <w:rPr>
          <w:b/>
        </w:rPr>
        <w:t xml:space="preserve">Notes: </w:t>
      </w:r>
      <w:r>
        <w:t>abstract_source=crossref</w:t>
      </w:r>
    </w:p>
    <w:p>
      <w:pPr>
        <w:spacing w:before="0" w:after="200" w:lineRule="auto" w:line="276"/>
      </w:pPr>
      <w:r>
        <w:rPr>
          <w:b/>
        </w:rPr>
        <w:t xml:space="preserve">Abstract: </w:t>
      </w:r>
      <w:r>
        <w:t>Epitopic peptides presented by class-I human leukocyte antigen (HLA-I) proteins provide the basis of immune surveillance by T cells. Conversely, reduced surface HLA-I expression is a hallmark of immune evasion by latent viral infections and cancer, which confounds the identification of peptide antigens and neoantigens. Here, we outline a system (HLA-Shuttle) for in vitro manipulation of cells with engineered components of the HLA-I processing machinery to confer a continuum of chaperoning activity throughout their trafficking pathway. HLA-Shuttle restores antigen presentation in immunologically cold neuroblastoma cells, enabling identification of multiple tumor-associated antigens with therapeutic potential. Cellular trafficking assays and single-particle tracking reveal a global stabilization of HLA-I molecules, extension of their cell-surface lifetime and microdomain formation. HLA-Shuttle can be used across a range of aberrant cellular states where low antigen expression remains a bottleneck for the identification of endogenous peptide antigens.</w:t>
      </w:r>
    </w:p>
    <w:p>
      <w:pPr>
        <w:spacing w:before="120" w:after="120"/>
      </w:pPr>
      <w:r>
        <w:rPr>
          <w:sz w:val="18"/>
        </w:rPr>
        <w:t>——————————————————————————————————————————————————————————————————————</w:t>
      </w:r>
    </w:p>
    <w:p>
      <w:pPr>
        <w:spacing w:before="160" w:after="80" w:line="240" w:lineRule="auto"/>
      </w:pPr>
      <w:r>
        <w:rPr>
          <w:b/>
        </w:rPr>
        <w:t xml:space="preserve">[269] </w:t>
      </w:r>
      <w:hyperlink r:id="rId450">
        <w:r>
          <w:rPr>
            <w:color w:val="1155CC"/>
            <w:u w:val="single"/>
          </w:rPr>
          <w:t>Autologous human iPSC–derived alveolus-on-chip reveals early pathological events of Mycobacterium tuberculosis infection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51">
        <w:r>
          <w:rPr>
            <w:color w:val="1155CC"/>
            <w:u w:val="single"/>
          </w:rPr>
          <w:t>10.1126/sciadv.aea9874</w:t>
        </w:r>
      </w:hyperlink>
    </w:p>
    <w:p>
      <w:pPr>
        <w:spacing w:before="0" w:after="120"/>
      </w:pPr>
      <w:r>
        <w:rPr>
          <w:b/>
        </w:rPr>
        <w:t xml:space="preserve">Notes: </w:t>
      </w:r>
      <w:r>
        <w:t>abstract_source=crossref</w:t>
      </w:r>
    </w:p>
    <w:p>
      <w:pPr>
        <w:spacing w:before="0" w:after="200" w:lineRule="auto" w:line="276"/>
      </w:pPr>
      <w:r>
        <w:rPr>
          <w:b/>
        </w:rPr>
        <w:t xml:space="preserve">Abstract: </w:t>
      </w:r>
      <w:r>
        <w:t>Immunocompetent and experimentally accessible alveolar systems to study human respiratory diseases are lacking. Here, we developed a single-donor human induced pluripotent stem cell-derived lung-on-chip (iLoC) containing type II and I alveolar epithelial cells, vascular endothelial cells, and macrophages in a microfluidic device that mimic lung three-dimensional mechanical stretching and air-liquid interface. Imaging and single-cell RNA sequencing analysis revealed that the iLoC recapitulated cellular profiles present in the human distal lung. Infection of the iLoC with the human pathogen</w:t>
      </w:r>
      <w:r>
        <w:t xml:space="preserve"> </w:t>
      </w:r>
      <w:r>
        <w:t>Mycobacterium tuberculosis</w:t>
      </w:r>
      <w:r>
        <w:t xml:space="preserve"> </w:t>
      </w:r>
      <w:r>
        <w:t>(Mtb) showed that both macrophages and epithelial cells were infected but not permissive to bacterial replication. Stochastically, large macrophage clusters containing necrotic macrophages supporting Mtb replication were observed. A genetically engineered autophagy-deficient iLoC revealed that after Mtb infection, macrophage necrosis was higher upon ATG14 deficiency without bacterial replication. Together, we report an autologous, genetically tractable human alveolar model to study lung diseases and therapies.</w:t>
      </w:r>
    </w:p>
    <w:p>
      <w:pPr>
        <w:spacing w:before="120" w:after="120"/>
      </w:pPr>
      <w:r>
        <w:rPr>
          <w:sz w:val="18"/>
        </w:rPr>
        <w:t>——————————————————————————————————————————————————————————————————————</w:t>
      </w:r>
    </w:p>
    <w:p>
      <w:pPr>
        <w:spacing w:before="160" w:after="80" w:line="240" w:lineRule="auto"/>
      </w:pPr>
      <w:r>
        <w:rPr>
          <w:b/>
        </w:rPr>
        <w:t xml:space="preserve">[270] </w:t>
      </w:r>
      <w:hyperlink r:id="rId452">
        <w:r>
          <w:rPr>
            <w:color w:val="1155CC"/>
            <w:u w:val="single"/>
          </w:rPr>
          <w:t>TFEB coordinates autophagosome biogenesis and ribophagy during starvation via SQSTM1</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53">
        <w:r>
          <w:rPr>
            <w:color w:val="1155CC"/>
            <w:u w:val="single"/>
          </w:rPr>
          <w:t>10.1126/sciadv.aea9302</w:t>
        </w:r>
      </w:hyperlink>
    </w:p>
    <w:p>
      <w:pPr>
        <w:spacing w:before="0" w:after="120"/>
      </w:pPr>
      <w:r>
        <w:rPr>
          <w:b/>
        </w:rPr>
        <w:t xml:space="preserve">Notes: </w:t>
      </w:r>
      <w:r>
        <w:t>abstract_source=crossref</w:t>
      </w:r>
    </w:p>
    <w:p>
      <w:pPr>
        <w:spacing w:before="0" w:after="200" w:lineRule="auto" w:line="276"/>
      </w:pPr>
      <w:r>
        <w:rPr>
          <w:b/>
        </w:rPr>
        <w:t xml:space="preserve">Abstract: </w:t>
      </w:r>
      <w:r>
        <w:t>(Macro)autophagy is a conserved cellular degradation pathway that delivers substrates to lysosomes via autophagosomes. Among various physiological stimuli, nutrient starvation is the most potent inducer of autophagy. In response to starvation, transcription factor EB (TFEB) is activated and up-regulates a broad set of autophagy-related genes. However, the mechanisms by which TFEB promotes autophagosome biogenesis remain incompletely understood. Here, we demonstrate that TFEB-mediated transcriptional induction of</w:t>
      </w:r>
      <w:r>
        <w:t xml:space="preserve"> </w:t>
      </w:r>
      <w:r>
        <w:t>sequestosome 1</w:t>
      </w:r>
      <w:r>
        <w:t xml:space="preserve"> </w:t>
      </w:r>
      <w:r>
        <w:t>(SQSTM1; p62) triggers the formation of SQSTM1-positive bodies that recruit essential autophagy factors, thereby initiating autophagosome biogenesis. Genetic disruption of TFEB-dependent SQSTM1 regulation markedly impairs starvation-induced autophagy, underscoring the critical role of the TFEB-SQSTM1 axis in the autophagic response to nutrient stress. Furthermore, we show that these SQSTM1 bodies contain ubiquitinated ribosomal proteins and that TFEB promotes ribosomal protein ubiquitination by inducing the E3 ubiquitin ligase ZNF598. Collectively, our findings uncover a transcriptionally coordinated mechanism that regulates both autophagosome biogenesis and substrate ubiquitination, facilitating efficient cargo clearance during starvation-induced autophagy.</w:t>
      </w:r>
    </w:p>
    <w:p>
      <w:pPr>
        <w:spacing w:before="120" w:after="120"/>
      </w:pPr>
      <w:r>
        <w:rPr>
          <w:sz w:val="18"/>
        </w:rPr>
        <w:t>——————————————————————————————————————————————————————————————————————</w:t>
      </w:r>
    </w:p>
    <w:p>
      <w:pPr>
        <w:spacing w:before="160" w:after="80" w:line="240" w:lineRule="auto"/>
      </w:pPr>
      <w:r>
        <w:rPr>
          <w:b/>
        </w:rPr>
        <w:t xml:space="preserve">[271] </w:t>
      </w:r>
      <w:hyperlink r:id="rId454">
        <w:r>
          <w:rPr>
            <w:color w:val="1155CC"/>
            <w:u w:val="single"/>
          </w:rPr>
          <w:t>Hysteresis-free and dynamically resilient strain sensor enabled by interfacial coordination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55">
        <w:r>
          <w:rPr>
            <w:color w:val="1155CC"/>
            <w:u w:val="single"/>
          </w:rPr>
          <w:t>10.1126/sciadv.aea2450</w:t>
        </w:r>
      </w:hyperlink>
    </w:p>
    <w:p>
      <w:pPr>
        <w:spacing w:before="0" w:after="120"/>
      </w:pPr>
      <w:r>
        <w:rPr>
          <w:b/>
        </w:rPr>
        <w:t xml:space="preserve">Notes: </w:t>
      </w:r>
      <w:r>
        <w:t>abstract_source=crossref</w:t>
      </w:r>
    </w:p>
    <w:p>
      <w:pPr>
        <w:spacing w:before="0" w:after="200" w:lineRule="auto" w:line="276"/>
      </w:pPr>
      <w:r>
        <w:rPr>
          <w:b/>
        </w:rPr>
        <w:t xml:space="preserve">Abstract: </w:t>
      </w:r>
      <w:r>
        <w:t>Mechanical hysteresis in soft materials remains a fundamental barrier to achieving accurate, high-speed strain sensing, especially under large and dynamic deformation. Here, we report a hysteresis-free strain sensor enabled by an interfacial coordination strategy, which integrates intrinsically stretchable dual-network universal bonding materials to establish robust adhesion between hyperelastic and hydrogel-dielectric hybrid systems. This architecture simultaneously enhances the elastic rebound stiffness of the composite and suppresses interfacial slippage, leading to a notable reduction in system-level hysteresis. A strain rate–dependent evaluation framework is proposed to systematically quantify dynamic hysteresis variability. The resulting sensor exhibits outstanding performance under extreme mechanical conditions, including 100% peak strain and strain rates up to 50% per second, maintaining a failure range below 1%. Moreover, the sensor demonstrates high linearity [coefficient of determination (</w:t>
      </w:r>
      <w:r>
        <w:t xml:space="preserve"> </w:t>
      </w:r>
      <w:r>
        <w:t>R</w:t>
      </w:r>
      <w:r>
        <w:rPr>
          <w:vertAlign w:val="subscript"/>
        </w:rPr>
        <w:t>2</w:t>
      </w:r>
      <w:r>
        <w:t>) = 0.9998], an extended sensing range exceeding 200%, and superior mechanical durability. This work provides a comprehensive strategy toward hysteresis-free and dynamically accurate soft strain sensors, paving the way for next-generation human-machine interfaces and wearable electronics.</w:t>
      </w:r>
    </w:p>
    <w:p>
      <w:pPr>
        <w:spacing w:before="120" w:after="120"/>
      </w:pPr>
      <w:r>
        <w:rPr>
          <w:sz w:val="18"/>
        </w:rPr>
        <w:t>——————————————————————————————————————————————————————————————————————</w:t>
      </w:r>
    </w:p>
    <w:p>
      <w:pPr>
        <w:spacing w:before="160" w:after="80" w:line="240" w:lineRule="auto"/>
      </w:pPr>
      <w:r>
        <w:rPr>
          <w:b/>
        </w:rPr>
        <w:t xml:space="preserve">[272] </w:t>
      </w:r>
      <w:hyperlink r:id="rId456">
        <w:r>
          <w:rPr>
            <w:color w:val="1155CC"/>
            <w:u w:val="single"/>
          </w:rPr>
          <w:t>Circadian-shaped immune variability predicts infection outcome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57">
        <w:r>
          <w:rPr>
            <w:color w:val="1155CC"/>
            <w:u w:val="single"/>
          </w:rPr>
          <w:t>10.1126/sciadv.adx8112</w:t>
        </w:r>
      </w:hyperlink>
    </w:p>
    <w:p>
      <w:pPr>
        <w:spacing w:before="0" w:after="120"/>
      </w:pPr>
      <w:r>
        <w:rPr>
          <w:b/>
        </w:rPr>
        <w:t xml:space="preserve">Notes: </w:t>
      </w:r>
      <w:r>
        <w:t>abstract_source=crossref</w:t>
      </w:r>
    </w:p>
    <w:p>
      <w:pPr>
        <w:spacing w:before="0" w:after="200" w:lineRule="auto" w:line="276"/>
      </w:pPr>
      <w:r>
        <w:rPr>
          <w:b/>
        </w:rPr>
        <w:t xml:space="preserve">Abstract: </w:t>
      </w:r>
      <w:r>
        <w:t>Disease risk and severity are influenced by genetics, epigenetics, and environmental factors. However, immune responses vary even among genetically similar or related individuals, shaped by inherited and noninherited factors. Using</w:t>
      </w:r>
      <w:r>
        <w:t xml:space="preserve"> </w:t>
      </w:r>
      <w:r>
        <w:t>Caenorhabditis elegans</w:t>
      </w:r>
      <w:r>
        <w:t xml:space="preserve"> </w:t>
      </w:r>
      <w:r>
        <w:t>, we found that pathogen susceptibility can be predicted by preinfection biomarkers. Individuals with high-basal expression of</w:t>
      </w:r>
      <w:r>
        <w:t xml:space="preserve"> </w:t>
      </w:r>
      <w:r>
        <w:t>irg-5</w:t>
      </w:r>
      <w:r>
        <w:t xml:space="preserve"> </w:t>
      </w:r>
      <w:r>
        <w:t>, an infection response gene regulated by the p38 mitogen-activated protein kinase-1 (PMK-1) pathway, were more susceptible to</w:t>
      </w:r>
      <w:r>
        <w:t xml:space="preserve"> </w:t>
      </w:r>
      <w:r>
        <w:t>Pseudomonas aeruginosa</w:t>
      </w:r>
      <w:r>
        <w:t xml:space="preserve"> </w:t>
      </w:r>
      <w:r>
        <w:t>infection. A genome-wide screen identified the myeloid ecotropic viral integration site-1 (MEIS) homeobox protein UNC-62 as a regulator of</w:t>
      </w:r>
      <w:r>
        <w:t xml:space="preserve"> </w:t>
      </w:r>
      <w:r>
        <w:t>irg-5</w:t>
      </w:r>
      <w:r>
        <w:t xml:space="preserve"> </w:t>
      </w:r>
      <w:r>
        <w:t>expression, acting through PMK-1 and GATA binding erythroid-like transcription factor (ELT-2). Further analysis revealed that maternal circadian timing shaped offspring immune heterogeneity and inhibition of clock genes eliminated the effects induced by maternal timing. These findings highlight circadian-driven immune variability as a potential adaptive strategy for resilience against infection.</w:t>
      </w:r>
    </w:p>
    <w:p>
      <w:pPr>
        <w:spacing w:before="120" w:after="120"/>
      </w:pPr>
      <w:r>
        <w:rPr>
          <w:sz w:val="18"/>
        </w:rPr>
        <w:t>——————————————————————————————————————————————————————————————————————</w:t>
      </w:r>
    </w:p>
    <w:p>
      <w:pPr>
        <w:spacing w:before="160" w:after="80" w:line="240" w:lineRule="auto"/>
      </w:pPr>
      <w:r>
        <w:rPr>
          <w:b/>
        </w:rPr>
        <w:t xml:space="preserve">[273] </w:t>
      </w:r>
      <w:hyperlink r:id="rId458">
        <w:r>
          <w:rPr>
            <w:color w:val="1155CC"/>
            <w:u w:val="single"/>
          </w:rPr>
          <w:t>Actomyosin-dependent assembly of the mechanosensitive machinery from adherens junctions triggers actin polymerization and organization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59">
        <w:r>
          <w:rPr>
            <w:color w:val="1155CC"/>
            <w:u w:val="single"/>
          </w:rPr>
          <w:t>10.1126/sciadv.ady4863</w:t>
        </w:r>
      </w:hyperlink>
    </w:p>
    <w:p>
      <w:pPr>
        <w:spacing w:before="0" w:after="120"/>
      </w:pPr>
      <w:r>
        <w:rPr>
          <w:b/>
        </w:rPr>
        <w:t xml:space="preserve">Notes: </w:t>
      </w:r>
      <w:r>
        <w:t>abstract_source=crossref</w:t>
      </w:r>
    </w:p>
    <w:p>
      <w:pPr>
        <w:spacing w:before="0" w:after="200" w:lineRule="auto" w:line="276"/>
      </w:pPr>
      <w:r>
        <w:rPr>
          <w:b/>
        </w:rPr>
        <w:t xml:space="preserve">Abstract: </w:t>
      </w:r>
      <w:r>
        <w:t>Cells rely on cadherin-based adherens junctions (AJs) to form cohesive tissues. To establish contact, cells generate pushing forces through branched actin polymerization mediated by the actin-related protein 2/3 (Arp2/3) complex, followed by the reinforcement of mechanosensitive AJs in response to actomyosin contractility. To investigate how AJ proteins coordinate these events, we combined kinetic assays of actin polymerization, single actin filament observation in total internal reflection fluorescence microscopy, and in vitro reconstitution of AJ mechanosensitivity. Our findings show that actomyosin contractility alone is sufficient to trigger the hierarchical assembly of the AJ mechanosensitive proteins α-catenin, vinculin, and vasodilator-stimulated phosphoprotein (VASP). Once assembled, these proteins act synergistically to promote actin filament nucleation, elongation, and bundling. The α-catenin-vinculin-VASP machinery inhibits Arp2/3-mediated actin branching and instead promotes the myosin-dependent assembly of actin bundles. Together, these results reveal how AJs integrate actin assembly, actomyosin contractility, and mechanosensitivity in a feedback loop.</w:t>
      </w:r>
    </w:p>
    <w:p>
      <w:pPr>
        <w:spacing w:before="120" w:after="120"/>
      </w:pPr>
      <w:r>
        <w:rPr>
          <w:sz w:val="18"/>
        </w:rPr>
        <w:t>——————————————————————————————————————————————————————————————————————</w:t>
      </w:r>
    </w:p>
    <w:p>
      <w:pPr>
        <w:spacing w:before="160" w:after="80" w:line="240" w:lineRule="auto"/>
      </w:pPr>
      <w:r>
        <w:rPr>
          <w:b/>
        </w:rPr>
        <w:t xml:space="preserve">[274] </w:t>
      </w:r>
      <w:hyperlink r:id="rId460">
        <w:r>
          <w:rPr>
            <w:color w:val="1155CC"/>
            <w:u w:val="single"/>
          </w:rPr>
          <w:t>Advancing global sea ice prediction capabilities using a fully coupled climate model with integrated machine learning</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61">
        <w:r>
          <w:rPr>
            <w:color w:val="1155CC"/>
            <w:u w:val="single"/>
          </w:rPr>
          <w:t>10.1126/sciadv.ady8957</w:t>
        </w:r>
      </w:hyperlink>
    </w:p>
    <w:p>
      <w:pPr>
        <w:spacing w:before="0" w:after="120"/>
      </w:pPr>
      <w:r>
        <w:rPr>
          <w:b/>
        </w:rPr>
        <w:t xml:space="preserve">Notes: </w:t>
      </w:r>
      <w:r>
        <w:t>abstract_source=crossref</w:t>
      </w:r>
    </w:p>
    <w:p>
      <w:pPr>
        <w:spacing w:before="0" w:after="200" w:lineRule="auto" w:line="276"/>
      </w:pPr>
      <w:r>
        <w:rPr>
          <w:b/>
        </w:rPr>
        <w:t xml:space="preserve">Abstract: </w:t>
      </w:r>
      <w:r>
        <w:t>We showcase a hybrid modeling framework that embeds machine learning (ML) inference into the Geophysical Fluid Dynamics Laboratory Seamless System for Prediction and Earth System Research (SPEAR) climate model for online sea ice bias correction during a set of global fully coupled 1-year retrospective forecasts. We compare two hybrid versions of SPEAR to understand the importance of exposing ML models to coupled ice-atmosphere-ocean feedbacks before implementation into fully coupled simulations: Hybrid</w:t>
      </w:r>
      <w:r>
        <w:t xml:space="preserve"> </w:t>
      </w:r>
      <w:r>
        <w:t>CPL</w:t>
      </w:r>
      <w:r>
        <w:t xml:space="preserve"> </w:t>
      </w:r>
      <w:r>
        <w:t>(couple trained; with feedbacks) and Hybrid</w:t>
      </w:r>
      <w:r>
        <w:t xml:space="preserve"> </w:t>
      </w:r>
      <w:r>
        <w:t>IO</w:t>
      </w:r>
      <w:r>
        <w:t xml:space="preserve"> </w:t>
      </w:r>
      <w:r>
        <w:t>(ice ocean trained; without feedbacks). Relative to SPEAR, Hybrid</w:t>
      </w:r>
      <w:r>
        <w:t xml:space="preserve"> </w:t>
      </w:r>
      <w:r>
        <w:t>CPL</w:t>
      </w:r>
      <w:r>
        <w:t xml:space="preserve"> </w:t>
      </w:r>
      <w:r>
        <w:t>systematically reduces seasonal forecast errors in the Arctic and considerably reduces Antarctic errors for target months May to December, with &amp;gt;2× error reduction in 4- to 6-month lead forecasts of Antarctic winter sea ice extent. Meanwhile, Hybrid</w:t>
      </w:r>
      <w:r>
        <w:t xml:space="preserve"> </w:t>
      </w:r>
      <w:r>
        <w:t>IO</w:t>
      </w:r>
      <w:r>
        <w:t xml:space="preserve"> </w:t>
      </w:r>
      <w:r>
        <w:t>suffers from out-of-sample behavior that can trigger a chain of Southern Ocean feedbacks, leading to ice-free Antarctic summers. Our results emphasize that ML can demonstrably improve numerical sea ice prediction capabilities and that exposing ML models to coupled ice-atmosphere-ocean processes is essential for generalization in fully coupled simulations.</w:t>
      </w:r>
    </w:p>
    <w:p>
      <w:pPr>
        <w:spacing w:before="120" w:after="120"/>
      </w:pPr>
      <w:r>
        <w:rPr>
          <w:sz w:val="18"/>
        </w:rPr>
        <w:t>——————————————————————————————————————————————————————————————————————</w:t>
      </w:r>
    </w:p>
    <w:p>
      <w:pPr>
        <w:spacing w:before="160" w:after="80" w:line="240" w:lineRule="auto"/>
      </w:pPr>
      <w:r>
        <w:rPr>
          <w:b/>
        </w:rPr>
        <w:t xml:space="preserve">[275] </w:t>
      </w:r>
      <w:hyperlink r:id="rId462">
        <w:r>
          <w:rPr>
            <w:color w:val="1155CC"/>
            <w:u w:val="single"/>
          </w:rPr>
          <w:t>Highly ordered rubbers with a giant elastocaloric effect</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63">
        <w:r>
          <w:rPr>
            <w:color w:val="1155CC"/>
            <w:u w:val="single"/>
          </w:rPr>
          <w:t>10.1126/sciadv.ady2745</w:t>
        </w:r>
      </w:hyperlink>
    </w:p>
    <w:p>
      <w:pPr>
        <w:spacing w:before="0" w:after="120"/>
      </w:pPr>
      <w:r>
        <w:rPr>
          <w:b/>
        </w:rPr>
        <w:t xml:space="preserve">Notes: </w:t>
      </w:r>
      <w:r>
        <w:t>abstract_source=crossref</w:t>
      </w:r>
    </w:p>
    <w:p>
      <w:pPr>
        <w:spacing w:before="0" w:after="200" w:lineRule="auto" w:line="276"/>
      </w:pPr>
      <w:r>
        <w:rPr>
          <w:b/>
        </w:rPr>
        <w:t xml:space="preserve">Abstract: </w:t>
      </w:r>
      <w:r>
        <w:t>Rubbers have emerged as the leading candidates for solid-state refrigerants in elastocaloric cooling, owing to their low driving force and high coefficient of performance. However, their elastocaloric effect is generally limited by the intrinsic disorder nature of their molecular chains. Here, we report that the rubbers synthesized from a cycloaliphatic diisocyanate and an ordered polyol exhibit both high short- and long-range ordering, giving rise to strain-induced crystallinity of ordered chains up to 66.3%. Consequently, the structurally optimized rubber demonstrates an adiabatic temperature change of 20.1 kelvin and an isothermal entropy change of 179.8 joules per kilogram per kelvin, greatly surpassing previously reported elastocaloric polymers. Moreover, we develop a rubber-based roll-to-roll stretching refrigeration device that addresses the key limitations of conventional stress-based elastocaloric polymer devices.</w:t>
      </w:r>
    </w:p>
    <w:p>
      <w:pPr>
        <w:spacing w:before="120" w:after="120"/>
      </w:pPr>
      <w:r>
        <w:rPr>
          <w:sz w:val="18"/>
        </w:rPr>
        <w:t>——————————————————————————————————————————————————————————————————————</w:t>
      </w:r>
    </w:p>
    <w:p>
      <w:pPr>
        <w:spacing w:before="160" w:after="80" w:line="240" w:lineRule="auto"/>
      </w:pPr>
      <w:r>
        <w:rPr>
          <w:b/>
        </w:rPr>
        <w:t xml:space="preserve">[276] </w:t>
      </w:r>
      <w:hyperlink r:id="rId464">
        <w:r>
          <w:rPr>
            <w:color w:val="1155CC"/>
            <w:u w:val="single"/>
          </w:rPr>
          <w:t>Microbial dynamics in coral reef waters: Diel cycles in contrasting seasons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65">
        <w:r>
          <w:rPr>
            <w:color w:val="1155CC"/>
            <w:u w:val="single"/>
          </w:rPr>
          <w:t>10.1126/sciadv.ady9534</w:t>
        </w:r>
      </w:hyperlink>
    </w:p>
    <w:p>
      <w:pPr>
        <w:spacing w:before="0" w:after="120"/>
      </w:pPr>
      <w:r>
        <w:rPr>
          <w:b/>
        </w:rPr>
        <w:t xml:space="preserve">Notes: </w:t>
      </w:r>
      <w:r>
        <w:t>abstract_source=crossref</w:t>
      </w:r>
    </w:p>
    <w:p>
      <w:pPr>
        <w:spacing w:before="0" w:after="200" w:lineRule="auto" w:line="276"/>
      </w:pPr>
      <w:r>
        <w:rPr>
          <w:b/>
        </w:rPr>
        <w:t xml:space="preserve">Abstract: </w:t>
      </w:r>
      <w:r>
        <w:t>Coral reefs are dynamic ecological hotspots, yet their influence on surrounding microbial plankton remains poorly studied. High-frequency diel sampling of Red Sea reef waters during mesotrophic winter and oligotrophic summer conditions revealed distinct prokaryotic and microeukaryotic communities compared to nonreef waters, along with previously undescribed diel cycles. Sequencing of 16</w:t>
      </w:r>
      <w:r>
        <w:t xml:space="preserve"> </w:t>
      </w:r>
      <w:r>
        <w:t>S</w:t>
      </w:r>
      <w:r>
        <w:t xml:space="preserve"> </w:t>
      </w:r>
      <w:r>
        <w:t>and 18</w:t>
      </w:r>
      <w:r>
        <w:t xml:space="preserve"> </w:t>
      </w:r>
      <w:r>
        <w:t>S</w:t>
      </w:r>
      <w:r>
        <w:t xml:space="preserve"> </w:t>
      </w:r>
      <w:r>
        <w:t>ribosomal RNA gene amplicons showed enrichment in sequences affiliated with copiotrophs, specialized hydrocarbon degraders, parasites, and mutualistic symbionts. Symbiodiniaceae sequence reads consistently peaked at midday. Cell counts by flow cytometry revealed that reef water contained 20 to 60% fewer bacteria and up to 75% fewer microalgae than adjacent open seawaters. In winter, cell drawdown was often more pronounced at dusk, while summer cell density showed no consistent diel pattern. Heterotrophic protist densities increased up to 80% in reef water at night, suggesting predation as a regulatory force on microbial populations. Our findings show that the reef not only reshapes microbial communities but also imposes a pronounced diel structure on planktonic life.</w:t>
      </w:r>
    </w:p>
    <w:p>
      <w:pPr>
        <w:spacing w:before="120" w:after="120"/>
      </w:pPr>
      <w:r>
        <w:rPr>
          <w:sz w:val="18"/>
        </w:rPr>
        <w:t>——————————————————————————————————————————————————————————————————————</w:t>
      </w:r>
    </w:p>
    <w:p>
      <w:pPr>
        <w:spacing w:before="160" w:after="80" w:line="240" w:lineRule="auto"/>
      </w:pPr>
      <w:r>
        <w:rPr>
          <w:b/>
        </w:rPr>
        <w:t xml:space="preserve">[277] </w:t>
      </w:r>
      <w:hyperlink r:id="rId466">
        <w:r>
          <w:rPr>
            <w:color w:val="1155CC"/>
            <w:u w:val="single"/>
          </w:rPr>
          <w:t>Nanopore profiling and structure determination of oligosaccharides by fragmentation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67">
        <w:r>
          <w:rPr>
            <w:color w:val="1155CC"/>
            <w:u w:val="single"/>
          </w:rPr>
          <w:t>10.1126/sciadv.aea8462</w:t>
        </w:r>
      </w:hyperlink>
    </w:p>
    <w:p>
      <w:pPr>
        <w:spacing w:before="0" w:after="120"/>
      </w:pPr>
      <w:r>
        <w:rPr>
          <w:b/>
        </w:rPr>
        <w:t xml:space="preserve">Notes: </w:t>
      </w:r>
      <w:r>
        <w:t>abstract_source=crossref</w:t>
      </w:r>
    </w:p>
    <w:p>
      <w:pPr>
        <w:spacing w:before="0" w:after="200" w:lineRule="auto" w:line="276"/>
      </w:pPr>
      <w:r>
        <w:rPr>
          <w:b/>
        </w:rPr>
        <w:t xml:space="preserve">Abstract: </w:t>
      </w:r>
      <w:r>
        <w:t>Oligosaccharides, polymers of covalently linked monosaccharides, are essential biomolecules mediating diverse biological and physiological processes. Despite their critical roles, the structural complexity of many oligosaccharides poses a notable challenge for comprehensive characterization, limiting our understanding of their biological functions. Nanopores as emerging single-molecule sensors offer promise for oligosaccharide structural analysis. Here, we demonstrate direct discrimination of diverse mono- and oligosaccharides using a hetero-octameric</w:t>
      </w:r>
      <w:r>
        <w:t xml:space="preserve"> </w:t>
      </w:r>
      <w:r>
        <w:t>Mycobacterium smegmatis</w:t>
      </w:r>
      <w:r>
        <w:t xml:space="preserve"> </w:t>
      </w:r>
      <w:r>
        <w:t>porin A (MspA) nanopore integrated with a single phenylboronic acid (PBA) adapter (MspA-90PBA). The high-resolution event signatures generated by MspA-90PBA enable structural analysis of complex oligosaccharides via hydrolysis into smaller fragments, which can be analyzed for either structure profiling or determination. Using a minimized reference database, we achieve structural determination of raffinose, stachyose, and verbascose through nanopore characterization of its hydrolyzed fragments followed by fragment assembly. This work establishes a framework for nanopore-based oligosaccharide analysis, combining single-molecule sensing with a fragment assembly strategy to address the long-standing challenge of glycan structural elucidation.</w:t>
      </w:r>
    </w:p>
    <w:p>
      <w:pPr>
        <w:spacing w:before="120" w:after="120"/>
      </w:pPr>
      <w:r>
        <w:rPr>
          <w:sz w:val="18"/>
        </w:rPr>
        <w:t>——————————————————————————————————————————————————————————————————————</w:t>
      </w:r>
    </w:p>
    <w:p>
      <w:pPr>
        <w:spacing w:before="160" w:after="80" w:line="240" w:lineRule="auto"/>
      </w:pPr>
      <w:r>
        <w:rPr>
          <w:b/>
        </w:rPr>
        <w:t xml:space="preserve">[278] </w:t>
      </w:r>
      <w:hyperlink r:id="rId468">
        <w:r>
          <w:rPr>
            <w:color w:val="1155CC"/>
            <w:u w:val="single"/>
          </w:rPr>
          <w:t>Atmospheric stability sets maximum moist heat and convection in the midlatitudes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69">
        <w:r>
          <w:rPr>
            <w:color w:val="1155CC"/>
            <w:u w:val="single"/>
          </w:rPr>
          <w:t>10.1126/sciadv.aea8453</w:t>
        </w:r>
      </w:hyperlink>
    </w:p>
    <w:p>
      <w:pPr>
        <w:spacing w:before="0" w:after="120"/>
      </w:pPr>
      <w:r>
        <w:rPr>
          <w:b/>
        </w:rPr>
        <w:t xml:space="preserve">Notes: </w:t>
      </w:r>
      <w:r>
        <w:t>abstract_source=crossref</w:t>
      </w:r>
    </w:p>
    <w:p>
      <w:pPr>
        <w:spacing w:before="0" w:after="200" w:lineRule="auto" w:line="276"/>
      </w:pPr>
      <w:r>
        <w:rPr>
          <w:b/>
        </w:rPr>
        <w:t xml:space="preserve">Abstract: </w:t>
      </w:r>
      <w:r>
        <w:t>Extreme near-surface moist heat and severe convective storms are among the leading causes of weather-related damages worldwide. Here, we show that episodes of extreme moist heat and severe convection frequently co-occur across midlatitude land regions and develop a theoretical framework that links their maximum intensities to preexisting low-level energy inversions in the atmosphere. By accounting for the stored-energy nature of midlatitude severe convection, where near-surface moist heat and atmospheric instability accumulate before convection initiates, our work advances the understanding of convective constraints on extreme heat events. The theory identifies low-level inversions as a critical factor shaping compound extreme heat and convective weather risks and offers a pathway for improving the modeling and future projection of these events and their co-occurrence.</w:t>
      </w:r>
    </w:p>
    <w:p>
      <w:pPr>
        <w:spacing w:before="120" w:after="120"/>
      </w:pPr>
      <w:r>
        <w:rPr>
          <w:sz w:val="18"/>
        </w:rPr>
        <w:t>——————————————————————————————————————————————————————————————————————</w:t>
      </w:r>
    </w:p>
    <w:p>
      <w:pPr>
        <w:spacing w:before="160" w:after="80" w:line="240" w:lineRule="auto"/>
      </w:pPr>
      <w:r>
        <w:rPr>
          <w:b/>
        </w:rPr>
        <w:t xml:space="preserve">[279] </w:t>
      </w:r>
      <w:hyperlink r:id="rId470">
        <w:r>
          <w:rPr>
            <w:color w:val="1155CC"/>
            <w:u w:val="single"/>
          </w:rPr>
          <w:t>Electronic trap detection with carrier-resolved photo-Hall effect</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71">
        <w:r>
          <w:rPr>
            <w:color w:val="1155CC"/>
            <w:u w:val="single"/>
          </w:rPr>
          <w:t>10.1126/sciadv.adz0460</w:t>
        </w:r>
      </w:hyperlink>
    </w:p>
    <w:p>
      <w:pPr>
        <w:spacing w:before="0" w:after="120"/>
      </w:pPr>
      <w:r>
        <w:rPr>
          <w:b/>
        </w:rPr>
        <w:t xml:space="preserve">Notes: </w:t>
      </w:r>
      <w:r>
        <w:t>abstract_source=crossref</w:t>
      </w:r>
    </w:p>
    <w:p>
      <w:pPr>
        <w:spacing w:before="0" w:after="200" w:lineRule="auto" w:line="276"/>
      </w:pPr>
      <w:r>
        <w:rPr>
          <w:b/>
        </w:rPr>
        <w:t xml:space="preserve">Abstract: </w:t>
      </w:r>
      <w:r>
        <w:t>Electronic trap states critically affect the performance of semiconductor devices such as transistors, memory devices, and solar cells. Yet, conventional trap measurement techniques often require junction fabrication, which can introduce or alter traps. We present a unique photo-Hall–based method to characterize trap density and energy levels while concurrently extracting charge carrier properties. By analyzing photo-Hall conductivity versus electrical conductivity under varying light intensities and temperatures, we uncover an astonishingly simple hyperbola relationship that reveals detailed charge transport and trap occupation and applied it in silicon and halide perovskite films. This technique substantially expands Hall effect–based measurements by integrating electric, magnetic, photon, and phonon excitations into a single framework and enables unparalleled extraction of charge carrier and trap properties, offering a powerful tool for semiconductor characterization and device optimization.</w:t>
      </w:r>
    </w:p>
    <w:p>
      <w:pPr>
        <w:spacing w:before="120" w:after="120"/>
      </w:pPr>
      <w:r>
        <w:rPr>
          <w:sz w:val="18"/>
        </w:rPr>
        <w:t>——————————————————————————————————————————————————————————————————————</w:t>
      </w:r>
    </w:p>
    <w:p>
      <w:pPr>
        <w:spacing w:before="160" w:after="80" w:line="240" w:lineRule="auto"/>
      </w:pPr>
      <w:r>
        <w:rPr>
          <w:b/>
        </w:rPr>
        <w:t xml:space="preserve">[280] </w:t>
      </w:r>
      <w:hyperlink r:id="rId472">
        <w:r>
          <w:rPr>
            <w:color w:val="1155CC"/>
            <w:u w:val="single"/>
          </w:rPr>
          <w:t>Biomimetic action-potential transmission via mechano-gated potassium channels assembled by quadruple hydrogen-bonded crown ethers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73">
        <w:r>
          <w:rPr>
            <w:color w:val="1155CC"/>
            <w:u w:val="single"/>
          </w:rPr>
          <w:t>10.1126/sciadv.aea6329</w:t>
        </w:r>
      </w:hyperlink>
    </w:p>
    <w:p>
      <w:pPr>
        <w:spacing w:before="0" w:after="120"/>
      </w:pPr>
      <w:r>
        <w:rPr>
          <w:b/>
        </w:rPr>
        <w:t xml:space="preserve">Notes: </w:t>
      </w:r>
      <w:r>
        <w:t>abstract_source=crossref</w:t>
      </w:r>
    </w:p>
    <w:p>
      <w:pPr>
        <w:spacing w:before="0" w:after="200" w:lineRule="auto" w:line="276"/>
      </w:pPr>
      <w:r>
        <w:rPr>
          <w:b/>
        </w:rPr>
        <w:t xml:space="preserve">Abstract: </w:t>
      </w:r>
      <w:r>
        <w:t>Biological potassium channels exemplify nature’s precision in ion discrimination, governing critical processes such as osmotic regulation and neuronal signaling. Developing artificial potassium channels with biological-level and dynamic selectivity is of fundamental importance for intelligent nanofluidic devices. Here, we present a biomimetic mechanoresponsive potassium channel using telechelic polymers with 18-crown-6 and 2-ureido-4-pyrimidinone terminals, achieving a record potassium/sodium selectivity of 104.7. Quadruple hydrogen-bonded supramolecular networks enable both membrane elasticity and pressure-responsive crown ether aggregation state modulation. Mechanical deformation induces a structural reconfiguration that decelerates potassium conduction while accelerating sodium transport, effectively mimicking action potential generation through the reversible inversion of sodium/potassium flux. This mechanoregulatable iontronic mechanism establishes foundational principles for dynamic single-ion selectivity membranes surpassing static biological analogs, highlighting its potential in ion separation, desalination, and renewable energy conversion.</w:t>
      </w:r>
    </w:p>
    <w:p>
      <w:pPr>
        <w:spacing w:before="120" w:after="120"/>
      </w:pPr>
      <w:r>
        <w:rPr>
          <w:sz w:val="18"/>
        </w:rPr>
        <w:t>——————————————————————————————————————————————————————————————————————</w:t>
      </w:r>
    </w:p>
    <w:p>
      <w:pPr>
        <w:spacing w:before="160" w:after="80" w:line="240" w:lineRule="auto"/>
      </w:pPr>
      <w:r>
        <w:rPr>
          <w:b/>
        </w:rPr>
        <w:t xml:space="preserve">[281] </w:t>
      </w:r>
      <w:hyperlink r:id="rId474">
        <w:r>
          <w:rPr>
            <w:color w:val="1155CC"/>
            <w:u w:val="single"/>
          </w:rPr>
          <w:t>Real-time near-infrared II fluorescence navigation of magnetic nanorobots for image-guided therapy</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75">
        <w:r>
          <w:rPr>
            <w:color w:val="1155CC"/>
            <w:u w:val="single"/>
          </w:rPr>
          <w:t>10.1126/sciadv.aea5126</w:t>
        </w:r>
      </w:hyperlink>
    </w:p>
    <w:p>
      <w:pPr>
        <w:spacing w:before="0" w:after="120"/>
      </w:pPr>
      <w:r>
        <w:rPr>
          <w:b/>
        </w:rPr>
        <w:t xml:space="preserve">Notes: </w:t>
      </w:r>
      <w:r>
        <w:t>abstract_source=crossref</w:t>
      </w:r>
    </w:p>
    <w:p>
      <w:pPr>
        <w:spacing w:before="0" w:after="200" w:lineRule="auto" w:line="276"/>
      </w:pPr>
      <w:r>
        <w:rPr>
          <w:b/>
        </w:rPr>
        <w:t xml:space="preserve">Abstract: </w:t>
      </w:r>
      <w:r>
        <w:t>Real-time navigation of nanorobots with high spatiotemporal resolution and molecular contrast in deep tissues via noninvasive manners has been challenging. Here, we developed near-infrared II (NIR-II; 1000 to 3000 nanometers) magnetic nanorobots that balance fluorescence brightness at ~1600 nanometers with magnetic strength, facilitating precise gathering or locomotion of the nanorobots in the peritoneal cavity, hindlimb, liver, spleen, and lower gastrointestinal tract of live mice under real-time NIR-II imaging guidance with high resolution and sensitivity. Two-plex NIR-II imaging enabled precise locomotion by simultaneously providing real-time information on both the location of nanorobots and the position of target sites with molecular specificity. NIR-II magnetic nanorobots remained stable in gastric juice simulated solution (pH = 2) for more than 2 weeks. The magnetic locomotion of nanorobots loaded with 5-aminosalicylic acid under NIR-II visual feedback enables targeted delivery to the lower gastrointestinal tract and effectively enhances therapeutic efficacy in mice with inflammatory bowel disease. This platform opens an avenue in precision medicine.</w:t>
      </w:r>
    </w:p>
    <w:p>
      <w:pPr>
        <w:spacing w:before="120" w:after="120"/>
      </w:pPr>
      <w:r>
        <w:rPr>
          <w:sz w:val="18"/>
        </w:rPr>
        <w:t>——————————————————————————————————————————————————————————————————————</w:t>
      </w:r>
    </w:p>
    <w:p>
      <w:pPr>
        <w:spacing w:before="160" w:after="80" w:line="240" w:lineRule="auto"/>
      </w:pPr>
      <w:r>
        <w:rPr>
          <w:b/>
        </w:rPr>
        <w:t xml:space="preserve">[282] </w:t>
      </w:r>
      <w:hyperlink r:id="rId476">
        <w:r>
          <w:rPr>
            <w:color w:val="1155CC"/>
            <w:u w:val="single"/>
          </w:rPr>
          <w:t>Physically consistent global atmospheric data assimilation with machine learning in latent space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77">
        <w:r>
          <w:rPr>
            <w:color w:val="1155CC"/>
            <w:u w:val="single"/>
          </w:rPr>
          <w:t>10.1126/sciadv.aea4248</w:t>
        </w:r>
      </w:hyperlink>
    </w:p>
    <w:p>
      <w:pPr>
        <w:spacing w:before="0" w:after="120"/>
      </w:pPr>
      <w:r>
        <w:rPr>
          <w:b/>
        </w:rPr>
        <w:t xml:space="preserve">Notes: </w:t>
      </w:r>
      <w:r>
        <w:t>abstract_source=crossref</w:t>
      </w:r>
    </w:p>
    <w:p>
      <w:pPr>
        <w:spacing w:before="0" w:after="200" w:lineRule="auto" w:line="276"/>
      </w:pPr>
      <w:r>
        <w:rPr>
          <w:b/>
        </w:rPr>
        <w:t xml:space="preserve">Abstract: </w:t>
      </w:r>
      <w:r>
        <w:t>Data assimilation (DA) integrates observations with model forecasts to produce optimized atmospheric states, whose physical consistency is critical for stable weather forecasting and reliable climate research. Traditional Bayesian DA methods enforce these nonlinear, flow-dependent physical constraints through empirical and tunable covariance structures, but with limited accuracy and robustness. Here, we introduce latent DA (LDA), a framework that performs Bayesian DA in a latent space learned from multivariate global atmospheric data via an autoencoder. We demonstrate that the autoencoder can largely capture nonlinear physical relationships, enabling LDA to produce balanced analyses without explicitly modeling physical constraints. Assimilation in latent space also improves both analysis quality and forecast skill compared to traditional model-space DA, under both idealized and real observational settings. Furthermore, LDA exhibits strong robustness across latent dimensions and remains effective even when the autoencoder is trained on inaccurate but physically realistic forecasts, highlighting its flexibility for real-world applications.</w:t>
      </w:r>
    </w:p>
    <w:p>
      <w:pPr>
        <w:spacing w:before="120" w:after="120"/>
      </w:pPr>
      <w:r>
        <w:rPr>
          <w:sz w:val="18"/>
        </w:rPr>
        <w:t>——————————————————————————————————————————————————————————————————————</w:t>
      </w:r>
    </w:p>
    <w:p>
      <w:pPr>
        <w:spacing w:before="160" w:after="80" w:line="240" w:lineRule="auto"/>
      </w:pPr>
      <w:r>
        <w:rPr>
          <w:b/>
        </w:rPr>
        <w:t xml:space="preserve">[283] </w:t>
      </w:r>
      <w:hyperlink r:id="rId478">
        <w:r>
          <w:rPr>
            <w:color w:val="1155CC"/>
            <w:u w:val="single"/>
          </w:rPr>
          <w:t>Site-specific phosphorylation of LRP regulates FLC chromatin looping and flowering</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79">
        <w:r>
          <w:rPr>
            <w:color w:val="1155CC"/>
            <w:u w:val="single"/>
          </w:rPr>
          <w:t>10.1126/sciadv.adz0645</w:t>
        </w:r>
      </w:hyperlink>
    </w:p>
    <w:p>
      <w:pPr>
        <w:spacing w:before="0" w:after="120"/>
      </w:pPr>
      <w:r>
        <w:rPr>
          <w:b/>
        </w:rPr>
        <w:t xml:space="preserve">Notes: </w:t>
      </w:r>
      <w:r>
        <w:t>abstract_source=crossref</w:t>
      </w:r>
    </w:p>
    <w:p>
      <w:pPr>
        <w:spacing w:before="0" w:after="200" w:lineRule="auto" w:line="276"/>
      </w:pPr>
      <w:r>
        <w:rPr>
          <w:b/>
        </w:rPr>
        <w:t xml:space="preserve">Abstract: </w:t>
      </w:r>
      <w:r>
        <w:t>Emerging evidence suggests that multiple RNA recognition motif (RRM)–containing proteins are involved in transcriptional regulation, yet the underlying mechanisms remain largely unclear. Here, we show that the previously uncharacterized LATE-FLOWERING RRM-CONTAINING PROTEIN (LRP) prevents 5′-3′ chromatin looping of the key floral repressor gene</w:t>
      </w:r>
      <w:r>
        <w:t xml:space="preserve"> </w:t>
      </w:r>
      <w:r>
        <w:t>FLOWERING LOCUS C</w:t>
      </w:r>
      <w:r>
        <w:t xml:space="preserve"> </w:t>
      </w:r>
      <w:r>
        <w:t>(</w:t>
      </w:r>
      <w:r>
        <w:t xml:space="preserve"> </w:t>
      </w:r>
      <w:r>
        <w:t>FLC</w:t>
      </w:r>
      <w:r>
        <w:t xml:space="preserve"> </w:t>
      </w:r>
      <w:r>
        <w:t>) via direct association with its 5′ and 3′ genomic regions. Loss of</w:t>
      </w:r>
      <w:r>
        <w:t xml:space="preserve"> </w:t>
      </w:r>
      <w:r>
        <w:t>LRP</w:t>
      </w:r>
      <w:r>
        <w:t xml:space="preserve"> </w:t>
      </w:r>
      <w:r>
        <w:t>function leads to increased 5′-3′ gene looping, reduced RNA polymerase II (Pol II) occupancy at the</w:t>
      </w:r>
      <w:r>
        <w:t xml:space="preserve"> </w:t>
      </w:r>
      <w:r>
        <w:t>FLC</w:t>
      </w:r>
      <w:r>
        <w:t xml:space="preserve"> </w:t>
      </w:r>
      <w:r>
        <w:t>locus, thereby increasing</w:t>
      </w:r>
      <w:r>
        <w:t xml:space="preserve"> </w:t>
      </w:r>
      <w:r>
        <w:t>FLC</w:t>
      </w:r>
      <w:r>
        <w:t xml:space="preserve"> </w:t>
      </w:r>
      <w:r>
        <w:t>transcription and delaying flowering in</w:t>
      </w:r>
      <w:r>
        <w:t xml:space="preserve"> </w:t>
      </w:r>
      <w:r>
        <w:t>Arabidopsis thaliana</w:t>
      </w:r>
      <w:r>
        <w:t xml:space="preserve"> </w:t>
      </w:r>
      <w:r>
        <w:t>. Furthermore, site-specific phosphorylation of LRP at serine 17, mediated by the kinase PRP4KA, is essential for LRP protein stability and its function in preventing</w:t>
      </w:r>
      <w:r>
        <w:t xml:space="preserve"> </w:t>
      </w:r>
      <w:r>
        <w:t>FLC</w:t>
      </w:r>
      <w:r>
        <w:t xml:space="preserve"> </w:t>
      </w:r>
      <w:r>
        <w:t>chromatin looping and Pol II recruitment. Our findings reveal that site-specific phosphorylation of LRP by PRP4KA precludes</w:t>
      </w:r>
      <w:r>
        <w:t xml:space="preserve"> </w:t>
      </w:r>
      <w:r>
        <w:t>FLC</w:t>
      </w:r>
      <w:r>
        <w:t xml:space="preserve"> </w:t>
      </w:r>
      <w:r>
        <w:t>gene loop formation, constituting a key mechanism for</w:t>
      </w:r>
      <w:r>
        <w:t xml:space="preserve"> </w:t>
      </w:r>
      <w:r>
        <w:t>FLC</w:t>
      </w:r>
      <w:r>
        <w:t xml:space="preserve"> </w:t>
      </w:r>
      <w:r>
        <w:t>transcriptional repression to ensure timely flowering.</w:t>
      </w:r>
    </w:p>
    <w:p>
      <w:pPr>
        <w:spacing w:before="120" w:after="120"/>
      </w:pPr>
      <w:r>
        <w:rPr>
          <w:sz w:val="18"/>
        </w:rPr>
        <w:t>——————————————————————————————————————————————————————————————————————</w:t>
      </w:r>
    </w:p>
    <w:p>
      <w:pPr>
        <w:spacing w:before="160" w:after="80" w:line="240" w:lineRule="auto"/>
      </w:pPr>
      <w:r>
        <w:rPr>
          <w:b/>
        </w:rPr>
        <w:t xml:space="preserve">[284] </w:t>
      </w:r>
      <w:hyperlink r:id="rId480">
        <w:r>
          <w:rPr>
            <w:color w:val="1155CC"/>
            <w:u w:val="single"/>
          </w:rPr>
          <w:t>Conserved stromal EMT program controls regenerative capacity of mesenchymal stromal cells across multiple tissues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81">
        <w:r>
          <w:rPr>
            <w:color w:val="1155CC"/>
            <w:u w:val="single"/>
          </w:rPr>
          <w:t>10.1126/sciadv.ady9664</w:t>
        </w:r>
      </w:hyperlink>
    </w:p>
    <w:p>
      <w:pPr>
        <w:spacing w:before="0" w:after="120"/>
      </w:pPr>
      <w:r>
        <w:rPr>
          <w:b/>
        </w:rPr>
        <w:t xml:space="preserve">Notes: </w:t>
      </w:r>
      <w:r>
        <w:t>abstract_source=crossref</w:t>
      </w:r>
    </w:p>
    <w:p>
      <w:pPr>
        <w:spacing w:before="0" w:after="200" w:lineRule="auto" w:line="276"/>
      </w:pPr>
      <w:r>
        <w:rPr>
          <w:b/>
        </w:rPr>
        <w:t xml:space="preserve">Abstract: </w:t>
      </w:r>
      <w:r>
        <w:t>The regenerative function of stem cells is orchestrated by specialized niches, yet the mechanisms underlying mesenchymal stromal cell (MSC)–mediated support remain unclear. Here, we demonstrate that the epithelial-to-mesenchymal transition (EMT) gradient, together with stemness and pericyte-like properties, is a critical regulator of MSC niche function. High EMT gradients characterize functional MSC subsets that functions as niche supporting hematopoietic stem cells (HSCs), while attenuation of the EMT program impairs HSC support and reproduced in degenerative hematological disorders. Notably, enhancing the EMT program in MSCs (aEMT-MSCs) markedly augments their capacity to promote HSC regeneration and restores defective niches in patients with aplastic anemia. Furthermore, the regenerative effects of aEMT-MSCs extend beyond hematopoiesis to neuronal and cardiovascular tissues, suggesting a conserved niche-supporting program across multiple tissue systems. These findings establish the EMT program as a central regulator of the mesenchymal niche and propose a strategy to address unmet needs in regenerative medicine.</w:t>
      </w:r>
    </w:p>
    <w:p>
      <w:pPr>
        <w:spacing w:before="120" w:after="120"/>
      </w:pPr>
      <w:r>
        <w:rPr>
          <w:sz w:val="18"/>
        </w:rPr>
        <w:t>——————————————————————————————————————————————————————————————————————</w:t>
      </w:r>
    </w:p>
    <w:p>
      <w:pPr>
        <w:spacing w:before="160" w:after="80" w:line="240" w:lineRule="auto"/>
      </w:pPr>
      <w:r>
        <w:rPr>
          <w:b/>
        </w:rPr>
        <w:t xml:space="preserve">[285] </w:t>
      </w:r>
      <w:hyperlink r:id="rId482">
        <w:r>
          <w:rPr>
            <w:color w:val="1155CC"/>
            <w:u w:val="single"/>
          </w:rPr>
          <w:t>Caspase-2 deficiency drives pathogenic liver polyploidy and increases age-associated hepatocellular carcinoma in mice</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83">
        <w:r>
          <w:rPr>
            <w:color w:val="1155CC"/>
            <w:u w:val="single"/>
          </w:rPr>
          <w:t>10.1126/sciadv.aeb2571</w:t>
        </w:r>
      </w:hyperlink>
    </w:p>
    <w:p>
      <w:pPr>
        <w:spacing w:before="0" w:after="120"/>
      </w:pPr>
      <w:r>
        <w:rPr>
          <w:b/>
        </w:rPr>
        <w:t xml:space="preserve">Notes: </w:t>
      </w:r>
      <w:r>
        <w:t>abstract_source=crossref</w:t>
      </w:r>
    </w:p>
    <w:p>
      <w:pPr>
        <w:spacing w:before="0" w:after="200" w:lineRule="auto" w:line="276"/>
      </w:pPr>
      <w:r>
        <w:rPr>
          <w:b/>
        </w:rPr>
        <w:t xml:space="preserve">Abstract: </w:t>
      </w:r>
      <w:r>
        <w:t>Hepatocyte polyploidization promotes liver homeostasis by enhancing resistance to cellular stress. Caspase-2, a proapoptotic protease, restricts polyploidization by deleting polyploid and aneuploid cells. While caspase-2 protects against diet-induced hepatic injury, it also acts as a tumor suppressor by controlling genomic instability and oxidative stress. To investigate these roles, we assessed hepatic ploidy dynamics, liver damage, and age-associated tumorigenesis in caspase-2–deficient and catalytically inactive mutant mice. We found that caspase-2 loss promotes early-onset hepatocyte hyperpolyploidy, accompanied by progressive liver inflammation, fibrosis, oxidative liver damage, ferroptosis, and higher incidence of spontaneous hepatocellular carcinoma in aged animals. Proteomic profiling revealed a pathogenic polyploidy–associated signature associated with caspase-2 deficiency and increased predisposition to liver disease and malignancy. These findings establish caspase-2 enzymatic activity as a critical regulator of hepatic genome stability and preventing age-related liver cancer that strongly argue against therapeutic caspase-2 inhibition as a strategy for managing liver injury or cancer risk.</w:t>
      </w:r>
    </w:p>
    <w:p>
      <w:pPr>
        <w:spacing w:before="120" w:after="120"/>
      </w:pPr>
      <w:r>
        <w:rPr>
          <w:sz w:val="18"/>
        </w:rPr>
        <w:t>——————————————————————————————————————————————————————————————————————</w:t>
      </w:r>
    </w:p>
    <w:p>
      <w:pPr>
        <w:spacing w:before="160" w:after="80" w:line="240" w:lineRule="auto"/>
      </w:pPr>
      <w:r>
        <w:rPr>
          <w:b/>
        </w:rPr>
        <w:t xml:space="preserve">[286] </w:t>
      </w:r>
      <w:hyperlink r:id="rId484">
        <w:r>
          <w:rPr>
            <w:color w:val="1155CC"/>
            <w:u w:val="single"/>
          </w:rPr>
          <w:t>Membrane microdomains are crucial for Mycobacterium marinum EsxA-dependent membrane damage, escape to the cytosol, and infection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85">
        <w:r>
          <w:rPr>
            <w:color w:val="1155CC"/>
            <w:u w:val="single"/>
          </w:rPr>
          <w:t>10.1126/sciadv.ady0812</w:t>
        </w:r>
      </w:hyperlink>
    </w:p>
    <w:p>
      <w:pPr>
        <w:spacing w:before="0" w:after="120"/>
      </w:pPr>
      <w:r>
        <w:rPr>
          <w:b/>
        </w:rPr>
        <w:t xml:space="preserve">Notes: </w:t>
      </w:r>
      <w:r>
        <w:t>abstract_source=crossref</w:t>
      </w:r>
    </w:p>
    <w:p>
      <w:pPr>
        <w:spacing w:before="0" w:after="200" w:lineRule="auto" w:line="276"/>
      </w:pPr>
      <w:r>
        <w:rPr>
          <w:b/>
        </w:rPr>
        <w:t xml:space="preserve">Abstract: </w:t>
      </w:r>
      <w:r>
        <w:t>Mycobacterium tuberculosis</w:t>
      </w:r>
      <w:r>
        <w:t xml:space="preserve"> </w:t>
      </w:r>
      <w:r>
        <w:t>disrupts the membrane of the</w:t>
      </w:r>
      <w:r>
        <w:t xml:space="preserve"> </w:t>
      </w:r>
      <w:r>
        <w:t>Mycobacterium</w:t>
      </w:r>
      <w:r>
        <w:t xml:space="preserve"> </w:t>
      </w:r>
      <w:r>
        <w:t>-containing vacuole (MCV) via its EsxA virulence factor, secreted via the ESX-1 system. We identified how pathogenic</w:t>
      </w:r>
      <w:r>
        <w:t xml:space="preserve"> </w:t>
      </w:r>
      <w:r>
        <w:t>Mycobacterium marinum</w:t>
      </w:r>
      <w:r>
        <w:t xml:space="preserve"> </w:t>
      </w:r>
      <w:r>
        <w:t>exploits host sterol-rich membrane microdomains to induce MCV damage during infection of</w:t>
      </w:r>
      <w:r>
        <w:t xml:space="preserve"> </w:t>
      </w:r>
      <w:r>
        <w:t>Dictyostelium discoideum</w:t>
      </w:r>
      <w:r>
        <w:t xml:space="preserve"> </w:t>
      </w:r>
      <w:r>
        <w:t>and murine microglial BV-2 cells. Transcriptomic and protein analyses revealed that</w:t>
      </w:r>
      <w:r>
        <w:t xml:space="preserve"> </w:t>
      </w:r>
      <w:r>
        <w:t>vacuolinC</w:t>
      </w:r>
      <w:r>
        <w:t xml:space="preserve"> </w:t>
      </w:r>
      <w:r>
        <w:t>is specifically induced in response to EsxA-mediated damage. Vacuolins initially associate with the MCV in a patchy distribution, coinciding with sterol-rich microdomain formation before entirely coating the MCV. Functional assays demonstrate that membrane microdomains potentiate</w:t>
      </w:r>
      <w:r>
        <w:t xml:space="preserve"> </w:t>
      </w:r>
      <w:r>
        <w:t>l</w:t>
      </w:r>
      <w:r>
        <w:t xml:space="preserve"> </w:t>
      </w:r>
      <w:r>
        <w:t>-leucyl–</w:t>
      </w:r>
      <w:r>
        <w:t xml:space="preserve"> </w:t>
      </w:r>
      <w:r>
        <w:t>l</w:t>
      </w:r>
      <w:r>
        <w:t xml:space="preserve"> </w:t>
      </w:r>
      <w:r>
        <w:t>-leucine methyl ester and EsxA-mediated membrane damage. Knockout of</w:t>
      </w:r>
      <w:r>
        <w:t xml:space="preserve"> </w:t>
      </w:r>
      <w:r>
        <w:t>vacuolins</w:t>
      </w:r>
      <w:r>
        <w:t xml:space="preserve"> </w:t>
      </w:r>
      <w:r>
        <w:t>and sterol depletion drastically reduce EsxA partitioning into membranes in vitro and decrease MCV damage and Mm escape to the cytosol, thereby substantially impairing Mm intracellular growth and phenocopying in Dd and microglial cells the attenuation of the Mm ΔRD1 mutant lacking ESX-1. Our results highlight host membrane microdomains as critical platforms exploited by virulent mycobacteria across evolutionary distant host phagocytes, thus representing potential therapeutic targets.</w:t>
      </w:r>
    </w:p>
    <w:p>
      <w:pPr>
        <w:spacing w:before="120" w:after="120"/>
      </w:pPr>
      <w:r>
        <w:rPr>
          <w:sz w:val="18"/>
        </w:rPr>
        <w:t>——————————————————————————————————————————————————————————————————————</w:t>
      </w:r>
    </w:p>
    <w:p>
      <w:pPr>
        <w:spacing w:before="160" w:after="80" w:line="240" w:lineRule="auto"/>
      </w:pPr>
      <w:r>
        <w:rPr>
          <w:b/>
        </w:rPr>
        <w:t xml:space="preserve">[287] </w:t>
      </w:r>
      <w:hyperlink r:id="rId486">
        <w:r>
          <w:rPr>
            <w:color w:val="1155CC"/>
            <w:u w:val="single"/>
          </w:rPr>
          <w:t>Duck-billed dinosaur fleshy midline and hooves reveal terrestrial clay-template “mummification”</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487">
        <w:r>
          <w:rPr>
            <w:color w:val="1155CC"/>
            <w:u w:val="single"/>
          </w:rPr>
          <w:t>10.1126/science.adw3536</w:t>
        </w:r>
      </w:hyperlink>
    </w:p>
    <w:p>
      <w:pPr>
        <w:spacing w:before="0" w:after="120"/>
      </w:pPr>
      <w:r>
        <w:rPr>
          <w:b/>
        </w:rPr>
        <w:t xml:space="preserve">Notes: </w:t>
      </w:r>
      <w:r>
        <w:t>abstract_source=crossref</w:t>
      </w:r>
    </w:p>
    <w:p>
      <w:pPr>
        <w:spacing w:before="0" w:after="200" w:lineRule="auto" w:line="276"/>
      </w:pPr>
      <w:r>
        <w:rPr>
          <w:b/>
        </w:rPr>
        <w:t xml:space="preserve">Abstract: </w:t>
      </w:r>
      <w:r>
        <w:t>Two “mummies” of the end-Cretaceous duck-billed dinosaur</w:t>
      </w:r>
      <w:r>
        <w:t xml:space="preserve"> </w:t>
      </w:r>
      <w:r>
        <w:t>Edmontosaurus annectens</w:t>
      </w:r>
      <w:r>
        <w:t xml:space="preserve"> </w:t>
      </w:r>
      <w:r>
        <w:t>preserve a fleshy crest over the neck and trunk, an interdigitating spike row over the hips and tail, and hooves capping the toes of the hind feet. A battery of tests showed that all of the fossilized integument (skin, spike, and hoof) are preserved as a thin (less than 1 millimeter) clay template that formed on the surface of a buried carcass during decay before the loss of all soft tissues and organic compounds. Unlike the underlying permineralized skeletal bone, the integument renderings of these “dinosaur mummies” are preserved as a thin external clay mask, a templating process documented previously only in anoxic marine settings.</w:t>
      </w:r>
    </w:p>
    <w:p>
      <w:pPr>
        <w:spacing w:before="120" w:after="120"/>
      </w:pPr>
      <w:r>
        <w:rPr>
          <w:sz w:val="18"/>
        </w:rPr>
        <w:t>——————————————————————————————————————————————————————————————————————</w:t>
      </w:r>
    </w:p>
    <w:p>
      <w:pPr>
        <w:spacing w:before="160" w:after="80" w:line="240" w:lineRule="auto"/>
      </w:pPr>
      <w:r>
        <w:rPr>
          <w:b/>
        </w:rPr>
        <w:t xml:space="preserve">[288] </w:t>
      </w:r>
      <w:hyperlink r:id="rId488">
        <w:r>
          <w:rPr>
            <w:color w:val="1155CC"/>
            <w:u w:val="single"/>
          </w:rPr>
          <w:t>Identification of proteins influencing CRISPR-associated transposases for enhanced genome editing</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89">
        <w:r>
          <w:rPr>
            <w:color w:val="1155CC"/>
            <w:u w:val="single"/>
          </w:rPr>
          <w:t>10.1126/sciadv.aea1429</w:t>
        </w:r>
      </w:hyperlink>
    </w:p>
    <w:p>
      <w:pPr>
        <w:spacing w:before="0" w:after="120"/>
      </w:pPr>
      <w:r>
        <w:rPr>
          <w:b/>
        </w:rPr>
        <w:t xml:space="preserve">Notes: </w:t>
      </w:r>
      <w:r>
        <w:t>abstract_source=crossref</w:t>
      </w:r>
    </w:p>
    <w:p>
      <w:pPr>
        <w:spacing w:before="0" w:after="200" w:lineRule="auto" w:line="276"/>
      </w:pPr>
      <w:r>
        <w:rPr>
          <w:b/>
        </w:rPr>
        <w:t xml:space="preserve">Abstract: </w:t>
      </w:r>
      <w:r>
        <w:t>CRISPR-associated transposases (CASTs) hold tremendous potential for microbial genome editing because of their ability to integrate large DNA cargos in a programmable, site-specific manner. However, their widespread application has been hindered by poorly understood host factor requirements for transposition. To address this gap, we conducted the first genome-wide screen for host factors affecting</w:t>
      </w:r>
      <w:r>
        <w:t xml:space="preserve"> </w:t>
      </w:r>
      <w:r>
        <w:t>Vibrio cholerae</w:t>
      </w:r>
      <w:r>
        <w:t xml:space="preserve"> </w:t>
      </w:r>
      <w:r>
        <w:t>CAST (</w:t>
      </w:r>
      <w:r>
        <w:t xml:space="preserve"> </w:t>
      </w:r>
      <w:r>
        <w:t>Vch</w:t>
      </w:r>
      <w:r>
        <w:t xml:space="preserve"> </w:t>
      </w:r>
      <w:r>
        <w:t>CAST) activity using an</w:t>
      </w:r>
      <w:r>
        <w:t xml:space="preserve"> </w:t>
      </w:r>
      <w:r>
        <w:t>Escherichia coli</w:t>
      </w:r>
      <w:r>
        <w:t xml:space="preserve"> </w:t>
      </w:r>
      <w:r>
        <w:t>RB-TnSeq library and identified 15 genes affecting</w:t>
      </w:r>
      <w:r>
        <w:t xml:space="preserve"> </w:t>
      </w:r>
      <w:r>
        <w:t>Vch</w:t>
      </w:r>
      <w:r>
        <w:t xml:space="preserve"> </w:t>
      </w:r>
      <w:r>
        <w:t>CAST transposition. Of these, seven factors were validated to improve</w:t>
      </w:r>
      <w:r>
        <w:t xml:space="preserve"> </w:t>
      </w:r>
      <w:r>
        <w:t>Vch</w:t>
      </w:r>
      <w:r>
        <w:t xml:space="preserve"> </w:t>
      </w:r>
      <w:r>
        <w:t>CAST activity, and two were inhibitory. Guided by the identification of homologous recombination effectors, RecD and RecA, we tested the λ-Red recombineering system in our</w:t>
      </w:r>
      <w:r>
        <w:t xml:space="preserve"> </w:t>
      </w:r>
      <w:r>
        <w:t>Vch</w:t>
      </w:r>
      <w:r>
        <w:t xml:space="preserve"> </w:t>
      </w:r>
      <w:r>
        <w:t>CAST editing vectors and increased editing efficiency by 55.2-fold in</w:t>
      </w:r>
      <w:r>
        <w:t xml:space="preserve"> </w:t>
      </w:r>
      <w:r>
        <w:t>E. coli</w:t>
      </w:r>
      <w:r>
        <w:t xml:space="preserve"> </w:t>
      </w:r>
      <w:r>
        <w:t>, 5.6-fold in</w:t>
      </w:r>
      <w:r>
        <w:t xml:space="preserve"> </w:t>
      </w:r>
      <w:r>
        <w:t>Pseudomonas putida</w:t>
      </w:r>
      <w:r>
        <w:t xml:space="preserve"> </w:t>
      </w:r>
      <w:r>
        <w:t>, and 10.8-fold in</w:t>
      </w:r>
      <w:r>
        <w:t xml:space="preserve"> </w:t>
      </w:r>
      <w:r>
        <w:t>Klebsiella michiganensis</w:t>
      </w:r>
      <w:r>
        <w:t xml:space="preserve"> </w:t>
      </w:r>
      <w:r>
        <w:t>while maintaining high target specificity and similar insertion arrangements. This study improves the understanding of factors affecting</w:t>
      </w:r>
      <w:r>
        <w:t xml:space="preserve"> </w:t>
      </w:r>
      <w:r>
        <w:t>Vch</w:t>
      </w:r>
      <w:r>
        <w:t xml:space="preserve"> </w:t>
      </w:r>
      <w:r>
        <w:t>CAST activity and enhances its efficiency as a bacterial genome editor.</w:t>
      </w:r>
    </w:p>
    <w:p>
      <w:pPr>
        <w:spacing w:before="120" w:after="120"/>
      </w:pPr>
      <w:r>
        <w:rPr>
          <w:sz w:val="18"/>
        </w:rPr>
        <w:t>——————————————————————————————————————————————————————————————————————</w:t>
      </w:r>
    </w:p>
    <w:p>
      <w:pPr>
        <w:spacing w:before="160" w:after="80" w:line="240" w:lineRule="auto"/>
      </w:pPr>
      <w:r>
        <w:rPr>
          <w:b/>
        </w:rPr>
        <w:t xml:space="preserve">[289] </w:t>
      </w:r>
      <w:hyperlink r:id="rId490">
        <w:r>
          <w:rPr>
            <w:color w:val="1155CC"/>
            <w:u w:val="single"/>
          </w:rPr>
          <w:t>Apolipoprotein E drives microglia activation in the development of autoimmune uveitis through up-regulation of peptidyl prolyl isomerase F</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91">
        <w:r>
          <w:rPr>
            <w:color w:val="1155CC"/>
            <w:u w:val="single"/>
          </w:rPr>
          <w:t>10.1126/sciadv.aeb3991</w:t>
        </w:r>
      </w:hyperlink>
    </w:p>
    <w:p>
      <w:pPr>
        <w:spacing w:before="0" w:after="120"/>
      </w:pPr>
      <w:r>
        <w:rPr>
          <w:b/>
        </w:rPr>
        <w:t xml:space="preserve">Notes: </w:t>
      </w:r>
      <w:r>
        <w:t>abstract_source=crossref</w:t>
      </w:r>
    </w:p>
    <w:p>
      <w:pPr>
        <w:spacing w:before="0" w:after="200" w:lineRule="auto" w:line="276"/>
      </w:pPr>
      <w:r>
        <w:rPr>
          <w:b/>
        </w:rPr>
        <w:t xml:space="preserve">Abstract: </w:t>
      </w:r>
      <w:r>
        <w:t>Autoimmune uveitis (AU) is a category of sight-threatening diseases with different pathological causes. Transcriptomic analysis of patients with AU revealed a highly oxidative stress profile as well as an up-regulated</w:t>
      </w:r>
      <w:r>
        <w:t xml:space="preserve"> </w:t>
      </w:r>
      <w:r>
        <w:t>apolipoprotein E</w:t>
      </w:r>
      <w:r>
        <w:t xml:space="preserve"> </w:t>
      </w:r>
      <w:r>
        <w:t>(</w:t>
      </w:r>
      <w:r>
        <w:t xml:space="preserve"> </w:t>
      </w:r>
      <w:r>
        <w:t>APOE</w:t>
      </w:r>
      <w:r>
        <w:t xml:space="preserve"> </w:t>
      </w:r>
      <w:r>
        <w:t>) expression in their peripheral blood mononuclear cells (PBMCs). In addition, single-cell RNA sequencing of retinal microglia also identified an up-regulated expression of</w:t>
      </w:r>
      <w:r>
        <w:t xml:space="preserve"> </w:t>
      </w:r>
      <w:r>
        <w:t>APOE</w:t>
      </w:r>
      <w:r>
        <w:t xml:space="preserve"> </w:t>
      </w:r>
      <w:r>
        <w:t>in a murine model of experimental AU (EAU). Our results and others previously suggested that microglia are tightly associated with the development of AU. Meanwhile, although</w:t>
      </w:r>
      <w:r>
        <w:t xml:space="preserve"> </w:t>
      </w:r>
      <w:r>
        <w:t>APOE</w:t>
      </w:r>
      <w:r>
        <w:t xml:space="preserve"> </w:t>
      </w:r>
      <w:r>
        <w:t>has been reported to play a myriad of functions ranging from lipid metabolism to neural regeneration, little is known about its detailed mechanism in the development of AU. In this study, a murine EAU model was used to investigate the association between</w:t>
      </w:r>
      <w:r>
        <w:t xml:space="preserve"> </w:t>
      </w:r>
      <w:r>
        <w:t>APOE</w:t>
      </w:r>
      <w:r>
        <w:t xml:space="preserve"> </w:t>
      </w:r>
      <w:r>
        <w:t>, microglia, and EAU, and it is found that</w:t>
      </w:r>
      <w:r>
        <w:t xml:space="preserve"> </w:t>
      </w:r>
      <w:r>
        <w:t>APOE</w:t>
      </w:r>
      <w:r>
        <w:t xml:space="preserve"> </w:t>
      </w:r>
      <w:r>
        <w:t>is indispensable for EAU induction as</w:t>
      </w:r>
      <w:r>
        <w:t xml:space="preserve"> </w:t>
      </w:r>
      <w:r>
        <w:t>APOE</w:t>
      </w:r>
      <w:r>
        <w:t xml:space="preserve"> </w:t>
      </w:r>
      <w:r>
        <w:t>−/−</w:t>
      </w:r>
      <w:r>
        <w:t>mice failed to develop EAU. In vitro studies using microglial cells further demonstrated that</w:t>
      </w:r>
      <w:r>
        <w:t xml:space="preserve"> </w:t>
      </w:r>
      <w:r>
        <w:t>APOE</w:t>
      </w:r>
      <w:r>
        <w:t xml:space="preserve"> </w:t>
      </w:r>
      <w:r>
        <w:t>is positively corelated with microglial inflammation, which could be reversed by knocking down</w:t>
      </w:r>
      <w:r>
        <w:t xml:space="preserve"> </w:t>
      </w:r>
      <w:r>
        <w:t>APOE</w:t>
      </w:r>
      <w:r>
        <w:t xml:space="preserve"> </w:t>
      </w:r>
      <w:r>
        <w:t>using short hairpin RNA. Proteomic analysis indicated that</w:t>
      </w:r>
      <w:r>
        <w:t xml:space="preserve"> </w:t>
      </w:r>
      <w:r>
        <w:t>APOE</w:t>
      </w:r>
      <w:r>
        <w:t xml:space="preserve"> </w:t>
      </w:r>
      <w:r>
        <w:t>-mediated microglial activation relies on reactive oxygen species (ROS) pathway, through</w:t>
      </w:r>
      <w:r>
        <w:t xml:space="preserve"> </w:t>
      </w:r>
      <w:r>
        <w:t>peptidyl prolyl isomerase F</w:t>
      </w:r>
      <w:r>
        <w:t xml:space="preserve"> </w:t>
      </w:r>
      <w:r>
        <w:t>(</w:t>
      </w:r>
      <w:r>
        <w:t xml:space="preserve"> </w:t>
      </w:r>
      <w:r>
        <w:t>PPIF</w:t>
      </w:r>
      <w:r>
        <w:t xml:space="preserve"> </w:t>
      </w:r>
      <w:r>
        <w:t>), which was further verified in PBMCs derived from patients with AU. Supplementation of</w:t>
      </w:r>
      <w:r>
        <w:t xml:space="preserve"> </w:t>
      </w:r>
      <w:r>
        <w:t>PPIF</w:t>
      </w:r>
      <w:r>
        <w:t xml:space="preserve"> </w:t>
      </w:r>
      <w:r>
        <w:t>reverses</w:t>
      </w:r>
      <w:r>
        <w:t xml:space="preserve"> </w:t>
      </w:r>
      <w:r>
        <w:t>APOE</w:t>
      </w:r>
      <w:r>
        <w:t xml:space="preserve"> </w:t>
      </w:r>
      <w:r>
        <w:t>deficiency–caused ROS activation in vitro. In addition, Adeno-associated virus-mediated overexpression of</w:t>
      </w:r>
      <w:r>
        <w:t xml:space="preserve"> </w:t>
      </w:r>
      <w:r>
        <w:t>PPIF</w:t>
      </w:r>
      <w:r>
        <w:t xml:space="preserve"> </w:t>
      </w:r>
      <w:r>
        <w:t>exacerbated EAU phenotype, suggesting its important role in driving uveitis initiation. These results provide an understanding of</w:t>
      </w:r>
      <w:r>
        <w:t xml:space="preserve"> </w:t>
      </w:r>
      <w:r>
        <w:t>APOE</w:t>
      </w:r>
      <w:r>
        <w:t xml:space="preserve"> </w:t>
      </w:r>
      <w:r>
        <w:t>and</w:t>
      </w:r>
      <w:r>
        <w:t xml:space="preserve"> </w:t>
      </w:r>
      <w:r>
        <w:t>PPIF</w:t>
      </w:r>
      <w:r>
        <w:t xml:space="preserve"> </w:t>
      </w:r>
      <w:r>
        <w:t>in the pathogenesis of uveitis.</w:t>
      </w:r>
    </w:p>
    <w:p>
      <w:pPr>
        <w:spacing w:before="120" w:after="120"/>
      </w:pPr>
      <w:r>
        <w:rPr>
          <w:sz w:val="18"/>
        </w:rPr>
        <w:t>——————————————————————————————————————————————————————————————————————</w:t>
      </w:r>
    </w:p>
    <w:p>
      <w:pPr>
        <w:spacing w:before="160" w:after="80" w:line="240" w:lineRule="auto"/>
      </w:pPr>
      <w:r>
        <w:rPr>
          <w:b/>
        </w:rPr>
        <w:t xml:space="preserve">[290] </w:t>
      </w:r>
      <w:hyperlink r:id="rId492">
        <w:r>
          <w:rPr>
            <w:color w:val="1155CC"/>
            <w:u w:val="single"/>
          </w:rPr>
          <w:t>Human FcRL5 is an Fc receptor that simultaneously engages two IgGs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93">
        <w:r>
          <w:rPr>
            <w:color w:val="1155CC"/>
            <w:u w:val="single"/>
          </w:rPr>
          <w:t>10.1126/sciadv.aeb8865</w:t>
        </w:r>
      </w:hyperlink>
    </w:p>
    <w:p>
      <w:pPr>
        <w:spacing w:before="0" w:after="120"/>
      </w:pPr>
      <w:r>
        <w:rPr>
          <w:b/>
        </w:rPr>
        <w:t xml:space="preserve">Notes: </w:t>
      </w:r>
      <w:r>
        <w:t>abstract_source=crossref</w:t>
      </w:r>
    </w:p>
    <w:p>
      <w:pPr>
        <w:spacing w:before="0" w:after="200" w:lineRule="auto" w:line="276"/>
      </w:pPr>
      <w:r>
        <w:rPr>
          <w:b/>
        </w:rPr>
        <w:t xml:space="preserve">Abstract: </w:t>
      </w:r>
      <w:r>
        <w:t>The Fc receptors play crucial roles in initiating the effector functions of immunoglobulins. FcRL5 is a prominent target in B cell malignancies and has been implicated as a receptor for immunoglobulin G (IgG). However, the molecular mechanism remained unclear. Here, we demonstrate that human FcRL5, but not its mouse counterpart, is a bona fide IgG-Fc (Fcγ) receptor that uniquely requires the presence of two Fcγ molecules in close proximity to form a robust interaction. Cryo–electron microscopy reveals that FcRL5 optimally engages two Fcγ molecules positioned at a 60° angle, with its D1-D2 domains binding to the first Fcγ molecule, while its D3 domain arches over the second Fcγ. This distinctive binding capability enables FcRL5 to specifically recognize IgG immune complexes (ICs), with the binding strength correlating with IgG concentration in the ICs. In addition, we demonstrate that FcRL5 can internalize the IgG polymer and IC. These results shed light on FcRL5 function and reveal a unique Fcγ-FcγR binding mode governed by avidity.</w:t>
      </w:r>
    </w:p>
    <w:p>
      <w:pPr>
        <w:spacing w:before="120" w:after="120"/>
      </w:pPr>
      <w:r>
        <w:rPr>
          <w:sz w:val="18"/>
        </w:rPr>
        <w:t>——————————————————————————————————————————————————————————————————————</w:t>
      </w:r>
    </w:p>
    <w:p>
      <w:pPr>
        <w:spacing w:before="160" w:after="80" w:line="240" w:lineRule="auto"/>
      </w:pPr>
      <w:r>
        <w:rPr>
          <w:b/>
        </w:rPr>
        <w:t xml:space="preserve">[291] </w:t>
      </w:r>
      <w:hyperlink r:id="rId494">
        <w:r>
          <w:rPr>
            <w:color w:val="1155CC"/>
            <w:u w:val="single"/>
          </w:rPr>
          <w:t>Facile and robust integration of functional hydrogels into micropillar-structured elastomer platforms for stable cardiac bioelectronics</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95">
        <w:r>
          <w:rPr>
            <w:color w:val="1155CC"/>
            <w:u w:val="single"/>
          </w:rPr>
          <w:t>10.1126/sciadv.aeb9059</w:t>
        </w:r>
      </w:hyperlink>
    </w:p>
    <w:p>
      <w:pPr>
        <w:spacing w:before="0" w:after="120"/>
      </w:pPr>
      <w:r>
        <w:rPr>
          <w:b/>
        </w:rPr>
        <w:t xml:space="preserve">Notes: </w:t>
      </w:r>
      <w:r>
        <w:t>abstract_source=crossref</w:t>
      </w:r>
    </w:p>
    <w:p>
      <w:pPr>
        <w:spacing w:before="0" w:after="200" w:lineRule="auto" w:line="276"/>
      </w:pPr>
      <w:r>
        <w:rPr>
          <w:b/>
        </w:rPr>
        <w:t xml:space="preserve">Abstract: </w:t>
      </w:r>
      <w:r>
        <w:t>Establishing stable electrical communication between living tissues and bioelectronic devices requires soft, conductive, and conformable interfaces. Conductive hydrogels are attractive for this role because their hydrated polymer networks and mixed ionic/electronic conductivity reduce impedance and enhance charge transfer. Yet, challenges remain in integrating hydrogels with device components and achieving reliable tissue adhesion. Here, we present a materials and structural design strategy that enables electrically and mechanically robust devices through sequential formation of elastomer-metal-hydrogel multilayers and single-step laser patterning. The device consists of a micropillar-structured waterborne polyurethane substrate with a Au layer strongly bonded to the pillars, showing &amp;lt;2% resistance change under 28% strain. Functional hydrogels provide low interfacial impedance (~36.2 ohms at 1 kilohertz), effective insulation (~51,536 ohms at 1 kilohertz), and strong adhesion (~226 newtons per meter on cardiac tissue). Without elastomer-hydrogel decoupling, performance remains stable under dynamic aqueous conditions. Applied to rodent cardiac tissue, the integrated interface enables real-time electrocardiography monitoring and feedback-controlled electrical stimulation.</w:t>
      </w:r>
    </w:p>
    <w:p>
      <w:pPr>
        <w:spacing w:before="120" w:after="120"/>
      </w:pPr>
      <w:r>
        <w:rPr>
          <w:sz w:val="18"/>
        </w:rPr>
        <w:t>——————————————————————————————————————————————————————————————————————</w:t>
      </w:r>
    </w:p>
    <w:p>
      <w:pPr>
        <w:spacing w:before="160" w:after="80" w:line="240" w:lineRule="auto"/>
      </w:pPr>
      <w:r>
        <w:rPr>
          <w:b/>
        </w:rPr>
        <w:t xml:space="preserve">[292] </w:t>
      </w:r>
      <w:hyperlink r:id="rId496">
        <w:r>
          <w:rPr>
            <w:color w:val="1155CC"/>
            <w:u w:val="single"/>
          </w:rPr>
          <w:t>Sound matters: Using acoustics to move material</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497">
        <w:r>
          <w:rPr>
            <w:color w:val="1155CC"/>
            <w:u w:val="single"/>
          </w:rPr>
          <w:t>10.1126/sciadv.aee3841</w:t>
        </w:r>
      </w:hyperlink>
    </w:p>
    <w:p>
      <w:pPr>
        <w:spacing w:before="0" w:after="120"/>
      </w:pPr>
      <w:r>
        <w:rPr>
          <w:b/>
        </w:rPr>
        <w:t xml:space="preserve">Notes: </w:t>
      </w:r>
      <w:r>
        <w:t>abstract_source=crossref</w:t>
      </w:r>
    </w:p>
    <w:p>
      <w:pPr>
        <w:spacing w:before="0" w:after="200" w:lineRule="auto" w:line="276"/>
      </w:pPr>
      <w:r>
        <w:rPr>
          <w:b/>
        </w:rPr>
        <w:t xml:space="preserve">Abstract: </w:t>
      </w:r>
      <w:r>
        <w:t>Acoustic tweezers can transport particles along arbitrarily defined paths with unprecedented robustness across defects and sharp corners.</w:t>
      </w:r>
    </w:p>
    <w:p>
      <w:pPr>
        <w:spacing w:before="120" w:after="120"/>
      </w:pPr>
      <w:r>
        <w:rPr>
          <w:sz w:val="18"/>
        </w:rPr>
        <w:t>——————————————————————————————————————————————————————————————————————</w:t>
      </w:r>
    </w:p>
    <w:p>
      <w:pPr>
        <w:spacing w:before="160" w:after="80" w:line="240" w:lineRule="auto"/>
      </w:pPr>
      <w:r>
        <w:rPr>
          <w:b/>
        </w:rPr>
        <w:t xml:space="preserve">[293] </w:t>
      </w:r>
      <w:hyperlink r:id="rId498">
        <w:r>
          <w:rPr>
            <w:color w:val="1155CC"/>
            <w:u w:val="single"/>
          </w:rPr>
          <w:t>De novo design of small molecule–regulated protein oligomers</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499">
        <w:r>
          <w:rPr>
            <w:color w:val="1155CC"/>
            <w:u w:val="single"/>
          </w:rPr>
          <w:t>10.1126/science.ady6017</w:t>
        </w:r>
      </w:hyperlink>
    </w:p>
    <w:p>
      <w:pPr>
        <w:spacing w:before="0" w:after="120"/>
      </w:pPr>
      <w:r>
        <w:rPr>
          <w:b/>
        </w:rPr>
        <w:t xml:space="preserve">Notes: </w:t>
      </w:r>
      <w:r>
        <w:t>abstract_source=crossref</w:t>
      </w:r>
    </w:p>
    <w:p>
      <w:pPr>
        <w:spacing w:before="0" w:after="200" w:lineRule="auto" w:line="276"/>
      </w:pPr>
      <w:r>
        <w:rPr>
          <w:b/>
        </w:rPr>
        <w:t xml:space="preserve">Abstract: </w:t>
      </w:r>
      <w:r>
        <w:t>Small molecule–regulated protein oligomerization provides a powerful mechanism for manipulating biological processes by controlling protein proximity with high temporal precision. However, such systems only rarely exist in nature and remain a substantial challenge for de novo design. In this work, we describe a computational method for designing protein homooligomers whose assembly is regulated by small-molecule ligands with matching symmetry. We designed protein homotrimers regulated by the Food and Drug Administration (FDA)–approved drug amantadine and further designed amantadine-responsive heterodimers and heterotrimers. Biophysical characterization confirmed their amantadine-dependent assembly, and their crystal structures closely matched the design models. We demonstrated their broad applicability in controlling protein localization, membraneless condensate formation, and gene expression. Our approach opens new avenues for designing small molecule–responsive proteins and expands the chemogenetic toolkit for manipulating complex biological processes.</w:t>
      </w:r>
    </w:p>
    <w:p>
      <w:pPr>
        <w:spacing w:before="120" w:after="120"/>
      </w:pPr>
      <w:r>
        <w:rPr>
          <w:sz w:val="18"/>
        </w:rPr>
        <w:t>——————————————————————————————————————————————————————————————————————</w:t>
      </w:r>
    </w:p>
    <w:p>
      <w:pPr>
        <w:spacing w:before="160" w:after="80" w:line="240" w:lineRule="auto"/>
      </w:pPr>
      <w:r>
        <w:rPr>
          <w:b/>
        </w:rPr>
        <w:t xml:space="preserve">[294] </w:t>
      </w:r>
      <w:hyperlink r:id="rId500">
        <w:r>
          <w:rPr>
            <w:color w:val="1155CC"/>
            <w:u w:val="single"/>
          </w:rPr>
          <w:t>Multidimensional mapping of stimulation-responsive regulatory elements and candidate causal variants in T cell activation</w:t>
        </w:r>
      </w:hyperlink>
    </w:p>
    <w:p>
      <w:pPr>
        <w:spacing w:before="0" w:after="120" w:line="240" w:lineRule="auto"/>
      </w:pPr>
      <w:r>
        <w:rPr>
          <w:b/>
        </w:rPr>
        <w:t xml:space="preserve">Source: </w:t>
      </w:r>
      <w:r>
        <w:t>AAAS: Science Advances: Table of Contents</w:t>
      </w:r>
      <w:r>
        <w:t xml:space="preserve">    </w:t>
      </w:r>
      <w:r>
        <w:rPr>
          <w:b/>
        </w:rPr>
        <w:t xml:space="preserve">Pub date: </w:t>
      </w:r>
      <w:r>
        <w:t>2026-01-01 08:00:00+00:00</w:t>
      </w:r>
      <w:r>
        <w:t xml:space="preserve">    </w:t>
      </w:r>
      <w:r>
        <w:rPr>
          <w:b/>
        </w:rPr>
        <w:t xml:space="preserve">DOI: </w:t>
      </w:r>
      <w:hyperlink r:id="rId501">
        <w:r>
          <w:rPr>
            <w:color w:val="1155CC"/>
            <w:u w:val="single"/>
          </w:rPr>
          <w:t>10.1126/sciadv.ady2539</w:t>
        </w:r>
      </w:hyperlink>
    </w:p>
    <w:p>
      <w:pPr>
        <w:spacing w:before="0" w:after="120"/>
      </w:pPr>
      <w:r>
        <w:rPr>
          <w:b/>
        </w:rPr>
        <w:t xml:space="preserve">Notes: </w:t>
      </w:r>
      <w:r>
        <w:t>abstract_source=pubmed</w:t>
      </w:r>
    </w:p>
    <w:p>
      <w:pPr>
        <w:spacing w:before="0" w:after="200" w:lineRule="auto" w:line="276"/>
      </w:pPr>
      <w:r>
        <w:rPr>
          <w:b/>
        </w:rPr>
        <w:t xml:space="preserve">Abstract: </w:t>
      </w:r>
      <w:r>
        <w:t>Genome-wide association studies (GWASs) have elucidated numerous noncoding variants linked to immune-related disorders, yet the intricate context-specific mechanisms governing their effects remain poorly defined. Here, we leverage CD4+ T cell activation as a model to integrate multilayered genomic data and interrogate the dynamic regulatory mechanisms underpinning these genetic associations. We have applied a cistromic strategy to systematically identify and prioritize stimulation-responsive cis-regulatory elements (CREs) and key genes essential for T cell activation. Using capture Hi-C and tiling CRISPR activation screening at the CD28 locus, we reveal a pivotal CRE harboring a causal small insertion variant, rs5837875, that modulates CD28 activation in an allele-specific manner. Mechanistically, we demonstrate that ZNF384 mediates stimulation-responsive chromatin looping between the rs5837875-containing enhancer and the CD28 promoter, culminating in heightened CD28 expression and aberrant T cell hyperactivation. Our integrative and context-dependent strategy establishes a comprehensive pathway for deciphering the missing regulatory mechanisms of complex disease.</w:t>
      </w:r>
    </w:p>
    <w:p>
      <w:pPr>
        <w:spacing w:before="120" w:after="120"/>
      </w:pPr>
      <w:r>
        <w:rPr>
          <w:sz w:val="18"/>
        </w:rPr>
        <w:t>——————————————————————————————————————————————————————————————————————</w:t>
      </w:r>
    </w:p>
    <w:p>
      <w:pPr>
        <w:spacing w:before="160" w:after="80" w:line="240" w:lineRule="auto"/>
      </w:pPr>
      <w:r>
        <w:rPr>
          <w:b/>
        </w:rPr>
        <w:t xml:space="preserve">[295] </w:t>
      </w:r>
      <w:hyperlink r:id="rId502">
        <w:r>
          <w:rPr>
            <w:color w:val="1155CC"/>
            <w:u w:val="single"/>
          </w:rPr>
          <w:t>Genomic and morphometric evidence for Austronesian-mediated pig translocation in the Pacific</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503">
        <w:r>
          <w:rPr>
            <w:color w:val="1155CC"/>
            <w:u w:val="single"/>
          </w:rPr>
          <w:t>10.1126/science.adv4963</w:t>
        </w:r>
      </w:hyperlink>
    </w:p>
    <w:p>
      <w:pPr>
        <w:spacing w:before="0" w:after="120"/>
      </w:pPr>
      <w:r>
        <w:rPr>
          <w:b/>
        </w:rPr>
        <w:t xml:space="preserve">Notes: </w:t>
      </w:r>
      <w:r>
        <w:t>abstract_source=crossref</w:t>
      </w:r>
    </w:p>
    <w:p>
      <w:pPr>
        <w:spacing w:before="0" w:after="200" w:lineRule="auto" w:line="276"/>
      </w:pPr>
      <w:r>
        <w:rPr>
          <w:b/>
        </w:rPr>
        <w:t xml:space="preserve">Abstract: </w:t>
      </w:r>
      <w:r>
        <w:t>Several millennia of human-mediated translocation of non-native pig species (genus</w:t>
      </w:r>
      <w:r>
        <w:t xml:space="preserve"> </w:t>
      </w:r>
      <w:r>
        <w:t>Sus</w:t>
      </w:r>
      <w:r>
        <w:t xml:space="preserve"> </w:t>
      </w:r>
      <w:r>
        <w:t>) to the islands of Wallacea and Oceania have considerably altered local ecosystems. To investigate the timing and trajectory of these introductions, we conducted both genomic analyses of 576 pig nuclear genomes and a geometric morphometric analysis of 708 modern and ancient dental remains. Our analyses demonstrate that free-living and domestic pigs in Wallacea and Oceania have diverse ancestries resulting from the introduction of multiple sequential pig populations followed by gene flow. Despite the variability in their genomic ancestry, these pigs all have a distinct tooth morphology as well as a genetic link to the Chinese domestic pig populations that accompanied the dispersal of Austronesian language speakers ~4000 to 3000 years ago via Taiwan and the Philippines.</w:t>
      </w:r>
    </w:p>
    <w:p>
      <w:pPr>
        <w:spacing w:before="120" w:after="120"/>
      </w:pPr>
      <w:r>
        <w:rPr>
          <w:sz w:val="18"/>
        </w:rPr>
        <w:t>——————————————————————————————————————————————————————————————————————</w:t>
      </w:r>
    </w:p>
    <w:p>
      <w:pPr>
        <w:spacing w:before="160" w:after="80" w:line="240" w:lineRule="auto"/>
      </w:pPr>
      <w:r>
        <w:rPr>
          <w:b/>
        </w:rPr>
        <w:t xml:space="preserve">[296] </w:t>
      </w:r>
      <w:hyperlink r:id="rId504">
        <w:r>
          <w:rPr>
            <w:color w:val="1155CC"/>
            <w:u w:val="single"/>
          </w:rPr>
          <w:t>Asynchronous subunit transitions prime acetylcholine receptor activation</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505">
        <w:r>
          <w:rPr>
            <w:color w:val="1155CC"/>
            <w:u w:val="single"/>
          </w:rPr>
          <w:t>10.1126/science.adw1264</w:t>
        </w:r>
      </w:hyperlink>
    </w:p>
    <w:p>
      <w:pPr>
        <w:spacing w:before="0" w:after="120"/>
      </w:pPr>
      <w:r>
        <w:rPr>
          <w:b/>
        </w:rPr>
        <w:t xml:space="preserve">Notes: </w:t>
      </w:r>
      <w:r>
        <w:t>abstract_source=crossref</w:t>
      </w:r>
    </w:p>
    <w:p>
      <w:pPr>
        <w:spacing w:before="0" w:after="200" w:lineRule="auto" w:line="276"/>
      </w:pPr>
      <w:r>
        <w:rPr>
          <w:b/>
        </w:rPr>
        <w:t xml:space="preserve">Abstract: </w:t>
      </w:r>
      <w:r>
        <w:t>Communication at synapses is facilitated by postsynaptic receptors, which convert a chemical signal into an electrical response. For ligand-gated ion channels, agonist binding triggers rapid transitions through intermediate states leading to a transient open-pore conformation, with these transitions shaping the postsynaptic response. In this work, we determine structures of the muscle-type nicotinic acetylcholine receptor in unliganded, mono-liganded, and di-liganded states. Agonist binding to a single site stabilizes a closed structure where an entire principal agonist-binding subunit transitions to an active-like conformation, whereas the other unoccupied principal subunit remains inactive, albeit poised for activation. Uniting this intermediate structure with single-channel recordings informs a sequential activation mechanism where asynchronous subunit transitions prime the receptor for activation—a finding with implications for an entire superfamily of pentameric ligand-gated ion channels.</w:t>
      </w:r>
    </w:p>
    <w:p>
      <w:pPr>
        <w:spacing w:before="120" w:after="120"/>
      </w:pPr>
      <w:r>
        <w:rPr>
          <w:sz w:val="18"/>
        </w:rPr>
        <w:t>——————————————————————————————————————————————————————————————————————</w:t>
      </w:r>
    </w:p>
    <w:p>
      <w:pPr>
        <w:spacing w:before="160" w:after="80" w:line="240" w:lineRule="auto"/>
      </w:pPr>
      <w:r>
        <w:rPr>
          <w:b/>
        </w:rPr>
        <w:t xml:space="preserve">[297] </w:t>
      </w:r>
      <w:hyperlink r:id="rId506">
        <w:r>
          <w:rPr>
            <w:color w:val="1155CC"/>
            <w:u w:val="single"/>
          </w:rPr>
          <w:t>Neural basis of cooperative behavior in biological and artificial intelligence systems</w:t>
        </w:r>
      </w:hyperlink>
    </w:p>
    <w:p>
      <w:pPr>
        <w:spacing w:before="0" w:after="120" w:line="240" w:lineRule="auto"/>
      </w:pPr>
      <w:r>
        <w:rPr>
          <w:b/>
        </w:rPr>
        <w:t xml:space="preserve">Source: </w:t>
      </w:r>
      <w:r>
        <w:t>AAAS: Science: Table of Contents</w:t>
      </w:r>
      <w:r>
        <w:t xml:space="preserve">    </w:t>
      </w:r>
      <w:r>
        <w:rPr>
          <w:b/>
        </w:rPr>
        <w:t xml:space="preserve">Pub date: </w:t>
      </w:r>
      <w:r>
        <w:t>2026-01-01 08:00:00+00:00</w:t>
      </w:r>
      <w:r>
        <w:t xml:space="preserve">    </w:t>
      </w:r>
      <w:r>
        <w:rPr>
          <w:b/>
        </w:rPr>
        <w:t xml:space="preserve">DOI: </w:t>
      </w:r>
      <w:hyperlink r:id="rId507">
        <w:r>
          <w:rPr>
            <w:color w:val="1155CC"/>
            <w:u w:val="single"/>
          </w:rPr>
          <w:t>10.1126/science.adw8151</w:t>
        </w:r>
      </w:hyperlink>
    </w:p>
    <w:p>
      <w:pPr>
        <w:spacing w:before="0" w:after="120"/>
      </w:pPr>
      <w:r>
        <w:rPr>
          <w:b/>
        </w:rPr>
        <w:t xml:space="preserve">Notes: </w:t>
      </w:r>
      <w:r>
        <w:t>abstract_source=crossref</w:t>
      </w:r>
    </w:p>
    <w:p>
      <w:pPr>
        <w:spacing w:before="0" w:after="200" w:lineRule="auto" w:line="276"/>
      </w:pPr>
      <w:r>
        <w:rPr>
          <w:b/>
        </w:rPr>
        <w:t xml:space="preserve">Abstract: </w:t>
      </w:r>
      <w:r>
        <w:t>Cooperation, the process through which individuals work together to achieve common goals, is fundamental to human and animal societies and increasingly critical in artificial intelligence (AI). In this study, we investigated cooperation in mice and AI systems, examining how they learn to actively coordinate their actions to obtain shared rewards. We identified key social behavioral strategies and decision-making processes in mice that facilitate successful cooperation. These processes are represented in the anterior cingulate cortex (ACC), and ACC activity causally contributes to cooperative behavior. We extended our findings to AI systems by training artificial agents in a similar cooperation task. The agents developed behavioral strategies and neural representations reminiscent of those observed in the biological brain, revealing parallels between cooperative behavior in biological and artificial systems.</w:t>
      </w:r>
    </w:p>
    <w:p>
      <w:pPr>
        <w:spacing w:before="120" w:after="120"/>
      </w:pPr>
      <w:r>
        <w:rPr>
          <w:sz w:val="18"/>
        </w:rPr>
        <w:t>——————————————————————————————————————————————————————————————————————</w:t>
      </w:r>
    </w:p>
    <w:p>
      <w:pPr>
        <w:spacing w:before="160" w:after="80" w:line="240" w:lineRule="auto"/>
      </w:pPr>
      <w:r>
        <w:rPr>
          <w:b/>
        </w:rPr>
        <w:t xml:space="preserve">[298] </w:t>
      </w:r>
      <w:hyperlink r:id="rId508">
        <w:r>
          <w:rPr>
            <w:color w:val="1155CC"/>
            <w:u w:val="single"/>
          </w:rPr>
          <w:t>[ASAP] Oxo Ligand Insertion into Fe–C Bonds as a Platform for Oxygen Atom Insertion Catalysis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11:18:54+00:00</w:t>
      </w:r>
      <w:r>
        <w:t xml:space="preserve">    </w:t>
      </w:r>
      <w:r>
        <w:rPr>
          <w:b/>
        </w:rPr>
        <w:t xml:space="preserve">DOI: </w:t>
      </w:r>
      <w:hyperlink r:id="rId509">
        <w:r>
          <w:rPr>
            <w:color w:val="1155CC"/>
            <w:u w:val="single"/>
          </w:rPr>
          <w:t>10.1021/jacs.5c18265</w:t>
        </w:r>
      </w:hyperlink>
    </w:p>
    <w:p>
      <w:pPr>
        <w:spacing w:before="0" w:after="120"/>
      </w:pPr>
      <w:r>
        <w:rPr>
          <w:b/>
        </w:rPr>
        <w:t xml:space="preserve">Notes: </w:t>
      </w:r>
      <w:r>
        <w:t>abstract_source=pubmed</w:t>
      </w:r>
    </w:p>
    <w:p>
      <w:pPr>
        <w:spacing w:before="0" w:after="200" w:lineRule="auto" w:line="276"/>
      </w:pPr>
      <w:r>
        <w:rPr>
          <w:b/>
        </w:rPr>
        <w:t xml:space="preserve">Abstract: </w:t>
      </w:r>
      <w:r>
        <w:t>Herein, we report the reactions of the Fe(II) alkyl and aryl complexes (Ph2B(tBuIm)2Fe(tBuImH)R, R = CH2tBu and Mes) with N2O and N-oxides (Me3NO and C5H5NO), affording oxygen-inserted Fe(II) alkoxide and aryloxide complexes (Ph2B(tBuIm)2Fe(tBuImH)OR). Experimentally calibrated density functional theory (DFT) calculations implicate a mechanism in which the C-O bond is formed by oxygen atom insertion from an iron(IV) oxo intermediate. This stoichiometric oxygen insertion reaction forms the basis of a catalytic cycle to convert Grignard reagents to the corresponding arylphenols. This type of oxygen insertion enriches the family of iron-catalyzed oxidation mechanisms and complements the well-known oxygen rebound mechanism in oxygenases.</w:t>
      </w:r>
    </w:p>
    <w:p>
      <w:pPr>
        <w:spacing w:before="120" w:after="120"/>
      </w:pPr>
      <w:r>
        <w:rPr>
          <w:sz w:val="18"/>
        </w:rPr>
        <w:t>——————————————————————————————————————————————————————————————————————</w:t>
      </w:r>
    </w:p>
    <w:p>
      <w:pPr>
        <w:spacing w:before="160" w:after="80" w:line="240" w:lineRule="auto"/>
      </w:pPr>
      <w:r>
        <w:rPr>
          <w:b/>
        </w:rPr>
        <w:t xml:space="preserve">[299] </w:t>
      </w:r>
      <w:hyperlink r:id="rId510">
        <w:r>
          <w:rPr>
            <w:color w:val="1155CC"/>
            <w:u w:val="single"/>
          </w:rPr>
          <w:t>[ASAP] Coexistence of Ohmic Contact and Fermi Level Pinning at 2D Electride/2D Semiconductor Interfaces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12:07:50+00:00</w:t>
      </w:r>
      <w:r>
        <w:t xml:space="preserve">    </w:t>
      </w:r>
      <w:r>
        <w:rPr>
          <w:b/>
        </w:rPr>
        <w:t xml:space="preserve">DOI: </w:t>
      </w:r>
      <w:hyperlink r:id="rId511">
        <w:r>
          <w:rPr>
            <w:color w:val="1155CC"/>
            <w:u w:val="single"/>
          </w:rPr>
          <w:t>10.1021/jacs.5c18589</w:t>
        </w:r>
      </w:hyperlink>
    </w:p>
    <w:p>
      <w:pPr>
        <w:spacing w:before="0" w:after="120"/>
      </w:pPr>
      <w:r>
        <w:rPr>
          <w:b/>
        </w:rPr>
        <w:t xml:space="preserve">Notes: </w:t>
      </w:r>
      <w:r>
        <w:t>abstract_source=pubmed</w:t>
      </w:r>
    </w:p>
    <w:p>
      <w:pPr>
        <w:spacing w:before="0" w:after="200" w:lineRule="auto" w:line="276"/>
      </w:pPr>
      <w:r>
        <w:rPr>
          <w:b/>
        </w:rPr>
        <w:t xml:space="preserve">Abstract: </w:t>
      </w:r>
      <w:r>
        <w:t>It is well known that Fermi level pinning (FLP) always leads to hardly tunable Schottky barriers, thereby hindering the formation of an Ohmic contact (OhC). As a result, FLP and OhC are often implicitly regarded as being mutually exclusive. Herein, we demonstrate a rare case of two-dimensional (2D) electride/2D semiconductor interfaces, where OhC and FLP coexist. Owing to the large work function differences and the presence of 2D electron gas, n-type (p-type) OhC can be formed as the Fermi level is pinned within the conduction (valence) band. In n-type OhC, FLP results from significant interface dipoles, whereas in p-type OhC, the Fermi level is pinned by localized electronic states in the van der Waals gap, which is fundamentally distinct from conventional metal-induced or disorder-induced gap states. This work not only presents robust OhC under strong FLP but also enriches the fundamental understanding of FLP mechanisms.</w:t>
      </w:r>
    </w:p>
    <w:p>
      <w:pPr>
        <w:spacing w:before="120" w:after="120"/>
      </w:pPr>
      <w:r>
        <w:rPr>
          <w:sz w:val="18"/>
        </w:rPr>
        <w:t>——————————————————————————————————————————————————————————————————————</w:t>
      </w:r>
    </w:p>
    <w:p>
      <w:pPr>
        <w:spacing w:before="160" w:after="80" w:line="240" w:lineRule="auto"/>
      </w:pPr>
      <w:r>
        <w:rPr>
          <w:b/>
        </w:rPr>
        <w:t xml:space="preserve">[300] </w:t>
      </w:r>
      <w:hyperlink r:id="rId512">
        <w:r>
          <w:rPr>
            <w:color w:val="1155CC"/>
            <w:u w:val="single"/>
          </w:rPr>
          <w:t>[ASAP] Tandem Photocatalytic CO2-to-C2H4 Conversion through an Intracellularly Interfaced Quantum Dot-Molecular Catalyst-Bacteria Biohybrid</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12:18:18+00:00</w:t>
      </w:r>
      <w:r>
        <w:t xml:space="preserve">    </w:t>
      </w:r>
      <w:r>
        <w:rPr>
          <w:b/>
        </w:rPr>
        <w:t xml:space="preserve">DOI: </w:t>
      </w:r>
      <w:hyperlink r:id="rId513">
        <w:r>
          <w:rPr>
            <w:color w:val="1155CC"/>
            <w:u w:val="single"/>
          </w:rPr>
          <w:t>10.1021/jacs.5c20893</w:t>
        </w:r>
      </w:hyperlink>
    </w:p>
    <w:p>
      <w:pPr>
        <w:spacing w:before="0" w:after="120"/>
      </w:pPr>
      <w:r>
        <w:rPr>
          <w:b/>
        </w:rPr>
        <w:t xml:space="preserve">Notes: </w:t>
      </w:r>
      <w:r>
        <w:t>abstract_source=pubmed; must_have_abstract=True</w:t>
      </w:r>
    </w:p>
    <w:p>
      <w:pPr>
        <w:spacing w:before="0" w:after="200" w:lineRule="auto" w:line="276"/>
      </w:pPr>
      <w:r>
        <w:rPr>
          <w:b/>
        </w:rPr>
        <w:t xml:space="preserve">Abstract: </w:t>
      </w:r>
      <w:r>
        <w:t>Semiartificial photosynthetic system (SAPS) combines the strengths of microbial enzyme machinery and semiconductor light harvesters, offering a promising platform to achieve solar-driven CO2 conversion. However, existing CO2-fixing SAPSs are constrained by the limited choices of CO2-assimilating microorganisms, while the use of non-CO2-assimilating microbes in SAPS for solar-driven CO2 conversion has rarely been demonstrated. In this work, we developed an integrated nanobiohybrid by co-introducing quantum dots (QDs) and molecular catalysts (MCs) into a non-CO2-assimilating bacterium, Azotobacter vinelandii (A. vinelandii), enabling a cascade photocatalytic reduction of CO2 to C2H4 via CO intermediates. The intracellular microanaerobic environment protects the QD-MC assembly from O2 and promotes the photocatalytic CO2-to-CO conversion, while the intracellularly generated CO accelerates subsequent light-driven enzymatic synthesis of C2H4. The synergistic interactions among QD, MC, and bacteria were confirmed by fluorescent CO probing, time-resolved photoluminescence (TRPL), and in vitro control experiments. An optimized system achieved an accumulation of 7.9 μmol L-1 C2H4 over 7 days without loss of activity, showing a yield of 2.1 × 107 C2H4 per cell, surpassing the natural production by 162%. Our work introduced a novel integrated tandem biohybrid system that broadens the category of microbial organisms applied in CO2-fixing SAPS. We envision that this tandem biohybrid strategy can be extended to broader non-CO2-assimilating microbes for the production of other value-added chemicals beyond C2H4 from CO2.</w:t>
      </w:r>
    </w:p>
    <w:p>
      <w:pPr>
        <w:spacing w:before="120" w:after="120"/>
      </w:pPr>
      <w:r>
        <w:rPr>
          <w:sz w:val="18"/>
        </w:rPr>
        <w:t>——————————————————————————————————————————————————————————————————————</w:t>
      </w:r>
    </w:p>
    <w:p>
      <w:pPr>
        <w:spacing w:before="160" w:after="80" w:line="240" w:lineRule="auto"/>
      </w:pPr>
      <w:r>
        <w:rPr>
          <w:b/>
        </w:rPr>
        <w:t xml:space="preserve">[301] </w:t>
      </w:r>
      <w:hyperlink r:id="rId514">
        <w:r>
          <w:rPr>
            <w:color w:val="1155CC"/>
            <w:u w:val="single"/>
          </w:rPr>
          <w:t>[ASAP] Enabling Proteins with Photocatalytic Functions via HisTag–Iridium Coordination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17:38:55+00:00</w:t>
      </w:r>
      <w:r>
        <w:t xml:space="preserve">    </w:t>
      </w:r>
      <w:r>
        <w:rPr>
          <w:b/>
        </w:rPr>
        <w:t xml:space="preserve">DOI: </w:t>
      </w:r>
      <w:hyperlink r:id="rId515">
        <w:r>
          <w:rPr>
            <w:color w:val="1155CC"/>
            <w:u w:val="single"/>
          </w:rPr>
          <w:t>10.1021/jacs.5c18368</w:t>
        </w:r>
      </w:hyperlink>
    </w:p>
    <w:p>
      <w:pPr>
        <w:spacing w:before="0" w:after="120"/>
      </w:pPr>
      <w:r>
        <w:rPr>
          <w:b/>
        </w:rPr>
        <w:t xml:space="preserve">Notes: </w:t>
      </w:r>
      <w:r>
        <w:t>abstract_source=pubmed</w:t>
      </w:r>
    </w:p>
    <w:p>
      <w:pPr>
        <w:spacing w:before="0" w:after="200" w:lineRule="auto" w:line="276"/>
      </w:pPr>
      <w:r>
        <w:rPr>
          <w:b/>
        </w:rPr>
        <w:t xml:space="preserve">Abstract: </w:t>
      </w:r>
      <w:r>
        <w:t>The ability to endow proteins with new chemical reactivities is central to expanding their functional repertoires in chemical biology and therapeutics. However, the construction of protein-photocatalyst systems typically demands extensive genetic or synthetic manipulation. Here, we report a minimal and modular strategy that enables the in situ formation of iridium-based photocatalysts through HisTag-iridium coordination, termed CAT-tag. By leveraging the ubiquitous HisTag, nonphotoactive Ir(III) precursors are spontaneously converted into luminescent and photocatalytic complexes under mild aqueous conditions. The resulting His-anchored photocatalytic proteins display robust photocatalytic activity across representative protein scaffolds, including nanobodies and therapeutic antibodies. We further demonstrate the functional versatility of the CAT-tag in conjunction with photocatalytic reactions, enabling spatially resolved surfaceome labeling, dynamic cell-cell interaction mapping, and targeted prodrug activation in living systems. As most recombinant proteins inherently contain a terminal HisTag, the CAT-tag requires no additional genetic modification and installs photocatalytic activity through a single coordination-driven step. This remarkable operational simplicity underscores the power and elegance of chemical strategies in protein engineering. By repurposing the HisTag, one of the most ubiquitous and accessible motifs in protein science, the CAT-tag transforms a routine biochemical handle into a chemically programmable interface for light-driven protein functionalization and biological interrogation.</w:t>
      </w:r>
    </w:p>
    <w:p>
      <w:pPr>
        <w:spacing w:before="120" w:after="120"/>
      </w:pPr>
      <w:r>
        <w:rPr>
          <w:sz w:val="18"/>
        </w:rPr>
        <w:t>——————————————————————————————————————————————————————————————————————</w:t>
      </w:r>
    </w:p>
    <w:p>
      <w:pPr>
        <w:spacing w:before="160" w:after="80" w:line="240" w:lineRule="auto"/>
      </w:pPr>
      <w:r>
        <w:rPr>
          <w:b/>
        </w:rPr>
        <w:t xml:space="preserve">[302] </w:t>
      </w:r>
      <w:hyperlink r:id="rId516">
        <w:r>
          <w:rPr>
            <w:color w:val="1155CC"/>
            <w:u w:val="single"/>
          </w:rPr>
          <w:t>[ASAP] Understanding and Mitigating Lithium Metal Anode Failure in All-Solid-State Batteries with Inorganic Solid Electrolytes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2026-01-01 18:39:05+00:00</w:t>
      </w:r>
      <w:r>
        <w:t xml:space="preserve">    </w:t>
      </w:r>
      <w:r>
        <w:rPr>
          <w:b/>
        </w:rPr>
        <w:t xml:space="preserve">DOI: </w:t>
      </w:r>
      <w:hyperlink r:id="rId517">
        <w:r>
          <w:rPr>
            <w:color w:val="1155CC"/>
            <w:u w:val="single"/>
          </w:rPr>
          <w:t>10.1021/acsenergylett.5c03333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[303] </w:t>
      </w:r>
      <w:hyperlink r:id="rId518">
        <w:r>
          <w:rPr>
            <w:color w:val="1155CC"/>
            <w:u w:val="single"/>
          </w:rPr>
          <w:t>[ASAP] Transient Imaging of the Oxygen Reduction Reaction at Single Nanocatalysts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19:58:41+00:00</w:t>
      </w:r>
      <w:r>
        <w:t xml:space="preserve">    </w:t>
      </w:r>
      <w:r>
        <w:rPr>
          <w:b/>
        </w:rPr>
        <w:t xml:space="preserve">DOI: </w:t>
      </w:r>
      <w:hyperlink r:id="rId519">
        <w:r>
          <w:rPr>
            <w:color w:val="1155CC"/>
            <w:u w:val="single"/>
          </w:rPr>
          <w:t>10.1021/jacs.5c18188</w:t>
        </w:r>
      </w:hyperlink>
    </w:p>
    <w:p>
      <w:pPr>
        <w:spacing w:before="0" w:after="120"/>
      </w:pPr>
      <w:r>
        <w:rPr>
          <w:b/>
        </w:rPr>
        <w:t xml:space="preserve">Notes: </w:t>
      </w:r>
      <w:r>
        <w:t>abstract_source=pubmed</w:t>
      </w:r>
    </w:p>
    <w:p>
      <w:pPr>
        <w:spacing w:before="0" w:after="200" w:lineRule="auto" w:line="276"/>
      </w:pPr>
      <w:r>
        <w:rPr>
          <w:b/>
        </w:rPr>
        <w:t xml:space="preserve">Abstract: </w:t>
      </w:r>
      <w:r>
        <w:t>The initiation of Faradaic reactions at the single-particle level is crucial for uncovering fundamental kinetic principles. However, resolving this early stage is highly challenging because of its ultrafast dynamics and dominant interference from capacitive currents. Here, we report a transient electrogenerated chemiluminescence microscopy (ECLM) that enables real-time visualization of the initiation and evolution of the oxygen reduction reaction (ORR) at individual single-atom catalysts. By integrating a potentiostatic double-pulse-relaxation strategy, sparsely generated H2O2 at the onset of ORR can be sensitively detected and transduced into photon emission by the ECL reaction. Monitoring these transient product yields allows ECL imaging to resolve mechanistic features inaccessible to conventional electrochemical methods, including interfacial potential buildup, dynamic adsorption and conversion of reactants, and the establishment of kinetic equilibrium at catalytic sites. From these dynamics, we define the characteristic time for ORR establishment as a new kinetic parameter that quantitatively describes the transition from a prereactive state to dynamic equilibrium. This parameter provides fundamental mechanistic insight into transient electrocatalysis and establishes a benchmark for evaluating the catalyst performance under varying reaction conditions. Importantly, in this framework, the temporal resolution of ECL imaging is no longer limited by camera exposure time but is instead dictated by the pulse window, which can be tuned with microsecond precision. By coupling microsecond temporal control with single-photon sensitivity, transient ECLM not only deepens the mechanistic understanding of ORR but also enables a new generation of high-resolution methodologies for probing interfacial electrochemistry.</w:t>
      </w:r>
    </w:p>
    <w:p>
      <w:pPr>
        <w:spacing w:before="120" w:after="120"/>
      </w:pPr>
      <w:r>
        <w:rPr>
          <w:sz w:val="18"/>
        </w:rPr>
        <w:t>——————————————————————————————————————————————————————————————————————</w:t>
      </w:r>
    </w:p>
    <w:p>
      <w:pPr>
        <w:spacing w:before="160" w:after="80" w:line="240" w:lineRule="auto"/>
      </w:pPr>
      <w:r>
        <w:rPr>
          <w:b/>
        </w:rPr>
        <w:t xml:space="preserve">[304] </w:t>
      </w:r>
      <w:hyperlink r:id="rId520">
        <w:r>
          <w:rPr>
            <w:color w:val="1155CC"/>
            <w:u w:val="single"/>
          </w:rPr>
          <w:t>[ASAP] Geminal Cl-Bridged Dual-Fe-Atom Catalyst for Efficient and Stable Oxygen Reduction Reaction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19:59:41+00:00</w:t>
      </w:r>
      <w:r>
        <w:t xml:space="preserve">    </w:t>
      </w:r>
      <w:r>
        <w:rPr>
          <w:b/>
        </w:rPr>
        <w:t xml:space="preserve">DOI: </w:t>
      </w:r>
      <w:hyperlink r:id="rId521">
        <w:r>
          <w:rPr>
            <w:color w:val="1155CC"/>
            <w:u w:val="single"/>
          </w:rPr>
          <w:t>10.1021/jacs.5c15456</w:t>
        </w:r>
      </w:hyperlink>
    </w:p>
    <w:p>
      <w:pPr>
        <w:spacing w:before="0" w:after="120"/>
      </w:pPr>
      <w:r>
        <w:rPr>
          <w:b/>
        </w:rPr>
        <w:t xml:space="preserve">Notes: </w:t>
      </w:r>
      <w:r>
        <w:t>abstract_source=pubmed</w:t>
      </w:r>
    </w:p>
    <w:p>
      <w:pPr>
        <w:spacing w:before="0" w:after="200" w:lineRule="auto" w:line="276"/>
      </w:pPr>
      <w:r>
        <w:rPr>
          <w:b/>
        </w:rPr>
        <w:t xml:space="preserve">Abstract: </w:t>
      </w:r>
      <w:r>
        <w:t>Atomically dispersed iron-nitrogen-carbon (Fe-N-C) catalysts hold great promise for the oxygen reduction reaction (ORR), yet their structural instability under operational conditions restricts their practical application. In this study, we identify that electrochemical degradation of the Fe-N-C catalyst stems from a dynamic disparity between the Fe-N and Fe-O bonds during ORR, leading to pronounced Fe demetallization. Guided by this mechanistic insight, we synthesize a dual-Fe-atom catalyst featuring a well-defined N3-Fe-Cl-Fe-N3 structure. Combined theoretical and experimental results reveal that the bridging Cl atom induces charge redistribution and downshifts the Fe d-band center, thereby regulating the adsorption and activation of oxygenated intermediates. The electronic energy gained by Fe-O bonding during ORR triggers a dynamic reconfiguration of the N3-Fe-Cl-Fe-N3 moieties, which in turn reinforces structural Fe-N and Fe-Cl bonds while attenuating hyperergic Fe-O interactions. Such a dynamic process enables adaptable coordination and accelerates protonation kinetics, underscoring the cooperativity of metal coordination at dual-Fe centers and thereby ensuring electrochemical robustness. The resulting dual-Fe-atom catalyst demonstrates exceptional ORR stability with minimal Fe leaching (16.4 μg L-1 after 20000 accelerated durability cycles) and retains 88% current over 160 h of operation. This catalyst delivers over 1000 h of stable performance in a zinc-air battery with a negligible overpotential increase. These findings deepen the mechanistic understanding of Fe demetallization in the Fe-N-C catalyst under operando ORR conditions, paving the way for the rational design of robust noble-metal-free ORR electrocatalysts.</w:t>
      </w:r>
    </w:p>
    <w:p>
      <w:pPr>
        <w:spacing w:before="120" w:after="120"/>
      </w:pPr>
      <w:r>
        <w:rPr>
          <w:sz w:val="18"/>
        </w:rPr>
        <w:t>——————————————————————————————————————————————————————————————————————</w:t>
      </w:r>
    </w:p>
    <w:p>
      <w:pPr>
        <w:spacing w:before="160" w:after="80" w:line="240" w:lineRule="auto"/>
      </w:pPr>
      <w:r>
        <w:rPr>
          <w:b/>
        </w:rPr>
        <w:t xml:space="preserve">[305] </w:t>
      </w:r>
      <w:hyperlink r:id="rId522">
        <w:r>
          <w:rPr>
            <w:color w:val="1155CC"/>
            <w:u w:val="single"/>
          </w:rPr>
          <w:t>[ASAP] Computational Elucidation of the Mechanism by which a Pericyclase Controls Periselectivity in the Biosynthesis of Natural Product (−)-PF-1018</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2026-01-01 20:37:37+00:00</w:t>
      </w:r>
      <w:r>
        <w:t xml:space="preserve">    </w:t>
      </w:r>
      <w:r>
        <w:rPr>
          <w:b/>
        </w:rPr>
        <w:t xml:space="preserve">DOI: </w:t>
      </w:r>
      <w:hyperlink r:id="rId523">
        <w:r>
          <w:rPr>
            <w:color w:val="1155CC"/>
            <w:u w:val="single"/>
          </w:rPr>
          <w:t>10.1021/jacs.5c20844</w:t>
        </w:r>
      </w:hyperlink>
    </w:p>
    <w:p>
      <w:pPr>
        <w:spacing w:before="0" w:after="120"/>
      </w:pPr>
      <w:r>
        <w:rPr>
          <w:b/>
        </w:rPr>
        <w:t xml:space="preserve">Notes: </w:t>
      </w:r>
      <w:r>
        <w:t>abstract_source=pubmed</w:t>
      </w:r>
    </w:p>
    <w:p>
      <w:pPr>
        <w:spacing w:before="0" w:after="200" w:lineRule="auto" w:line="276"/>
      </w:pPr>
      <w:r>
        <w:rPr>
          <w:b/>
        </w:rPr>
        <w:t xml:space="preserve">Abstract: </w:t>
      </w:r>
      <w:r>
        <w:t>The fungal enzyme PfB catalyzes the conversion of pre-(-)-PF-1018, a linear polyene with an anionic tetramate group, into (-)-PF-1018 via a mechanism with four sequential pericyclic reactions. DFT calculations indicate that the final stereospecific Diels-Alder reaction is intrinsically less favorable than 6π electrocyclic pathways, yet only the product of the Diels-Alder reaction is observed in the enzymatic process. The structures of PfB-ligand were obtained using a combination of AlphaFold 3 and microsecond molecular dynamics simulations. Selectivity arises from the relatively rigid hydrophobic pocket and flexible polar pocket in PfB. The hydrocarbon chain of the Diels-Alder transition state fits well in the hydrophobic pocket, positioning the tetramate group to maximize H-bonding and promote catalysis. Competing 6π electrocyclic reaction transition states can occupy the hydrophobic pocket but result in tetramate group orientations that prevent optimal H-bonding interactions.</w:t>
      </w:r>
    </w:p>
    <w:p>
      <w:pPr>
        <w:spacing w:before="120" w:after="120"/>
      </w:pPr>
      <w:r>
        <w:rPr>
          <w:sz w:val="18"/>
        </w:rPr>
        <w:t>——————————————————————————————————————————————————————————————————————</w:t>
      </w:r>
    </w:p>
    <w:p>
      <w:pPr>
        <w:spacing w:before="160" w:after="80" w:line="240" w:lineRule="auto"/>
      </w:pPr>
      <w:r>
        <w:rPr>
          <w:b/>
        </w:rPr>
        <w:t xml:space="preserve">[306] </w:t>
      </w:r>
      <w:hyperlink r:id="rId524">
        <w:r>
          <w:rPr>
            <w:color w:val="1155CC"/>
            <w:u w:val="single"/>
          </w:rPr>
          <w:t>Approaching the theoretical density limit of ultrahigh-nickel cathodes via cation-disorder-free 10-μm single-crystalline particles</w:t>
        </w:r>
      </w:hyperlink>
    </w:p>
    <w:p>
      <w:pPr>
        <w:spacing w:before="0" w:after="120" w:line="240" w:lineRule="auto"/>
      </w:pPr>
      <w:r>
        <w:rPr>
          <w:b/>
        </w:rPr>
        <w:t xml:space="preserve">Source: </w:t>
      </w:r>
      <w:r>
        <w:t>Nature Energy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Single-crystalline layered oxides offer a promising solution to mitigate the rapid capacity decay observed in conventional polycrystalline nickel-rich oxide cathodes. However, achieving both morphological (large grain size) and structural (cation-disorder-free) control in single crystals remains challenging due to the trade-off between grain growth and phase stability, particularly at high-nickel contents. Here we report cation-disorder-free ultrahigh-nickel single-crystalline oxide cathodes with ~10-μm particle sizes, comparable to commercial secondary particles, that deliver high volumetric capacity and stable cycling. These single crystals withstand calendering and resist intra-granular cracking, achieving electrode densities of up to 77% of the theoretical crystal density. The improved stability is linked to reduced structural strain and modified glide behaviour due to the absence of cation disorder, emphasizing its critical role in chemomechanical behaviour. Additionally, gas evolution is reduced by a factor of 25, and the thermal onset temperature drops by more than 20 °C at ~4.5 V versus Li/Li+, underscoring superior safety features and energy density potential.</w:t>
      </w:r>
    </w:p>
    <w:p>
      <w:pPr>
        <w:spacing w:before="120" w:after="120"/>
      </w:pPr>
      <w:r>
        <w:rPr>
          <w:sz w:val="18"/>
        </w:rPr>
        <w:t>——————————————————————————————————————————————————————————————————————</w:t>
      </w:r>
    </w:p>
    <w:p>
      <w:pPr>
        <w:spacing w:before="160" w:after="80" w:line="240" w:lineRule="auto"/>
      </w:pPr>
      <w:r>
        <w:rPr>
          <w:b/>
        </w:rPr>
        <w:t xml:space="preserve">[307] </w:t>
      </w:r>
      <w:hyperlink r:id="rId525">
        <w:r>
          <w:rPr>
            <w:color w:val="1155CC"/>
            <w:u w:val="single"/>
          </w:rPr>
          <w:t>Increasing the sustainability of buildings by using thermal energy storage</w:t>
        </w:r>
      </w:hyperlink>
    </w:p>
    <w:p>
      <w:pPr>
        <w:spacing w:before="0" w:after="120" w:line="240" w:lineRule="auto"/>
      </w:pPr>
      <w:r>
        <w:rPr>
          <w:b/>
        </w:rPr>
        <w:t xml:space="preserve">Source: </w:t>
      </w:r>
      <w:r>
        <w:t>Nature Reviews Clean Technology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The final energy consumption of the built environment depends on the mismatch between its instantaneous energy demand and the energy supplied by on-site sources: buildings need to be cooled when there is abundant environmental heat and heated when the surrounding environment is cold. Thermal energy storage (TES) can help to reduce the global warming potential of buildings by storing environmental, renewable or waste heat for later use when heating is needed. In this Review, we assess the economic, environmental and social aspects of TES technologies. TES tanks require high charging and discharging power, calling for the development of new heat exchangers and storage media, such as phase-change materials. Integrating TES into local energy communities could reduce energy costs and lower the emissions caused by space and water heating, but challenges remain: price volatility and the deployment of longer-term thermochemical TES for seasonal storage, for example. The efficiency of TES operation could be increased by using advanced control systems, including artificial intelligence techniques. With the development of increasingly complex systems for TES, we highlight the importance of circular design thinking and end-user engagement in optimizing the development and deployment of future TES systems.</w:t>
      </w:r>
    </w:p>
    <w:p>
      <w:pPr>
        <w:spacing w:before="120" w:after="120"/>
      </w:pPr>
      <w:r>
        <w:rPr>
          <w:sz w:val="18"/>
        </w:rPr>
        <w:t>——————————————————————————————————————————————————————————————————————</w:t>
      </w:r>
    </w:p>
    <w:p>
      <w:pPr>
        <w:spacing w:before="160" w:after="80" w:line="240" w:lineRule="auto"/>
      </w:pPr>
      <w:r>
        <w:rPr>
          <w:b/>
        </w:rPr>
        <w:t xml:space="preserve">[308] </w:t>
      </w:r>
      <w:hyperlink r:id="rId526">
        <w:r>
          <w:rPr>
            <w:color w:val="1155CC"/>
            <w:u w:val="single"/>
          </w:rPr>
          <w:t>The electric vehicle transition and vanishing fuel tax revenues</w:t>
        </w:r>
      </w:hyperlink>
    </w:p>
    <w:p>
      <w:pPr>
        <w:spacing w:before="0" w:after="120" w:line="240" w:lineRule="auto"/>
      </w:pPr>
      <w:r>
        <w:rPr>
          <w:b/>
        </w:rPr>
        <w:t xml:space="preserve">Source: </w:t>
      </w:r>
      <w:r>
        <w:t>Nature Sustainability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As electric vehicle adoption accelerates globally, fuel tax revenues decline, exposing government budgets without a proposed replacement tax on electric vehicles. We estimate fuel tax transition exposure across 168 countries, demonstrating that relative exposure, in percentage of total government revenues, varies substantially by income level. Our analysis finds that global public revenues from fuel taxes totalled approximately US$900 billion in 2023. Crucially, we show that lower-income countries face disproportionately high exposure, experience frequent debt crises and possess limited institutional capacity to respond, potentially necessitating international support.</w:t>
      </w:r>
    </w:p>
    <w:p>
      <w:pPr>
        <w:spacing w:before="120" w:after="120"/>
      </w:pPr>
      <w:r>
        <w:rPr>
          <w:sz w:val="18"/>
        </w:rPr>
        <w:t>——————————————————————————————————————————————————————————————————————</w:t>
      </w:r>
    </w:p>
    <w:p>
      <w:pPr>
        <w:spacing w:before="160" w:after="80" w:line="240" w:lineRule="auto"/>
      </w:pPr>
      <w:r>
        <w:rPr>
          <w:b/>
        </w:rPr>
        <w:t xml:space="preserve">[309] </w:t>
      </w:r>
      <w:hyperlink r:id="rId527">
        <w:r>
          <w:rPr>
            <w:color w:val="1155CC"/>
            <w:u w:val="single"/>
          </w:rPr>
          <w:t>Halogen bonding in functional chiral systems</w:t>
        </w:r>
      </w:hyperlink>
    </w:p>
    <w:p>
      <w:pPr>
        <w:spacing w:before="0" w:after="120" w:line="240" w:lineRule="auto"/>
      </w:pPr>
      <w:r>
        <w:rPr>
          <w:b/>
        </w:rPr>
        <w:t xml:space="preserve">Source: </w:t>
      </w:r>
      <w:r>
        <w:t>RSC - Chem. Soc. Rev. latest articles</w:t>
      </w:r>
      <w:r>
        <w:t xml:space="preserve">    </w:t>
      </w:r>
      <w:r>
        <w:rPr>
          <w:b/>
        </w:rPr>
        <w:t xml:space="preserve">Pub date: </w:t>
      </w:r>
      <w:r>
        <w:t>2026-01-02 00:00:00+00:00</w:t>
      </w:r>
    </w:p>
    <w:p>
      <w:pPr>
        <w:spacing w:before="0" w:after="120"/>
      </w:pPr>
      <w:r>
        <w:rPr>
          <w:b/>
        </w:rPr>
        <w:t xml:space="preserve">Notes: </w:t>
      </w:r>
      <w:r>
        <w:t>abstract_source=rsc_html</w:t>
      </w:r>
    </w:p>
    <w:p>
      <w:pPr>
        <w:spacing w:before="0" w:after="200" w:lineRule="auto" w:line="276"/>
      </w:pPr>
      <w:r>
        <w:rPr>
          <w:b/>
        </w:rPr>
        <w:t xml:space="preserve">Abstract: </w:t>
      </w:r>
      <w:r>
        <w:t>The halogen bond (XB) is a directional noncovalent interaction formed between a halogen atom acting as an electrophilic site and a Lewis base. In recent years, it has shown great potential in the design of functional chiral systems. Due to its tunable interaction strength and pronounced directionality, the XB is becoming a powerful tool for constructing and controlling chirality at both molecular and supramolecular levels. In functional chiral systems, XBs are widely employed to induce, amplify, and transfer chirality, primarily arising from the directionally anisotropic electronic distribution on the surfaces of iodine, bromine, or chlorine atoms. This strategy enables precise construction and stereocontrol of chiral molecular assemblies, asymmetric catalysts, and chiroptical materials. In this review, we first discuss the fundamental properties of XBs and introduce several unconventional types of XBs to stimulate readers’ interest. Subsequently, we summarize the latest research progress in XB-based crystal engineering, chiral recognition and separation, chiroptical materials, and supramolecular assemblies. Various XB-mediated asymmetric catalytic systems are also examined, with particular attention paid to their reaction mechanisms and catalyst design strategies. Undoubtedly, living organisms are multilevel chiral systems–from individual protein molecules to large and complex biological structures–thus, this review also explores the potential roles of XBs in biological and biomimetic systems. Finally, we provide a summary and outlook on the current research status, existing challenges, and future opportunities of XBs in functional chiral systems. Through these discussions, this review aims to inspire further exploration of XBs in chiral systems, opening new avenues for supramolecular chemistry, asymmetric synthesis, catalysis, and the development of advanced chiroptical materials.</w:t>
      </w:r>
    </w:p>
    <w:p>
      <w:pPr>
        <w:spacing w:before="120" w:after="120"/>
      </w:pPr>
      <w:r>
        <w:rPr>
          <w:sz w:val="18"/>
        </w:rPr>
        <w:t>——————————————————————————————————————————————————————————————————————</w:t>
      </w:r>
    </w:p>
    <w:p>
      <w:pPr>
        <w:spacing w:before="160" w:after="80" w:line="240" w:lineRule="auto"/>
      </w:pPr>
      <w:r>
        <w:rPr>
          <w:b/>
        </w:rPr>
        <w:t xml:space="preserve">[310] </w:t>
      </w:r>
      <w:hyperlink r:id="rId528">
        <w:r>
          <w:rPr>
            <w:color w:val="1155CC"/>
            <w:u w:val="single"/>
          </w:rPr>
          <w:t>A fully packaged cryogenic optical transmitter directly interfaced with a superconducting chip</w:t>
        </w:r>
      </w:hyperlink>
    </w:p>
    <w:p>
      <w:pPr>
        <w:spacing w:before="0" w:after="120" w:line="240" w:lineRule="auto"/>
      </w:pPr>
      <w:r>
        <w:rPr>
          <w:b/>
        </w:rPr>
        <w:t xml:space="preserve">Source: </w:t>
      </w:r>
      <w:r>
        <w:t>Nature Electronics</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The development of quantum and superconducting computer applications requires high-bandwidth and energy-efficient readout interfaces that can connect superconducting integrated circuits with a room-temperature environment. However, electrical and optical interconnect approaches involve extra amplification stages due to the low outputs of the superconducting circuits, which make them complicated, difficult to scale and a source of heat leakage. Here we describe a single-chip electronic–photonic transmitter that is driven directly by superconducting electronics and is fabricated using a commercial complementary metal–oxide–semiconductor foundry process. A laser-forwarded coherent-link architecture enables the transmitter to be directly driven at 4 K by a superconducting integrated circuit with only millivolt-level voltage swing and at a bit error rate of under 1 × 10−6. The energy efficiency of the link, at a temperature of 4 K and a laser power split ratio of 10/90, is 673 fJ per bit.</w:t>
      </w:r>
    </w:p>
    <w:p>
      <w:pPr>
        <w:spacing w:before="120" w:after="120"/>
      </w:pPr>
      <w:r>
        <w:rPr>
          <w:sz w:val="18"/>
        </w:rPr>
        <w:t>——————————————————————————————————————————————————————————————————————</w:t>
      </w:r>
    </w:p>
    <w:p>
      <w:pPr>
        <w:spacing w:before="160" w:after="80" w:line="240" w:lineRule="auto"/>
      </w:pPr>
      <w:r>
        <w:rPr>
          <w:b/>
        </w:rPr>
        <w:t xml:space="preserve">[311] </w:t>
      </w:r>
      <w:hyperlink r:id="rId529">
        <w:r>
          <w:rPr>
            <w:color w:val="1155CC"/>
            <w:u w:val="single"/>
          </w:rPr>
          <w:t>A Non-destructive UV Raman Characterisation Platform to Enable Insight into the Mechanism of Reversible Ultraviolet-Induced Degradation (UVID) in TOPCon Solar Cells</w:t>
        </w:r>
      </w:hyperlink>
    </w:p>
    <w:p>
      <w:pPr>
        <w:spacing w:before="0" w:after="120" w:line="240" w:lineRule="auto"/>
      </w:pPr>
      <w:r>
        <w:rPr>
          <w:b/>
        </w:rPr>
        <w:t xml:space="preserve">Source: </w:t>
      </w:r>
      <w:r>
        <w:t>RSC - Energy Environ. Sci. latest articles</w:t>
      </w:r>
      <w:r>
        <w:t xml:space="preserve">    </w:t>
      </w:r>
      <w:r>
        <w:rPr>
          <w:b/>
        </w:rPr>
        <w:t xml:space="preserve">Pub date: </w:t>
      </w:r>
      <w:r>
        <w:t>2026-01-02 00:00:00+00:00</w:t>
      </w:r>
    </w:p>
    <w:p>
      <w:pPr>
        <w:spacing w:before="0" w:after="120"/>
      </w:pPr>
      <w:r>
        <w:rPr>
          <w:b/>
        </w:rPr>
        <w:t xml:space="preserve">Notes: </w:t>
      </w:r>
      <w:r>
        <w:t>abstract_source=rsc_html</w:t>
      </w:r>
    </w:p>
    <w:p>
      <w:pPr>
        <w:spacing w:before="0" w:after="200" w:lineRule="auto" w:line="276"/>
      </w:pPr>
      <w:r>
        <w:rPr>
          <w:b/>
        </w:rPr>
        <w:t xml:space="preserve">Abstract: </w:t>
      </w:r>
      <w:r>
        <w:t>Ultraviolet light-induced degradation (UVID) has been reported across mainstream highefficiency Silicon (Si) solar cell architectures, including heterojunction (HJT), passivated emitter and rear cell (PERC) and tunnel oxide passivated contact (TOPCon) solar cells, causing up to 10% efficiency loss after continuous exposure to high UV doses.Encouragingly, this degradation has also been reported to be recoverable under certain conditions, such as light soaking. However, in the absence of a clear mechanistic understanding of both the degradation and recovery process, current testing protocols and stability metrics fall short of capturing the true UV resilience of these devices. Establishing a fundamental understanding of UVID is therefore critical for developing more predictive testing frameworks and durable cell architectures under real-world operating conditions. In this work, we demonstrate that the UVID of TOPCon silicon solar cells can be effectively recovered using light soaking in the first place. The recoverable macroscopic cell performance is subsequently found correlated with two reversible changes at the materials level: front surface reflectance by optical transmission of SiNx and a Boron-doped Si Raman peak by UV Raman spectroscopy. With further atom probe tomography (APT) investigation and theoretical modeling, the mechanisms of this reversible UVID and light soaking induced recovery (LSIR) process are identified. The elucidation of the reversible UVID mechanism at the atomic level directly informs the development of effective mitigation strategies. We demonstrate that the synchronous use of a thick AlOx film and a low Si:N ratio SiNx layer can improve the UVID resistance of TOPCon solar cells. Moreover, the non-destructive material level characterisation platform established in this work enables effective capture of the degree of UVID resistance in the design of durable TOPCon solar cells with the potential of in-line quality control.</w:t>
      </w:r>
    </w:p>
    <w:p>
      <w:pPr>
        <w:spacing w:before="120" w:after="120"/>
      </w:pPr>
      <w:r>
        <w:rPr>
          <w:sz w:val="18"/>
        </w:rPr>
        <w:t>——————————————————————————————————————————————————————————————————————</w:t>
      </w:r>
    </w:p>
    <w:p>
      <w:pPr>
        <w:spacing w:before="160" w:after="80" w:line="240" w:lineRule="auto"/>
      </w:pPr>
      <w:r>
        <w:rPr>
          <w:b/>
        </w:rPr>
        <w:t xml:space="preserve">[312] </w:t>
      </w:r>
      <w:hyperlink r:id="rId530">
        <w:r>
          <w:rPr>
            <w:color w:val="1155CC"/>
            <w:u w:val="single"/>
          </w:rPr>
          <w:t>Global profiling of arginine reactivity and ligandability in the human proteome</w:t>
        </w:r>
      </w:hyperlink>
    </w:p>
    <w:p>
      <w:pPr>
        <w:spacing w:before="0" w:after="120" w:line="240" w:lineRule="auto"/>
      </w:pPr>
      <w:r>
        <w:rPr>
          <w:b/>
        </w:rPr>
        <w:t xml:space="preserve">Source: </w:t>
      </w:r>
      <w:r>
        <w:t>Nature Chemistry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Despite the crucial biological functions of arginine, its reactivity and ligandability within the human proteome remain largely unexplored. Here we apply activity-based protein profiling (ABPP) with phenylglyoxal-based chemical probes to map arginine reactivity globally. Screening phenylglyoxal derivatives identified a probe with enhanced coverage and selectivity, enabling quantification of 4,606 arginine sites across human cell lines. Among these, critical residues regulate liquid–liquid phase separation. Arginine reactivity was further assessed by on-beads reductive dimethylation proteomics, revealing a subset of hyper-reactive sites. Competitive fragment screening using data-independent acquisition ABPP (DIA-ABPP) generated a ligandability map of arginine residues across 60 dicarbonyl compounds. This dataset revealed ligandable arginines that modulate protein activity, in particular protein–protein interactions, highlighting potential covalent drug targets. Together, this work provides a proteome-wide profile of arginine reactivity and ligandability, offering insights into the functional landscape of arginines and expanding the scope of covalent drug discovery to include arginine-targeting molecules.</w:t>
      </w:r>
    </w:p>
    <w:p>
      <w:pPr>
        <w:spacing w:before="120" w:after="120"/>
      </w:pPr>
      <w:r>
        <w:rPr>
          <w:sz w:val="18"/>
        </w:rPr>
        <w:t>——————————————————————————————————————————————————————————————————————</w:t>
      </w:r>
    </w:p>
    <w:p>
      <w:pPr>
        <w:spacing w:before="160" w:after="80" w:line="240" w:lineRule="auto"/>
      </w:pPr>
      <w:r>
        <w:rPr>
          <w:b/>
        </w:rPr>
        <w:t xml:space="preserve">[313] </w:t>
      </w:r>
      <w:hyperlink r:id="rId531">
        <w:r>
          <w:rPr>
            <w:color w:val="1155CC"/>
            <w:u w:val="single"/>
          </w:rPr>
          <w:t>Evolutionary convergence and divergence of hippocampal cytoarchitecture between rodents and primates revealed by single-cell spatial transcriptomics</w:t>
        </w:r>
      </w:hyperlink>
    </w:p>
    <w:p>
      <w:pPr>
        <w:spacing w:before="0" w:after="120" w:line="240" w:lineRule="auto"/>
      </w:pPr>
      <w:r>
        <w:rPr>
          <w:b/>
        </w:rPr>
        <w:t xml:space="preserve">Source: </w:t>
      </w:r>
      <w:r>
        <w:t>National Science Review Advance Access</w:t>
      </w:r>
      <w:r>
        <w:t xml:space="preserve">    </w:t>
      </w:r>
      <w:r>
        <w:rPr>
          <w:b/>
        </w:rPr>
        <w:t xml:space="preserve">Pub date: </w:t>
      </w:r>
      <w:r>
        <w:t>2026-01-02 00:00:00+00:00</w:t>
      </w:r>
      <w:r>
        <w:t xml:space="preserve">    </w:t>
      </w:r>
      <w:r>
        <w:rPr>
          <w:b/>
        </w:rPr>
        <w:t xml:space="preserve">DOI: </w:t>
      </w:r>
      <w:hyperlink r:id="rId532">
        <w:r>
          <w:rPr>
            <w:color w:val="1155CC"/>
            <w:u w:val="single"/>
          </w:rPr>
          <w:t>10.1093/nsr/nwaf595/8408467</w:t>
        </w:r>
      </w:hyperlink>
    </w:p>
    <w:p>
      <w:pPr>
        <w:spacing w:before="0" w:after="120"/>
      </w:pPr>
      <w:r>
        <w:rPr>
          <w:b/>
        </w:rPr>
        <w:t xml:space="preserve">Notes: </w:t>
      </w:r>
      <w:r>
        <w:t>abstract_source=rss_oup</w:t>
      </w:r>
    </w:p>
    <w:p>
      <w:pPr>
        <w:spacing w:before="0" w:after="200" w:lineRule="auto" w:line="276"/>
      </w:pPr>
      <w:r>
        <w:rPr>
          <w:b/>
        </w:rPr>
        <w:t xml:space="preserve">Abstract: </w:t>
      </w:r>
      <w:r>
        <w:t>The hippocampus comprises subregions of distinct cell types critical for memory and cognition, but their gene expression profiles and spatial distribution patterns remain to be clarified. Using single-cell spatial transcriptomic analysis and single-nucleus RNA sequencing, we obtained transcriptome-based atlases for the macaque, marmoset, and mouse hippocampus. Cross-species comparison revealed primate- and lamina-specific glutamatergic cell types in the subicular complex, as well as enrichment of VIP</w:t>
      </w:r>
    </w:p>
    <w:p>
      <w:pPr>
        <w:spacing w:before="120" w:after="120"/>
      </w:pPr>
      <w:r>
        <w:rPr>
          <w:sz w:val="18"/>
        </w:rPr>
        <w:t>——————————————————————————————————————————————————————————————————————</w:t>
      </w:r>
    </w:p>
    <w:p>
      <w:pPr>
        <w:spacing w:before="160" w:after="80" w:line="240" w:lineRule="auto"/>
      </w:pPr>
      <w:r>
        <w:rPr>
          <w:b/>
        </w:rPr>
        <w:t xml:space="preserve">[314] </w:t>
      </w:r>
      <w:hyperlink r:id="rId533">
        <w:r>
          <w:rPr>
            <w:color w:val="1155CC"/>
            <w:u w:val="single"/>
          </w:rPr>
          <w:t>Bridging the fuel tax revenue gap in the move to electric mobility</w:t>
        </w:r>
      </w:hyperlink>
    </w:p>
    <w:p>
      <w:pPr>
        <w:spacing w:before="0" w:after="120" w:line="240" w:lineRule="auto"/>
      </w:pPr>
      <w:r>
        <w:rPr>
          <w:b/>
        </w:rPr>
        <w:t xml:space="preserve">Source: </w:t>
      </w:r>
      <w:r>
        <w:t>Nature Sustainability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[315] </w:t>
      </w:r>
      <w:hyperlink r:id="rId534">
        <w:r>
          <w:rPr>
            <w:color w:val="1155CC"/>
            <w:u w:val="single"/>
          </w:rPr>
          <w:t>Stepwise-controllable catalytic asymmetric Atherton–Todd reaction to access diverse P(V)-stereogenic compounds</w:t>
        </w:r>
      </w:hyperlink>
    </w:p>
    <w:p>
      <w:pPr>
        <w:spacing w:before="0" w:after="120" w:line="240" w:lineRule="auto"/>
      </w:pPr>
      <w:r>
        <w:rPr>
          <w:b/>
        </w:rPr>
        <w:t xml:space="preserve">Source: </w:t>
      </w:r>
      <w:r>
        <w:t>Nature Chemistry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The Atherton–Todd (A–T) reaction has long been regarded as a cornerstone method for synthesizing a wide array of phosphorus(V) compounds. However, despite its vast synthetic potential, achieving precise stereocontrol in this transformation remains a challenge. Here we present the highly efficient and direct asymmetric A–T reaction, using biomimetic peptide–phosphonium salt catalysts to enable the stepwise and precise synthesis of a diverse array of phosphorus(V)-based scaffolds. We demonstrate the efficient generation of three distinct stereogenic phosphorus(V) species—phosphoryl chlorides, phosphinates and phosphonates—while maintaining exceptional functional group compatibility and delivering outstanding enantioselectivity. Our mechanistic studies, complemented by density functional theory calculations, uncover the ability of the peptide–phosphonium salt catalysts to modulate the chiral environment, selectively recognizing and pre-assembling phosphorus substrates and/or nucleophilic species. This finely tuned chiral cavity facilitates a stepwise-controllable, enantioselective A–T reaction, providing an elegant strategy for the synthesis of stereochemically defined phosphorus ligands, bioactive molecules and oligonucleotides.</w:t>
      </w:r>
    </w:p>
    <w:p>
      <w:pPr>
        <w:spacing w:before="120" w:after="120"/>
      </w:pPr>
      <w:r>
        <w:rPr>
          <w:sz w:val="18"/>
        </w:rPr>
        <w:t>——————————————————————————————————————————————————————————————————————</w:t>
      </w:r>
    </w:p>
    <w:p>
      <w:pPr>
        <w:spacing w:before="160" w:after="80" w:line="240" w:lineRule="auto"/>
      </w:pPr>
      <w:r>
        <w:rPr>
          <w:b/>
        </w:rPr>
        <w:t xml:space="preserve">[316] </w:t>
      </w:r>
      <w:hyperlink r:id="rId535">
        <w:r>
          <w:rPr>
            <w:color w:val="1155CC"/>
            <w:u w:val="single"/>
          </w:rPr>
          <w:t>A protease repurposed for thiotemplated amide synthesis</w:t>
        </w:r>
      </w:hyperlink>
    </w:p>
    <w:p>
      <w:pPr>
        <w:spacing w:before="0" w:after="120" w:line="240" w:lineRule="auto"/>
      </w:pPr>
      <w:r>
        <w:rPr>
          <w:b/>
        </w:rPr>
        <w:t xml:space="preserve">Source: </w:t>
      </w:r>
      <w:r>
        <w:t>Chem</w:t>
      </w:r>
      <w:r>
        <w:t xml:space="preserve">    </w:t>
      </w:r>
      <w:r>
        <w:rPr>
          <w:b/>
        </w:rPr>
        <w:t xml:space="preserve">Pub date: </w:t>
      </w:r>
      <w:r>
        <w:t>2026-01-02 00:00:00+00:00</w:t>
      </w:r>
    </w:p>
    <w:p>
      <w:pPr>
        <w:spacing w:before="0" w:after="120"/>
      </w:pPr>
      <w:r>
        <w:rPr>
          <w:b/>
        </w:rPr>
        <w:t xml:space="preserve">Notes: </w:t>
      </w:r>
      <w:r>
        <w:t>abstract_source=rss_cell</w:t>
      </w:r>
    </w:p>
    <w:p>
      <w:pPr>
        <w:spacing w:before="0" w:after="200" w:lineRule="auto" w:line="276"/>
      </w:pPr>
      <w:r>
        <w:rPr>
          <w:b/>
        </w:rPr>
        <w:t xml:space="preserve">Abstract: </w:t>
      </w:r>
      <w:r>
        <w:t>In this issue of Chem, Hertweck, Groll, and co-workers characterize an amide-forming ligase central to closthioamide biosynthesis: CtaG. They provide a mechanistic and structural explanation for how CtaG repurposes a protease-like active site to catalyze amide-bond formation between two carrier protein-bound substrates.</w:t>
      </w:r>
    </w:p>
    <w:p>
      <w:pPr>
        <w:spacing w:before="120" w:after="120"/>
      </w:pPr>
      <w:r>
        <w:rPr>
          <w:sz w:val="18"/>
        </w:rPr>
        <w:t>——————————————————————————————————————————————————————————————————————</w:t>
      </w:r>
    </w:p>
    <w:p>
      <w:pPr>
        <w:spacing w:before="160" w:after="80" w:line="240" w:lineRule="auto"/>
      </w:pPr>
      <w:r>
        <w:rPr>
          <w:b/>
        </w:rPr>
        <w:t xml:space="preserve">[317] </w:t>
      </w:r>
      <w:hyperlink r:id="rId536">
        <w:r>
          <w:rPr>
            <w:color w:val="1155CC"/>
            <w:u w:val="single"/>
          </w:rPr>
          <w:t>Seeing the unseen: Real-time tracking of battery cycling-to-failure via surface strain</w:t>
        </w:r>
      </w:hyperlink>
    </w:p>
    <w:p>
      <w:pPr>
        <w:spacing w:before="0" w:after="120" w:line="240" w:lineRule="auto"/>
      </w:pPr>
      <w:r>
        <w:rPr>
          <w:b/>
        </w:rPr>
        <w:t xml:space="preserve">Source: </w:t>
      </w:r>
      <w:r>
        <w:t>Joule</w:t>
      </w:r>
      <w:r>
        <w:t xml:space="preserve">    </w:t>
      </w:r>
      <w:r>
        <w:rPr>
          <w:b/>
        </w:rPr>
        <w:t xml:space="preserve">Pub date: </w:t>
      </w:r>
      <w:r>
        <w:t>2026-01-02 00:00:00+00:00</w:t>
      </w:r>
    </w:p>
    <w:p>
      <w:pPr>
        <w:spacing w:before="0" w:after="120"/>
      </w:pPr>
      <w:r>
        <w:rPr>
          <w:b/>
        </w:rPr>
        <w:t xml:space="preserve">Notes: </w:t>
      </w:r>
      <w:r>
        <w:t>abstract_source=rss_cell</w:t>
      </w:r>
    </w:p>
    <w:p>
      <w:pPr>
        <w:spacing w:before="0" w:after="200" w:lineRule="auto" w:line="276"/>
      </w:pPr>
      <w:r>
        <w:rPr>
          <w:b/>
        </w:rPr>
        <w:t xml:space="preserve">Abstract: </w:t>
      </w:r>
      <w:r>
        <w:t>This study proposes a strain-based approach to address passive failures in lithium-ion batteries, which present spontaneous safety risks often indistinguishable from routine degradation using conventional diagnostics. By establishing a strain-failure correlation, we introduce a slope-based threshold and a failure-proximity index to characterize degradation-to-failure transitions. Incorporating strain-informed machine learning, it effectively detects early failure onset and estimates proximity. This scalable approach is suitable for real-time, onboard monitoring, supporting safer and more reliable battery operation.</w:t>
      </w:r>
    </w:p>
    <w:p>
      <w:pPr>
        <w:spacing w:before="120" w:after="120"/>
      </w:pPr>
      <w:r>
        <w:rPr>
          <w:sz w:val="18"/>
        </w:rPr>
        <w:t>——————————————————————————————————————————————————————————————————————</w:t>
      </w:r>
    </w:p>
    <w:p>
      <w:pPr>
        <w:spacing w:before="160" w:after="80" w:line="240" w:lineRule="auto"/>
      </w:pPr>
      <w:r>
        <w:rPr>
          <w:b/>
        </w:rPr>
        <w:t xml:space="preserve">[318] </w:t>
      </w:r>
      <w:hyperlink r:id="rId537">
        <w:r>
          <w:rPr>
            <w:color w:val="1155CC"/>
            <w:u w:val="single"/>
          </w:rPr>
          <w:t>Critical transition of urban ozone formation regime in the North China Plain</w:t>
        </w:r>
      </w:hyperlink>
    </w:p>
    <w:p>
      <w:pPr>
        <w:spacing w:before="0" w:after="120" w:line="240" w:lineRule="auto"/>
      </w:pPr>
      <w:r>
        <w:rPr>
          <w:b/>
        </w:rPr>
        <w:t xml:space="preserve">Source: </w:t>
      </w:r>
      <w:r>
        <w:t>National Science Review Advance Access</w:t>
      </w:r>
      <w:r>
        <w:t xml:space="preserve">    </w:t>
      </w:r>
      <w:r>
        <w:rPr>
          <w:b/>
        </w:rPr>
        <w:t xml:space="preserve">Pub date: </w:t>
      </w:r>
      <w:r>
        <w:t>2026-01-02 00:00:00+00:00</w:t>
      </w:r>
      <w:r>
        <w:t xml:space="preserve">    </w:t>
      </w:r>
      <w:r>
        <w:rPr>
          <w:b/>
        </w:rPr>
        <w:t xml:space="preserve">DOI: </w:t>
      </w:r>
      <w:hyperlink r:id="rId538">
        <w:r>
          <w:rPr>
            <w:color w:val="1155CC"/>
            <w:u w:val="single"/>
          </w:rPr>
          <w:t>10.1093/nsr/nwaf596/8408452</w:t>
        </w:r>
      </w:hyperlink>
    </w:p>
    <w:p>
      <w:pPr>
        <w:spacing w:before="0" w:after="120"/>
      </w:pPr>
      <w:r>
        <w:rPr>
          <w:b/>
        </w:rPr>
        <w:t xml:space="preserve">Notes: </w:t>
      </w:r>
      <w:r>
        <w:t>abstract_source=rss_oup</w:t>
      </w:r>
    </w:p>
    <w:p>
      <w:pPr>
        <w:spacing w:before="0" w:after="200" w:lineRule="auto" w:line="276"/>
      </w:pPr>
      <w:r>
        <w:rPr>
          <w:b/>
        </w:rPr>
        <w:t xml:space="preserve">Abstract: </w:t>
      </w:r>
      <w:r>
        <w:t>Over the past decade, China has achieved remarkable progress in mitigating the aerosol pollution. However, ozone (O3) pollution still shows a worsening trend, implying that China’s control measures may have been less effective in tackling O3 pollution. Herein, we conduct synchronized observations of O3 and its precursors across 37 cities in the heavily polluted North China Plain (NCP) during the summer of 2021 and apply a unified observation-based model to diagnose O3 formation mechanisms. Our results reveal a significant transition in urban O3 formation regime, shifting from primarily VOC-limited to VOC–NOx co-limited across the NCP between 2010s and 2020s. Notably, the primary VOC species, their respective sources, and the optimal VOCs/NOx reduction ratios exhibit remarkable regional consistency. Modeling analyses further indicate that long-term national “Carbon Neutrality” strategy could effectively alleviate O3 pollution, with targeted VOC emission reductions from major anthropogenic sources offering the greatest mitigation potential. These findings underscore the efficacy of China’s endeavors in mitigating O3 pollution, although the effects are not immediately evident from ambient O3 concentrations. O3 pollution control in Chinese cities has reached a critical inflection point, offering considerable flexibility and feasibility in formulating future control policies.</w:t>
      </w:r>
    </w:p>
    <w:p>
      <w:pPr>
        <w:spacing w:before="120" w:after="120"/>
      </w:pPr>
      <w:r>
        <w:rPr>
          <w:sz w:val="18"/>
        </w:rPr>
        <w:t>——————————————————————————————————————————————————————————————————————</w:t>
      </w:r>
    </w:p>
    <w:p>
      <w:pPr>
        <w:spacing w:before="160" w:after="80" w:line="240" w:lineRule="auto"/>
      </w:pPr>
      <w:r>
        <w:rPr>
          <w:b/>
        </w:rPr>
        <w:t xml:space="preserve">[319] </w:t>
      </w:r>
      <w:hyperlink r:id="rId539">
        <w:r>
          <w:rPr>
            <w:color w:val="1155CC"/>
            <w:u w:val="single"/>
          </w:rPr>
          <w:t>Protecting skins of Au–Cl can stabilize Au nanostructures</w:t>
        </w:r>
      </w:hyperlink>
    </w:p>
    <w:p>
      <w:pPr>
        <w:spacing w:before="0" w:after="120" w:line="240" w:lineRule="auto"/>
      </w:pPr>
      <w:r>
        <w:rPr>
          <w:b/>
        </w:rPr>
        <w:t xml:space="preserve">Source: </w:t>
      </w:r>
      <w:r>
        <w:t>Nature Chemistry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[320] </w:t>
      </w:r>
      <w:hyperlink r:id="rId540">
        <w:r>
          <w:rPr>
            <w:color w:val="1155CC"/>
            <w:u w:val="single"/>
          </w:rPr>
          <w:t>Cutting global nitrogen emissions by one-third for balanced and achievable SDGs by 2030</w:t>
        </w:r>
      </w:hyperlink>
    </w:p>
    <w:p>
      <w:pPr>
        <w:spacing w:before="0" w:after="120" w:line="240" w:lineRule="auto"/>
      </w:pPr>
      <w:r>
        <w:rPr>
          <w:b/>
        </w:rPr>
        <w:t xml:space="preserve">Source: </w:t>
      </w:r>
      <w:r>
        <w:t>One Earth</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[321] </w:t>
      </w:r>
      <w:hyperlink r:id="rId541">
        <w:r>
          <w:rPr>
            <w:color w:val="1155CC"/>
            <w:u w:val="single"/>
          </w:rPr>
          <w:t>Rational design of high-performance low-loading oxygen reduction catalysts for alkaline fuel cells</w:t>
        </w:r>
      </w:hyperlink>
    </w:p>
    <w:p>
      <w:pPr>
        <w:spacing w:before="0" w:after="120" w:line="240" w:lineRule="auto"/>
      </w:pPr>
      <w:r>
        <w:rPr>
          <w:b/>
        </w:rPr>
        <w:t xml:space="preserve">Source: </w:t>
      </w:r>
      <w:r>
        <w:t>Nature Materials</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The lack of mechanistic understanding and catalyst design principles for alkaline electrolytes, especially for the sluggish oxygen reduction reaction, has impeded the advancement of alkaline fuel cells. Here we propose a modified volcano plot and apply this rationale to strategically design Pt nanosheets with PdHx nanosheets substrates. This catalyst exhibited high stability with a specific activity of 1.71 mA cm−2 at 0.95 V versus the reversible hydrogen electrode, surpassing the benchmark of Pt/C by 49-fold. Spectroscopic, electrochemical and electron microscopic characterizations revealed that such performance enhancement originated from tensile-strained Pt{111} facets, improving oxidative stability and suppressing carbon corrosion. In fuel cell testing, the catalyst enabled a peak power density of 1.67 W cm−2 with a loading of 10 µgPGM Cathode cm−2. Further optimization delivered a peak power density of 21.7 W mg−1PGM Cathode+Anode with a total specific catalyst cost US$1.27 kW−1, surpassing the US Department of Energy’s Pt group metal loading and cost targets. This study provides valuable insights into catalyst design for the alkaline oxygen reduction reaction.</w:t>
      </w:r>
    </w:p>
    <w:p>
      <w:pPr>
        <w:spacing w:before="120" w:after="120"/>
      </w:pPr>
      <w:r>
        <w:rPr>
          <w:sz w:val="18"/>
        </w:rPr>
        <w:t>——————————————————————————————————————————————————————————————————————</w:t>
      </w:r>
    </w:p>
    <w:p>
      <w:pPr>
        <w:spacing w:before="160" w:after="80" w:line="240" w:lineRule="auto"/>
      </w:pPr>
      <w:r>
        <w:rPr>
          <w:b/>
        </w:rPr>
        <w:t xml:space="preserve">[322] </w:t>
      </w:r>
      <w:hyperlink r:id="rId542">
        <w:r>
          <w:rPr>
            <w:color w:val="1155CC"/>
            <w:u w:val="single"/>
          </w:rPr>
          <w:t>Negative pricing increases electricity use but challenges grid stability</w:t>
        </w:r>
      </w:hyperlink>
    </w:p>
    <w:p>
      <w:pPr>
        <w:spacing w:before="0" w:after="120" w:line="240" w:lineRule="auto"/>
      </w:pPr>
      <w:r>
        <w:rPr>
          <w:b/>
        </w:rPr>
        <w:t xml:space="preserve">Source: </w:t>
      </w:r>
      <w:r>
        <w:t>Nature Energy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[323] </w:t>
      </w:r>
      <w:hyperlink r:id="rId543">
        <w:r>
          <w:rPr>
            <w:color w:val="1155CC"/>
            <w:u w:val="single"/>
          </w:rPr>
          <w:t>Biomimetic catalysis enables asymmetric Atherton–Todd reaction</w:t>
        </w:r>
      </w:hyperlink>
    </w:p>
    <w:p>
      <w:pPr>
        <w:spacing w:before="0" w:after="120" w:line="240" w:lineRule="auto"/>
      </w:pPr>
      <w:r>
        <w:rPr>
          <w:b/>
        </w:rPr>
        <w:t xml:space="preserve">Source: </w:t>
      </w:r>
      <w:r>
        <w:t>Nature Chemistry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[324] </w:t>
      </w:r>
      <w:hyperlink r:id="rId544">
        <w:r>
          <w:rPr>
            <w:color w:val="1155CC"/>
            <w:u w:val="single"/>
          </w:rPr>
          <w:t>Bringing biocatalysis into teaching labs</w:t>
        </w:r>
      </w:hyperlink>
    </w:p>
    <w:p>
      <w:pPr>
        <w:spacing w:before="0" w:after="120" w:line="240" w:lineRule="auto"/>
      </w:pPr>
      <w:r>
        <w:rPr>
          <w:b/>
        </w:rPr>
        <w:t xml:space="preserve">Source: </w:t>
      </w:r>
      <w:r>
        <w:t>Nature Chemistry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[325] </w:t>
      </w:r>
      <w:hyperlink r:id="rId545">
        <w:r>
          <w:rPr>
            <w:color w:val="1155CC"/>
            <w:u w:val="single"/>
          </w:rPr>
          <w:t>Long-wavelength photocatalysis enabled by an in-situ-assembled manganese platform</w:t>
        </w:r>
      </w:hyperlink>
    </w:p>
    <w:p>
      <w:pPr>
        <w:spacing w:before="0" w:after="120" w:line="240" w:lineRule="auto"/>
      </w:pPr>
      <w:r>
        <w:rPr>
          <w:b/>
        </w:rPr>
        <w:t xml:space="preserve">Source: </w:t>
      </w:r>
      <w:r>
        <w:t>Chem</w:t>
      </w:r>
      <w:r>
        <w:t xml:space="preserve">    </w:t>
      </w:r>
      <w:r>
        <w:rPr>
          <w:b/>
        </w:rPr>
        <w:t xml:space="preserve">Pub date: </w:t>
      </w:r>
      <w:r>
        <w:t>2026-01-02 00:00:00+00:00</w:t>
      </w:r>
    </w:p>
    <w:p>
      <w:pPr>
        <w:spacing w:before="0" w:after="120"/>
      </w:pPr>
      <w:r>
        <w:rPr>
          <w:b/>
        </w:rPr>
        <w:t xml:space="preserve">Notes: </w:t>
      </w:r>
      <w:r>
        <w:t>abstract_source=rss_cell</w:t>
      </w:r>
    </w:p>
    <w:p>
      <w:pPr>
        <w:spacing w:before="0" w:after="200" w:lineRule="auto" w:line="276"/>
      </w:pPr>
      <w:r>
        <w:rPr>
          <w:b/>
        </w:rPr>
        <w:t xml:space="preserve">Abstract: </w:t>
      </w:r>
      <w:r>
        <w:t>Advances in long-wavelength photocatalysis have drawn significant attention within organic synthesis. In this issue of Chem, Niu and co-workers describe a manganese-based long-wavelength photocatalytic platform that mediates alkene oxygenation and nitrogenation through a modular in situ assembly approach. The utility of this platform is demonstrated by its wide substrate scope, scalability, and efficient late-stage functionalization.</w:t>
      </w:r>
    </w:p>
    <w:p>
      <w:pPr>
        <w:spacing w:before="120" w:after="120"/>
      </w:pPr>
      <w:r>
        <w:rPr>
          <w:sz w:val="18"/>
        </w:rPr>
        <w:t>——————————————————————————————————————————————————————————————————————</w:t>
      </w:r>
    </w:p>
    <w:p>
      <w:pPr>
        <w:spacing w:before="160" w:after="80" w:line="240" w:lineRule="auto"/>
      </w:pPr>
      <w:r>
        <w:rPr>
          <w:b/>
        </w:rPr>
        <w:t xml:space="preserve">[326] </w:t>
      </w:r>
      <w:hyperlink r:id="rId546">
        <w:r>
          <w:rPr>
            <w:color w:val="1155CC"/>
            <w:u w:val="single"/>
          </w:rPr>
          <w:t>Fatigue-resistant metal-film-based flexible conductors with a coherent gradient nanolayered architecture</w:t>
        </w:r>
      </w:hyperlink>
    </w:p>
    <w:p>
      <w:pPr>
        <w:spacing w:before="0" w:after="120" w:line="240" w:lineRule="auto"/>
      </w:pPr>
      <w:r>
        <w:rPr>
          <w:b/>
        </w:rPr>
        <w:t xml:space="preserve">Source: </w:t>
      </w:r>
      <w:r>
        <w:t>Nature Electronics</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Metal-film-based conductors are an important element of flexible electronic devices. However, they typically suffer from fatigue damage and electrical degradation under cyclic deformation, which can limit practical use. Here we report fatigue-resistant metal films with a coherent gradient nanolayered architecture. The architecture consists of alternating stacked layers of silver and aluminium, with silver layers that become progressively thinner and finer grained. Initial crack nucleation is delayed by a combination of heterodeformation-induced strengthening, controlled grain coarsening in the silver layer and mitigation of interface stress concentrations. The moderate interface adhesion between silver and aluminium, and the multiaxial stress state induced by the gradient structure, also promote interface delamination and crack deflection, which suppresses fatigue-crack propagation. Our coherent gradient nanolayered silver/aluminium films exhibit a conductivity of over 107 S m−1 and relatively little conductivity change in both high-cycle, low-stress regimes (107 cycles at 0.7% strain) and low-cycle, high-stress regimes (105 cycles at 5% strain).</w:t>
      </w:r>
    </w:p>
    <w:p>
      <w:pPr>
        <w:spacing w:before="120" w:after="120"/>
      </w:pPr>
      <w:r>
        <w:rPr>
          <w:sz w:val="18"/>
        </w:rPr>
        <w:t>——————————————————————————————————————————————————————————————————————</w:t>
      </w:r>
    </w:p>
    <w:p>
      <w:pPr>
        <w:spacing w:before="160" w:after="80" w:line="240" w:lineRule="auto"/>
      </w:pPr>
      <w:r>
        <w:rPr>
          <w:b/>
        </w:rPr>
        <w:t xml:space="preserve">[327] </w:t>
      </w:r>
      <w:hyperlink r:id="rId547">
        <w:r>
          <w:rPr>
            <w:color w:val="1155CC"/>
            <w:u w:val="single"/>
          </w:rPr>
          <w:t>Halving global ammonia emissions with cost-effective measures</w:t>
        </w:r>
      </w:hyperlink>
    </w:p>
    <w:p>
      <w:pPr>
        <w:spacing w:before="0" w:after="120" w:line="240" w:lineRule="auto"/>
      </w:pPr>
      <w:r>
        <w:rPr>
          <w:b/>
        </w:rPr>
        <w:t xml:space="preserve">Source: </w:t>
      </w:r>
      <w:r>
        <w:t>Nature Sustainability</w:t>
      </w:r>
      <w:r>
        <w:t xml:space="preserve">    </w:t>
      </w:r>
      <w:r>
        <w:rPr>
          <w:b/>
        </w:rPr>
        <w:t xml:space="preserve">Pub date: </w:t>
      </w:r>
      <w:r>
        <w:t>2026-01-02 00:00:00+00:00</w:t>
      </w:r>
    </w:p>
    <w:p>
      <w:pPr>
        <w:spacing w:before="0" w:after="120"/>
      </w:pPr>
      <w:r>
        <w:rPr>
          <w:b/>
        </w:rPr>
        <w:t xml:space="preserve">Notes: </w:t>
      </w:r>
      <w:r>
        <w:t>abstract_source=nature_html</w:t>
      </w:r>
    </w:p>
    <w:p>
      <w:pPr>
        <w:spacing w:before="0" w:after="200" w:lineRule="auto" w:line="276"/>
      </w:pPr>
      <w:r>
        <w:rPr>
          <w:b/>
        </w:rPr>
        <w:t xml:space="preserve">Abstract: </w:t>
      </w:r>
      <w:r>
        <w:t>Excess ammonia (NH3) emissions from human activities pose severe threats to global ecosystems and human health. Although urgent control of NH3 emissions is needed, a comprehensive quantification of mitigation strategies and their cost-effectiveness is lacking on a global scale. Here we employ a multi-model framework to evaluate 32 mitigation measures across 7 sectors in 185 countries. Our analysis reveals that strategic implementation of technological and non-technological (policy and behavioural) measures could reduce global NH3 emissions by up to 60% at an average cost of US$7.4 per kilogram of NH3. The estimated implementation cost of US$274 ± 116 billion is far outweighed by the resulting environmental, health and resource benefits, which we indicatively estimate at US$722 ± 302 billion. Priority action in China and India could yield the largest net gains, whereas Sub-Saharan Africa faces limited cost-effectiveness owing to structural and economic barriers. Future scenarios indicate that ambitious implementation pathways could halve NH3 emissions by 2050, whereas weak climate action and inadequate nitrogen regulations would drive continued emission growth, leading to substantial environmental deterioration. These findings highlight both the feasibility and urgency of integrating NH3 control into multi-objective policies for food security, air quality and sustainable development.</w:t>
      </w:r>
    </w:p>
    <w:p>
      <w:pPr>
        <w:spacing w:before="120" w:after="120"/>
      </w:pPr>
      <w:r>
        <w:rPr>
          <w:sz w:val="18"/>
        </w:rPr>
        <w:t>——————————————————————————————————————————————————————————————————————</w:t>
      </w:r>
    </w:p>
    <w:p>
      <w:pPr>
        <w:spacing w:before="160" w:after="80" w:line="240" w:lineRule="auto"/>
      </w:pPr>
      <w:r>
        <w:rPr>
          <w:b/>
        </w:rPr>
        <w:t xml:space="preserve">[328] </w:t>
      </w:r>
      <w:hyperlink r:id="rId548">
        <w:r>
          <w:rPr>
            <w:color w:val="1155CC"/>
            <w:u w:val="single"/>
          </w:rPr>
          <w:t>Co-combustion of ammonia in coal-fired power plants in ASEAN</w:t>
        </w:r>
      </w:hyperlink>
    </w:p>
    <w:p>
      <w:pPr>
        <w:spacing w:before="0" w:after="120" w:line="240" w:lineRule="auto"/>
      </w:pPr>
      <w:r>
        <w:rPr>
          <w:b/>
        </w:rPr>
        <w:t xml:space="preserve">Source: </w:t>
      </w:r>
      <w:r>
        <w:t>ScienceDirect Publication: Energy Policy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[329] </w:t>
      </w:r>
      <w:hyperlink r:id="rId549">
        <w:r>
          <w:rPr>
            <w:color w:val="1155CC"/>
            <w:u w:val="single"/>
          </w:rPr>
          <w:t>Recent research progress of 4D-STEM from methodology to application in materials science</w:t>
        </w:r>
      </w:hyperlink>
    </w:p>
    <w:p>
      <w:pPr>
        <w:spacing w:before="0" w:after="120" w:line="240" w:lineRule="auto"/>
      </w:pPr>
      <w:r>
        <w:rPr>
          <w:b/>
        </w:rPr>
        <w:t xml:space="preserve">Source: </w:t>
      </w:r>
      <w:r>
        <w:t>ScienceDirect Publication: Materials Today</w:t>
      </w:r>
      <w:r>
        <w:t xml:space="preserve">    </w:t>
      </w:r>
      <w:r>
        <w:rPr>
          <w:b/>
        </w:rPr>
        <w:t xml:space="preserve">Pub date: </w:t>
      </w:r>
      <w:r>
        <w:t>2026-01-02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[330] </w:t>
      </w:r>
      <w:hyperlink r:id="rId550">
        <w:r>
          <w:rPr>
            <w:color w:val="1155CC"/>
            <w:u w:val="single"/>
          </w:rPr>
          <w:t>Designing physically separated bimetallic catalysts through cooperative redox enhancement (CORE)</w:t>
        </w:r>
      </w:hyperlink>
    </w:p>
    <w:p>
      <w:pPr>
        <w:spacing w:before="0" w:after="120" w:line="240" w:lineRule="auto"/>
      </w:pPr>
      <w:r>
        <w:rPr>
          <w:b/>
        </w:rPr>
        <w:t xml:space="preserve">Source: </w:t>
      </w:r>
      <w:r>
        <w:t>RSC - Chem. Soc. Rev. latest articles</w:t>
      </w:r>
      <w:r>
        <w:t xml:space="preserve">    </w:t>
      </w:r>
      <w:r>
        <w:rPr>
          <w:b/>
        </w:rPr>
        <w:t xml:space="preserve">Pub date: </w:t>
      </w:r>
      <w:r>
        <w:t>2026-01-02 00:00:00+00:00</w:t>
      </w:r>
    </w:p>
    <w:p>
      <w:pPr>
        <w:spacing w:before="0" w:after="120"/>
      </w:pPr>
      <w:r>
        <w:rPr>
          <w:b/>
        </w:rPr>
        <w:t xml:space="preserve">Notes: </w:t>
      </w:r>
      <w:r>
        <w:t>abstract_source=rsc_html</w:t>
      </w:r>
    </w:p>
    <w:p>
      <w:pPr>
        <w:spacing w:before="0" w:after="200" w:lineRule="auto" w:line="276"/>
      </w:pPr>
      <w:r>
        <w:rPr>
          <w:b/>
        </w:rPr>
        <w:t xml:space="preserve">Abstract: </w:t>
      </w:r>
      <w:r>
        <w:t>Liquid-phase heterogeneous catalysis underpins numerous chemical manufacturing processes, ranging from essential products to renewable energy sources, such as hydrogen. Despite the differences in reactor setups and the driving forces between thermos- and electro-catalysis, it is commonly overlooked that the two disciplines are fundamentally governed by the same underlying fundamentals. In this tutorial review, we explore the similarities between electro- and thermocatalysis and introduce how electrochemical methodologies can be applied to characterize thermocatalysis to gain both fundamental and experimental insights. Here, we discuss the recent discovery of Cooperative Redox Enhancement (CORE), a phenomenon whereby selectivity differences for two electrochemical half reactions on two physically separated but electrochemically connected dissimilar metal catalyst particles lead to acceleration of the overall catalytic rate. This approach suggests a new paradigm for the design of heterogeneous catalysis.</w:t>
      </w:r>
    </w:p>
    <w:p>
      <w:pPr>
        <w:spacing w:before="120" w:after="120"/>
      </w:pPr>
      <w:r>
        <w:rPr>
          <w:sz w:val="18"/>
        </w:rPr>
        <w:t>——————————————————————————————————————————————————————————————————————</w:t>
      </w:r>
    </w:p>
    <w:p>
      <w:pPr>
        <w:spacing w:before="160" w:after="80" w:line="240" w:lineRule="auto"/>
      </w:pPr>
      <w:r>
        <w:rPr>
          <w:b/>
        </w:rPr>
        <w:t xml:space="preserve">[331] </w:t>
      </w:r>
      <w:hyperlink r:id="rId551">
        <w:r>
          <w:rPr>
            <w:color w:val="1155CC"/>
            <w:u w:val="single"/>
          </w:rPr>
          <w:t>Construction of Zeolite‐Type Metal Sulfide “Ion Sieve” Into Electrospun Membranes for Ultrafast and Selective 137Cs+ Sequestration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2026-01-02 05:55:27+00:00</w:t>
      </w:r>
      <w:r>
        <w:t xml:space="preserve">    </w:t>
      </w:r>
      <w:r>
        <w:rPr>
          <w:b/>
        </w:rPr>
        <w:t xml:space="preserve">DOI: </w:t>
      </w:r>
      <w:hyperlink r:id="rId552">
        <w:r>
          <w:rPr>
            <w:color w:val="1155CC"/>
            <w:u w:val="single"/>
          </w:rPr>
          <w:t>10.1002/adma.202521458</w:t>
        </w:r>
      </w:hyperlink>
    </w:p>
    <w:p>
      <w:pPr>
        <w:spacing w:before="0" w:after="120"/>
      </w:pPr>
      <w:r>
        <w:rPr>
          <w:b/>
        </w:rPr>
        <w:t xml:space="preserve">Notes: </w:t>
      </w:r>
      <w:r>
        <w:t>abstract_source=crossref</w:t>
      </w:r>
    </w:p>
    <w:p>
      <w:pPr>
        <w:spacing w:before="0" w:after="200" w:lineRule="auto" w:line="276"/>
      </w:pPr>
      <w:r>
        <w:rPr>
          <w:b/>
        </w:rPr>
        <w:t xml:space="preserve">Abstract: </w:t>
      </w:r>
      <w:r>
        <w:t>Selective</w:t>
      </w:r>
      <w:r>
        <w:rPr>
          <w:vertAlign w:val="subscript"/>
        </w:rPr>
        <w:t>137</w:t>
      </w:r>
      <w:r>
        <w:t>Cs</w:t>
      </w:r>
      <w:r>
        <w:t xml:space="preserve"> </w:t>
      </w:r>
      <w:r>
        <w:t>+</w:t>
      </w:r>
      <w:r>
        <w:t xml:space="preserve"> </w:t>
      </w:r>
      <w:r>
        <w:t>sequestration is challenging due to its high solubility, environmental mobility, and the influence of excessive competitive ions. Herein, we demonstrate an effective strategy for Cs</w:t>
      </w:r>
      <w:r>
        <w:t xml:space="preserve"> </w:t>
      </w:r>
      <w:r>
        <w:t>+</w:t>
      </w:r>
      <w:r>
        <w:t xml:space="preserve"> </w:t>
      </w:r>
      <w:r>
        <w:t>separation by constructing zeolite‐type metal sulfide as “cesium ion sieve” (CIS), obtaining GaGeS‐1 with “ion‐sieving effect”. Its structure features a zeolite‐type metal sulfide framework with sodalite (SOD) topology based on supertetrahedral T2 clusters. GaGeS‐1 with radiation resistance possesses a maximum Cs</w:t>
      </w:r>
      <w:r>
        <w:t xml:space="preserve"> </w:t>
      </w:r>
      <w:r>
        <w:t>+</w:t>
      </w:r>
      <w:r>
        <w:t xml:space="preserve"> </w:t>
      </w:r>
      <w:r>
        <w:t>adsorption capacity of 332.52 mg/g and ultrafast adsorption kinetics with removal rate (</w:t>
      </w:r>
      <w:r>
        <w:t xml:space="preserve"> </w:t>
      </w:r>
      <w:r>
        <w:t>R</w:t>
      </w:r>
      <w:r>
        <w:t xml:space="preserve"> </w:t>
      </w:r>
      <w:r>
        <w:t>Cs</w:t>
      </w:r>
      <w:r>
        <w:t xml:space="preserve"> </w:t>
      </w:r>
      <w:r>
        <w:t>) of 97.06% within 1.5 min. It achieves highly selective Cs</w:t>
      </w:r>
      <w:r>
        <w:t xml:space="preserve"> </w:t>
      </w:r>
      <w:r>
        <w:t>+</w:t>
      </w:r>
      <w:r>
        <w:t xml:space="preserve"> </w:t>
      </w:r>
      <w:r>
        <w:t>capture under excessive competing ions, even for actual industrial</w:t>
      </w:r>
      <w:r>
        <w:rPr>
          <w:vertAlign w:val="subscript"/>
        </w:rPr>
        <w:t>137</w:t>
      </w:r>
      <w:r>
        <w:t>Cs⁺‐liquid‐waste (</w:t>
      </w:r>
      <w:r>
        <w:t xml:space="preserve"> </w:t>
      </w:r>
      <w:r>
        <w:t>R</w:t>
      </w:r>
      <w:r>
        <w:t xml:space="preserve"> </w:t>
      </w:r>
      <w:r>
        <w:t>Cs</w:t>
      </w:r>
      <w:r>
        <w:t xml:space="preserve"> </w:t>
      </w:r>
      <w:r>
        <w:t>&amp;gt; 90%). Single crystal structure analysis and density functional theory calculation reveal that “ion‐sieving” originates from strong Cs</w:t>
      </w:r>
      <w:r>
        <w:t xml:space="preserve"> </w:t>
      </w:r>
      <w:r>
        <w:t>+</w:t>
      </w:r>
      <w:r>
        <w:t xml:space="preserve"> </w:t>
      </w:r>
      <w:r>
        <w:t>···S</w:t>
      </w:r>
      <w:r>
        <w:t xml:space="preserve"> </w:t>
      </w:r>
      <w:r>
        <w:t>2−</w:t>
      </w:r>
      <w:r>
        <w:t>interaction, flexible‐robust framework, and optimal Cs</w:t>
      </w:r>
      <w:r>
        <w:t xml:space="preserve"> </w:t>
      </w:r>
      <w:r>
        <w:t>+</w:t>
      </w:r>
      <w:r>
        <w:t xml:space="preserve"> </w:t>
      </w:r>
      <w:r>
        <w:t>coordination in SOD cage. Furthermore, GaGeS‐1 is integrated with gelatin to fabricate GaGeS‐1/Gel nanofibrous electrospun membranes for a multi‐stage filtration system, enabling efficient, continuous, and recyclable treatment of mixed Na/Cs wastewater (3.58 L/m</w:t>
      </w:r>
      <w:r>
        <w:rPr>
          <w:vertAlign w:val="subscript"/>
        </w:rPr>
        <w:t>2</w:t>
      </w:r>
      <w:r>
        <w:t>,</w:t>
      </w:r>
      <w:r>
        <w:t xml:space="preserve"> </w:t>
      </w:r>
      <w:r>
        <w:t>R</w:t>
      </w:r>
      <w:r>
        <w:t xml:space="preserve"> </w:t>
      </w:r>
      <w:r>
        <w:t>Cs</w:t>
      </w:r>
      <w:r>
        <w:t xml:space="preserve"> </w:t>
      </w:r>
      <w:r>
        <w:t>= 99.39%) and Cs</w:t>
      </w:r>
      <w:r>
        <w:t xml:space="preserve"> </w:t>
      </w:r>
      <w:r>
        <w:t>+</w:t>
      </w:r>
      <w:r>
        <w:t xml:space="preserve"> </w:t>
      </w:r>
      <w:r>
        <w:t>‐contaminated river water (2.63 L/m</w:t>
      </w:r>
      <w:r>
        <w:rPr>
          <w:vertAlign w:val="subscript"/>
        </w:rPr>
        <w:t>2</w:t>
      </w:r>
      <w:r>
        <w:t>,</w:t>
      </w:r>
      <w:r>
        <w:t xml:space="preserve"> </w:t>
      </w:r>
      <w:r>
        <w:t>R</w:t>
      </w:r>
      <w:r>
        <w:t xml:space="preserve"> </w:t>
      </w:r>
      <w:r>
        <w:t>Cs</w:t>
      </w:r>
      <w:r>
        <w:t xml:space="preserve"> </w:t>
      </w:r>
      <w:r>
        <w:t>= 99.23%). This study pioneers an efficient “CIS” by developing zeolite‐type metal sulfide, and provides a universal assembly method toward practical application, opening new insight into radiocesium remediation and advanced nuclear waste management.</w:t>
      </w:r>
    </w:p>
    <w:p>
      <w:pPr>
        <w:spacing w:before="120" w:after="120"/>
      </w:pPr>
      <w:r>
        <w:rPr>
          <w:sz w:val="18"/>
        </w:rPr>
        <w:t>——————————————————————————————————————————————————————————————————————</w:t>
      </w:r>
    </w:p>
    <w:p>
      <w:pPr>
        <w:spacing w:before="160" w:after="80" w:line="240" w:lineRule="auto"/>
      </w:pPr>
      <w:r>
        <w:rPr>
          <w:b/>
        </w:rPr>
        <w:t xml:space="preserve">[332] </w:t>
      </w:r>
      <w:hyperlink r:id="rId553">
        <w:r>
          <w:rPr>
            <w:color w:val="1155CC"/>
            <w:u w:val="single"/>
          </w:rPr>
          <w:t>A Robust Molecular‐Bridged Hybrid Interphase for Dendrite‐Free and Durable Lithium Metal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2026-01-02 05:56:19+00:00</w:t>
      </w:r>
      <w:r>
        <w:t xml:space="preserve">    </w:t>
      </w:r>
      <w:r>
        <w:rPr>
          <w:b/>
        </w:rPr>
        <w:t xml:space="preserve">DOI: </w:t>
      </w:r>
      <w:hyperlink r:id="rId554">
        <w:r>
          <w:rPr>
            <w:color w:val="1155CC"/>
            <w:u w:val="single"/>
          </w:rPr>
          <w:t>10.1002/aenm.202505223</w:t>
        </w:r>
      </w:hyperlink>
    </w:p>
    <w:p>
      <w:pPr>
        <w:spacing w:before="0" w:after="120"/>
      </w:pPr>
      <w:r>
        <w:rPr>
          <w:b/>
        </w:rPr>
        <w:t xml:space="preserve">Notes: </w:t>
      </w:r>
      <w:r>
        <w:t>abstract_source=crossref</w:t>
      </w:r>
    </w:p>
    <w:p>
      <w:pPr>
        <w:spacing w:before="0" w:after="200" w:lineRule="auto" w:line="276"/>
      </w:pPr>
      <w:r>
        <w:rPr>
          <w:b/>
        </w:rPr>
        <w:t xml:space="preserve">Abstract: </w:t>
      </w:r>
      <w:r>
        <w:t>The practical implementation of lithium metal batteries (LMBs) requires overcoming the challenges posed by unstable interphase between Li metal and electrolyte, particularly under high areal capacities. Continuous chemical corrosion and non‐uniform plating/stripping degrade the solid electrolyte interphase (SEI), causing rapid capacity loss and safety risks. Herein, we propose a molecular bridged (MB) hybrid interphase integrated with dual silane coupling agents, enabling highly reversible Li anodes at high areal capacities in carbonate‐based electrolyte. The MB layer tightly anchors Li metal by chemical bonding, prevents delamination during high‐capacity Li deposition/dissolution, and decouples parasitic reaction from Li deposition by an anti‐corrosive coupling network. Consequently, the MB‐stabilized Li anode achieves an impressive cycling for 600 h at 1 mA cm</w:t>
      </w:r>
      <w:r>
        <w:t xml:space="preserve"> </w:t>
      </w:r>
      <w:r>
        <w:t>−2</w:t>
      </w:r>
      <w:r>
        <w:t xml:space="preserve"> </w:t>
      </w:r>
      <w:r>
        <w:t>, and 8 mAh cm</w:t>
      </w:r>
      <w:r>
        <w:t xml:space="preserve"> </w:t>
      </w:r>
      <w:r>
        <w:t>−2</w:t>
      </w:r>
      <w:r>
        <w:t xml:space="preserve"> </w:t>
      </w:r>
      <w:r>
        <w:t>, and sustains 474 cycles at 1 C with 80% capacity retention in Li||LiFePO</w:t>
      </w:r>
      <w:r>
        <w:rPr>
          <w:vertAlign w:val="subscript"/>
        </w:rPr>
        <w:t>4</w:t>
      </w:r>
      <w:r>
        <w:t>full cell. Furthermore, an Ah‐level pouch cell with high cathode loading (NCM811, ≈ 45.9 mg cm</w:t>
      </w:r>
      <w:r>
        <w:t xml:space="preserve"> </w:t>
      </w:r>
      <w:r>
        <w:t>−2</w:t>
      </w:r>
      <w:r>
        <w:t xml:space="preserve"> </w:t>
      </w:r>
      <w:r>
        <w:t>) maintains stable cycling at low N/P ratios (≈1.87). This strategy for constructing a molecular‐bridged interphase offers a new perspective for maintaining the artificial SEI integrity under harsh conditions, demonstrating the feasibility of durable, high‐performance LMBs with reduced Li loss.</w:t>
      </w:r>
    </w:p>
    <w:p>
      <w:pPr>
        <w:spacing w:before="120" w:after="120"/>
      </w:pPr>
      <w:r>
        <w:rPr>
          <w:sz w:val="18"/>
        </w:rPr>
        <w:t>——————————————————————————————————————————————————————————————————————</w:t>
      </w:r>
    </w:p>
    <w:p>
      <w:pPr>
        <w:spacing w:before="160" w:after="80" w:line="240" w:lineRule="auto"/>
      </w:pPr>
      <w:r>
        <w:rPr>
          <w:b/>
        </w:rPr>
        <w:t xml:space="preserve">[333] </w:t>
      </w:r>
      <w:hyperlink r:id="rId555">
        <w:r>
          <w:rPr>
            <w:color w:val="1155CC"/>
            <w:u w:val="single"/>
          </w:rPr>
          <w:t>Uncoupling Solvent Cointercalation on Graphite Anode in Lithium‐ion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2026-01-02 05:56:57+00:00</w:t>
      </w:r>
      <w:r>
        <w:t xml:space="preserve">    </w:t>
      </w:r>
      <w:r>
        <w:rPr>
          <w:b/>
        </w:rPr>
        <w:t xml:space="preserve">DOI: </w:t>
      </w:r>
      <w:hyperlink r:id="rId556">
        <w:r>
          <w:rPr>
            <w:color w:val="1155CC"/>
            <w:u w:val="single"/>
          </w:rPr>
          <w:t>10.1002/aenm.202505287</w:t>
        </w:r>
      </w:hyperlink>
    </w:p>
    <w:p>
      <w:pPr>
        <w:spacing w:before="0" w:after="120"/>
      </w:pPr>
      <w:r>
        <w:rPr>
          <w:b/>
        </w:rPr>
        <w:t xml:space="preserve">Notes: </w:t>
      </w:r>
      <w:r>
        <w:t>abstract_source=crossref</w:t>
      </w:r>
    </w:p>
    <w:p>
      <w:pPr>
        <w:spacing w:before="0" w:after="200" w:lineRule="auto" w:line="276"/>
      </w:pPr>
      <w:r>
        <w:rPr>
          <w:b/>
        </w:rPr>
        <w:t xml:space="preserve">Abstract: </w:t>
      </w:r>
      <w:r>
        <w:t>Graphite anodes have severe compatibility issues with most non‐aqueous electrolytes, which is known as a critical bottleneck hindering the advancement of lithium‐ion batteries (LIBs). The reduction of non‐aqueous solvents on graphite anodes involves complex processes, mainly including solvent co‐intercalation and decomposition. While much research focuses on solvent decomposition and the related solid electrolyte interphase (SEI) formation, investigations into solvent co‐intercalation are limited to solvents with high reductive stability (i.e., ethers). Herein, we demonstrate that reversible solvent co‐intercalation is an universal side reaction threatening the stability of the graphite anode. Besides ether‐based solvents, the reversible co‐intercalation into graphite can be achieved by three commonly used functional solvents, Trimethyl phosphate (TMP), Triethyl phosphate (TEP), and Tetramethylene sulfone (TMS). By systematically analyzing these reversible solvent co‐intercalation reactions, the solvating power of the solvent and Li</w:t>
      </w:r>
      <w:r>
        <w:t xml:space="preserve"> </w:t>
      </w:r>
      <w:r>
        <w:t>+</w:t>
      </w:r>
      <w:r>
        <w:t xml:space="preserve"> </w:t>
      </w:r>
      <w:r>
        <w:t>solvation structure were found to be the two critical factors determining the onset voltage of solvent cointercalation. The approaches to effectively protecting graphite from solvent cointercalation were also discussed. This work provides new insights into the understanding of electrolyte||graphite anode interface and shed lights into the development of high‐performance electrolytes for LIBs.</w:t>
      </w:r>
    </w:p>
    <w:p>
      <w:pPr>
        <w:spacing w:before="120" w:after="120"/>
      </w:pPr>
      <w:r>
        <w:rPr>
          <w:sz w:val="18"/>
        </w:rPr>
        <w:t>——————————————————————————————————————————————————————————————————————</w:t>
      </w:r>
    </w:p>
    <w:p>
      <w:pPr>
        <w:spacing w:before="160" w:after="80" w:line="240" w:lineRule="auto"/>
      </w:pPr>
      <w:r>
        <w:rPr>
          <w:b/>
        </w:rPr>
        <w:t xml:space="preserve">[334] </w:t>
      </w:r>
      <w:hyperlink r:id="rId557">
        <w:r>
          <w:rPr>
            <w:color w:val="1155CC"/>
            <w:u w:val="single"/>
          </w:rPr>
          <w:t>A Consistent Approach to One Coordinate Pnictide Moieties M≡Pn− Using PnH2− Salts (M = Zr, Ti; Pn = P, As, Sb).</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05:59:52+00:00</w:t>
      </w:r>
      <w:r>
        <w:t xml:space="preserve">    </w:t>
      </w:r>
      <w:r>
        <w:rPr>
          <w:b/>
        </w:rPr>
        <w:t xml:space="preserve">DOI: </w:t>
      </w:r>
      <w:hyperlink r:id="rId558">
        <w:r>
          <w:rPr>
            <w:color w:val="1155CC"/>
            <w:u w:val="single"/>
          </w:rPr>
          <w:t>10.1002/anie.202523745</w:t>
        </w:r>
      </w:hyperlink>
    </w:p>
    <w:p>
      <w:pPr>
        <w:spacing w:before="0" w:after="120"/>
      </w:pPr>
      <w:r>
        <w:rPr>
          <w:b/>
        </w:rPr>
        <w:t xml:space="preserve">Notes: </w:t>
      </w:r>
      <w:r>
        <w:t>abstract_source=crossref</w:t>
      </w:r>
    </w:p>
    <w:p>
      <w:pPr>
        <w:spacing w:before="0" w:after="200" w:lineRule="auto" w:line="276"/>
      </w:pPr>
      <w:r>
        <w:rPr>
          <w:b/>
        </w:rPr>
        <w:t xml:space="preserve">Abstract: </w:t>
      </w:r>
      <w:r>
        <w:t>Establishing a congruent approach to delivering a pnictide atom (Pn</w:t>
      </w:r>
      <w:r>
        <w:t xml:space="preserve"> </w:t>
      </w:r>
      <w:r>
        <w:t>3−</w:t>
      </w:r>
      <w:r>
        <w:t>= P, As, and Sb) to transition metal ions is a challenge, especially for the heavier congeners As and Sb, and when varying the transition metal. We showcase here a convenient route to molecular forms of one coordinate stibide ligands bound to Zr</w:t>
      </w:r>
      <w:r>
        <w:t xml:space="preserve"> </w:t>
      </w:r>
      <w:r>
        <w:t>IV</w:t>
      </w:r>
      <w:r>
        <w:t xml:space="preserve"> </w:t>
      </w:r>
      <w:r>
        <w:t>and Ti</w:t>
      </w:r>
      <w:r>
        <w:t xml:space="preserve"> </w:t>
      </w:r>
      <w:r>
        <w:t>IV</w:t>
      </w:r>
      <w:r>
        <w:t xml:space="preserve"> </w:t>
      </w:r>
      <w:r>
        <w:t>ions, represented by the discrete salts [K(L)][(PN)</w:t>
      </w:r>
      <w:r>
        <w:rPr>
          <w:vertAlign w:val="subscript"/>
        </w:rPr>
        <w:t>2</w:t>
      </w:r>
      <w:r>
        <w:t>M≡Sb] (M = Zr (</w:t>
      </w:r>
      <w:r>
        <w:rPr>
          <w:vertAlign w:val="subscript"/>
        </w:rPr>
        <w:t>2</w:t>
      </w:r>
      <w:r>
        <w:t>), Ti (</w:t>
      </w:r>
      <w:r>
        <w:rPr>
          <w:vertAlign w:val="subscript"/>
        </w:rPr>
        <w:t>10</w:t>
      </w:r>
      <w:r>
        <w:t>); PN</w:t>
      </w:r>
      <w:r>
        <w:t xml:space="preserve"> </w:t>
      </w:r>
      <w:r>
        <w:t>−</w:t>
      </w:r>
      <w:r>
        <w:t>= (N‐(2‐P</w:t>
      </w:r>
      <w:r>
        <w:t xml:space="preserve"> </w:t>
      </w:r>
      <w:r>
        <w:t>i</w:t>
      </w:r>
      <w:r>
        <w:t xml:space="preserve"> </w:t>
      </w:r>
      <w:r>
        <w:t>Pr</w:t>
      </w:r>
      <w:r>
        <w:rPr>
          <w:vertAlign w:val="subscript"/>
        </w:rPr>
        <w:t>2</w:t>
      </w:r>
      <w:r>
        <w:t>‐4‐methylphenyl)‐2,4,6‐Me</w:t>
      </w:r>
      <w:r>
        <w:rPr>
          <w:vertAlign w:val="subscript"/>
        </w:rPr>
        <w:t>3</w:t>
      </w:r>
      <w:r>
        <w:t>C</w:t>
      </w:r>
      <w:r>
        <w:rPr>
          <w:vertAlign w:val="subscript"/>
        </w:rPr>
        <w:t>6</w:t>
      </w:r>
      <w:r>
        <w:t>H</w:t>
      </w:r>
      <w:r>
        <w:rPr>
          <w:vertAlign w:val="subscript"/>
        </w:rPr>
        <w:t>2</w:t>
      </w:r>
      <w:r>
        <w:t>; L = 2,2,2‐Kryptofix or 18‐C‐6 crown‐ether/2THF), which were prepared via H</w:t>
      </w:r>
      <w:r>
        <w:rPr>
          <w:vertAlign w:val="subscript"/>
        </w:rPr>
        <w:t>2</w:t>
      </w:r>
      <w:r>
        <w:t>extrusion from [K(18‐C‐6)(THF)SbH</w:t>
      </w:r>
      <w:r>
        <w:rPr>
          <w:vertAlign w:val="subscript"/>
        </w:rPr>
        <w:t>2</w:t>
      </w:r>
      <w:r>
        <w:t>] added to the Zr</w:t>
      </w:r>
      <w:r>
        <w:t xml:space="preserve"> </w:t>
      </w:r>
      <w:r>
        <w:t>IV</w:t>
      </w:r>
      <w:r>
        <w:t xml:space="preserve"> </w:t>
      </w:r>
      <w:r>
        <w:t>cyclometallated‐hydride, [(PN)(PN’)Zr(H)] (</w:t>
      </w:r>
      <w:r>
        <w:rPr>
          <w:vertAlign w:val="subscript"/>
        </w:rPr>
        <w:t>1</w:t>
      </w:r>
      <w:r>
        <w:t>), and the Ti</w:t>
      </w:r>
      <w:r>
        <w:t xml:space="preserve"> </w:t>
      </w:r>
      <w:r>
        <w:t>II</w:t>
      </w:r>
      <w:r>
        <w:t xml:space="preserve"> </w:t>
      </w:r>
      <w:r>
        <w:t>precursor [K(18‐C‐6)][(PN)</w:t>
      </w:r>
      <w:r>
        <w:rPr>
          <w:vertAlign w:val="subscript"/>
        </w:rPr>
        <w:t>2</w:t>
      </w:r>
      <w:r>
        <w:t>TiCl] (</w:t>
      </w:r>
      <w:r>
        <w:rPr>
          <w:vertAlign w:val="subscript"/>
        </w:rPr>
        <w:t>8</w:t>
      </w:r>
      <w:r>
        <w:t>) respectively. This strategy was extended to the lighter congeners Pn = As, P using [K(18‐C‐6)(THF)AsH</w:t>
      </w:r>
      <w:r>
        <w:rPr>
          <w:vertAlign w:val="subscript"/>
        </w:rPr>
        <w:t>2</w:t>
      </w:r>
      <w:r>
        <w:t>] (M = Zr (</w:t>
      </w:r>
      <w:r>
        <w:rPr>
          <w:vertAlign w:val="subscript"/>
        </w:rPr>
        <w:t>3</w:t>
      </w:r>
      <w:r>
        <w:t>)), and NaPH</w:t>
      </w:r>
      <w:r>
        <w:rPr>
          <w:vertAlign w:val="subscript"/>
        </w:rPr>
        <w:t>2</w:t>
      </w:r>
      <w:r>
        <w:t>(M = Ti (</w:t>
      </w:r>
      <w:r>
        <w:rPr>
          <w:vertAlign w:val="subscript"/>
        </w:rPr>
        <w:t>6</w:t>
      </w:r>
      <w:r>
        <w:t>)). Structural and computational studies were applied to understand the bonding trends in the pnictide series, and the role of the metal ion.</w:t>
      </w:r>
    </w:p>
    <w:p>
      <w:pPr>
        <w:spacing w:before="120" w:after="120"/>
      </w:pPr>
      <w:r>
        <w:rPr>
          <w:sz w:val="18"/>
        </w:rPr>
        <w:t>——————————————————————————————————————————————————————————————————————</w:t>
      </w:r>
    </w:p>
    <w:p>
      <w:pPr>
        <w:spacing w:before="160" w:after="80" w:line="240" w:lineRule="auto"/>
      </w:pPr>
      <w:r>
        <w:rPr>
          <w:b/>
        </w:rPr>
        <w:t xml:space="preserve">[335] </w:t>
      </w:r>
      <w:hyperlink r:id="rId559">
        <w:r>
          <w:rPr>
            <w:color w:val="1155CC"/>
            <w:u w:val="single"/>
          </w:rPr>
          <w:t>Dynamic Confinement Approach for High Metal Loading Single‐Atom Catalysts Based on Covalent 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06:02:20+00:00</w:t>
      </w:r>
      <w:r>
        <w:t xml:space="preserve">    </w:t>
      </w:r>
      <w:r>
        <w:rPr>
          <w:b/>
        </w:rPr>
        <w:t xml:space="preserve">DOI: </w:t>
      </w:r>
      <w:hyperlink r:id="rId560">
        <w:r>
          <w:rPr>
            <w:color w:val="1155CC"/>
            <w:u w:val="single"/>
          </w:rPr>
          <w:t>10.1002/anie.202522238</w:t>
        </w:r>
      </w:hyperlink>
    </w:p>
    <w:p>
      <w:pPr>
        <w:spacing w:before="0" w:after="120"/>
      </w:pPr>
      <w:r>
        <w:rPr>
          <w:b/>
        </w:rPr>
        <w:t xml:space="preserve">Notes: </w:t>
      </w:r>
      <w:r>
        <w:t>abstract_source=crossref</w:t>
      </w:r>
    </w:p>
    <w:p>
      <w:pPr>
        <w:spacing w:before="0" w:after="200" w:lineRule="auto" w:line="276"/>
      </w:pPr>
      <w:r>
        <w:rPr>
          <w:b/>
        </w:rPr>
        <w:t xml:space="preserve">Abstract: </w:t>
      </w:r>
      <w:r>
        <w:t>Single‐atom catalysts (SACs) offer stable, well‐defined active sites by anchoring individual metal atoms on stable organic or inorganic supports, though achieving high metal loadings without clustering or leaching remains a major challenge. Here, we report a synthetic strategy for developing ultra‐high metal loading SACs based on palladium polyphthalocyanine covalent organic frameworks (COFs) synthesized via a mixed metal ionothermal approach, which involves the cyclization of tetracyanobenzene and tetracyanopyrazine as precursors in molten salt mixtures of PdCl</w:t>
      </w:r>
      <w:r>
        <w:rPr>
          <w:vertAlign w:val="subscript"/>
        </w:rPr>
        <w:t>2</w:t>
      </w:r>
      <w:r>
        <w:t>/ZnCl</w:t>
      </w:r>
      <w:r>
        <w:rPr>
          <w:vertAlign w:val="subscript"/>
        </w:rPr>
        <w:t>2</w:t>
      </w:r>
      <w:r>
        <w:t>or PdCl</w:t>
      </w:r>
      <w:r>
        <w:rPr>
          <w:vertAlign w:val="subscript"/>
        </w:rPr>
        <w:t>2</w:t>
      </w:r>
      <w:r>
        <w:t>/ZnCl</w:t>
      </w:r>
      <w:r>
        <w:rPr>
          <w:vertAlign w:val="subscript"/>
        </w:rPr>
        <w:t>2</w:t>
      </w:r>
      <w:r>
        <w:t>/NaCl. This approach effectively combines the formation of crystalline polymeric hosts with metal impregnation in a single step, yielding COFs with atomically distributed Pd ions and metal contents of up to 22.2 wt%. Theoretical simulations reveal that the crystalline framework dynamically confines Pd atoms between different binding sites within the pores, preventing dimerization and ensuring long‐term catalyst stability. The synthesized catalysts were evaluated under continuous flow conditions, exhibiting stable performance with yields as high as 90% and maintaining stability over a 24 h time‐on‐stream under low‐conversion conditions. These results establish a new benchmark for SACs and underscore the importance of dynamic confinement approach in achieving high metal loadings on crystalline organic supports.</w:t>
      </w:r>
    </w:p>
    <w:p>
      <w:pPr>
        <w:spacing w:before="120" w:after="120"/>
      </w:pPr>
      <w:r>
        <w:rPr>
          <w:sz w:val="18"/>
        </w:rPr>
        <w:t>——————————————————————————————————————————————————————————————————————</w:t>
      </w:r>
    </w:p>
    <w:p>
      <w:pPr>
        <w:spacing w:before="160" w:after="80" w:line="240" w:lineRule="auto"/>
      </w:pPr>
      <w:r>
        <w:rPr>
          <w:b/>
        </w:rPr>
        <w:t xml:space="preserve">[336] </w:t>
      </w:r>
      <w:hyperlink r:id="rId561">
        <w:r>
          <w:rPr>
            <w:color w:val="1155CC"/>
            <w:u w:val="single"/>
          </w:rPr>
          <w:t>The Coordination Microenvironment Tailoring in 2D MOFs for Enhancing Photocatalytic Acetylene Semi‐Hydrogenation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06:02:22+00:00</w:t>
      </w:r>
      <w:r>
        <w:t xml:space="preserve">    </w:t>
      </w:r>
      <w:r>
        <w:rPr>
          <w:b/>
        </w:rPr>
        <w:t xml:space="preserve">DOI: </w:t>
      </w:r>
      <w:hyperlink r:id="rId562">
        <w:r>
          <w:rPr>
            <w:color w:val="1155CC"/>
            <w:u w:val="single"/>
          </w:rPr>
          <w:t>10.1002/anie.202522056</w:t>
        </w:r>
      </w:hyperlink>
    </w:p>
    <w:p>
      <w:pPr>
        <w:spacing w:before="0" w:after="120"/>
      </w:pPr>
      <w:r>
        <w:rPr>
          <w:b/>
        </w:rPr>
        <w:t xml:space="preserve">Notes: </w:t>
      </w:r>
      <w:r>
        <w:t>abstract_source=crossref</w:t>
      </w:r>
    </w:p>
    <w:p>
      <w:pPr>
        <w:spacing w:before="0" w:after="200" w:lineRule="auto" w:line="276"/>
      </w:pPr>
      <w:r>
        <w:rPr>
          <w:b/>
        </w:rPr>
        <w:t xml:space="preserve">Abstract: </w:t>
      </w:r>
      <w:r>
        <w:t>The semi‐hydrogenation of acetylene (C</w:t>
      </w:r>
      <w:r>
        <w:rPr>
          <w:vertAlign w:val="subscript"/>
        </w:rPr>
        <w:t>2</w:t>
      </w:r>
      <w:r>
        <w:t>H</w:t>
      </w:r>
      <w:r>
        <w:rPr>
          <w:vertAlign w:val="subscript"/>
        </w:rPr>
        <w:t>2</w:t>
      </w:r>
      <w:r>
        <w:t>) to ethylene (C</w:t>
      </w:r>
      <w:r>
        <w:rPr>
          <w:vertAlign w:val="subscript"/>
        </w:rPr>
        <w:t>2</w:t>
      </w:r>
      <w:r>
        <w:t>H</w:t>
      </w:r>
      <w:r>
        <w:rPr>
          <w:vertAlign w:val="subscript"/>
        </w:rPr>
        <w:t>4</w:t>
      </w:r>
      <w:r>
        <w:t>) by photocatalytic is a new and clean strategy for removal of C</w:t>
      </w:r>
      <w:r>
        <w:rPr>
          <w:vertAlign w:val="subscript"/>
        </w:rPr>
        <w:t>2</w:t>
      </w:r>
      <w:r>
        <w:t>H</w:t>
      </w:r>
      <w:r>
        <w:rPr>
          <w:vertAlign w:val="subscript"/>
        </w:rPr>
        <w:t>2</w:t>
      </w:r>
      <w:r>
        <w:t>impurities from raw C</w:t>
      </w:r>
      <w:r>
        <w:rPr>
          <w:vertAlign w:val="subscript"/>
        </w:rPr>
        <w:t>2</w:t>
      </w:r>
      <w:r>
        <w:t>H</w:t>
      </w:r>
      <w:r>
        <w:rPr>
          <w:vertAlign w:val="subscript"/>
        </w:rPr>
        <w:t>4</w:t>
      </w:r>
      <w:r>
        <w:t>to produce polymer‐grade C</w:t>
      </w:r>
      <w:r>
        <w:rPr>
          <w:vertAlign w:val="subscript"/>
        </w:rPr>
        <w:t>2</w:t>
      </w:r>
      <w:r>
        <w:t>H</w:t>
      </w:r>
      <w:r>
        <w:rPr>
          <w:vertAlign w:val="subscript"/>
        </w:rPr>
        <w:t>4</w:t>
      </w:r>
      <w:r>
        <w:t>. In the state‐of‐the‐art, most of the studies on photocatalytic acetylene hydrogenation (PAH) were achieved by cobalt‐based photocatalysts, while the studies on the influence of microenvironment of cobalt catalytic active sites remain limited. Herein, via coordination ligand modulation method, we chose three 2D metal organic framework (2D MOFs) with different coordinated atoms (N, O, and S) around cobalt center and afforded CoN</w:t>
      </w:r>
      <w:r>
        <w:rPr>
          <w:vertAlign w:val="subscript"/>
        </w:rPr>
        <w:t>4</w:t>
      </w:r>
      <w:r>
        <w:t>MOF, CoO</w:t>
      </w:r>
      <w:r>
        <w:rPr>
          <w:vertAlign w:val="subscript"/>
        </w:rPr>
        <w:t>4</w:t>
      </w:r>
      <w:r>
        <w:t>MOF, and CoS</w:t>
      </w:r>
      <w:r>
        <w:rPr>
          <w:vertAlign w:val="subscript"/>
        </w:rPr>
        <w:t>4</w:t>
      </w:r>
      <w:r>
        <w:t>MOF, respectively, for studying the influence of coordination environment of cobalt active sites on photocatalytic C</w:t>
      </w:r>
      <w:r>
        <w:rPr>
          <w:vertAlign w:val="subscript"/>
        </w:rPr>
        <w:t>2</w:t>
      </w:r>
      <w:r>
        <w:t>H</w:t>
      </w:r>
      <w:r>
        <w:rPr>
          <w:vertAlign w:val="subscript"/>
        </w:rPr>
        <w:t>2</w:t>
      </w:r>
      <w:r>
        <w:t>reduction. As a result, CoO</w:t>
      </w:r>
      <w:r>
        <w:rPr>
          <w:vertAlign w:val="subscript"/>
        </w:rPr>
        <w:t>4</w:t>
      </w:r>
      <w:r>
        <w:t>MOF with O‐coordinated cobalt sites exhibited the highest activity with C</w:t>
      </w:r>
      <w:r>
        <w:rPr>
          <w:vertAlign w:val="subscript"/>
        </w:rPr>
        <w:t>2</w:t>
      </w:r>
      <w:r>
        <w:t>H</w:t>
      </w:r>
      <w:r>
        <w:rPr>
          <w:vertAlign w:val="subscript"/>
        </w:rPr>
        <w:t>2</w:t>
      </w:r>
      <w:r>
        <w:t>‐to‐C</w:t>
      </w:r>
      <w:r>
        <w:rPr>
          <w:vertAlign w:val="subscript"/>
        </w:rPr>
        <w:t>2</w:t>
      </w:r>
      <w:r>
        <w:t>H</w:t>
      </w:r>
      <w:r>
        <w:rPr>
          <w:vertAlign w:val="subscript"/>
        </w:rPr>
        <w:t>4</w:t>
      </w:r>
      <w:r>
        <w:t>yield of 852.68 µmol g</w:t>
      </w:r>
      <w:r>
        <w:t xml:space="preserve"> </w:t>
      </w:r>
      <w:r>
        <w:t>−1</w:t>
      </w:r>
      <w:r>
        <w:t xml:space="preserve"> </w:t>
      </w:r>
      <w:r>
        <w:t>h</w:t>
      </w:r>
      <w:r>
        <w:t xml:space="preserve"> </w:t>
      </w:r>
      <w:r>
        <w:t>−1</w:t>
      </w:r>
      <w:r>
        <w:t xml:space="preserve"> </w:t>
      </w:r>
      <w:r>
        <w:t>in C</w:t>
      </w:r>
      <w:r>
        <w:rPr>
          <w:vertAlign w:val="subscript"/>
        </w:rPr>
        <w:t>2</w:t>
      </w:r>
      <w:r>
        <w:t>H</w:t>
      </w:r>
      <w:r>
        <w:rPr>
          <w:vertAlign w:val="subscript"/>
        </w:rPr>
        <w:t>2</w:t>
      </w:r>
      <w:r>
        <w:t>atmosphere. Interestingly, in simulated industry‐relevant conditions gas with 1% C</w:t>
      </w:r>
      <w:r>
        <w:rPr>
          <w:vertAlign w:val="subscript"/>
        </w:rPr>
        <w:t>2</w:t>
      </w:r>
      <w:r>
        <w:t>H</w:t>
      </w:r>
      <w:r>
        <w:rPr>
          <w:vertAlign w:val="subscript"/>
        </w:rPr>
        <w:t>2</w:t>
      </w:r>
      <w:r>
        <w:t>contained C</w:t>
      </w:r>
      <w:r>
        <w:rPr>
          <w:vertAlign w:val="subscript"/>
        </w:rPr>
        <w:t>2</w:t>
      </w:r>
      <w:r>
        <w:t>H</w:t>
      </w:r>
      <w:r>
        <w:rPr>
          <w:vertAlign w:val="subscript"/>
        </w:rPr>
        <w:t>4</w:t>
      </w:r>
      <w:r>
        <w:t>mixture, CoN</w:t>
      </w:r>
      <w:r>
        <w:rPr>
          <w:vertAlign w:val="subscript"/>
        </w:rPr>
        <w:t>4</w:t>
      </w:r>
      <w:r>
        <w:t>MOF showed the optimal performance with near 100% conversion of low‐concentrated C</w:t>
      </w:r>
      <w:r>
        <w:rPr>
          <w:vertAlign w:val="subscript"/>
        </w:rPr>
        <w:t>2</w:t>
      </w:r>
      <w:r>
        <w:t>H</w:t>
      </w:r>
      <w:r>
        <w:rPr>
          <w:vertAlign w:val="subscript"/>
        </w:rPr>
        <w:t>2</w:t>
      </w:r>
      <w:r>
        <w:t>. The photophysical, C</w:t>
      </w:r>
      <w:r>
        <w:rPr>
          <w:vertAlign w:val="subscript"/>
        </w:rPr>
        <w:t>2</w:t>
      </w:r>
      <w:r>
        <w:t>H</w:t>
      </w:r>
      <w:r>
        <w:rPr>
          <w:vertAlign w:val="subscript"/>
        </w:rPr>
        <w:t>2</w:t>
      </w:r>
      <w:r>
        <w:t>adsorption characterization, in situ FTIR, and density functional theory (DFT) calculation were conducted to investigate the reaction mechanism. The results demonstrated that the O‐coordinated Co sites behaved more favorably thermodynamically for *C</w:t>
      </w:r>
      <w:r>
        <w:rPr>
          <w:vertAlign w:val="subscript"/>
        </w:rPr>
        <w:t>2</w:t>
      </w:r>
      <w:r>
        <w:t>H</w:t>
      </w:r>
      <w:r>
        <w:rPr>
          <w:vertAlign w:val="subscript"/>
        </w:rPr>
        <w:t>2</w:t>
      </w:r>
      <w:r>
        <w:t>‐to‐*CH</w:t>
      </w:r>
      <w:r>
        <w:rPr>
          <w:vertAlign w:val="subscript"/>
        </w:rPr>
        <w:t>2</w:t>
      </w:r>
      <w:r>
        <w:t>CH intermediate, which caused superior activity. In contrast, the N‐coordinated Co sites showed highly efficient PAH in C</w:t>
      </w:r>
      <w:r>
        <w:rPr>
          <w:vertAlign w:val="subscript"/>
        </w:rPr>
        <w:t>2</w:t>
      </w:r>
      <w:r>
        <w:t>H</w:t>
      </w:r>
      <w:r>
        <w:rPr>
          <w:vertAlign w:val="subscript"/>
        </w:rPr>
        <w:t>4</w:t>
      </w:r>
      <w:r>
        <w:t>rich conditions with low concentrated C</w:t>
      </w:r>
      <w:r>
        <w:rPr>
          <w:vertAlign w:val="subscript"/>
        </w:rPr>
        <w:t>2</w:t>
      </w:r>
      <w:r>
        <w:t>H</w:t>
      </w:r>
      <w:r>
        <w:rPr>
          <w:vertAlign w:val="subscript"/>
        </w:rPr>
        <w:t>2</w:t>
      </w:r>
      <w:r>
        <w:t>due to the weak C</w:t>
      </w:r>
      <w:r>
        <w:rPr>
          <w:vertAlign w:val="subscript"/>
        </w:rPr>
        <w:t>2</w:t>
      </w:r>
      <w:r>
        <w:t>H</w:t>
      </w:r>
      <w:r>
        <w:rPr>
          <w:vertAlign w:val="subscript"/>
        </w:rPr>
        <w:t>4</w:t>
      </w:r>
      <w:r>
        <w:t>competitive adsorption. This work is the first to explore the dependence of the active site coordination microenvironment for C</w:t>
      </w:r>
      <w:r>
        <w:rPr>
          <w:vertAlign w:val="subscript"/>
        </w:rPr>
        <w:t>2</w:t>
      </w:r>
      <w:r>
        <w:t>H</w:t>
      </w:r>
      <w:r>
        <w:rPr>
          <w:vertAlign w:val="subscript"/>
        </w:rPr>
        <w:t>2</w:t>
      </w:r>
      <w:r>
        <w:t>photoreduction and provides a platform for constructing highly selective photocatalysts.</w:t>
      </w:r>
    </w:p>
    <w:p>
      <w:pPr>
        <w:spacing w:before="120" w:after="120"/>
      </w:pPr>
      <w:r>
        <w:rPr>
          <w:sz w:val="18"/>
        </w:rPr>
        <w:t>——————————————————————————————————————————————————————————————————————</w:t>
      </w:r>
    </w:p>
    <w:p>
      <w:pPr>
        <w:spacing w:before="160" w:after="80" w:line="240" w:lineRule="auto"/>
      </w:pPr>
      <w:r>
        <w:rPr>
          <w:b/>
        </w:rPr>
        <w:t xml:space="preserve">[337] </w:t>
      </w:r>
      <w:hyperlink r:id="rId563">
        <w:r>
          <w:rPr>
            <w:color w:val="1155CC"/>
            <w:u w:val="single"/>
          </w:rPr>
          <w:t>Spiro‐Conjugated π–σ–π Architectures Enable Single‐Molecule Insulators via Destructive Quantum Interference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06:03:54+00:00</w:t>
      </w:r>
      <w:r>
        <w:t xml:space="preserve">    </w:t>
      </w:r>
      <w:r>
        <w:rPr>
          <w:b/>
        </w:rPr>
        <w:t xml:space="preserve">DOI: </w:t>
      </w:r>
      <w:hyperlink r:id="rId564">
        <w:r>
          <w:rPr>
            <w:color w:val="1155CC"/>
            <w:u w:val="single"/>
          </w:rPr>
          <w:t>10.1002/anie.202523778</w:t>
        </w:r>
      </w:hyperlink>
    </w:p>
    <w:p>
      <w:pPr>
        <w:spacing w:before="0" w:after="120"/>
      </w:pPr>
      <w:r>
        <w:rPr>
          <w:b/>
        </w:rPr>
        <w:t xml:space="preserve">Notes: </w:t>
      </w:r>
      <w:r>
        <w:t>abstract_source=crossref</w:t>
      </w:r>
    </w:p>
    <w:p>
      <w:pPr>
        <w:spacing w:before="0" w:after="200" w:lineRule="auto" w:line="276"/>
      </w:pPr>
      <w:r>
        <w:rPr>
          <w:b/>
        </w:rPr>
        <w:t xml:space="preserve">Abstract: </w:t>
      </w:r>
      <w:r>
        <w:t>Controlling molecular conductance beyond highest occupied molecular orbital and lowest unoccupied molecular orbital (HOMO–LUMO) interference is essential for advancing single‐molecule electronics. Here we employ π–σ–π frameworks—linear diphenylmethane and orthogonal 9,9′‐spirobifluorene—to investigate destructive quantum interference (DQI) governed by orbitals on the same side. Four model molecules (</w:t>
      </w:r>
      <w:r>
        <w:t xml:space="preserve"> </w:t>
      </w:r>
      <w:r>
        <w:t>DM22‐MT</w:t>
      </w:r>
      <w:r>
        <w:t xml:space="preserve"> </w:t>
      </w:r>
      <w:r>
        <w:t>,</w:t>
      </w:r>
      <w:r>
        <w:t xml:space="preserve"> </w:t>
      </w:r>
      <w:r>
        <w:t>DM44‐MT</w:t>
      </w:r>
      <w:r>
        <w:t xml:space="preserve"> </w:t>
      </w:r>
      <w:r>
        <w:t>,</w:t>
      </w:r>
      <w:r>
        <w:t xml:space="preserve"> </w:t>
      </w:r>
      <w:r>
        <w:t>SF33‐MT</w:t>
      </w:r>
      <w:r>
        <w:t xml:space="preserve"> </w:t>
      </w:r>
      <w:r>
        <w:t>,</w:t>
      </w:r>
      <w:r>
        <w:t xml:space="preserve"> </w:t>
      </w:r>
      <w:r>
        <w:t>SF44‐MT</w:t>
      </w:r>
      <w:r>
        <w:t xml:space="preserve"> </w:t>
      </w:r>
      <w:r>
        <w:t>) were designed with site‐specific –SMe anchoring groups and examined by scanning tunneling microscope–break junction (STM–BJ) measurements and theoretical simulations. All exhibit intrinsically low conductance, consistent with destructive quantum interference (DQI) effect. Importantly, site‐dependent effects in spiro systems disrupt spiro‐conjugation and alter anchor–electrode coupling, leading to counterintuitive conductance trends. This study provides the first experimental evidence for bilateral DQI in π–σ–π systems and establishes a molecular design strategy for insulating and functionalized single‐molecule devices.</w:t>
      </w:r>
    </w:p>
    <w:p>
      <w:pPr>
        <w:spacing w:before="120" w:after="120"/>
      </w:pPr>
      <w:r>
        <w:rPr>
          <w:sz w:val="18"/>
        </w:rPr>
        <w:t>——————————————————————————————————————————————————————————————————————</w:t>
      </w:r>
    </w:p>
    <w:p>
      <w:pPr>
        <w:spacing w:before="160" w:after="80" w:line="240" w:lineRule="auto"/>
      </w:pPr>
      <w:r>
        <w:rPr>
          <w:b/>
        </w:rPr>
        <w:t xml:space="preserve">[338] </w:t>
      </w:r>
      <w:hyperlink r:id="rId565">
        <w:r>
          <w:rPr>
            <w:color w:val="1155CC"/>
            <w:u w:val="single"/>
          </w:rPr>
          <w:t>Neo‐Cysteine Molecular Glues for Targeting Mutated SMAD4 Protein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06:05:00+00:00</w:t>
      </w:r>
      <w:r>
        <w:t xml:space="preserve">    </w:t>
      </w:r>
      <w:r>
        <w:rPr>
          <w:b/>
        </w:rPr>
        <w:t xml:space="preserve">DOI: </w:t>
      </w:r>
      <w:hyperlink r:id="rId566">
        <w:r>
          <w:rPr>
            <w:color w:val="1155CC"/>
            <w:u w:val="single"/>
          </w:rPr>
          <w:t>10.1002/anie.202512791</w:t>
        </w:r>
      </w:hyperlink>
    </w:p>
    <w:p>
      <w:pPr>
        <w:spacing w:before="0" w:after="120"/>
      </w:pPr>
      <w:r>
        <w:rPr>
          <w:b/>
        </w:rPr>
        <w:t xml:space="preserve">Notes: </w:t>
      </w:r>
      <w:r>
        <w:t>abstract_source=crossref</w:t>
      </w:r>
    </w:p>
    <w:p>
      <w:pPr>
        <w:spacing w:before="0" w:after="200" w:lineRule="auto" w:line="276"/>
      </w:pPr>
      <w:r>
        <w:rPr>
          <w:b/>
        </w:rPr>
        <w:t xml:space="preserve">Abstract: </w:t>
      </w:r>
      <w:r>
        <w:t>Neo‐protein‐protein interactions (neoPPIs), directed by genetic mutation‐encoded neo‐amino acid residues, represent a promising class of precision medicine targets. Small molecules can mimic genetic mutational effects, creating neo‐surfaces and acting as molecular glues to mediate neoPPIs and reprogram biological circuitry. This convergence of genomic alterations and chemical interventions highlights a strategy for targeting disease‐associated mutations using neo‐amino acid residue‐directed molecular glues. Among these, neo‐cysteine at the protein‐protein interaction (PPI) interface represents unique opportunities to develop covalent molecular glues. Despite this promise, identifying neo‐cysteine molecular glues (neoCMGs) remains challenging. Here, we report the discovery of a neoCMG through a systematic chemical screening approach, using SMAD4, a frequently mutated tumor suppressor gene, as a model system. We established a robust PPI biosensor assay for high‐throughput chemical screening, leading to the identification of neoCMG101. Biophysical and biochemical characterization revealed that neoCMG101 selectively and covalently modifies the neo‐C361 residue on SMAD4, enhance SMAD4‐R361C/SMAD3 PPI and restore SMAD‐dependent transcriptional activity. This work establishes the feasibility of leveraging neo‐cysteine‐directed molecular glues to restore mutant PPIs, supporting a generalizable strategy for identifying neoCMG hits through unbiased screening. Such an approach provides a framework for targeting mutation‐disrupted signaling networks in cancer and other diseases.</w:t>
      </w:r>
    </w:p>
    <w:p>
      <w:pPr>
        <w:spacing w:before="120" w:after="120"/>
      </w:pPr>
      <w:r>
        <w:rPr>
          <w:sz w:val="18"/>
        </w:rPr>
        <w:t>——————————————————————————————————————————————————————————————————————</w:t>
      </w:r>
    </w:p>
    <w:p>
      <w:pPr>
        <w:spacing w:before="160" w:after="80" w:line="240" w:lineRule="auto"/>
      </w:pPr>
      <w:r>
        <w:rPr>
          <w:b/>
        </w:rPr>
        <w:t xml:space="preserve">[339] </w:t>
      </w:r>
      <w:hyperlink r:id="rId567">
        <w:r>
          <w:rPr>
            <w:color w:val="1155CC"/>
            <w:u w:val="single"/>
          </w:rPr>
          <w:t>An Expanded Toolbox for Versatile Chemical Editing of Adeno‐Associated Virus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06:06:07+00:00</w:t>
      </w:r>
      <w:r>
        <w:t xml:space="preserve">    </w:t>
      </w:r>
      <w:r>
        <w:rPr>
          <w:b/>
        </w:rPr>
        <w:t xml:space="preserve">DOI: </w:t>
      </w:r>
      <w:hyperlink r:id="rId568">
        <w:r>
          <w:rPr>
            <w:color w:val="1155CC"/>
            <w:u w:val="single"/>
          </w:rPr>
          <w:t>10.1002/anie.202516157</w:t>
        </w:r>
      </w:hyperlink>
    </w:p>
    <w:p>
      <w:pPr>
        <w:spacing w:before="0" w:after="120"/>
      </w:pPr>
      <w:r>
        <w:rPr>
          <w:b/>
        </w:rPr>
        <w:t xml:space="preserve">Notes: </w:t>
      </w:r>
      <w:r>
        <w:t>abstract_source=crossref</w:t>
      </w:r>
    </w:p>
    <w:p>
      <w:pPr>
        <w:spacing w:before="0" w:after="200" w:lineRule="auto" w:line="276"/>
      </w:pPr>
      <w:r>
        <w:rPr>
          <w:b/>
        </w:rPr>
        <w:t xml:space="preserve">Abstract: </w:t>
      </w:r>
      <w:r>
        <w:t>Site‐specific incorporation of noncanonical amino acids (ncAAs) into the adeno‐associated virus (AAV) capsid offers powerful opportunities to probe and engineer the properties of this leading vector for human gene therapy. However, this approach currently relies almost exclusively on a single azide‐containing ncAA, incorporated using the pyrrolysyl‐tRNA synthetase/tRNA pair. Here, we substantially broaden the scope of this technology by demonstrating successful incorporation of numerous ncAAs into AAV capsid using four different platforms, and by uncovering design principles that facilitate capsid tolerance to structurally diverse side chains. Using this expanded toolbox, we incorporate several different bioorthogonal conjugation handles into AAV for precise capsid modification. In particular, a tetrazine‐containing ncAA facilitated ultrafast conjugation of an anti‐HER2 nanobody to the capsid, creating conjugates that efficiently and selectively infect HER2+ cells. We further used this platform for optimized capsid PEGylation, which reduced its immunogenicity without compromising infectivity. Finally, we efficiently incorporated two distinct ncAAs into the AAV capsid, and subsequently labeled them orthogonally to attach two different entities. Together, these advances dramatically expand the chemistries that can be introduced into the AAV capsid, offering powerful new tools to both probe and engineer the properties of this promising gene therapy vector.</w:t>
      </w:r>
    </w:p>
    <w:p>
      <w:pPr>
        <w:spacing w:before="120" w:after="120"/>
      </w:pPr>
      <w:r>
        <w:rPr>
          <w:sz w:val="18"/>
        </w:rPr>
        <w:t>——————————————————————————————————————————————————————————————————————</w:t>
      </w:r>
    </w:p>
    <w:p>
      <w:pPr>
        <w:spacing w:before="160" w:after="80" w:line="240" w:lineRule="auto"/>
      </w:pPr>
      <w:r>
        <w:rPr>
          <w:b/>
        </w:rPr>
        <w:t xml:space="preserve">[340] </w:t>
      </w:r>
      <w:hyperlink r:id="rId569">
        <w:r>
          <w:rPr>
            <w:color w:val="1155CC"/>
            <w:u w:val="single"/>
          </w:rPr>
          <w:t>High‐Pressure Synthesis of Antimony Nitride Sb3N5 and Polynitride Sb2N8 Featuring Single‐Bonded N810− Chains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06:07:14+00:00</w:t>
      </w:r>
      <w:r>
        <w:t xml:space="preserve">    </w:t>
      </w:r>
      <w:r>
        <w:rPr>
          <w:b/>
        </w:rPr>
        <w:t xml:space="preserve">DOI: </w:t>
      </w:r>
      <w:hyperlink r:id="rId570">
        <w:r>
          <w:rPr>
            <w:color w:val="1155CC"/>
            <w:u w:val="single"/>
          </w:rPr>
          <w:t>10.1002/anie.202522652</w:t>
        </w:r>
      </w:hyperlink>
    </w:p>
    <w:p>
      <w:pPr>
        <w:spacing w:before="0" w:after="120"/>
      </w:pPr>
      <w:r>
        <w:rPr>
          <w:b/>
        </w:rPr>
        <w:t xml:space="preserve">Notes: </w:t>
      </w:r>
      <w:r>
        <w:t>abstract_source=crossref</w:t>
      </w:r>
    </w:p>
    <w:p>
      <w:pPr>
        <w:spacing w:before="0" w:after="200" w:lineRule="auto" w:line="276"/>
      </w:pPr>
      <w:r>
        <w:rPr>
          <w:b/>
        </w:rPr>
        <w:t xml:space="preserve">Abstract: </w:t>
      </w:r>
      <w:r>
        <w:t>High‐pressure high‐temperature synthesis in laser‐heated diamond anvil cells provides a direct pathway to stabilize polymeric and oligomeric nitrogen units, often inaccessible under ambient conditions due to the stability of the N</w:t>
      </w:r>
      <w:r>
        <w:rPr>
          <w:vertAlign w:val="subscript"/>
        </w:rPr>
        <w:t>2</w:t>
      </w:r>
      <w:r>
        <w:t>molecule. Here we report the high‐pressure reactivity of antimony with molecular nitrogen, leading to the discovery of two distinct binary nitrides. At megabar pressures, we synthesized and structurally characterized</w:t>
      </w:r>
      <w:r>
        <w:t xml:space="preserve"> </w:t>
      </w:r>
      <w:r>
        <w:t>mP</w:t>
      </w:r>
      <w:r>
        <w:t xml:space="preserve"> </w:t>
      </w:r>
      <w:r>
        <w:t>20‐Sb</w:t>
      </w:r>
      <w:r>
        <w:rPr>
          <w:vertAlign w:val="subscript"/>
        </w:rPr>
        <w:t>2</w:t>
      </w:r>
      <w:r>
        <w:t>(N</w:t>
      </w:r>
      <w:r>
        <w:rPr>
          <w:vertAlign w:val="subscript"/>
        </w:rPr>
        <w:t>8</w:t>
      </w:r>
      <w:r>
        <w:t>), the first pnictogen oligonitride containing unprecedented twisted single‐bonded (N</w:t>
      </w:r>
      <w:r>
        <w:rPr>
          <w:vertAlign w:val="subscript"/>
        </w:rPr>
        <w:t>8</w:t>
      </w:r>
      <w:r>
        <w:t>)</w:t>
      </w:r>
      <w:r>
        <w:t xml:space="preserve"> </w:t>
      </w:r>
      <w:r>
        <w:t>10−</w:t>
      </w:r>
      <w:r>
        <w:t>chains. The compound was identified by single‐crystal x‐ray microdiffraction and Raman spectroscopy, supported by density functional theory calculations. At lower pressures of ∼ 50 GPa, we observed the formation of</w:t>
      </w:r>
      <w:r>
        <w:t xml:space="preserve"> </w:t>
      </w:r>
      <w:r>
        <w:t>oC</w:t>
      </w:r>
      <w:r>
        <w:t xml:space="preserve"> </w:t>
      </w:r>
      <w:r>
        <w:t>32‐Sb</w:t>
      </w:r>
      <w:r>
        <w:rPr>
          <w:vertAlign w:val="subscript"/>
        </w:rPr>
        <w:t>3</w:t>
      </w:r>
      <w:r>
        <w:t>N</w:t>
      </w:r>
      <w:r>
        <w:rPr>
          <w:vertAlign w:val="subscript"/>
        </w:rPr>
        <w:t>5</w:t>
      </w:r>
      <w:r>
        <w:t>, complementing recent reports of this phase by the studies of its compressional behavior and stability field. These results significantly expand the interpnictogen chemistry and demonstrate the ability of antimony to stabilize unusual extended nitrogen fragments at high pressures.</w:t>
      </w:r>
    </w:p>
    <w:p>
      <w:pPr>
        <w:spacing w:before="120" w:after="120"/>
      </w:pPr>
      <w:r>
        <w:rPr>
          <w:sz w:val="18"/>
        </w:rPr>
        <w:t>——————————————————————————————————————————————————————————————————————</w:t>
      </w:r>
    </w:p>
    <w:p>
      <w:pPr>
        <w:spacing w:before="160" w:after="80" w:line="240" w:lineRule="auto"/>
      </w:pPr>
      <w:r>
        <w:rPr>
          <w:b/>
        </w:rPr>
        <w:t xml:space="preserve">[341] </w:t>
      </w:r>
      <w:hyperlink r:id="rId571">
        <w:r>
          <w:rPr>
            <w:color w:val="1155CC"/>
            <w:u w:val="single"/>
          </w:rPr>
          <w:t>State‐of‐Charge Dependent Aging Mechanism of Halide‐Based Composite Cathodes for All‐Solid‐State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2026-01-02 06:07:22+00:00</w:t>
      </w:r>
      <w:r>
        <w:t xml:space="preserve">    </w:t>
      </w:r>
      <w:r>
        <w:rPr>
          <w:b/>
        </w:rPr>
        <w:t xml:space="preserve">DOI: </w:t>
      </w:r>
      <w:hyperlink r:id="rId572">
        <w:r>
          <w:rPr>
            <w:color w:val="1155CC"/>
            <w:u w:val="single"/>
          </w:rPr>
          <w:t>10.1002/aenm.202505745</w:t>
        </w:r>
      </w:hyperlink>
    </w:p>
    <w:p>
      <w:pPr>
        <w:spacing w:before="0" w:after="120"/>
      </w:pPr>
      <w:r>
        <w:rPr>
          <w:b/>
        </w:rPr>
        <w:t xml:space="preserve">Notes: </w:t>
      </w:r>
      <w:r>
        <w:t>abstract_source=crossref</w:t>
      </w:r>
    </w:p>
    <w:p>
      <w:pPr>
        <w:spacing w:before="0" w:after="200" w:lineRule="auto" w:line="276"/>
      </w:pPr>
      <w:r>
        <w:rPr>
          <w:b/>
        </w:rPr>
        <w:t xml:space="preserve">Abstract: </w:t>
      </w:r>
      <w:r>
        <w:t>Halide‐based solid‐state electrolytes (SSEs), such as Li</w:t>
      </w:r>
      <w:r>
        <w:rPr>
          <w:vertAlign w:val="subscript"/>
        </w:rPr>
        <w:t>3</w:t>
      </w:r>
      <w:r>
        <w:t>InCl</w:t>
      </w:r>
      <w:r>
        <w:rPr>
          <w:vertAlign w:val="subscript"/>
        </w:rPr>
        <w:t>6</w:t>
      </w:r>
      <w:r>
        <w:t>(LIC), are promising catholytes for all‐solid‐state batteries (ASSBs) because of their high ionic conductivity and high‐voltage stability. However, the aging mechanism between halide SSEs and Ni‐rich cathodes (LiNi</w:t>
      </w:r>
      <w:r>
        <w:t xml:space="preserve"> </w:t>
      </w:r>
      <w:r>
        <w:t>x</w:t>
      </w:r>
      <w:r>
        <w:t xml:space="preserve"> </w:t>
      </w:r>
      <w:r>
        <w:t>Co</w:t>
      </w:r>
      <w:r>
        <w:t xml:space="preserve"> </w:t>
      </w:r>
      <w:r>
        <w:t>y</w:t>
      </w:r>
      <w:r>
        <w:t xml:space="preserve"> </w:t>
      </w:r>
      <w:r>
        <w:t>Mn</w:t>
      </w:r>
      <w:r>
        <w:rPr>
          <w:vertAlign w:val="subscript"/>
        </w:rPr>
        <w:t>1</w:t>
      </w:r>
      <w:r>
        <w:t xml:space="preserve"> </w:t>
      </w:r>
      <w:r>
        <w:t>−x−y</w:t>
      </w:r>
      <w:r>
        <w:t xml:space="preserve"> </w:t>
      </w:r>
      <w:r>
        <w:t>O</w:t>
      </w:r>
      <w:r>
        <w:rPr>
          <w:vertAlign w:val="subscript"/>
        </w:rPr>
        <w:t>2</w:t>
      </w:r>
      <w:r>
        <w:t>, NCM) remain poorly understood. Herein, we investigate the state‐of‐charge (SoC)‐dependent aging behavior of LIC/NCM composite cathodes and reveal a non‐monotonic relationship between SoC and capacity retention after aging. Severe capacity loss occurs under both low‐ and high‐SoC conditions, whereas high capacity retention is achieved after aging at a mid‐range SoC. Comprehensive structural and chemical analyses uncover a synergistic aging mechanism: reductive decomposition of LIC dominates aging at low SoCs, while structural degradation of NCM accounts for aging at high SoCs. Furthermore, an ultrathin coating layer introduced onto the NCM particle surface via atomic layer deposition effectively suppresses interfacial reactions and enhances electrochemical stability, particularly during low‐SoC storage. This work provides mechanistic insights into SoC‐dependent interfacial aging in halide‐based ASSBs and proposes both SoC management and interface engineering strategy to extend their calendar life.</w:t>
      </w:r>
    </w:p>
    <w:p>
      <w:pPr>
        <w:spacing w:before="120" w:after="120"/>
      </w:pPr>
      <w:r>
        <w:rPr>
          <w:sz w:val="18"/>
        </w:rPr>
        <w:t>——————————————————————————————————————————————————————————————————————</w:t>
      </w:r>
    </w:p>
    <w:p>
      <w:pPr>
        <w:spacing w:before="160" w:after="80" w:line="240" w:lineRule="auto"/>
      </w:pPr>
      <w:r>
        <w:rPr>
          <w:b/>
        </w:rPr>
        <w:t xml:space="preserve">[342] </w:t>
      </w:r>
      <w:hyperlink r:id="rId573">
        <w:r>
          <w:rPr>
            <w:color w:val="1155CC"/>
            <w:u w:val="single"/>
          </w:rPr>
          <w:t>Dual‐Proximity Labeling Strategy Identifies TrxR1 as a Cuproprotein that Regulates Apoptosis via Caspase‐3 S‐Nitrosylation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06:08:56+00:00</w:t>
      </w:r>
      <w:r>
        <w:t xml:space="preserve">    </w:t>
      </w:r>
      <w:r>
        <w:rPr>
          <w:b/>
        </w:rPr>
        <w:t xml:space="preserve">DOI: </w:t>
      </w:r>
      <w:hyperlink r:id="rId574">
        <w:r>
          <w:rPr>
            <w:color w:val="1155CC"/>
            <w:u w:val="single"/>
          </w:rPr>
          <w:t>10.1002/anie.202512913</w:t>
        </w:r>
      </w:hyperlink>
    </w:p>
    <w:p>
      <w:pPr>
        <w:spacing w:before="0" w:after="120"/>
      </w:pPr>
      <w:r>
        <w:rPr>
          <w:b/>
        </w:rPr>
        <w:t xml:space="preserve">Notes: </w:t>
      </w:r>
      <w:r>
        <w:t>abstract_source=crossref</w:t>
      </w:r>
    </w:p>
    <w:p>
      <w:pPr>
        <w:spacing w:before="0" w:after="200" w:lineRule="auto" w:line="276"/>
      </w:pPr>
      <w:r>
        <w:rPr>
          <w:b/>
        </w:rPr>
        <w:t xml:space="preserve">Abstract: </w:t>
      </w:r>
      <w:r>
        <w:t>Copper (Cu) performs essential structural and functional roles in all aerobic organisms, but identifying natural cuproproteins through traditional affinity methods is hindered by the variety of copper ligand combinations and binding locations in proteins. Here, using ATOX1 as a bait, fused with the APEX2 or TurboID proximity labeling enzymes, with quantitative proteomics in cancer and normal cells (H1299 and HEK293T), we predicted 682 highly enriched candidate Cu‐binding proteins. Among them, we functionally validated the novel cuproprotein, thioredoxin reductase 1 (TrxR1). Through cryo‐electron microscopy (cryo‐EM), we resolved three copper‐binding sites across its N‐ and C‐terminal redox centers. Functional assays demonstrated that copper inhibits TrxR1 reductase activity and impairs the denitrosylation function of its substrate, thioredoxin 1 (Trx1), consequently inhibiting caspase‐3 cleavage and apoptosis. Beyond expanding the scope of annotated cuproproteins, this study provides a versatile strategy for cuproprotein discovery and defines the copper functions in modulating apoptosis through the TrxR1/Trx1 regulatory module.</w:t>
      </w:r>
    </w:p>
    <w:p>
      <w:pPr>
        <w:spacing w:before="120" w:after="120"/>
      </w:pPr>
      <w:r>
        <w:rPr>
          <w:sz w:val="18"/>
        </w:rPr>
        <w:t>——————————————————————————————————————————————————————————————————————</w:t>
      </w:r>
    </w:p>
    <w:p>
      <w:pPr>
        <w:spacing w:before="160" w:after="80" w:line="240" w:lineRule="auto"/>
      </w:pPr>
      <w:r>
        <w:rPr>
          <w:b/>
        </w:rPr>
        <w:t xml:space="preserve">[343] </w:t>
      </w:r>
      <w:hyperlink r:id="rId575">
        <w:r>
          <w:rPr>
            <w:color w:val="1155CC"/>
            <w:u w:val="single"/>
          </w:rPr>
          <w:t>Light‐ and Heat‐Induced Reversal of Circularly Polarized Luminescence in a Single Molecule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2026-01-02 06:18:44+00:00</w:t>
      </w:r>
      <w:r>
        <w:t xml:space="preserve">    </w:t>
      </w:r>
      <w:r>
        <w:rPr>
          <w:b/>
        </w:rPr>
        <w:t xml:space="preserve">DOI: </w:t>
      </w:r>
      <w:hyperlink r:id="rId576">
        <w:r>
          <w:rPr>
            <w:color w:val="1155CC"/>
            <w:u w:val="single"/>
          </w:rPr>
          <w:t>10.1002/anie.202522699</w:t>
        </w:r>
      </w:hyperlink>
    </w:p>
    <w:p>
      <w:pPr>
        <w:spacing w:before="0" w:after="120"/>
      </w:pPr>
      <w:r>
        <w:rPr>
          <w:b/>
        </w:rPr>
        <w:t xml:space="preserve">Notes: </w:t>
      </w:r>
      <w:r>
        <w:t>abstract_source=crossref</w:t>
      </w:r>
    </w:p>
    <w:p>
      <w:pPr>
        <w:spacing w:before="0" w:after="200" w:lineRule="auto" w:line="276"/>
      </w:pPr>
      <w:r>
        <w:rPr>
          <w:b/>
        </w:rPr>
        <w:t xml:space="preserve">Abstract: </w:t>
      </w:r>
      <w:r>
        <w:t>Switching the handedness of circularly polarized luminescence (CPL) at the molecular level remains a challenge in the development of responsive chiral materials. We report a light‐driven molecular motor covalently linked to two perylenediimide (PDI) chromophores, enabling reversible and directional modulation of CPL. The different motor states, which are accessible in a unidirectional fashion via light‐irradiation and thermal helix inversion steps, respectively, display significantly distinct chiroptical properties. In addition, our system allows switching of the chiral induction process and hence, the observation of a CPL signal. The present work discloses the first example of reversible CPL sign inversion triggered by light irradiation at the single molecular level, offering a new starting point for designing emitters with light‐responsive chirality modulation.</w:t>
      </w:r>
    </w:p>
    <w:p>
      <w:pPr>
        <w:spacing w:before="120" w:after="120"/>
      </w:pPr>
      <w:r>
        <w:rPr>
          <w:sz w:val="18"/>
        </w:rPr>
        <w:t>——————————————————————————————————————————————————————————————————————</w:t>
      </w:r>
    </w:p>
    <w:p>
      <w:pPr>
        <w:spacing w:before="160" w:after="80" w:line="240" w:lineRule="auto"/>
      </w:pPr>
      <w:r>
        <w:rPr>
          <w:b/>
        </w:rPr>
        <w:t xml:space="preserve">[344] </w:t>
      </w:r>
      <w:hyperlink r:id="rId577">
        <w:r>
          <w:rPr>
            <w:color w:val="1155CC"/>
            <w:u w:val="single"/>
          </w:rPr>
          <w:t>Poly(Citric Acid) Bidirectional Regulator: Coordinating Iron Homeostasis to Suppress Stress Responses and Boosting Mitochondrial Bioenergetics for Enhanced Nerve Repair</w:t>
        </w:r>
      </w:hyperlink>
    </w:p>
    <w:p>
      <w:pPr>
        <w:spacing w:before="0" w:after="120" w:line="240" w:lineRule="auto"/>
      </w:pPr>
      <w:r>
        <w:rPr>
          <w:b/>
        </w:rPr>
        <w:t xml:space="preserve">Source: </w:t>
      </w:r>
      <w:r>
        <w:t>Wiley: Advanced Materials: Table of Contents</w:t>
      </w:r>
      <w:r>
        <w:t xml:space="preserve">    </w:t>
      </w:r>
      <w:r>
        <w:rPr>
          <w:b/>
        </w:rPr>
        <w:t xml:space="preserve">Pub date: </w:t>
      </w:r>
      <w:r>
        <w:t>2026-01-02 07:25:48+00:00</w:t>
      </w:r>
      <w:r>
        <w:t xml:space="preserve">    </w:t>
      </w:r>
      <w:r>
        <w:rPr>
          <w:b/>
        </w:rPr>
        <w:t xml:space="preserve">DOI: </w:t>
      </w:r>
      <w:hyperlink r:id="rId578">
        <w:r>
          <w:rPr>
            <w:color w:val="1155CC"/>
            <w:u w:val="single"/>
          </w:rPr>
          <w:t>10.1002/adma.202507931</w:t>
        </w:r>
      </w:hyperlink>
    </w:p>
    <w:p>
      <w:pPr>
        <w:spacing w:before="0" w:after="120"/>
      </w:pPr>
      <w:r>
        <w:rPr>
          <w:b/>
        </w:rPr>
        <w:t xml:space="preserve">Notes: </w:t>
      </w:r>
      <w:r>
        <w:t>abstract_source=crossref</w:t>
      </w:r>
    </w:p>
    <w:p>
      <w:pPr>
        <w:spacing w:before="0" w:after="200" w:lineRule="auto" w:line="276"/>
      </w:pPr>
      <w:r>
        <w:rPr>
          <w:b/>
        </w:rPr>
        <w:t xml:space="preserve">Abstract: </w:t>
      </w:r>
      <w:r>
        <w:t>Due to the complex regenerative microenvironment, peripheral nerve repair poses significant challenges in clinical treatment. Severe injuries can lead to dysregulated iron homeostasis, and excessive iron produces reactive oxygen species (ROS) through the Fenton reaction. The subsequent oxidative stress further leads to mitochondrial and endoplasmic reticulum (ER) stress, which impedes nerve regeneration. In addition, insufficient vascular remodeling also limits the repair of damaged nerves. Herein, a poly(citric acid) (PCA)‐loaded gelatin‐lipoic acid (Gel‐LA) microgel hydrogel‐filled oriented electrospun fiber conduit was developed, which guides axonal alignment by topographical cues, promotes cellular infiltration and nutrient transport through a microgel cascade pore structure, and regulates the regenerative microenvironment via the ferrous ion (Fe</w:t>
      </w:r>
      <w:r>
        <w:t xml:space="preserve"> </w:t>
      </w:r>
      <w:r>
        <w:t>2+</w:t>
      </w:r>
      <w:r>
        <w:t xml:space="preserve"> </w:t>
      </w:r>
      <w:r>
        <w:t>) chelation effect of PCA. The results demonstrate that this conduit effectively reduces the levels of Fe</w:t>
      </w:r>
      <w:r>
        <w:t xml:space="preserve"> </w:t>
      </w:r>
      <w:r>
        <w:t>2+</w:t>
      </w:r>
      <w:r>
        <w:t xml:space="preserve"> </w:t>
      </w:r>
      <w:r>
        <w:t>at the injury site, thereby alleviating mitochondrial and ER stress while promoting energy metabolism, vascular reconstruction, and nerve regeneration. This study highlights the potential of PCA in modulating the microenvironment of nerve injuries and provides new insights for developing tissue‐engineered scaffolds.</w:t>
      </w:r>
    </w:p>
    <w:p>
      <w:pPr>
        <w:spacing w:before="120" w:after="120"/>
      </w:pPr>
      <w:r>
        <w:rPr>
          <w:sz w:val="18"/>
        </w:rPr>
        <w:t>——————————————————————————————————————————————————————————————————————</w:t>
      </w:r>
    </w:p>
    <w:p>
      <w:pPr>
        <w:spacing w:before="160" w:after="80" w:line="240" w:lineRule="auto"/>
      </w:pPr>
      <w:r>
        <w:rPr>
          <w:b/>
        </w:rPr>
        <w:t xml:space="preserve">[345] </w:t>
      </w:r>
      <w:hyperlink r:id="rId579">
        <w:r>
          <w:rPr>
            <w:color w:val="1155CC"/>
            <w:u w:val="single"/>
          </w:rPr>
          <w:t>Magnetoelectric Coupling Stimulation Modulates Macrophage Reprogramming for Superior Infected Periodontal Tissue Regeneration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2026-01-02 07:27:06+00:00</w:t>
      </w:r>
      <w:r>
        <w:t xml:space="preserve">    </w:t>
      </w:r>
      <w:r>
        <w:rPr>
          <w:b/>
        </w:rPr>
        <w:t xml:space="preserve">DOI: </w:t>
      </w:r>
      <w:hyperlink r:id="rId580">
        <w:r>
          <w:rPr>
            <w:color w:val="1155CC"/>
            <w:u w:val="single"/>
          </w:rPr>
          <w:t>10.1002/adma.202517222</w:t>
        </w:r>
      </w:hyperlink>
    </w:p>
    <w:p>
      <w:pPr>
        <w:spacing w:before="0" w:after="120"/>
      </w:pPr>
      <w:r>
        <w:rPr>
          <w:b/>
        </w:rPr>
        <w:t xml:space="preserve">Notes: </w:t>
      </w:r>
      <w:r>
        <w:t>abstract_source=crossref</w:t>
      </w:r>
    </w:p>
    <w:p>
      <w:pPr>
        <w:spacing w:before="0" w:after="200" w:lineRule="auto" w:line="276"/>
      </w:pPr>
      <w:r>
        <w:rPr>
          <w:b/>
        </w:rPr>
        <w:t xml:space="preserve">Abstract: </w:t>
      </w:r>
      <w:r>
        <w:t>Clinical management of periodontitis requires addressing both bacterial infection and the deficient osteogenic microenvironment to optimize tissue regeneration. Electroactive biomaterials have demonstrated promise in bone regeneration, but are insufficient to enduringly synergize antibacterial properties with optimal immunomodulatory and tissue remodeling effects within the complex inflammatory microenvironment. Here, this study proposes an efficient, dynamic magnetoelectric conversion‐based therapeutic strategy, which integrates antibacterial activity and immunomodulation to optimize periodontal tissue regeneration. Magnetic field‐sensitive CoFe</w:t>
      </w:r>
      <w:r>
        <w:rPr>
          <w:vertAlign w:val="subscript"/>
        </w:rPr>
        <w:t>2</w:t>
      </w:r>
      <w:r>
        <w:t>O</w:t>
      </w:r>
      <w:r>
        <w:rPr>
          <w:vertAlign w:val="subscript"/>
        </w:rPr>
        <w:t>4</w:t>
      </w:r>
      <w:r>
        <w:t>‐BiFeO</w:t>
      </w:r>
      <w:r>
        <w:rPr>
          <w:vertAlign w:val="subscript"/>
        </w:rPr>
        <w:t>3</w:t>
      </w:r>
      <w:r>
        <w:t>nanoparticles (CFO‐BFO NPs) are developed as a pioneering magnetoelectric biomaterial for periodontitis therapy. Magnetoelectric CFO‐BFO NPs significantly enhance osteogenesis of periodontal ligament stem cells (PDLSCs) and exhibit potent antibacterial activity in vitro. Crucially, magnetoelectric coupling stimulation can program macrophage from the M1 to M2 phenotype via the PI3K‐Akt signaling pathway, thereby enhancing osteogenesis. Moreover, magnetoelectric CFO‐BFO NPs can also alleviate tissue inflammation and accelerate infected periodontal bone regeneration in</w:t>
      </w:r>
      <w:r>
        <w:t xml:space="preserve"> </w:t>
      </w:r>
      <w:r>
        <w:t>Porphyromonas gingivalis</w:t>
      </w:r>
      <w:r>
        <w:t xml:space="preserve"> </w:t>
      </w:r>
      <w:r>
        <w:t>(</w:t>
      </w:r>
      <w:r>
        <w:t xml:space="preserve"> </w:t>
      </w:r>
      <w:r>
        <w:t>P. gingivalis</w:t>
      </w:r>
      <w:r>
        <w:t xml:space="preserve"> </w:t>
      </w:r>
      <w:r>
        <w:t>)‐mediated periodontitis mice models. After 4 weeks of treatment, the bone volume fraction (BV/TV) in the magnetoelectric CFO‐BFO NPs group approached healthy levels. This study pioneers the application of magnetoelectric coupling materials for periodontitis treatment and provides a novel strategy for enhancing the therapeutic effects of electroactive biomaterials on periodontitis.</w:t>
      </w:r>
    </w:p>
    <w:p>
      <w:pPr>
        <w:spacing w:before="120" w:after="120"/>
      </w:pPr>
      <w:r>
        <w:rPr>
          <w:sz w:val="18"/>
        </w:rPr>
        <w:t>——————————————————————————————————————————————————————————————————————</w:t>
      </w:r>
    </w:p>
    <w:p>
      <w:pPr>
        <w:spacing w:before="160" w:after="80" w:line="240" w:lineRule="auto"/>
      </w:pPr>
      <w:r>
        <w:rPr>
          <w:b/>
        </w:rPr>
        <w:t xml:space="preserve">[346] </w:t>
      </w:r>
      <w:hyperlink r:id="rId581">
        <w:r>
          <w:rPr>
            <w:color w:val="1155CC"/>
            <w:u w:val="single"/>
          </w:rPr>
          <w:t>Phase Synergy Enables Low‐Power Ferroelectric Switching in HfO2 Epitaxial Films</w:t>
        </w:r>
      </w:hyperlink>
    </w:p>
    <w:p>
      <w:pPr>
        <w:spacing w:before="0" w:after="120" w:line="240" w:lineRule="auto"/>
      </w:pPr>
      <w:r>
        <w:rPr>
          <w:b/>
        </w:rPr>
        <w:t xml:space="preserve">Source: </w:t>
      </w:r>
      <w:r>
        <w:t>Wiley: Advanced Materials: Table of Contents</w:t>
      </w:r>
      <w:r>
        <w:t xml:space="preserve">    </w:t>
      </w:r>
      <w:r>
        <w:rPr>
          <w:b/>
        </w:rPr>
        <w:t xml:space="preserve">Pub date: </w:t>
      </w:r>
      <w:r>
        <w:t>2026-01-02 07:35:56+00:00</w:t>
      </w:r>
      <w:r>
        <w:t xml:space="preserve">    </w:t>
      </w:r>
      <w:r>
        <w:rPr>
          <w:b/>
        </w:rPr>
        <w:t xml:space="preserve">DOI: </w:t>
      </w:r>
      <w:hyperlink r:id="rId582">
        <w:r>
          <w:rPr>
            <w:color w:val="1155CC"/>
            <w:u w:val="single"/>
          </w:rPr>
          <w:t>10.1002/adma.202520313</w:t>
        </w:r>
      </w:hyperlink>
    </w:p>
    <w:p>
      <w:pPr>
        <w:spacing w:before="0" w:after="120"/>
      </w:pPr>
      <w:r>
        <w:rPr>
          <w:b/>
        </w:rPr>
        <w:t xml:space="preserve">Notes: </w:t>
      </w:r>
      <w:r>
        <w:t>abstract_source=crossref</w:t>
      </w:r>
    </w:p>
    <w:p>
      <w:pPr>
        <w:spacing w:before="0" w:after="200" w:lineRule="auto" w:line="276"/>
      </w:pPr>
      <w:r>
        <w:rPr>
          <w:b/>
        </w:rPr>
        <w:t xml:space="preserve">Abstract: </w:t>
      </w:r>
      <w:r>
        <w:t>HfO</w:t>
      </w:r>
      <w:r>
        <w:rPr>
          <w:vertAlign w:val="subscript"/>
        </w:rPr>
        <w:t>2</w:t>
      </w:r>
      <w:r>
        <w:t>‐based ferroelectric materials have emerged as leading candidates for next‐generation non‐volatile memory technologies, owing to their nanoscale robust ferroelectricity and complementary metal–oxide–semiconductor (CMOS) compatibility. However, challenges and debates persist in advancing and comprehensively understanding their ferroelectric behavior. In particular, conventional approaches typically regard non‐ferroelectric phases as detrimental and primarily focus on suppressing their formation, yet overlooking their potentially synergistic contributions—particularly those of the tetragonal (</w:t>
      </w:r>
      <w:r>
        <w:t xml:space="preserve"> </w:t>
      </w:r>
      <w:r>
        <w:t>T</w:t>
      </w:r>
      <w:r>
        <w:t xml:space="preserve"> </w:t>
      </w:r>
      <w:r>
        <w:t>) phase. Here, we unambiguously clarify the beneficial role of the</w:t>
      </w:r>
      <w:r>
        <w:t xml:space="preserve"> </w:t>
      </w:r>
      <w:r>
        <w:t>T</w:t>
      </w:r>
      <w:r>
        <w:t xml:space="preserve"> </w:t>
      </w:r>
      <w:r>
        <w:t>‐phase and introduce a phase‐boundary engineering strategy that deliberately harnesses it to enhance ferroelectricity in HfO</w:t>
      </w:r>
      <w:r>
        <w:rPr>
          <w:vertAlign w:val="subscript"/>
        </w:rPr>
        <w:t>2</w:t>
      </w:r>
      <w:r>
        <w:t>films. By stabilizing optimal coherent boundaries between ferroelectric orthorhombic (</w:t>
      </w:r>
      <w:r>
        <w:t xml:space="preserve"> </w:t>
      </w:r>
      <w:r>
        <w:t>O</w:t>
      </w:r>
      <w:r>
        <w:t xml:space="preserve"> </w:t>
      </w:r>
      <w:r>
        <w:t>) and</w:t>
      </w:r>
      <w:r>
        <w:t xml:space="preserve"> </w:t>
      </w:r>
      <w:r>
        <w:t>T</w:t>
      </w:r>
      <w:r>
        <w:t xml:space="preserve"> </w:t>
      </w:r>
      <w:r>
        <w:t>phases in epitaxial La‐doped HfO</w:t>
      </w:r>
      <w:r>
        <w:rPr>
          <w:vertAlign w:val="subscript"/>
        </w:rPr>
        <w:t>2</w:t>
      </w:r>
      <w:r>
        <w:t>films, we achieve significant improvements in ferroelectric properties—doubling the remanent polarization (</w:t>
      </w:r>
      <w:r>
        <w:t xml:space="preserve"> </w:t>
      </w:r>
      <w:r>
        <w:t>P</w:t>
      </w:r>
      <w:r>
        <w:t xml:space="preserve"> </w:t>
      </w:r>
      <w:r>
        <w:t>r</w:t>
      </w:r>
      <w:r>
        <w:t xml:space="preserve"> </w:t>
      </w:r>
      <w:r>
        <w:t>∼ 30 µC/cm</w:t>
      </w:r>
      <w:r>
        <w:rPr>
          <w:vertAlign w:val="subscript"/>
        </w:rPr>
        <w:t>2</w:t>
      </w:r>
      <w:r>
        <w:t>) and substantially reducing the coercive field (</w:t>
      </w:r>
      <w:r>
        <w:t xml:space="preserve"> </w:t>
      </w:r>
      <w:r>
        <w:t>E</w:t>
      </w:r>
      <w:r>
        <w:t xml:space="preserve"> </w:t>
      </w:r>
      <w:r>
        <w:t>c</w:t>
      </w:r>
      <w:r>
        <w:t xml:space="preserve"> </w:t>
      </w:r>
      <w:r>
        <w:t>∼ 3 MV/cm) by 30% compared to low‐La doped samples without such boundaries. Atomic‐scale electron microscopy reveals the structural nature of the atomically sharp, coherent</w:t>
      </w:r>
      <w:r>
        <w:t xml:space="preserve"> </w:t>
      </w:r>
      <w:r>
        <w:t>O</w:t>
      </w:r>
      <w:r>
        <w:t xml:space="preserve"> </w:t>
      </w:r>
      <w:r>
        <w:t>–</w:t>
      </w:r>
      <w:r>
        <w:t xml:space="preserve"> </w:t>
      </w:r>
      <w:r>
        <w:t>T</w:t>
      </w:r>
      <w:r>
        <w:t xml:space="preserve"> </w:t>
      </w:r>
      <w:r>
        <w:t>boundaries. Combined with deep‐learning enhanced molecular dynamics simulations, our results unravel that these boundaries facilitate intermediate polarization states that lower the switching energy barrier. Consequently, phase coexistence shifts from an inherent drawback to a tunable design element, offering a broadly applicable route to ultra‐low‐power HfO</w:t>
      </w:r>
      <w:r>
        <w:rPr>
          <w:vertAlign w:val="subscript"/>
        </w:rPr>
        <w:t>2</w:t>
      </w:r>
      <w:r>
        <w:t>‐based nanoelectronics.</w:t>
      </w:r>
    </w:p>
    <w:p>
      <w:pPr>
        <w:spacing w:before="120" w:after="120"/>
      </w:pPr>
      <w:r>
        <w:rPr>
          <w:sz w:val="18"/>
        </w:rPr>
        <w:t>——————————————————————————————————————————————————————————————————————</w:t>
      </w:r>
    </w:p>
    <w:p>
      <w:pPr>
        <w:spacing w:before="160" w:after="80" w:line="240" w:lineRule="auto"/>
      </w:pPr>
      <w:r>
        <w:rPr>
          <w:b/>
        </w:rPr>
        <w:t xml:space="preserve">[347] </w:t>
      </w:r>
      <w:hyperlink r:id="rId583">
        <w:r>
          <w:rPr>
            <w:color w:val="1155CC"/>
            <w:u w:val="single"/>
          </w:rPr>
          <w:t>Self‐Swerving Optical Force by Chiral Inhomogeneity</w:t>
        </w:r>
      </w:hyperlink>
    </w:p>
    <w:p>
      <w:pPr>
        <w:spacing w:before="0" w:after="120" w:line="240" w:lineRule="auto"/>
      </w:pPr>
      <w:r>
        <w:rPr>
          <w:b/>
        </w:rPr>
        <w:t xml:space="preserve">Source: </w:t>
      </w:r>
      <w:r>
        <w:t>Wiley: Advanced Materials: Table of Contents</w:t>
      </w:r>
      <w:r>
        <w:t xml:space="preserve">    </w:t>
      </w:r>
      <w:r>
        <w:rPr>
          <w:b/>
        </w:rPr>
        <w:t xml:space="preserve">Pub date: </w:t>
      </w:r>
      <w:r>
        <w:t>2026-01-02 07:36:34+00:00</w:t>
      </w:r>
      <w:r>
        <w:t xml:space="preserve">    </w:t>
      </w:r>
      <w:r>
        <w:rPr>
          <w:b/>
        </w:rPr>
        <w:t xml:space="preserve">DOI: </w:t>
      </w:r>
      <w:hyperlink r:id="rId584">
        <w:r>
          <w:rPr>
            <w:color w:val="1155CC"/>
            <w:u w:val="single"/>
          </w:rPr>
          <w:t>10.1002/adma.202517678</w:t>
        </w:r>
      </w:hyperlink>
    </w:p>
    <w:p>
      <w:pPr>
        <w:spacing w:before="0" w:after="120"/>
      </w:pPr>
      <w:r>
        <w:rPr>
          <w:b/>
        </w:rPr>
        <w:t xml:space="preserve">Notes: </w:t>
      </w:r>
      <w:r>
        <w:t>abstract_source=crossref</w:t>
      </w:r>
    </w:p>
    <w:p>
      <w:pPr>
        <w:spacing w:before="0" w:after="200" w:lineRule="auto" w:line="276"/>
      </w:pPr>
      <w:r>
        <w:rPr>
          <w:b/>
        </w:rPr>
        <w:t xml:space="preserve">Abstract: </w:t>
      </w:r>
      <w:r>
        <w:t>Light exerts optical forces on objects, finding numerous applications in physical and biomedical sciences. It is commonly known that the direction of the optical force on a single sphere is dictated by the light field. Thus, actively switching light properties such as polarization is an efficient strategy to control the locomotion of particles. Here, by exploiting the reversible optical force induced by chiral inhomogeneity, we observe self‐swerving behavior in a chiral sphere embedded in water via a linearly polarized light wave. This counterintuitive optical force, arising from Poynting momentum conservation in chiral light‐matter interaction, reverses direction with variations in the chirality gradient, inducing a self‐swerving effect as the particle rotates. Experimentally, we observe that chiral particles, ranging from nanometers to micrometers in size, exhibit self‐swerving behavior under a fixed linear polarization. Our study delves into a novel realm of optical forces in the presence of ubiquitous imperfect or inhomogeneous materials. It enriches the understanding of chiral‐light interactions, and facilitates diverse applications in chiral detection, advanced optical manipulation, and micro‐robots.</w:t>
      </w:r>
    </w:p>
    <w:p>
      <w:pPr>
        <w:spacing w:before="120" w:after="120"/>
      </w:pPr>
      <w:r>
        <w:rPr>
          <w:sz w:val="18"/>
        </w:rPr>
        <w:t>——————————————————————————————————————————————————————————————————————</w:t>
      </w:r>
    </w:p>
    <w:p>
      <w:pPr>
        <w:spacing w:before="160" w:after="80" w:line="240" w:lineRule="auto"/>
      </w:pPr>
      <w:r>
        <w:rPr>
          <w:b/>
        </w:rPr>
        <w:t xml:space="preserve">[348] </w:t>
      </w:r>
      <w:hyperlink r:id="rId585">
        <w:r>
          <w:rPr>
            <w:color w:val="1155CC"/>
            <w:u w:val="single"/>
          </w:rPr>
          <w:t>Precise Strain Tuning of PtPdRhNi Nanozyme Boosts Multi‐Pathogen and Multi‐Model Antibacterial Therapy</w:t>
        </w:r>
      </w:hyperlink>
    </w:p>
    <w:p>
      <w:pPr>
        <w:spacing w:before="0" w:after="120" w:line="240" w:lineRule="auto"/>
      </w:pPr>
      <w:r>
        <w:rPr>
          <w:b/>
        </w:rPr>
        <w:t xml:space="preserve">Source: </w:t>
      </w:r>
      <w:r>
        <w:t>Wiley: Advanced Materials: Table of Contents</w:t>
      </w:r>
      <w:r>
        <w:t xml:space="preserve">    </w:t>
      </w:r>
      <w:r>
        <w:rPr>
          <w:b/>
        </w:rPr>
        <w:t xml:space="preserve">Pub date: </w:t>
      </w:r>
      <w:r>
        <w:t>2026-01-02 07:43:42+00:00</w:t>
      </w:r>
      <w:r>
        <w:t xml:space="preserve">    </w:t>
      </w:r>
      <w:r>
        <w:rPr>
          <w:b/>
        </w:rPr>
        <w:t xml:space="preserve">DOI: </w:t>
      </w:r>
      <w:hyperlink r:id="rId586">
        <w:r>
          <w:rPr>
            <w:color w:val="1155CC"/>
            <w:u w:val="single"/>
          </w:rPr>
          <w:t>10.1002/adma.202518526</w:t>
        </w:r>
      </w:hyperlink>
    </w:p>
    <w:p>
      <w:pPr>
        <w:spacing w:before="0" w:after="120"/>
      </w:pPr>
      <w:r>
        <w:rPr>
          <w:b/>
        </w:rPr>
        <w:t xml:space="preserve">Notes: </w:t>
      </w:r>
      <w:r>
        <w:t>abstract_source=crossref</w:t>
      </w:r>
    </w:p>
    <w:p>
      <w:pPr>
        <w:spacing w:before="0" w:after="200" w:lineRule="auto" w:line="276"/>
      </w:pPr>
      <w:r>
        <w:rPr>
          <w:b/>
        </w:rPr>
        <w:t xml:space="preserve">Abstract: </w:t>
      </w:r>
      <w:r>
        <w:t>Nanozymes are emerging antimicrobial agents that catalyze reactive oxygen species to eliminate pathogenic threats; however, their ability to combat multidrug‐resistant infections remains limited by catalytic efficiency, substrate affinity and instability. Herein, we report a new strategy incorporating Ni into ultrathin PtPdRh nanosheets to engineer lattice strain for enhancing substrate affinity and boosting enzyme‐mimicking catalytic activity. The PtPdRhNi nanozyme achieves a catalytic efficiency (K</w:t>
      </w:r>
      <w:r>
        <w:t xml:space="preserve"> </w:t>
      </w:r>
      <w:r>
        <w:t>cat</w:t>
      </w:r>
      <w:r>
        <w:t xml:space="preserve"> </w:t>
      </w:r>
      <w:r>
        <w:t>/K</w:t>
      </w:r>
      <w:r>
        <w:t xml:space="preserve"> </w:t>
      </w:r>
      <w:r>
        <w:t>m</w:t>
      </w:r>
      <w:r>
        <w:t xml:space="preserve"> </w:t>
      </w:r>
      <w:r>
        <w:t>= 2.05 × 10</w:t>
      </w:r>
      <w:r>
        <w:rPr>
          <w:vertAlign w:val="subscript"/>
        </w:rPr>
        <w:t>6</w:t>
      </w:r>
      <w:r>
        <w:t xml:space="preserve"> </w:t>
      </w:r>
      <w:r>
        <w:t>m</w:t>
      </w:r>
      <w:r>
        <w:t xml:space="preserve"> </w:t>
      </w:r>
      <w:r>
        <w:t>−1</w:t>
      </w:r>
      <w:r>
        <w:t xml:space="preserve"> </w:t>
      </w:r>
      <w:r>
        <w:t>s</w:t>
      </w:r>
      <w:r>
        <w:t xml:space="preserve"> </w:t>
      </w:r>
      <w:r>
        <w:t>−1</w:t>
      </w:r>
      <w:r>
        <w:t xml:space="preserve"> </w:t>
      </w:r>
      <w:r>
        <w:t>), 56.5‐fold higher than PtPdRh and maintains over 90% activity after 15 months. Theoretical calculations reveal Ni incorporation upshifts the</w:t>
      </w:r>
      <w:r>
        <w:t xml:space="preserve"> </w:t>
      </w:r>
      <w:r>
        <w:t>d</w:t>
      </w:r>
      <w:r>
        <w:t xml:space="preserve"> </w:t>
      </w:r>
      <w:r>
        <w:t>‐band center from −1.80 to −1.27 eV and strengthens Pt─O bonding, thus accelerating the activation of H</w:t>
      </w:r>
      <w:r>
        <w:rPr>
          <w:vertAlign w:val="subscript"/>
        </w:rPr>
        <w:t>2</w:t>
      </w:r>
      <w:r>
        <w:t>O</w:t>
      </w:r>
      <w:r>
        <w:rPr>
          <w:vertAlign w:val="subscript"/>
        </w:rPr>
        <w:t>2</w:t>
      </w:r>
      <w:r>
        <w:t>into ·OH. We further demonstrate that PtPdRhNi co‐treated with H</w:t>
      </w:r>
      <w:r>
        <w:rPr>
          <w:vertAlign w:val="subscript"/>
        </w:rPr>
        <w:t>2</w:t>
      </w:r>
      <w:r>
        <w:t>O</w:t>
      </w:r>
      <w:r>
        <w:rPr>
          <w:vertAlign w:val="subscript"/>
        </w:rPr>
        <w:t>2</w:t>
      </w:r>
      <w:r>
        <w:t>achieves 100% eradication of methicillin‐resistant</w:t>
      </w:r>
      <w:r>
        <w:t xml:space="preserve"> </w:t>
      </w:r>
      <w:r>
        <w:t>Staphylococcus aureus</w:t>
      </w:r>
      <w:r>
        <w:t xml:space="preserve"> </w:t>
      </w:r>
      <w:r>
        <w:t>and</w:t>
      </w:r>
      <w:r>
        <w:t xml:space="preserve"> </w:t>
      </w:r>
      <w:r>
        <w:t>Escherichia coli</w:t>
      </w:r>
      <w:r>
        <w:t xml:space="preserve"> </w:t>
      </w:r>
      <w:r>
        <w:t>, as well as over 99.97% killing of</w:t>
      </w:r>
      <w:r>
        <w:t xml:space="preserve"> </w:t>
      </w:r>
      <w:r>
        <w:t>Streptococcus mutans</w:t>
      </w:r>
      <w:r>
        <w:t xml:space="preserve"> </w:t>
      </w:r>
      <w:r>
        <w:t>and</w:t>
      </w:r>
      <w:r>
        <w:t xml:space="preserve"> </w:t>
      </w:r>
      <w:r>
        <w:t>Porphyromonas gingivalis</w:t>
      </w:r>
      <w:r>
        <w:t xml:space="preserve"> </w:t>
      </w:r>
      <w:r>
        <w:t>. Across rat periodontitis,</w:t>
      </w:r>
      <w:r>
        <w:t xml:space="preserve"> </w:t>
      </w:r>
      <w:r>
        <w:t>MRSA</w:t>
      </w:r>
      <w:r>
        <w:t xml:space="preserve"> </w:t>
      </w:r>
      <w:r>
        <w:t>‐infected skin wounds and deep abscess models, this catalytic platform enables rapid bacterial clearance, resolves inflammation and regenerates collagen‐rich tissue. Transcriptomic analysis of</w:t>
      </w:r>
      <w:r>
        <w:t xml:space="preserve"> </w:t>
      </w:r>
      <w:r>
        <w:t>MRSA</w:t>
      </w:r>
      <w:r>
        <w:t xml:space="preserve"> </w:t>
      </w:r>
      <w:r>
        <w:t>exposed to PtPdRhNi with H</w:t>
      </w:r>
      <w:r>
        <w:rPr>
          <w:vertAlign w:val="subscript"/>
        </w:rPr>
        <w:t>2</w:t>
      </w:r>
      <w:r>
        <w:t>O</w:t>
      </w:r>
      <w:r>
        <w:rPr>
          <w:vertAlign w:val="subscript"/>
        </w:rPr>
        <w:t>2</w:t>
      </w:r>
      <w:r>
        <w:t>identifies 1048 differentially expressed genes, revealing respiratory chain and tricarboxylic acid cycle shutdown, weakened antioxidant defenses, leading to energy exhaustion, oxidative damage and transcriptomic reprogramming.</w:t>
      </w:r>
    </w:p>
    <w:p>
      <w:pPr>
        <w:spacing w:before="120" w:after="120"/>
      </w:pPr>
      <w:r>
        <w:rPr>
          <w:sz w:val="18"/>
        </w:rPr>
        <w:t>——————————————————————————————————————————————————————————————————————</w:t>
      </w:r>
    </w:p>
    <w:p>
      <w:pPr>
        <w:spacing w:before="160" w:after="80" w:line="240" w:lineRule="auto"/>
      </w:pPr>
      <w:r>
        <w:rPr>
          <w:b/>
        </w:rPr>
        <w:t xml:space="preserve">[349] </w:t>
      </w:r>
      <w:hyperlink r:id="rId587">
        <w:r>
          <w:rPr>
            <w:color w:val="1155CC"/>
            <w:u w:val="single"/>
          </w:rPr>
          <w:t>A softness zwitterionic micelles efficiently deliver inhaled nintedanib by enhancing airway mucus penetration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588">
        <w:r>
          <w:rPr>
            <w:color w:val="1155CC"/>
            <w:u w:val="single"/>
          </w:rPr>
          <w:t>10.1126/sciadv.ady1030</w:t>
        </w:r>
      </w:hyperlink>
    </w:p>
    <w:p>
      <w:pPr>
        <w:spacing w:before="0" w:after="120"/>
      </w:pPr>
      <w:r>
        <w:rPr>
          <w:b/>
        </w:rPr>
        <w:t xml:space="preserve">Notes: </w:t>
      </w:r>
      <w:r>
        <w:t>abstract_source=crossref</w:t>
      </w:r>
    </w:p>
    <w:p>
      <w:pPr>
        <w:spacing w:before="0" w:after="200" w:lineRule="auto" w:line="276"/>
      </w:pPr>
      <w:r>
        <w:rPr>
          <w:b/>
        </w:rPr>
        <w:t xml:space="preserve">Abstract: </w:t>
      </w:r>
      <w:r>
        <w:t>Inhalation therapy shows great potential for treating idiopathic pulmonary fibrosis (IPF), but airway mucus imposes strong adhesive and steric barriers to drug delivery. Compared with other types of micelles, our results demonstrated that amphiphilic micelles formed by DSPE-PCB [carboxybetaine polymer conjugated to 1,2-distearoyl-</w:t>
      </w:r>
      <w:r>
        <w:t>sn</w:t>
      </w:r>
      <w:r>
        <w:t xml:space="preserve"> </w:t>
      </w:r>
      <w:r>
        <w:t>-glycero-3-phosphoethanolamine (DB)] exhibited superior physicochemical properties for mucus penetration. Furthermore, we found that incorporating a conformationally adaptive azobenzene (Azo) intermediate into DB further enhanced this effect by modulating mechanical properties of micelle. By tuning DB/DAB ratios during self-assembly, we generated a micelle library with adjustable deformability (1- to 40-fold). The enhanced mucus penetration ability led to a nearly fourfold reduction in the retention time of DSPE-Azo-PCB (DAB) micelles in respiratory mucus, significantly increasing drug accumulation in lung tissue and reducing irritation to the respiratory tract. This study integrates both the physicochemical and mechanical properties of micelles to optimize mucus penetration, offering previously unidentified strategies for the development of inhalation formulations.</w:t>
      </w:r>
    </w:p>
    <w:p>
      <w:pPr>
        <w:spacing w:before="120" w:after="120"/>
      </w:pPr>
      <w:r>
        <w:rPr>
          <w:sz w:val="18"/>
        </w:rPr>
        <w:t>——————————————————————————————————————————————————————————————————————</w:t>
      </w:r>
    </w:p>
    <w:p>
      <w:pPr>
        <w:spacing w:before="160" w:after="80" w:line="240" w:lineRule="auto"/>
      </w:pPr>
      <w:r>
        <w:rPr>
          <w:b/>
        </w:rPr>
        <w:t xml:space="preserve">[350] </w:t>
      </w:r>
      <w:hyperlink r:id="rId589">
        <w:r>
          <w:rPr>
            <w:color w:val="1155CC"/>
            <w:u w:val="single"/>
          </w:rPr>
          <w:t>Precision acoustofluidics for high-throughput mechanobiology in suspension cells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590">
        <w:r>
          <w:rPr>
            <w:color w:val="1155CC"/>
            <w:u w:val="single"/>
          </w:rPr>
          <w:t>10.1126/sciadv.ady1136</w:t>
        </w:r>
      </w:hyperlink>
    </w:p>
    <w:p>
      <w:pPr>
        <w:spacing w:before="0" w:after="120"/>
      </w:pPr>
      <w:r>
        <w:rPr>
          <w:b/>
        </w:rPr>
        <w:t xml:space="preserve">Notes: </w:t>
      </w:r>
      <w:r>
        <w:t>abstract_source=crossref</w:t>
      </w:r>
    </w:p>
    <w:p>
      <w:pPr>
        <w:spacing w:before="0" w:after="200" w:lineRule="auto" w:line="276"/>
      </w:pPr>
      <w:r>
        <w:rPr>
          <w:b/>
        </w:rPr>
        <w:t xml:space="preserve">Abstract: </w:t>
      </w:r>
      <w:r>
        <w:t>Mechanomodulation, the process of altering cellular behavior through applied mechanical forces, plays a critical role in physiological processes and has substantial implications for cancer therapy, immunology, and drug development. However, precise and efficient stimulation of nonadherent cells remains a major challenge, limiting the investigation of mechanotransduction pathways and the development of targeted therapeutics. Here, we developed an acoustofluidic platform named Suspension-cell Targeted Response to Excitation via Acoustofluidic Mechanomodulation (STREAM) to enable precise, high-throughput stimulation of suspension cells. STREAM accomplishes this using 101.14-megahertz high-frequency surface acoustic waves to deliver controlled mechanical stimulation at a throughput of 500,000 cells per minute. STREAM modulates intracellular calcium ion (Ca</w:t>
      </w:r>
      <w:r>
        <w:t xml:space="preserve"> </w:t>
      </w:r>
      <w:r>
        <w:t>2+</w:t>
      </w:r>
      <w:r>
        <w:t xml:space="preserve"> </w:t>
      </w:r>
      <w:r>
        <w:t>) signaling by activating mechanosensitive ion channels, triggering mitochondrial membrane disruption and tunable K562 leukemia cell apoptosis rates from 5.15 to 47.1%. STREAM provides a scalable, precise tool for studying mechanotransduction in suspension cells, with broad applications in cancer research, immunotherapy, and high-throughput drug screening.</w:t>
      </w:r>
    </w:p>
    <w:p>
      <w:pPr>
        <w:spacing w:before="120" w:after="120"/>
      </w:pPr>
      <w:r>
        <w:rPr>
          <w:sz w:val="18"/>
        </w:rPr>
        <w:t>——————————————————————————————————————————————————————————————————————</w:t>
      </w:r>
    </w:p>
    <w:p>
      <w:pPr>
        <w:spacing w:before="160" w:after="80" w:line="240" w:lineRule="auto"/>
      </w:pPr>
      <w:r>
        <w:rPr>
          <w:b/>
        </w:rPr>
        <w:t xml:space="preserve">[351] </w:t>
      </w:r>
      <w:hyperlink r:id="rId591">
        <w:r>
          <w:rPr>
            <w:color w:val="1155CC"/>
            <w:u w:val="single"/>
          </w:rPr>
          <w:t>Editor’s note and erratum for the Research Article: “Elusive effects of legalized wolf hunting on human-wolf interactions” by L. M. Merz et al.</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592">
        <w:r>
          <w:rPr>
            <w:color w:val="1155CC"/>
            <w:u w:val="single"/>
          </w:rPr>
          <w:t>10.1126/sciadv.aee9299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[352] </w:t>
      </w:r>
      <w:hyperlink r:id="rId593">
        <w:r>
          <w:rPr>
            <w:color w:val="1155CC"/>
            <w:u w:val="single"/>
          </w:rPr>
          <w:t>Cerebellar Purkinje cell firing reduction contributes to aging-related declining motor coordination in mice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594">
        <w:r>
          <w:rPr>
            <w:color w:val="1155CC"/>
            <w:u w:val="single"/>
          </w:rPr>
          <w:t>10.1073/pnas.2525795122</w:t>
        </w:r>
      </w:hyperlink>
    </w:p>
    <w:p>
      <w:pPr>
        <w:spacing w:before="0" w:after="120"/>
      </w:pPr>
      <w:r>
        <w:rPr>
          <w:b/>
        </w:rPr>
        <w:t xml:space="preserve">Notes: </w:t>
      </w:r>
      <w:r>
        <w:t>abstract_source=crossref</w:t>
      </w:r>
    </w:p>
    <w:p>
      <w:pPr>
        <w:spacing w:before="0" w:after="200" w:lineRule="auto" w:line="276"/>
      </w:pPr>
      <w:r>
        <w:rPr>
          <w:b/>
        </w:rPr>
        <w:t xml:space="preserve">Abstract: </w:t>
      </w:r>
      <w:r>
        <w:t>Aging is associated with the decline of many bodily functions including motor coordination. Aging-related impairment in motor coordination can result in falls, which reduce independence, health span, and quality of life in the elderly. To study the neural mechanisms that underlie this decline, we studied aged mice and observed a progressive decline in motor coordination on multiple motor coordination assays. The cerebellum is critically involved in motor coordination and balance, and cerebellar Purkinje cells play an important role in modulating motor output and coordinated movements. Purkinje cells fire high-frequency and high-regularity action potentials in healthy young adult mice. We wondered whether this firing remained stable across lifespan in aging mice. We performed juxtacellular recordings from Purkinje cells in acute cerebellar slices and observed a reduction in the rate of firing in aged animals without changes in firing regularity. To understand whether reduced Purkinje cell firing rate caused impaired motor performance in aged mice, we used chemogenetics to modulate Purkinje cell firing. Reducing Purkinje cell firing rates in young mice impaired motor performance, while elevating Purkinje cell firing rates in aged mice improved motor performance. Our results suggest that Purkinje cell firing rate impacts motor coordination and that the aging-related reduction of Purkinje cell firing rate that we observed contributes to impaired motor coordination and could contribute to declining health span and quality of life in the elderly.</w:t>
      </w:r>
    </w:p>
    <w:p>
      <w:pPr>
        <w:spacing w:before="120" w:after="120"/>
      </w:pPr>
      <w:r>
        <w:rPr>
          <w:sz w:val="18"/>
        </w:rPr>
        <w:t>——————————————————————————————————————————————————————————————————————</w:t>
      </w:r>
    </w:p>
    <w:p>
      <w:pPr>
        <w:spacing w:before="160" w:after="80" w:line="240" w:lineRule="auto"/>
      </w:pPr>
      <w:r>
        <w:rPr>
          <w:b/>
        </w:rPr>
        <w:t xml:space="preserve">[353] </w:t>
      </w:r>
      <w:hyperlink r:id="rId595">
        <w:r>
          <w:rPr>
            <w:color w:val="1155CC"/>
            <w:u w:val="single"/>
          </w:rPr>
          <w:t>Self-supervised AI for decoding and designing disordered metamaterials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596">
        <w:r>
          <w:rPr>
            <w:color w:val="1155CC"/>
            <w:u w:val="single"/>
          </w:rPr>
          <w:t>10.1126/sciadv.adx7389</w:t>
        </w:r>
      </w:hyperlink>
    </w:p>
    <w:p>
      <w:pPr>
        <w:spacing w:before="0" w:after="120"/>
      </w:pPr>
      <w:r>
        <w:rPr>
          <w:b/>
        </w:rPr>
        <w:t xml:space="preserve">Notes: </w:t>
      </w:r>
      <w:r>
        <w:t>abstract_source=crossref</w:t>
      </w:r>
    </w:p>
    <w:p>
      <w:pPr>
        <w:spacing w:before="0" w:after="200" w:lineRule="auto" w:line="276"/>
      </w:pPr>
      <w:r>
        <w:rPr>
          <w:b/>
        </w:rPr>
        <w:t xml:space="preserve">Abstract: </w:t>
      </w:r>
      <w:r>
        <w:t>Disordered microstructures are key to the distinct multifunctional properties of many natural materials. However, understanding the relationship between their microstructures and physical functions remains formidable, hindering engineering applications. Here, we introduce a physics-guided, self-supervised artificial intelligence (AI) framework called generative networks for disordered metamaterials (GNDM), trained on a progressively expanding dataset starting from a few initial samples. We integrate a formula writing module in the training process of neural networks to enforce the identification of the most selective set of hidden geometric invariants that dictate bulk properties. By inversely solving the formulae, GNDM manipulate disordered geometric features to extrapolate property space and design previously unknown structures via its generator module, validated by experiments. GNDM offers an all-in-one AI framework that closes the loop of feature extraction, property prediction, formula writing, and inverse design, unraveling the regulative role of disorder, a critical challenge in the study of metamaterials with complex microstructures.</w:t>
      </w:r>
    </w:p>
    <w:p>
      <w:pPr>
        <w:spacing w:before="120" w:after="120"/>
      </w:pPr>
      <w:r>
        <w:rPr>
          <w:sz w:val="18"/>
        </w:rPr>
        <w:t>——————————————————————————————————————————————————————————————————————</w:t>
      </w:r>
    </w:p>
    <w:p>
      <w:pPr>
        <w:spacing w:before="160" w:after="80" w:line="240" w:lineRule="auto"/>
      </w:pPr>
      <w:r>
        <w:rPr>
          <w:b/>
        </w:rPr>
        <w:t xml:space="preserve">[354] </w:t>
      </w:r>
      <w:hyperlink r:id="rId597">
        <w:r>
          <w:rPr>
            <w:color w:val="1155CC"/>
            <w:u w:val="single"/>
          </w:rPr>
          <w:t>In situ mechanostimulation of biohybrid millirobots for enhanced cell functionality and delivery</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598">
        <w:r>
          <w:rPr>
            <w:color w:val="1155CC"/>
            <w:u w:val="single"/>
          </w:rPr>
          <w:t>10.1126/sciadv.adx9616</w:t>
        </w:r>
      </w:hyperlink>
    </w:p>
    <w:p>
      <w:pPr>
        <w:spacing w:before="0" w:after="120"/>
      </w:pPr>
      <w:r>
        <w:rPr>
          <w:b/>
        </w:rPr>
        <w:t xml:space="preserve">Notes: </w:t>
      </w:r>
      <w:r>
        <w:t>abstract_source=crossref</w:t>
      </w:r>
    </w:p>
    <w:p>
      <w:pPr>
        <w:spacing w:before="0" w:after="200" w:lineRule="auto" w:line="276"/>
      </w:pPr>
      <w:r>
        <w:rPr>
          <w:b/>
        </w:rPr>
        <w:t xml:space="preserve">Abstract: </w:t>
      </w:r>
      <w:r>
        <w:t>This study proposes a perforated, soft millirobot with dual functions: in situ mechanostimulation to enhance cell functionality and local cell delivery. Following protein modification and silica coating, the soft millirobots exhibit excellent biocompatibility, promoting cell adhesion and tissue ingrowth within their perforated architectures under both in vitro and in vivo conditions. They can apply in situ mechanostimulation to various cellular morphologies, including two-dimensional (2D) cell sheets, 3D cell–laden hydrogels, and ex vivo tissue models. The mechanical stimulation improves the functionality of muscle cells by enhancing cellular orientation, myotube contraction, and myocyte differentiation. In parallel, we develop an integrated robotic platform combining magnetic actuation with ultrasound imaging. It demonstrates the proof of principle that delivers 2D cell-sheet and 3D cell–laden biohybrid millirobots to narrow regions in an ex vivo pig liver model. This work expands the potential applications of soft millirobots in mechanobiology studies and future cell-based therapies.</w:t>
      </w:r>
    </w:p>
    <w:p>
      <w:pPr>
        <w:spacing w:before="120" w:after="120"/>
      </w:pPr>
      <w:r>
        <w:rPr>
          <w:sz w:val="18"/>
        </w:rPr>
        <w:t>——————————————————————————————————————————————————————————————————————</w:t>
      </w:r>
    </w:p>
    <w:p>
      <w:pPr>
        <w:spacing w:before="160" w:after="80" w:line="240" w:lineRule="auto"/>
      </w:pPr>
      <w:r>
        <w:rPr>
          <w:b/>
        </w:rPr>
        <w:t xml:space="preserve">[355] </w:t>
      </w:r>
      <w:hyperlink r:id="rId599">
        <w:r>
          <w:rPr>
            <w:color w:val="1155CC"/>
            <w:u w:val="single"/>
          </w:rPr>
          <w:t>Design of solubly expressed miniaturized SMART MHCs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00">
        <w:r>
          <w:rPr>
            <w:color w:val="1155CC"/>
            <w:u w:val="single"/>
          </w:rPr>
          <w:t>10.1073/pnas.2505932123</w:t>
        </w:r>
      </w:hyperlink>
    </w:p>
    <w:p>
      <w:pPr>
        <w:spacing w:before="0" w:after="120"/>
      </w:pPr>
      <w:r>
        <w:rPr>
          <w:b/>
        </w:rPr>
        <w:t xml:space="preserve">Notes: </w:t>
      </w:r>
      <w:r>
        <w:t>abstract_source=crossref</w:t>
      </w:r>
    </w:p>
    <w:p>
      <w:pPr>
        <w:spacing w:before="0" w:after="200" w:lineRule="auto" w:line="276"/>
      </w:pPr>
      <w:r>
        <w:rPr>
          <w:b/>
        </w:rPr>
        <w:t xml:space="preserve">Abstract: </w:t>
      </w:r>
      <w:r>
        <w:t>The precise recognition of specific peptide–major histocompatibility complex (pMHC) complexes by T cell receptors (TCRs) plays a key role in infectious disease, cancer, and autoimmunity. A critical step in many immunobiological studies is the identification of T cells expressing TCRs specific to a given pMHC antigen. However, the intrinsic instability of empty class-I MHCs limits their soluble expression in</w:t>
      </w:r>
      <w:r>
        <w:t xml:space="preserve"> </w:t>
      </w:r>
      <w:r>
        <w:t>Escherichia coli</w:t>
      </w:r>
      <w:r>
        <w:t xml:space="preserve"> </w:t>
      </w:r>
      <w:r>
        <w:t>and makes it very difficult to characterize even a small fraction of possible pMHC/TCR interactions. To overcome this limitation, we designed small proteins which buttress the peptide binding groove of class I MHCs, replacing β2-microglobulin (β2m) and the heavy chain α3 domain, and enable soluble and partially soluble expression in</w:t>
      </w:r>
      <w:r>
        <w:t xml:space="preserve"> </w:t>
      </w:r>
      <w:r>
        <w:t>E. coli</w:t>
      </w:r>
      <w:r>
        <w:t xml:space="preserve"> </w:t>
      </w:r>
      <w:r>
        <w:t>of H-2D</w:t>
      </w:r>
      <w:r>
        <w:t xml:space="preserve"> </w:t>
      </w:r>
      <w:r>
        <w:t>b</w:t>
      </w:r>
      <w:r>
        <w:t xml:space="preserve"> </w:t>
      </w:r>
      <w:r>
        <w:t>and A*02:01, respectively. We demonstrate that these soluble, monomeric, antigen-receptive, truncated (SMART) MHCs retain both peptide- and TCR-binding specificity and that peptide-bound structures of both allomorphs are similar to their full-length, native counterparts. With extension to the majority of HLA alleles, SMART MHCs should be broadly useful for probing the T cell repertoire in approaches ranging from yeast display to T cell staining.</w:t>
      </w:r>
    </w:p>
    <w:p>
      <w:pPr>
        <w:spacing w:before="120" w:after="120"/>
      </w:pPr>
      <w:r>
        <w:rPr>
          <w:sz w:val="18"/>
        </w:rPr>
        <w:t>——————————————————————————————————————————————————————————————————————</w:t>
      </w:r>
    </w:p>
    <w:p>
      <w:pPr>
        <w:spacing w:before="160" w:after="80" w:line="240" w:lineRule="auto"/>
      </w:pPr>
      <w:r>
        <w:rPr>
          <w:b/>
        </w:rPr>
        <w:t xml:space="preserve">[356] </w:t>
      </w:r>
      <w:hyperlink r:id="rId601">
        <w:r>
          <w:rPr>
            <w:color w:val="1155CC"/>
            <w:u w:val="single"/>
          </w:rPr>
          <w:t>AI-assisted protein design to rapidly convert antibody sequences to intrabodies targeting diverse peptides and histone modifications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02">
        <w:r>
          <w:rPr>
            <w:color w:val="1155CC"/>
            <w:u w:val="single"/>
          </w:rPr>
          <w:t>10.1126/sciadv.adx8352</w:t>
        </w:r>
      </w:hyperlink>
    </w:p>
    <w:p>
      <w:pPr>
        <w:spacing w:before="0" w:after="120"/>
      </w:pPr>
      <w:r>
        <w:rPr>
          <w:b/>
        </w:rPr>
        <w:t xml:space="preserve">Notes: </w:t>
      </w:r>
      <w:r>
        <w:t>abstract_source=crossref</w:t>
      </w:r>
    </w:p>
    <w:p>
      <w:pPr>
        <w:spacing w:before="0" w:after="200" w:lineRule="auto" w:line="276"/>
      </w:pPr>
      <w:r>
        <w:rPr>
          <w:b/>
        </w:rPr>
        <w:t xml:space="preserve">Abstract: </w:t>
      </w:r>
      <w:r>
        <w:t>Intrabodies are engineered antibodies that function inside living cells, enabling therapeutic, diagnostic, and imaging applications. While powerful, their development has been hindered by challenges associated with their folding, solubility, and stability in the reduced intracellular environment. Here, we present an artificial intelligence–driven pipeline integrating AlphaFold2, ProteinMPNN, and live-cell screening to optimize antibody framework regions while preserving epitope-binding complementarity-determining regions. Using this approach, we successfully converted 19 of 26 antibody sequences into functional single-chain variable fragment intrabodies, including a panel targeting diverse histone modifications for real-time imaging of chromatin dynamics and gene regulation. Notably, 18 of these 19 sequences had failed to convert using the standard approach, demonstrating the unique effectiveness of our method. As antibody sequence databases expand, our method will accelerate intrabody design, making their development easier, more cost effective, and broadly accessible for biological research.</w:t>
      </w:r>
    </w:p>
    <w:p>
      <w:pPr>
        <w:spacing w:before="120" w:after="120"/>
      </w:pPr>
      <w:r>
        <w:rPr>
          <w:sz w:val="18"/>
        </w:rPr>
        <w:t>——————————————————————————————————————————————————————————————————————</w:t>
      </w:r>
    </w:p>
    <w:p>
      <w:pPr>
        <w:spacing w:before="160" w:after="80" w:line="240" w:lineRule="auto"/>
      </w:pPr>
      <w:r>
        <w:rPr>
          <w:b/>
        </w:rPr>
        <w:t xml:space="preserve">[357] </w:t>
      </w:r>
      <w:hyperlink r:id="rId603">
        <w:r>
          <w:rPr>
            <w:color w:val="1155CC"/>
            <w:u w:val="single"/>
          </w:rPr>
          <w:t>Multi-ignition fire complexes drive extreme fire years and impacts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04">
        <w:r>
          <w:rPr>
            <w:color w:val="1155CC"/>
            <w:u w:val="single"/>
          </w:rPr>
          <w:t>10.1126/sciadv.adx6477</w:t>
        </w:r>
      </w:hyperlink>
    </w:p>
    <w:p>
      <w:pPr>
        <w:spacing w:before="0" w:after="120"/>
      </w:pPr>
      <w:r>
        <w:rPr>
          <w:b/>
        </w:rPr>
        <w:t xml:space="preserve">Notes: </w:t>
      </w:r>
      <w:r>
        <w:t>abstract_source=crossref</w:t>
      </w:r>
    </w:p>
    <w:p>
      <w:pPr>
        <w:spacing w:before="0" w:after="200" w:lineRule="auto" w:line="276"/>
      </w:pPr>
      <w:r>
        <w:rPr>
          <w:b/>
        </w:rPr>
        <w:t xml:space="preserve">Abstract: </w:t>
      </w:r>
      <w:r>
        <w:t>Climate change is intensifying fire behavior, with the largest and fastest-spreading fires causing the greatest impacts on people and ecosystems. Yet the mechanisms driving variability and trends in large fires remain poorly understood. Using 12-hour satellite-derived fire tracking data from 2012 to 2023, we show that the merging of separate ignitions into multi-ignition complexes is a key process amplifying fire size and destructive potential across temperate and boreal ecoregions. Multi-ignition fires account for 31% of the burned area in California and 59% in the Arctic-boreal domain, spread faster and persist longer than single-ignition fires, and disproportionately contribute to extreme fire years in California, Canada, and Siberia. They also generate stronger atmospheric feedbacks, produce more pyrocumulonimbus events, and strain firefighting capacity by dispersing suppression resources. Recognizing and accounting for fire-merging dynamics are critical for improving wildfire prediction, risk assessment, and management.</w:t>
      </w:r>
    </w:p>
    <w:p>
      <w:pPr>
        <w:spacing w:before="120" w:after="120"/>
      </w:pPr>
      <w:r>
        <w:rPr>
          <w:sz w:val="18"/>
        </w:rPr>
        <w:t>——————————————————————————————————————————————————————————————————————</w:t>
      </w:r>
    </w:p>
    <w:p>
      <w:pPr>
        <w:spacing w:before="160" w:after="80" w:line="240" w:lineRule="auto"/>
      </w:pPr>
      <w:r>
        <w:rPr>
          <w:b/>
        </w:rPr>
        <w:t xml:space="preserve">[358] </w:t>
      </w:r>
      <w:hyperlink r:id="rId605">
        <w:r>
          <w:rPr>
            <w:color w:val="1155CC"/>
            <w:u w:val="single"/>
          </w:rPr>
          <w:t>Gradient interfacial water dynamics for stable aqueous metal anodes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06">
        <w:r>
          <w:rPr>
            <w:color w:val="1155CC"/>
            <w:u w:val="single"/>
          </w:rPr>
          <w:t>10.1073/pnas.2525975123</w:t>
        </w:r>
      </w:hyperlink>
    </w:p>
    <w:p>
      <w:pPr>
        <w:spacing w:before="0" w:after="120"/>
      </w:pPr>
      <w:r>
        <w:rPr>
          <w:b/>
        </w:rPr>
        <w:t xml:space="preserve">Notes: </w:t>
      </w:r>
      <w:r>
        <w:t>abstract_source=crossref</w:t>
      </w:r>
    </w:p>
    <w:p>
      <w:pPr>
        <w:spacing w:before="0" w:after="200" w:lineRule="auto" w:line="276"/>
      </w:pPr>
      <w:r>
        <w:rPr>
          <w:b/>
        </w:rPr>
        <w:t xml:space="preserve">Abstract: </w:t>
      </w:r>
      <w:r>
        <w:t>The deployment of renewable energy necessitates reliable grid-scale storage technologies. Aqueous metal battery systems are one of the promising candidates due to high safety, low cost, and high theoretical capacity of metal anodes, yet their long-term stability is hindered by dendritic growth and parasitic water-induced side reactions. In particular, in the case of aqueous zinc (Zn) batteries, high water reactivity at the metal anode results in hydrogen evolution and corrosion in conventional ZnSO</w:t>
      </w:r>
      <w:r>
        <w:rPr>
          <w:vertAlign w:val="subscript"/>
        </w:rPr>
        <w:t>4</w:t>
      </w:r>
      <w:r>
        <w:t>aqueous electrolytes. However, restrained water activity often leads to slow charge transport kinetics of solvated cations, limiting the high-rate operation capability of aqueous batteries. Here, we report a gradient composite hydrogel interlayer incorporating vermiculite (VMT) nanosheets within a polyacrylamide polymer matrix to synergistically regulate interfacial water dynamics and stabilize Zn anodes. Abundant hydroxyl groups and negatively charged silicate layers in VMT nanosheets strongly interact with adjacent water molecules, converting free water into bound water to suppress its activity. Charge transport behaviors of Zn ions in the hydrogel interlayer are further improved by rationally tuning the water activity along the depth of the interlayer, resulting in high ion diffusion kinetics close to the bulk electrolyte. Therefore, such a design enables Zn||Zn symmetric cells to stably cycle for over 2,000 h at 5 mA cm</w:t>
      </w:r>
      <w:r>
        <w:t xml:space="preserve"> </w:t>
      </w:r>
      <w:r>
        <w:t>−2</w:t>
      </w:r>
      <w:r>
        <w:t xml:space="preserve"> </w:t>
      </w:r>
      <w:r>
        <w:t>and 5 mAh cm</w:t>
      </w:r>
      <w:r>
        <w:t xml:space="preserve"> </w:t>
      </w:r>
      <w:r>
        <w:t>−2</w:t>
      </w:r>
      <w:r>
        <w:t xml:space="preserve"> </w:t>
      </w:r>
      <w:r>
        <w:t>, and sustain high current densities up to 40 mA cm</w:t>
      </w:r>
      <w:r>
        <w:t xml:space="preserve"> </w:t>
      </w:r>
      <w:r>
        <w:t>−2</w:t>
      </w:r>
      <w:r>
        <w:t xml:space="preserve"> </w:t>
      </w:r>
      <w:r>
        <w:t>. This work brings critical scientific understanding on interfacial water dynamics and highlights its importance for durable metal anode during operation, advancing aqueous batteries toward practical grid-scale energy storage.</w:t>
      </w:r>
    </w:p>
    <w:p>
      <w:pPr>
        <w:spacing w:before="120" w:after="120"/>
      </w:pPr>
      <w:r>
        <w:rPr>
          <w:sz w:val="18"/>
        </w:rPr>
        <w:t>——————————————————————————————————————————————————————————————————————</w:t>
      </w:r>
    </w:p>
    <w:p>
      <w:pPr>
        <w:spacing w:before="160" w:after="80" w:line="240" w:lineRule="auto"/>
      </w:pPr>
      <w:r>
        <w:rPr>
          <w:b/>
        </w:rPr>
        <w:t xml:space="preserve">[359] </w:t>
      </w:r>
      <w:hyperlink r:id="rId607">
        <w:r>
          <w:rPr>
            <w:color w:val="1155CC"/>
            <w:u w:val="single"/>
          </w:rPr>
          <w:t>Tracing 2500 years of human betaherpesvirus 6A and 6B diversity through ancient DNA</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08">
        <w:r>
          <w:rPr>
            <w:color w:val="1155CC"/>
            <w:u w:val="single"/>
          </w:rPr>
          <w:t>10.1126/sciadv.adx5460</w:t>
        </w:r>
      </w:hyperlink>
    </w:p>
    <w:p>
      <w:pPr>
        <w:spacing w:before="0" w:after="120"/>
      </w:pPr>
      <w:r>
        <w:rPr>
          <w:b/>
        </w:rPr>
        <w:t xml:space="preserve">Notes: </w:t>
      </w:r>
      <w:r>
        <w:t>abstract_source=crossref</w:t>
      </w:r>
    </w:p>
    <w:p>
      <w:pPr>
        <w:spacing w:before="0" w:after="200" w:lineRule="auto" w:line="276"/>
      </w:pPr>
      <w:r>
        <w:rPr>
          <w:b/>
        </w:rPr>
        <w:t xml:space="preserve">Abstract: </w:t>
      </w:r>
      <w:r>
        <w:t>Human betaherpesviruses 6A and 6B (HHV-6A/6B) are DNA viruses, which integrate into the human genome, and are best known to cause “sixth disease.” Despite their recent discovery (1980s), they were speculated to have a much longer history within the human population than modern data suggest. We present the first 11 ancient genomes of HHV-6A and HHV-6B, dating as far back as the 8th to 6th century BCE. We demonstrate that large fractions of current HHV-6 diversity were already established by the 14th century CE. Our data corroborate that HHV-6A/6B integrations stem from ancient founder events. In addition, we show that all known inherited chromosomally integrated HHV-6A clades were already represented in historical populations, confirming that HHV-6A no longer integrates into the germ line within populations of European ancestry and likely endogenized in early human history.</w:t>
      </w:r>
    </w:p>
    <w:p>
      <w:pPr>
        <w:spacing w:before="120" w:after="120"/>
      </w:pPr>
      <w:r>
        <w:rPr>
          <w:sz w:val="18"/>
        </w:rPr>
        <w:t>——————————————————————————————————————————————————————————————————————</w:t>
      </w:r>
    </w:p>
    <w:p>
      <w:pPr>
        <w:spacing w:before="160" w:after="80" w:line="240" w:lineRule="auto"/>
      </w:pPr>
      <w:r>
        <w:rPr>
          <w:b/>
        </w:rPr>
        <w:t xml:space="preserve">[360] </w:t>
      </w:r>
      <w:hyperlink r:id="rId609">
        <w:r>
          <w:rPr>
            <w:color w:val="1155CC"/>
            <w:u w:val="single"/>
          </w:rPr>
          <w:t>Adaptive multimodal swimming gaits in a reconfigurable modular soft robotic fish</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10">
        <w:r>
          <w:rPr>
            <w:color w:val="1155CC"/>
            <w:u w:val="single"/>
          </w:rPr>
          <w:t>10.1126/sciadv.aea1299</w:t>
        </w:r>
      </w:hyperlink>
    </w:p>
    <w:p>
      <w:pPr>
        <w:spacing w:before="0" w:after="120"/>
      </w:pPr>
      <w:r>
        <w:rPr>
          <w:b/>
        </w:rPr>
        <w:t xml:space="preserve">Notes: </w:t>
      </w:r>
      <w:r>
        <w:t>abstract_source=crossref</w:t>
      </w:r>
    </w:p>
    <w:p>
      <w:pPr>
        <w:spacing w:before="0" w:after="200" w:lineRule="auto" w:line="276"/>
      </w:pPr>
      <w:r>
        <w:rPr>
          <w:b/>
        </w:rPr>
        <w:t xml:space="preserve">Abstract: </w:t>
      </w:r>
      <w:r>
        <w:t>Fish swim with four main gaits—anguilliform, subcarangiform, carangiform, and thunniform—produced by waves along varying portions of the body. However, how muscle activation length influences swimming performance remains poorly understood. We present a reconfigurable robotic fish that replicates all four gaits in a single platform by rapidly tuning its body stiffness. Vacuum-driven layer jamming muscles in four tensegrity joints enable quick (≤1 s) stiffness modulation (stiffness ratio of 46.6) and gait switching. In thunniform gait, the robot reaches 1.24 body lengths per second, whereas in anguilliform gait, it achieves agile maneuvering with a turning radius of 0.26 body lengths. Fluid simulations show that the thunniform gait generates stronger vortices and 142% more thrust compared with anguilliform motion at 5 Hz, explaining its high-speed performance. The robot dynamically adapts gaits during locomotion—using thunniform for fast traversal and anguilliform for obstacle negotiation—demonstrating environmental adaptability. This work advances understanding of aquatic multimodal locomotion.</w:t>
      </w:r>
    </w:p>
    <w:p>
      <w:pPr>
        <w:spacing w:before="120" w:after="120"/>
      </w:pPr>
      <w:r>
        <w:rPr>
          <w:sz w:val="18"/>
        </w:rPr>
        <w:t>——————————————————————————————————————————————————————————————————————</w:t>
      </w:r>
    </w:p>
    <w:p>
      <w:pPr>
        <w:spacing w:before="160" w:after="80" w:line="240" w:lineRule="auto"/>
      </w:pPr>
      <w:r>
        <w:rPr>
          <w:b/>
        </w:rPr>
        <w:t xml:space="preserve">[361] </w:t>
      </w:r>
      <w:hyperlink r:id="rId611">
        <w:r>
          <w:rPr>
            <w:color w:val="1155CC"/>
            <w:u w:val="single"/>
          </w:rPr>
          <w:t>Sustainable thermal paper formulation using lignocellulosic biomass fractions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12">
        <w:r>
          <w:rPr>
            <w:color w:val="1155CC"/>
            <w:u w:val="single"/>
          </w:rPr>
          <w:t>10.1126/sciadv.adw9912</w:t>
        </w:r>
      </w:hyperlink>
    </w:p>
    <w:p>
      <w:pPr>
        <w:spacing w:before="0" w:after="120"/>
      </w:pPr>
      <w:r>
        <w:rPr>
          <w:b/>
        </w:rPr>
        <w:t xml:space="preserve">Notes: </w:t>
      </w:r>
      <w:r>
        <w:t>abstract_source=crossref</w:t>
      </w:r>
    </w:p>
    <w:p>
      <w:pPr>
        <w:spacing w:before="0" w:after="200" w:lineRule="auto" w:line="276"/>
      </w:pPr>
      <w:r>
        <w:rPr>
          <w:b/>
        </w:rPr>
        <w:t xml:space="preserve">Abstract: </w:t>
      </w:r>
      <w:r>
        <w:t>Thermal paper presents widely recognized health hazards due to its formulations containing bisphenol A (BPA) and bisphenol S (BPS) as color developers with limited research on safer alternatives. Here, we introduce sustainable thermal paper formulations built with functionalized lignin polymers and lignin-derived esters, combined with a sensitizer derived from xylan. Light-colored lignin polymer was obtained via sequential aldehyde-assisted fractionation, which reduced chromophore concentration through multiple extraction cycles. Good performance was achieved with polymeric lignin (color density at 120°C ≈ 0.8 to 1.1) when combined with xylan-derived diformylxylose (DFX), each of which is produced directly by simple biomass fractionation. Coatings remained stable for over a year under ambient conditions. Last, lignin-based developers showed estrogenic activity that was two to three orders of magnitude lower than BPA and one to two orders of magnitude lower than BPS, while the DFX sensitizer showed no signs of estrogenic activity or toxicity to bacteria or algae.</w:t>
      </w:r>
    </w:p>
    <w:p>
      <w:pPr>
        <w:spacing w:before="120" w:after="120"/>
      </w:pPr>
      <w:r>
        <w:rPr>
          <w:sz w:val="18"/>
        </w:rPr>
        <w:t>——————————————————————————————————————————————————————————————————————</w:t>
      </w:r>
    </w:p>
    <w:p>
      <w:pPr>
        <w:spacing w:before="160" w:after="80" w:line="240" w:lineRule="auto"/>
      </w:pPr>
      <w:r>
        <w:rPr>
          <w:b/>
        </w:rPr>
        <w:t xml:space="preserve">[362] </w:t>
      </w:r>
      <w:hyperlink r:id="rId613">
        <w:r>
          <w:rPr>
            <w:color w:val="1155CC"/>
            <w:u w:val="single"/>
          </w:rPr>
          <w:t>Facile active gel–enhanced synthesis of molecular-sieving membranes with record-breaking performance</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14">
        <w:r>
          <w:rPr>
            <w:color w:val="1155CC"/>
            <w:u w:val="single"/>
          </w:rPr>
          <w:t>10.1126/sciadv.adz9934</w:t>
        </w:r>
      </w:hyperlink>
    </w:p>
    <w:p>
      <w:pPr>
        <w:spacing w:before="0" w:after="120"/>
      </w:pPr>
      <w:r>
        <w:rPr>
          <w:b/>
        </w:rPr>
        <w:t xml:space="preserve">Notes: </w:t>
      </w:r>
      <w:r>
        <w:t>abstract_source=crossref</w:t>
      </w:r>
    </w:p>
    <w:p>
      <w:pPr>
        <w:spacing w:before="0" w:after="200" w:lineRule="auto" w:line="276"/>
      </w:pPr>
      <w:r>
        <w:rPr>
          <w:b/>
        </w:rPr>
        <w:t xml:space="preserve">Abstract: </w:t>
      </w:r>
      <w:r>
        <w:t>Microporous frameworks serve as excellent foundational components for constructing selectively permeable continuous membranes or films with broad practical applications. Current crystalline microporous membranes/films often suffer from limited molecular sieving performance due to intergranular boundary defects introduced during the prolonged conventional hydrothermal/solvothermal synthesis. Here, we report an active gel–enhanced synthesis route that markedly accelerates the fabrication of slow-crystallizing microporous high-silica zeolite membranes, reducing synthesis time from days to hours—approximately 20-fold faster than conventional methods. This achievement was made possible by combining a supersaturated, nucleus-rich active gel with a substantially enhanced crystallization rate, enabling uniform and sufficient nucleus loading on the support and the subsequent rapid formation of continuous zeolite membranes, regardless of support morphology or the presence of seeds. Using this strategy, we rapidly synthesized high-quality zeolite membranes that demonstrated record-breaking separation performance over previously reported counterparts—one order of magnitude higher in separation performance index. This rapid fabrication method for continuous microporous membranes/films could greatly broaden their application fields.</w:t>
      </w:r>
    </w:p>
    <w:p>
      <w:pPr>
        <w:spacing w:before="120" w:after="120"/>
      </w:pPr>
      <w:r>
        <w:rPr>
          <w:sz w:val="18"/>
        </w:rPr>
        <w:t>——————————————————————————————————————————————————————————————————————</w:t>
      </w:r>
    </w:p>
    <w:p>
      <w:pPr>
        <w:spacing w:before="160" w:after="80" w:line="240" w:lineRule="auto"/>
      </w:pPr>
      <w:r>
        <w:rPr>
          <w:b/>
        </w:rPr>
        <w:t xml:space="preserve">[363] </w:t>
      </w:r>
      <w:hyperlink r:id="rId615">
        <w:r>
          <w:rPr>
            <w:color w:val="1155CC"/>
            <w:u w:val="single"/>
          </w:rPr>
          <w:t>Perturbation of NAD(P)H metabolism with the LbNOX xenotopic tool extends lifespan and mitigates age-related changes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16">
        <w:r>
          <w:rPr>
            <w:color w:val="1155CC"/>
            <w:u w:val="single"/>
          </w:rPr>
          <w:t>10.1126/sciadv.ady0628</w:t>
        </w:r>
      </w:hyperlink>
    </w:p>
    <w:p>
      <w:pPr>
        <w:spacing w:before="0" w:after="120"/>
      </w:pPr>
      <w:r>
        <w:rPr>
          <w:b/>
        </w:rPr>
        <w:t xml:space="preserve">Notes: </w:t>
      </w:r>
      <w:r>
        <w:t>abstract_source=crossref</w:t>
      </w:r>
    </w:p>
    <w:p>
      <w:pPr>
        <w:spacing w:before="0" w:after="200" w:lineRule="auto" w:line="276"/>
      </w:pPr>
      <w:r>
        <w:rPr>
          <w:b/>
        </w:rPr>
        <w:t xml:space="preserve">Abstract: </w:t>
      </w:r>
      <w:r>
        <w:t>Aging involves widespread metabolic dysregulation, including a decline in total nicotinamide adenine dinucleotide (NAD) levels. While NAD precursor supplementation elevates total NAD levels, it does not reveal tissue-specific effects of an altered NADH [reduced form of NAD</w:t>
      </w:r>
      <w:r>
        <w:t xml:space="preserve"> </w:t>
      </w:r>
      <w:r>
        <w:t>+</w:t>
      </w:r>
      <w:r>
        <w:t xml:space="preserve"> </w:t>
      </w:r>
      <w:r>
        <w:t>(oxidized NAD)]/NAD</w:t>
      </w:r>
      <w:r>
        <w:t xml:space="preserve"> </w:t>
      </w:r>
      <w:r>
        <w:t>+</w:t>
      </w:r>
      <w:r>
        <w:t xml:space="preserve"> </w:t>
      </w:r>
      <w:r>
        <w:t>balance. To address this, we generated transgenic</w:t>
      </w:r>
      <w:r>
        <w:t xml:space="preserve"> </w:t>
      </w:r>
      <w:r>
        <w:t>Drosophila</w:t>
      </w:r>
      <w:r>
        <w:t xml:space="preserve"> </w:t>
      </w:r>
      <w:r>
        <w:t>expressing the genetically encoded xenotopic enzyme</w:t>
      </w:r>
      <w:r>
        <w:t xml:space="preserve"> </w:t>
      </w:r>
      <w:r>
        <w:t>Lb</w:t>
      </w:r>
      <w:r>
        <w:t xml:space="preserve"> </w:t>
      </w:r>
      <w:r>
        <w:t>NOX, which converts NADH to NAD</w:t>
      </w:r>
      <w:r>
        <w:t xml:space="preserve"> </w:t>
      </w:r>
      <w:r>
        <w:t>+</w:t>
      </w:r>
      <w:r>
        <w:t xml:space="preserve"> </w:t>
      </w:r>
      <w:r>
        <w:t>.</w:t>
      </w:r>
      <w:r>
        <w:t xml:space="preserve"> </w:t>
      </w:r>
      <w:r>
        <w:t>Lb</w:t>
      </w:r>
      <w:r>
        <w:t xml:space="preserve"> </w:t>
      </w:r>
      <w:r>
        <w:t>NOX expression modulated both NAD(H) and NADP(H) (reduced form of NAD phosphate) metabolites in a sex-dependent manner and rescued neuronal cell death induced by mutant αB-crystallin–associated reductive stress. We demonstrate that tissue-specific targeting of redox NAD metabolism shows distinct outcomes: Muscle-specific</w:t>
      </w:r>
      <w:r>
        <w:t xml:space="preserve"> </w:t>
      </w:r>
      <w:r>
        <w:t>Lb</w:t>
      </w:r>
      <w:r>
        <w:t xml:space="preserve"> </w:t>
      </w:r>
      <w:r>
        <w:t>NOX expression confers stronger protection against paraquat-induced oxidative stress than whole-body expression, emphasizing tissue-dependent redox sensitivity. Notably,</w:t>
      </w:r>
      <w:r>
        <w:t xml:space="preserve"> </w:t>
      </w:r>
      <w:r>
        <w:t>Lb</w:t>
      </w:r>
      <w:r>
        <w:t xml:space="preserve"> </w:t>
      </w:r>
      <w:r>
        <w:t>NOX expression in nonneuronal tissues restored youthful sleep patterns in aged flies. Together, these findings establish</w:t>
      </w:r>
      <w:r>
        <w:t xml:space="preserve"> </w:t>
      </w:r>
      <w:r>
        <w:t>Lb</w:t>
      </w:r>
      <w:r>
        <w:t xml:space="preserve"> </w:t>
      </w:r>
      <w:r>
        <w:t>NOX as an efficient xenotopic tool for in vivo redox manipulation and reveal tissue- and sex-specific NAD(P)H mechanisms underlying aging, stress resilience, and sleep regulation, providing a framework for NAD-based interventions in aging.</w:t>
      </w:r>
    </w:p>
    <w:p>
      <w:pPr>
        <w:spacing w:before="120" w:after="120"/>
      </w:pPr>
      <w:r>
        <w:rPr>
          <w:sz w:val="18"/>
        </w:rPr>
        <w:t>——————————————————————————————————————————————————————————————————————</w:t>
      </w:r>
    </w:p>
    <w:p>
      <w:pPr>
        <w:spacing w:before="160" w:after="80" w:line="240" w:lineRule="auto"/>
      </w:pPr>
      <w:r>
        <w:rPr>
          <w:b/>
        </w:rPr>
        <w:t xml:space="preserve">[364] </w:t>
      </w:r>
      <w:hyperlink r:id="rId617">
        <w:r>
          <w:rPr>
            <w:color w:val="1155CC"/>
            <w:u w:val="single"/>
          </w:rPr>
          <w:t>Experimental coherent one-way quantum key distribution with simplicity and practical security</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18">
        <w:r>
          <w:rPr>
            <w:color w:val="1155CC"/>
            <w:u w:val="single"/>
          </w:rPr>
          <w:t>10.1126/sciadv.aec2776</w:t>
        </w:r>
      </w:hyperlink>
    </w:p>
    <w:p>
      <w:pPr>
        <w:spacing w:before="0" w:after="120"/>
      </w:pPr>
      <w:r>
        <w:rPr>
          <w:b/>
        </w:rPr>
        <w:t xml:space="preserve">Notes: </w:t>
      </w:r>
      <w:r>
        <w:t>abstract_source=crossref</w:t>
      </w:r>
    </w:p>
    <w:p>
      <w:pPr>
        <w:spacing w:before="0" w:after="200" w:lineRule="auto" w:line="276"/>
      </w:pPr>
      <w:r>
        <w:rPr>
          <w:b/>
        </w:rPr>
        <w:t xml:space="preserve">Abstract: </w:t>
      </w:r>
      <w:r>
        <w:t>Coherent one-way quantum key distribution (COW-QKD) has been widely investigated and even been deployed in real-world quantum network. However, the proposal of the zero-error attack has critically undermined its security guarantees, and existing experimental implementations have not yet established security against coherent attacks. In this work, we propose and experimentally demonstrate an information–theoretically secure COW-QKD protocol that can resist source side-channel attacks, with secure transmission distances up to 100 kilometers. Our system achieves a secure key rate on the order of kilobits per second over 50 kilometers in the finite-size regime, sufficient for real-time secure voice communication across metropolitan networks. Furthermore, we demonstrate the encrypted transmission of a logo with information-theoretic security over 100 kilometers of optical fiber. These results confirm that COW-QKD can simultaneously provide simplicity and security, establishing it as a strong candidate for deployment in small-scale quantum networks.</w:t>
      </w:r>
    </w:p>
    <w:p>
      <w:pPr>
        <w:spacing w:before="120" w:after="120"/>
      </w:pPr>
      <w:r>
        <w:rPr>
          <w:sz w:val="18"/>
        </w:rPr>
        <w:t>——————————————————————————————————————————————————————————————————————</w:t>
      </w:r>
    </w:p>
    <w:p>
      <w:pPr>
        <w:spacing w:before="160" w:after="80" w:line="240" w:lineRule="auto"/>
      </w:pPr>
      <w:r>
        <w:rPr>
          <w:b/>
        </w:rPr>
        <w:t xml:space="preserve">[365] </w:t>
      </w:r>
      <w:hyperlink r:id="rId619">
        <w:r>
          <w:rPr>
            <w:color w:val="1155CC"/>
            <w:u w:val="single"/>
          </w:rPr>
          <w:t>BCMA/CD19 CAR T cell therapy for refractory myasthenia gravis: Proteomic signatures and single-cell transcriptomics of disease flares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20">
        <w:r>
          <w:rPr>
            <w:color w:val="1155CC"/>
            <w:u w:val="single"/>
          </w:rPr>
          <w:t>10.1126/sciadv.aeb6424</w:t>
        </w:r>
      </w:hyperlink>
    </w:p>
    <w:p>
      <w:pPr>
        <w:spacing w:before="0" w:after="120"/>
      </w:pPr>
      <w:r>
        <w:rPr>
          <w:b/>
        </w:rPr>
        <w:t xml:space="preserve">Notes: </w:t>
      </w:r>
      <w:r>
        <w:t>abstract_source=crossref</w:t>
      </w:r>
    </w:p>
    <w:p>
      <w:pPr>
        <w:spacing w:before="0" w:after="200" w:lineRule="auto" w:line="276"/>
      </w:pPr>
      <w:r>
        <w:rPr>
          <w:b/>
        </w:rPr>
        <w:t xml:space="preserve">Abstract: </w:t>
      </w:r>
      <w:r>
        <w:t>Myasthenia gravis (MG) is an autoimmune disorder characterized by B cell dysfunction. Here, we designed B cell maturation antigen (BCMA)/CD19 chimeric antigen receptor T cell (CAR T cell) therapy for six refractory MGs, demonstrating favorable safety with grade 1 cytokine release syndrome observed. CAR T cell expansion induced profound B cell depletion, a sustained reduction in acetylcholine receptor (AChR) antibody titers, and symptom improvement. Five patients achieved drug-free remission with minimal manifestations by month 6, persisting through the 12-month follow-up despite B cell reconstitution. Reconstituted B cells showed naïve predominance with diminished AChR specificity and functional capacities. Olink proteomics revealed up-regulation of anti-inflammatory factors, along with down-regulation of proinflammatory molecules. Single-cell sequencing revealed that age-associated B cells (ABCs) were up-regulated in a relapsed patient, and differential gene analysis indicated that Fc receptor-like 5 (FCRL5) expression was elevated in ABCs, whereas CAR T cell responders exhibited a down-regulated trend. Notably, similar ABC expansion and FCRL5 up-regulation occurred in rituximab-relapsed patients. Our findings support BCMA/CD19 CAR T cell therapy as feasible, tolerable, and effective in MG, identifying FCRL5 as a previously unidentified target in relapse.</w:t>
      </w:r>
    </w:p>
    <w:p>
      <w:pPr>
        <w:spacing w:before="120" w:after="120"/>
      </w:pPr>
      <w:r>
        <w:rPr>
          <w:sz w:val="18"/>
        </w:rPr>
        <w:t>——————————————————————————————————————————————————————————————————————</w:t>
      </w:r>
    </w:p>
    <w:p>
      <w:pPr>
        <w:spacing w:before="160" w:after="80" w:line="240" w:lineRule="auto"/>
      </w:pPr>
      <w:r>
        <w:rPr>
          <w:b/>
        </w:rPr>
        <w:t xml:space="preserve">[366] </w:t>
      </w:r>
      <w:hyperlink r:id="rId621">
        <w:r>
          <w:rPr>
            <w:color w:val="1155CC"/>
            <w:u w:val="single"/>
          </w:rPr>
          <w:t>Stabilized perovskite ink for scalable coating enables high-efficiency perovskite modules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22">
        <w:r>
          <w:rPr>
            <w:color w:val="1155CC"/>
            <w:u w:val="single"/>
          </w:rPr>
          <w:t>10.1126/sciadv.aec0915</w:t>
        </w:r>
      </w:hyperlink>
    </w:p>
    <w:p>
      <w:pPr>
        <w:spacing w:before="0" w:after="120"/>
      </w:pPr>
      <w:r>
        <w:rPr>
          <w:b/>
        </w:rPr>
        <w:t xml:space="preserve">Notes: </w:t>
      </w:r>
      <w:r>
        <w:t>abstract_source=crossref</w:t>
      </w:r>
    </w:p>
    <w:p>
      <w:pPr>
        <w:spacing w:before="0" w:after="200" w:lineRule="auto" w:line="276"/>
      </w:pPr>
      <w:r>
        <w:rPr>
          <w:b/>
        </w:rPr>
        <w:t xml:space="preserve">Abstract: </w:t>
      </w:r>
      <w:r>
        <w:t>Perovskite inks play critical roles in determining film quality and device performance, and ink stability is desired to ensure high device reproducibility. Here, we reveal the instability issue of current cesium-formamidinium lead triiodide (Cs</w:t>
      </w:r>
      <w:r>
        <w:t xml:space="preserve"> </w:t>
      </w:r>
      <w:r>
        <w:t>x</w:t>
      </w:r>
      <w:r>
        <w:t xml:space="preserve"> </w:t>
      </w:r>
      <w:r>
        <w:t>FA</w:t>
      </w:r>
      <w:r>
        <w:t xml:space="preserve"> </w:t>
      </w:r>
      <w:r>
        <w:t>1−</w:t>
      </w:r>
      <w:r>
        <w:t>x</w:t>
      </w:r>
      <w:r>
        <w:t xml:space="preserve"> </w:t>
      </w:r>
      <w:r>
        <w:t>PbI</w:t>
      </w:r>
      <w:r>
        <w:rPr>
          <w:vertAlign w:val="subscript"/>
        </w:rPr>
        <w:t>3</w:t>
      </w:r>
      <w:r>
        <w:t>) inks whose aggregation and precipitation tendencies are induced by excessively strong solvent-lead-halide coordination. By modulating coordination strength between precursor salts and solvents, we identify solvent coordination-dispersion equilibrium as the governing factor for ink stability and develop a stable ink that exhibits a remarkable increase in the shelf life. It effectively tunes ink drying and film crystallization, resulting in blade-coated perovskite films with excellent uniformity and low defect density. This enhancement led to increased aperture efficiency of ambient-fabricated p-i-n perovskite modules to 23.5%. The resultant devices also exhibit high durability, and 99% of the initial PCE was retained after 1700 hours of maximum power point tracking following the ISOS-L-2 standard protocol.</w:t>
      </w:r>
    </w:p>
    <w:p>
      <w:pPr>
        <w:spacing w:before="120" w:after="120"/>
      </w:pPr>
      <w:r>
        <w:rPr>
          <w:sz w:val="18"/>
        </w:rPr>
        <w:t>——————————————————————————————————————————————————————————————————————</w:t>
      </w:r>
    </w:p>
    <w:p>
      <w:pPr>
        <w:spacing w:before="160" w:after="80" w:line="240" w:lineRule="auto"/>
      </w:pPr>
      <w:r>
        <w:rPr>
          <w:b/>
        </w:rPr>
        <w:t xml:space="preserve">[367] </w:t>
      </w:r>
      <w:hyperlink r:id="rId623">
        <w:r>
          <w:rPr>
            <w:color w:val="1155CC"/>
            <w:u w:val="single"/>
          </w:rPr>
          <w:t>A behavioral integration mechanism underlies action timing</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24">
        <w:r>
          <w:rPr>
            <w:color w:val="1155CC"/>
            <w:u w:val="single"/>
          </w:rPr>
          <w:t>10.1126/sciadv.aea5558</w:t>
        </w:r>
      </w:hyperlink>
    </w:p>
    <w:p>
      <w:pPr>
        <w:spacing w:before="0" w:after="120"/>
      </w:pPr>
      <w:r>
        <w:rPr>
          <w:b/>
        </w:rPr>
        <w:t xml:space="preserve">Notes: </w:t>
      </w:r>
      <w:r>
        <w:t>abstract_source=crossref</w:t>
      </w:r>
    </w:p>
    <w:p>
      <w:pPr>
        <w:spacing w:before="0" w:after="200" w:lineRule="auto" w:line="276"/>
      </w:pPr>
      <w:r>
        <w:rPr>
          <w:b/>
        </w:rPr>
        <w:t xml:space="preserve">Abstract: </w:t>
      </w:r>
      <w:r>
        <w:t>Animals often display stereotyped behavioral patterns during timekeeping tasks. However, it remains unclear whether these behaviors are simply incidental—used by the animals to kill time—or whether they serve a functional role as part of the internal clock that enables animals to keep time. Here, using optogenetic stimulation of various brainstem, thalamic, and dopaminergic cell populations in mice trained on an action-timing task, we manipulated actions preceding the timing decision to causally test these hypotheses. Our findings show that bidirectional regulation of actions during the waiting period leads to corresponding temporal shifts in timing, with a consistent quantitative relationship between changes in the number of waiting-period actions and shifts in stop timing. Notably, nigrostriatal dopamine encodes actions, but not timing, directly, influencing timing only when waiting-period actions are modulated. These findings reveal a behavioral integration mechanism underlying action timing, in which actions performed during the waiting period function as a pacemaker for the internal clock.</w:t>
      </w:r>
    </w:p>
    <w:p>
      <w:pPr>
        <w:spacing w:before="120" w:after="120"/>
      </w:pPr>
      <w:r>
        <w:rPr>
          <w:sz w:val="18"/>
        </w:rPr>
        <w:t>——————————————————————————————————————————————————————————————————————</w:t>
      </w:r>
    </w:p>
    <w:p>
      <w:pPr>
        <w:spacing w:before="160" w:after="80" w:line="240" w:lineRule="auto"/>
      </w:pPr>
      <w:r>
        <w:rPr>
          <w:b/>
        </w:rPr>
        <w:t xml:space="preserve">[368] </w:t>
      </w:r>
      <w:hyperlink r:id="rId625">
        <w:r>
          <w:rPr>
            <w:color w:val="1155CC"/>
            <w:u w:val="single"/>
          </w:rPr>
          <w:t>Organic lateral heterostructures with interfacial fluctuation for polarization-resolved photonics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26">
        <w:r>
          <w:rPr>
            <w:color w:val="1155CC"/>
            <w:u w:val="single"/>
          </w:rPr>
          <w:t>10.1126/sciadv.aea6228</w:t>
        </w:r>
      </w:hyperlink>
    </w:p>
    <w:p>
      <w:pPr>
        <w:spacing w:before="0" w:after="120"/>
      </w:pPr>
      <w:r>
        <w:rPr>
          <w:b/>
        </w:rPr>
        <w:t xml:space="preserve">Notes: </w:t>
      </w:r>
      <w:r>
        <w:t>abstract_source=crossref</w:t>
      </w:r>
    </w:p>
    <w:p>
      <w:pPr>
        <w:spacing w:before="0" w:after="200" w:lineRule="auto" w:line="276"/>
      </w:pPr>
      <w:r>
        <w:rPr>
          <w:b/>
        </w:rPr>
        <w:t xml:space="preserve">Abstract: </w:t>
      </w:r>
      <w:r>
        <w:t>Organic lateral heterostructures (OLHs) based on two-dimensional (2D) molecular crystals are formed through the coplanar assembly of multiple components, and they hold great promise for optoelectronic applications. However, the precise construction of 2D OLHs with noncoplanar epitaxial layers remains challenging, limiting further exploration of lateral heterojunctions. Here, we present a stepwise vapor-phase growth strategy for synthesizing 2D OLHs with interfacial fluctuation, forming convex, flat, and concave architectures. During the lateral epitaxial growth processes, higher growth temperatures enhance molecular deposition, driving the transition of the secondary component from in-plane to out-of-plane growth. Consequently, the epitaxial layer thickness is precisely tuned from 20 to 800 nm by increasing the growth temperature. The resulting OLHs exhibit orthogonally polarized exciton conversion, with dual photoluminescence emission bands at 450 and 670 nm, functioning as multimode photonic converters. These findings provide a strategy to regulate the epitaxial growth route of 2D OLHs, paving the way for integrated photonic circuits.</w:t>
      </w:r>
    </w:p>
    <w:p>
      <w:pPr>
        <w:spacing w:before="120" w:after="120"/>
      </w:pPr>
      <w:r>
        <w:rPr>
          <w:sz w:val="18"/>
        </w:rPr>
        <w:t>——————————————————————————————————————————————————————————————————————</w:t>
      </w:r>
    </w:p>
    <w:p>
      <w:pPr>
        <w:spacing w:before="160" w:after="80" w:line="240" w:lineRule="auto"/>
      </w:pPr>
      <w:r>
        <w:rPr>
          <w:b/>
        </w:rPr>
        <w:t xml:space="preserve">[369] </w:t>
      </w:r>
      <w:hyperlink r:id="rId627">
        <w:r>
          <w:rPr>
            <w:color w:val="1155CC"/>
            <w:u w:val="single"/>
          </w:rPr>
          <w:t>Single-nucleus multiomics of murine gonads reveals transcriptional regulatory network underlying supporting lineage differentiation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28">
        <w:r>
          <w:rPr>
            <w:color w:val="1155CC"/>
            <w:u w:val="single"/>
          </w:rPr>
          <w:t>10.1126/sciadv.aea7403</w:t>
        </w:r>
      </w:hyperlink>
    </w:p>
    <w:p>
      <w:pPr>
        <w:spacing w:before="0" w:after="120"/>
      </w:pPr>
      <w:r>
        <w:rPr>
          <w:b/>
        </w:rPr>
        <w:t xml:space="preserve">Notes: </w:t>
      </w:r>
      <w:r>
        <w:t>abstract_source=crossref</w:t>
      </w:r>
    </w:p>
    <w:p>
      <w:pPr>
        <w:spacing w:before="0" w:after="200" w:lineRule="auto" w:line="276"/>
      </w:pPr>
      <w:r>
        <w:rPr>
          <w:b/>
        </w:rPr>
        <w:t xml:space="preserve">Abstract: </w:t>
      </w:r>
      <w:r>
        <w:t>Sex determination of mammalian gonads hinges upon sex-specific differentiation of gonadal supporting cells: Sertoli cells in the testis and granulosa cells in the ovary. To gain insights into how supporting cells acquire their identities, we performed joint single-nucleus transcriptomics and chromatin accessibility assays on murine gonadal cells during sex determination. By contrasting sex-specific gene expression and corresponding chromatin accessibility among progenitor and differentiated cells, we found that sex-specific chromatin regions in supporting cells are established shortly after sex determination, accompanied by the acquisition of active histone marks. The presence of potential transcription factor–binding motifs in the open chromatin regions revealed regulatory networks underlying ovary-enriched factors LEF1 and MSX1, which promote granulosa fate by inducing granulosa-specific genes such as</w:t>
      </w:r>
      <w:r>
        <w:t xml:space="preserve"> </w:t>
      </w:r>
      <w:r>
        <w:t>Foxl2</w:t>
      </w:r>
      <w:r>
        <w:t xml:space="preserve"> </w:t>
      </w:r>
      <w:r>
        <w:t>and</w:t>
      </w:r>
      <w:r>
        <w:t xml:space="preserve"> </w:t>
      </w:r>
      <w:r>
        <w:t>Fst</w:t>
      </w:r>
      <w:r>
        <w:t xml:space="preserve"> </w:t>
      </w:r>
      <w:r>
        <w:t>. Our results not only identify the gene regulatory framework underlying supporting cell sex differentiation but also provide invaluable resources for the field.</w:t>
      </w:r>
    </w:p>
    <w:p>
      <w:pPr>
        <w:spacing w:before="120" w:after="120"/>
      </w:pPr>
      <w:r>
        <w:rPr>
          <w:sz w:val="18"/>
        </w:rPr>
        <w:t>——————————————————————————————————————————————————————————————————————</w:t>
      </w:r>
    </w:p>
    <w:p>
      <w:pPr>
        <w:spacing w:before="160" w:after="80" w:line="240" w:lineRule="auto"/>
      </w:pPr>
      <w:r>
        <w:rPr>
          <w:b/>
        </w:rPr>
        <w:t xml:space="preserve">[370] </w:t>
      </w:r>
      <w:hyperlink r:id="rId629">
        <w:r>
          <w:rPr>
            <w:color w:val="1155CC"/>
            <w:u w:val="single"/>
          </w:rPr>
          <w:t>Architectural principles of transporter-chaperone coupling within the native MHC I peptide-loading complex</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30">
        <w:r>
          <w:rPr>
            <w:color w:val="1155CC"/>
            <w:u w:val="single"/>
          </w:rPr>
          <w:t>10.1126/sciadv.aea7735</w:t>
        </w:r>
      </w:hyperlink>
    </w:p>
    <w:p>
      <w:pPr>
        <w:spacing w:before="0" w:after="120"/>
      </w:pPr>
      <w:r>
        <w:rPr>
          <w:b/>
        </w:rPr>
        <w:t xml:space="preserve">Notes: </w:t>
      </w:r>
      <w:r>
        <w:t>abstract_source=crossref</w:t>
      </w:r>
    </w:p>
    <w:p>
      <w:pPr>
        <w:spacing w:before="0" w:after="200" w:lineRule="auto" w:line="276"/>
      </w:pPr>
      <w:r>
        <w:rPr>
          <w:b/>
        </w:rPr>
        <w:t xml:space="preserve">Abstract: </w:t>
      </w:r>
      <w:r>
        <w:t>Adaptive immunity depends on major histocompatibility complex class I (MHC I) presentation of peptides, a process orchestrated by the peptide-loading complex (PLC) in the endoplasmic reticulum (ER). The PLC ensures precise peptide selection and loading and is a major target of viral immune evasion, notably by human cytomegalovirus (HCMV). Here, we report the 2.59- to 2.88-Å cryo–electron microscopy structure of native human PLC bound to the HCMV immune evasin US6. US6 inhibits the transporter associated with antigen processing 1/2 (TAP1/2) by laterally attaching its transmembrane helix to TAP2 using a disulfide-rich domain to mimic a translocating peptide. This domain blocks the ER-lumenal exit and locks TAP in an outward-facing conformation with closed nucleotide-binding domains and asymmetric adenosine 5′-triphosphate/adenosine 5′-diphosphate occlusion. The structure also reveals how TAP’s amino-terminal transmembrane domains scaffold the MHC I chaperone tapasin. These findings elucidate the mechanism of US6-mediated immune evasion and highlight potential targets for therapeutic modulation of immune presentation in infection and cancer.</w:t>
      </w:r>
    </w:p>
    <w:p>
      <w:pPr>
        <w:spacing w:before="120" w:after="120"/>
      </w:pPr>
      <w:r>
        <w:rPr>
          <w:sz w:val="18"/>
        </w:rPr>
        <w:t>——————————————————————————————————————————————————————————————————————</w:t>
      </w:r>
    </w:p>
    <w:p>
      <w:pPr>
        <w:spacing w:before="160" w:after="80" w:line="240" w:lineRule="auto"/>
      </w:pPr>
      <w:r>
        <w:rPr>
          <w:b/>
        </w:rPr>
        <w:t xml:space="preserve">[371] </w:t>
      </w:r>
      <w:hyperlink r:id="rId631">
        <w:r>
          <w:rPr>
            <w:color w:val="1155CC"/>
            <w:u w:val="single"/>
          </w:rPr>
          <w:t>Multienergy x-ray imaging enabled by unipolar perovskite detector for intelligent substance identification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32">
        <w:r>
          <w:rPr>
            <w:color w:val="1155CC"/>
            <w:u w:val="single"/>
          </w:rPr>
          <w:t>10.1126/sciadv.adz0228</w:t>
        </w:r>
      </w:hyperlink>
    </w:p>
    <w:p>
      <w:pPr>
        <w:spacing w:before="0" w:after="120"/>
      </w:pPr>
      <w:r>
        <w:rPr>
          <w:b/>
        </w:rPr>
        <w:t xml:space="preserve">Notes: </w:t>
      </w:r>
      <w:r>
        <w:t>abstract_source=crossref</w:t>
      </w:r>
    </w:p>
    <w:p>
      <w:pPr>
        <w:spacing w:before="0" w:after="200" w:lineRule="auto" w:line="276"/>
      </w:pPr>
      <w:r>
        <w:rPr>
          <w:b/>
        </w:rPr>
        <w:t xml:space="preserve">Abstract: </w:t>
      </w:r>
      <w:r>
        <w:t>A challenge with state-of-the-art projection x-ray imaging technologies is their limited ability to identify unknown substances. Here, we develop an intelligent multienergy x-ray imaging technique capable of precisely distinguishing different substances and labeling them with diverse colors. Our design uses a series of x-ray attenuation coefficient ratios under different x-ray energies as substance-specific markers. For this purpose, unipolar perovskite x-ray detectors are carefully engineered to resolve the x-ray energies into seven channels using a customized algorithm. Combining machine learning and a comprehensive x-ray attenuation ratio database of common materials enables accurate recognition of low-density biological tissues composed of light elements with similar atomic numbers. By transforming the intensity scale in conventional x-ray images into an attenuation coefficient ratio, our work presents a proof of concept for color-coded x-ray imaging, highlighting its potential for applications in energy-dispersive computed tomography, targeted drug delivery, quantum physics, and universe exploration.</w:t>
      </w:r>
    </w:p>
    <w:p>
      <w:pPr>
        <w:spacing w:before="120" w:after="120"/>
      </w:pPr>
      <w:r>
        <w:rPr>
          <w:sz w:val="18"/>
        </w:rPr>
        <w:t>——————————————————————————————————————————————————————————————————————</w:t>
      </w:r>
    </w:p>
    <w:p>
      <w:pPr>
        <w:spacing w:before="160" w:after="80" w:line="240" w:lineRule="auto"/>
      </w:pPr>
      <w:r>
        <w:rPr>
          <w:b/>
        </w:rPr>
        <w:t xml:space="preserve">[372] </w:t>
      </w:r>
      <w:hyperlink r:id="rId633">
        <w:r>
          <w:rPr>
            <w:color w:val="1155CC"/>
            <w:u w:val="single"/>
          </w:rPr>
          <w:t>Nickel-catalyzed radical relay enabled chemoselective fluoroalkyl-borylation of [1.1.1]propellane under kinetic control</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34">
        <w:r>
          <w:rPr>
            <w:color w:val="1155CC"/>
            <w:u w:val="single"/>
          </w:rPr>
          <w:t>10.1126/sciadv.aea8588</w:t>
        </w:r>
      </w:hyperlink>
    </w:p>
    <w:p>
      <w:pPr>
        <w:spacing w:before="0" w:after="120"/>
      </w:pPr>
      <w:r>
        <w:rPr>
          <w:b/>
        </w:rPr>
        <w:t xml:space="preserve">Notes: </w:t>
      </w:r>
      <w:r>
        <w:t>abstract_source=crossref</w:t>
      </w:r>
    </w:p>
    <w:p>
      <w:pPr>
        <w:spacing w:before="0" w:after="200" w:lineRule="auto" w:line="276"/>
      </w:pPr>
      <w:r>
        <w:rPr>
          <w:b/>
        </w:rPr>
        <w:t xml:space="preserve">Abstract: </w:t>
      </w:r>
      <w:r>
        <w:t>Recently, fluoroalkyl-substituted bicyclo[1.1.1]pentanes (BCPs) have attracted considerable attention from the medicinal chemistry community due to their superior physicochemical properties as pharmaceutical bioisosteres of benzene rings. However, related early medicinal research is hampered by a number of challenges, including insufficient and lengthy construction of valuable fluoroalkyl BCP building blocks. Here, we report a general approach to fluoroalkyl-substituted BCP-BPins in a single step using [1.1.1]propellane and economical B</w:t>
      </w:r>
      <w:r>
        <w:rPr>
          <w:vertAlign w:val="subscript"/>
        </w:rPr>
        <w:t>2</w:t>
      </w:r>
      <w:r>
        <w:t>Pin</w:t>
      </w:r>
      <w:r>
        <w:rPr>
          <w:vertAlign w:val="subscript"/>
        </w:rPr>
        <w:t>2</w:t>
      </w:r>
      <w:r>
        <w:t>in which fluoroalkylhalides serve as radical precursors in conjunction with C─C/C─B couplings featuring mild conditions, easy setup, and broad scope. The diverse transformation of active boryl is applicable to the synthesis of valuable fluorinated bicyclic building blocks, including a commercial drug analog. Detailed mechanism and kinetic studies suggest that the key to the excellent three-component coupling selectivity of the reaction is the different tendencies of BCP-nickel and fluoroalkyl-nickel species to undergo C─Ni bond cleavage or reductive elimination.</w:t>
      </w:r>
    </w:p>
    <w:p>
      <w:pPr>
        <w:spacing w:before="120" w:after="120"/>
      </w:pPr>
      <w:r>
        <w:rPr>
          <w:sz w:val="18"/>
        </w:rPr>
        <w:t>——————————————————————————————————————————————————————————————————————</w:t>
      </w:r>
    </w:p>
    <w:p>
      <w:pPr>
        <w:spacing w:before="160" w:after="80" w:line="240" w:lineRule="auto"/>
      </w:pPr>
      <w:r>
        <w:rPr>
          <w:b/>
        </w:rPr>
        <w:t xml:space="preserve">[373] </w:t>
      </w:r>
      <w:hyperlink r:id="rId635">
        <w:r>
          <w:rPr>
            <w:color w:val="1155CC"/>
            <w:u w:val="single"/>
          </w:rPr>
          <w:t>FSP1 and histone deacetylases suppress cancer persister cell ferroptosis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36">
        <w:r>
          <w:rPr>
            <w:color w:val="1155CC"/>
            <w:u w:val="single"/>
          </w:rPr>
          <w:t>10.1126/sciadv.aea8771</w:t>
        </w:r>
      </w:hyperlink>
    </w:p>
    <w:p>
      <w:pPr>
        <w:spacing w:before="0" w:after="120"/>
      </w:pPr>
      <w:r>
        <w:rPr>
          <w:b/>
        </w:rPr>
        <w:t xml:space="preserve">Notes: </w:t>
      </w:r>
      <w:r>
        <w:t>abstract_source=crossref</w:t>
      </w:r>
    </w:p>
    <w:p>
      <w:pPr>
        <w:spacing w:before="0" w:after="200" w:lineRule="auto" w:line="276"/>
      </w:pPr>
      <w:r>
        <w:rPr>
          <w:b/>
        </w:rPr>
        <w:t xml:space="preserve">Abstract: </w:t>
      </w:r>
      <w:r>
        <w:t>Cancer persister cells which survive oncogene targeted therapies are sensitized to ferroptosis, but mechanistic understanding of this vulnerability remains limited. Here, we found that while levels of iron, glutathione, and various ferroptosis-suppressing enzymes vary among persister cell types, ferroptosis suppressor protein 1 (FSP1) is down-regulated in multiple persister cell types, and persister cells which survive glutathione peroxidase 4 (GPX4) inhibition rely on residual FSP1 to survive. Furthermore, persister cells which survive GPX4 inhibition down-regulate oxidative phosphorylation, a key source of mitochondrial reactive oxygen species which are required for persister cell ferroptosis. We also found that persister cell treatment with histone deacetylase inhibitors induces reactive oxygen species and sensitizes multiple persister cell types to GPX4 inhibition. Together, these findings reveal that FSP1 and histone deacetylases suppress persister cell ferroptosis.</w:t>
      </w:r>
    </w:p>
    <w:p>
      <w:pPr>
        <w:spacing w:before="120" w:after="120"/>
      </w:pPr>
      <w:r>
        <w:rPr>
          <w:sz w:val="18"/>
        </w:rPr>
        <w:t>——————————————————————————————————————————————————————————————————————</w:t>
      </w:r>
    </w:p>
    <w:p>
      <w:pPr>
        <w:spacing w:before="160" w:after="80" w:line="240" w:lineRule="auto"/>
      </w:pPr>
      <w:r>
        <w:rPr>
          <w:b/>
        </w:rPr>
        <w:t xml:space="preserve">[374] </w:t>
      </w:r>
      <w:hyperlink r:id="rId637">
        <w:r>
          <w:rPr>
            <w:color w:val="1155CC"/>
            <w:u w:val="single"/>
          </w:rPr>
          <w:t>Dynamic changes in phycosphere carbonate chemistry reveal rapid modulation of carbon uptake in single diatom cells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38">
        <w:r>
          <w:rPr>
            <w:color w:val="1155CC"/>
            <w:u w:val="single"/>
          </w:rPr>
          <w:t>10.1126/sciadv.ady8646</w:t>
        </w:r>
      </w:hyperlink>
    </w:p>
    <w:p>
      <w:pPr>
        <w:spacing w:before="0" w:after="120"/>
      </w:pPr>
      <w:r>
        <w:rPr>
          <w:b/>
        </w:rPr>
        <w:t xml:space="preserve">Notes: </w:t>
      </w:r>
      <w:r>
        <w:t>abstract_source=crossref</w:t>
      </w:r>
    </w:p>
    <w:p>
      <w:pPr>
        <w:spacing w:before="0" w:after="200" w:lineRule="auto" w:line="276"/>
      </w:pPr>
      <w:r>
        <w:rPr>
          <w:b/>
        </w:rPr>
        <w:t xml:space="preserve">Abstract: </w:t>
      </w:r>
      <w:r>
        <w:t>Diatoms use multiple mechanisms of dissolved inorganic carbon (DIC) uptake to maintain CO</w:t>
      </w:r>
      <w:r>
        <w:rPr>
          <w:vertAlign w:val="subscript"/>
        </w:rPr>
        <w:t>2</w:t>
      </w:r>
      <w:r>
        <w:t>supply to RuBisCO (ribulose-1,5-bisphosphate carboxylase/oxygenase), but how these different pathways are coordinated in response to rapid changes in their environment remains unclear. By measuring the dynamic changes in phycosphere carbonate chemistry around single diatom cells, we show that DIC uptake is rapidly modulated. We find that external carbonic anhydrase (eCA) plays a major role in DIC uptake in large centric diatoms at ambient seawater CO</w:t>
      </w:r>
      <w:r>
        <w:rPr>
          <w:vertAlign w:val="subscript"/>
        </w:rPr>
        <w:t>2</w:t>
      </w:r>
      <w:r>
        <w:t>, but there is a strong switch to direct HCO</w:t>
      </w:r>
      <w:r>
        <w:rPr>
          <w:vertAlign w:val="subscript"/>
        </w:rPr>
        <w:t>3</w:t>
      </w:r>
      <w:r>
        <w:t>−</w:t>
      </w:r>
      <w:r>
        <w:t>uptake under low CO</w:t>
      </w:r>
      <w:r>
        <w:rPr>
          <w:vertAlign w:val="subscript"/>
        </w:rPr>
        <w:t>2</w:t>
      </w:r>
      <w:r>
        <w:t>. Inhibition of eCA leads to rapid activation of HCO</w:t>
      </w:r>
      <w:r>
        <w:rPr>
          <w:vertAlign w:val="subscript"/>
        </w:rPr>
        <w:t>3</w:t>
      </w:r>
      <w:r>
        <w:t>−</w:t>
      </w:r>
      <w:r>
        <w:t>uptake, which can compensate for the loss of eCA activity under lower irradiances. These different modes of DIC uptake have distinct influences on phycosphere carbonate chemistry that may directly affect nutrient acquisition and biotic interactions. Our findings reveal that dynamic modulation of DIC uptake allows diatoms to rapidly respond to changes in CO</w:t>
      </w:r>
      <w:r>
        <w:rPr>
          <w:vertAlign w:val="subscript"/>
        </w:rPr>
        <w:t>2</w:t>
      </w:r>
      <w:r>
        <w:t>supply and demand.</w:t>
      </w:r>
    </w:p>
    <w:p>
      <w:pPr>
        <w:spacing w:before="120" w:after="120"/>
      </w:pPr>
      <w:r>
        <w:rPr>
          <w:sz w:val="18"/>
        </w:rPr>
        <w:t>——————————————————————————————————————————————————————————————————————</w:t>
      </w:r>
    </w:p>
    <w:p>
      <w:pPr>
        <w:spacing w:before="160" w:after="80" w:line="240" w:lineRule="auto"/>
      </w:pPr>
      <w:r>
        <w:rPr>
          <w:b/>
        </w:rPr>
        <w:t xml:space="preserve">[375] </w:t>
      </w:r>
      <w:hyperlink r:id="rId639">
        <w:r>
          <w:rPr>
            <w:color w:val="1155CC"/>
            <w:u w:val="single"/>
          </w:rPr>
          <w:t>Metaoptics merging computational optics and optical computing toward intelligent visual perception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40">
        <w:r>
          <w:rPr>
            <w:color w:val="1155CC"/>
            <w:u w:val="single"/>
          </w:rPr>
          <w:t>10.1126/sciadv.aea8941</w:t>
        </w:r>
      </w:hyperlink>
    </w:p>
    <w:p>
      <w:pPr>
        <w:spacing w:before="0" w:after="120"/>
      </w:pPr>
      <w:r>
        <w:rPr>
          <w:b/>
        </w:rPr>
        <w:t xml:space="preserve">Notes: </w:t>
      </w:r>
      <w:r>
        <w:t>abstract_source=crossref</w:t>
      </w:r>
    </w:p>
    <w:p>
      <w:pPr>
        <w:spacing w:before="0" w:after="200" w:lineRule="auto" w:line="276"/>
      </w:pPr>
      <w:r>
        <w:rPr>
          <w:b/>
        </w:rPr>
        <w:t xml:space="preserve">Abstract: </w:t>
      </w:r>
      <w:r>
        <w:t>Visual perception systems are evolving toward multifunctionality, miniaturization, and real-time intelligence, necessitating coadvancements in optical hardware and computational software. Computational optics enhances optical encoding through algorithms but faces computational limits, while optical computing offers photonic parallelism yet struggles with hardware complexity. Metaoptics, using subwavelength nanostructures for multidimensional light-field control, resolves this tension by serving dual roles: as an efficient computational optics encoder offloading algorithmic burdens and as a nanoscale optical computing processor enabling ultrahigh-density parallelism. This synergy drives computational optical integration for next-generation optoelectronics. This review outlines computational optics and optical computing fundamentals, analyzes metaoptics’ advantages in multidimensional optical information encoding and processing, and details recent metaoptics-based advances and challenges in computational optics, optical computing, and their convergence. The conclusion provides a future roadmap, highlighting metaoptics-driven integration’s potential for chip-scale intelligent visual perception by bridging the hardware-software divide to enable miniaturized devices with real-time adaptability, massive parallelism, and energy efficiency.</w:t>
      </w:r>
    </w:p>
    <w:p>
      <w:pPr>
        <w:spacing w:before="120" w:after="120"/>
      </w:pPr>
      <w:r>
        <w:rPr>
          <w:sz w:val="18"/>
        </w:rPr>
        <w:t>——————————————————————————————————————————————————————————————————————</w:t>
      </w:r>
    </w:p>
    <w:p>
      <w:pPr>
        <w:spacing w:before="160" w:after="80" w:line="240" w:lineRule="auto"/>
      </w:pPr>
      <w:r>
        <w:rPr>
          <w:b/>
        </w:rPr>
        <w:t xml:space="preserve">[376] </w:t>
      </w:r>
      <w:hyperlink r:id="rId641">
        <w:r>
          <w:rPr>
            <w:color w:val="1155CC"/>
            <w:u w:val="single"/>
          </w:rPr>
          <w:t>DMTF1 up-regulation rescues proliferation defect of telomere dysfunctional neural stem cells via the SWI/SNF-E2F axis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42">
        <w:r>
          <w:rPr>
            <w:color w:val="1155CC"/>
            <w:u w:val="single"/>
          </w:rPr>
          <w:t>10.1126/sciadv.ady5905</w:t>
        </w:r>
      </w:hyperlink>
    </w:p>
    <w:p>
      <w:pPr>
        <w:spacing w:before="0" w:after="120"/>
      </w:pPr>
      <w:r>
        <w:rPr>
          <w:b/>
        </w:rPr>
        <w:t xml:space="preserve">Notes: </w:t>
      </w:r>
      <w:r>
        <w:t>abstract_source=crossref</w:t>
      </w:r>
    </w:p>
    <w:p>
      <w:pPr>
        <w:spacing w:before="0" w:after="200" w:lineRule="auto" w:line="276"/>
      </w:pPr>
      <w:r>
        <w:rPr>
          <w:b/>
        </w:rPr>
        <w:t xml:space="preserve">Abstract: </w:t>
      </w:r>
      <w:r>
        <w:t>Impaired neural stem cell (NSC) proliferation/activation is associated with brain aging, but the underlying mechanisms remain poorly understood. Here, we unexpectedly find that DMTF1, a transcription factor that regulates the Arf/p53 axis in cancer, is down-regulated in the NSCs of a premature aging model driven by telomerase deficiency. DMTF1 up-regulation was able to rescue the impaired proliferation of telomere dysfunctional NSCs. Mechanistically, DMTF1 regulates the transcription of Arid2 and Ss18 genes, two subunits of the SWI/SNF complexes that mediate H3K27ac at E2F gene promoters to promote NSC proliferation. Accordingly, Arid2 or Ss18 depletion phenocopies DMTF1 loss in reducing H3K27ac levels, expression of E2F target genes, and NSC proliferation. Thus, our study has identified DMTF1 as a potential therapeutic target to reverse the proliferation defect of aged NSC that is modeled by telomere attrition and unearthed a distinct genetic program controlled by DMTF1 in NSC.</w:t>
      </w:r>
    </w:p>
    <w:p>
      <w:pPr>
        <w:spacing w:before="120" w:after="120"/>
      </w:pPr>
      <w:r>
        <w:rPr>
          <w:sz w:val="18"/>
        </w:rPr>
        <w:t>——————————————————————————————————————————————————————————————————————</w:t>
      </w:r>
    </w:p>
    <w:p>
      <w:pPr>
        <w:spacing w:before="160" w:after="80" w:line="240" w:lineRule="auto"/>
      </w:pPr>
      <w:r>
        <w:rPr>
          <w:b/>
        </w:rPr>
        <w:t xml:space="preserve">[377] </w:t>
      </w:r>
      <w:hyperlink r:id="rId643">
        <w:r>
          <w:rPr>
            <w:color w:val="1155CC"/>
            <w:u w:val="single"/>
          </w:rPr>
          <w:t>Tunneling field emission from nano-optics under electron irradiation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44">
        <w:r>
          <w:rPr>
            <w:color w:val="1155CC"/>
            <w:u w:val="single"/>
          </w:rPr>
          <w:t>10.1126/sciadv.ady5421</w:t>
        </w:r>
      </w:hyperlink>
    </w:p>
    <w:p>
      <w:pPr>
        <w:spacing w:before="0" w:after="120"/>
      </w:pPr>
      <w:r>
        <w:rPr>
          <w:b/>
        </w:rPr>
        <w:t xml:space="preserve">Notes: </w:t>
      </w:r>
      <w:r>
        <w:t>abstract_source=crossref</w:t>
      </w:r>
    </w:p>
    <w:p>
      <w:pPr>
        <w:spacing w:before="0" w:after="200" w:lineRule="auto" w:line="276"/>
      </w:pPr>
      <w:r>
        <w:rPr>
          <w:b/>
        </w:rPr>
        <w:t xml:space="preserve">Abstract: </w:t>
      </w:r>
      <w:r>
        <w:t>While field emission, which is crucial for sub–angstrom resolution imaging and nanofabrication, has been extensively investigated in high-voltage and laser-driven systems, its realization through plasmonics under electron irradiation remains unexplored. Here, we demonstrate a proof of concept for electron beam–driven field emission from plasmonic emitter arrays with nanoscale hotspots acting as highly efficient emission sites, which also exhibit strong surface-enhanced Raman scattering activity. The electron beam–induced field distributions and electrical polarization switching are visualized by four-dimensional scanning transmission electron microscopy. Classical and quantum-corrected electromagnetic simulations combined with experimental field maps identify the highest field intensities at the apex of emitter tips. Optical excitation experiments confirm the giant field enhancement at these locations. In situ electrical measurements in a transmission electron microscope reveal a distinct tunneling field emission signature that surpasses secondary electron emission. The demonstrated field emission mechanism opens unexplored possibilities for realizing spatially confined electron sources with ultrafast temporal switching capabilities.</w:t>
      </w:r>
    </w:p>
    <w:p>
      <w:pPr>
        <w:spacing w:before="120" w:after="120"/>
      </w:pPr>
      <w:r>
        <w:rPr>
          <w:sz w:val="18"/>
        </w:rPr>
        <w:t>——————————————————————————————————————————————————————————————————————</w:t>
      </w:r>
    </w:p>
    <w:p>
      <w:pPr>
        <w:spacing w:before="160" w:after="80" w:line="240" w:lineRule="auto"/>
      </w:pPr>
      <w:r>
        <w:rPr>
          <w:b/>
        </w:rPr>
        <w:t xml:space="preserve">[378] </w:t>
      </w:r>
      <w:hyperlink r:id="rId645">
        <w:r>
          <w:rPr>
            <w:color w:val="1155CC"/>
            <w:u w:val="single"/>
          </w:rPr>
          <w:t>Hysteretic self-oscillatory acoustic radiation with tunable orbital angular momentum</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46">
        <w:r>
          <w:rPr>
            <w:color w:val="1155CC"/>
            <w:u w:val="single"/>
          </w:rPr>
          <w:t>10.1126/sciadv.ady5416</w:t>
        </w:r>
      </w:hyperlink>
    </w:p>
    <w:p>
      <w:pPr>
        <w:spacing w:before="0" w:after="120"/>
      </w:pPr>
      <w:r>
        <w:rPr>
          <w:b/>
        </w:rPr>
        <w:t xml:space="preserve">Notes: </w:t>
      </w:r>
      <w:r>
        <w:t>abstract_source=crossref</w:t>
      </w:r>
    </w:p>
    <w:p>
      <w:pPr>
        <w:spacing w:before="0" w:after="200" w:lineRule="auto" w:line="276"/>
      </w:pPr>
      <w:r>
        <w:rPr>
          <w:b/>
        </w:rPr>
        <w:t xml:space="preserve">Abstract: </w:t>
      </w:r>
      <w:r>
        <w:t>Vortex beams carrying orbital angular momentum (OAM) have attracted growing attention across fields, including optics and acoustics, for potential applications in particle manipulation and high-speed communication. Intracavity generation of OAM beams, such as OAM lasers, efficiently produces high-power, high–beam-quality vortices. This scheme, however, remains rarely explored in acoustics. Here, we propose and demonstrate an acoustic intracavity OAM generation mechanism with tunable topological charges via a single nonreciprocal nonlinear boundary in a compact resonator ring. In the linear regime, the boundary creates non-Hermitian complex effective magnetic fields piercing the ring, leading to a non-Hermitian Zeeman-like effect that splits clockwise and counterclockwise eigenmodes. Upon incorporation of nonlinearity to the boundary, all resonators are mutually locked, producing a single-mode self-oscillatory OAM radiation exhibiting hysteresis and bistability. Moreover, the topological charge is tunable by manipulating the boundary. Our work reveals intriguing physics related to nonlinear, non-Hermitian boundaries and offers potentials in the next generation of acoustic self-oscillatory OAM sources, switchers, and memory devices.</w:t>
      </w:r>
    </w:p>
    <w:p>
      <w:pPr>
        <w:spacing w:before="120" w:after="120"/>
      </w:pPr>
      <w:r>
        <w:rPr>
          <w:sz w:val="18"/>
        </w:rPr>
        <w:t>——————————————————————————————————————————————————————————————————————</w:t>
      </w:r>
    </w:p>
    <w:p>
      <w:pPr>
        <w:spacing w:before="160" w:after="80" w:line="240" w:lineRule="auto"/>
      </w:pPr>
      <w:r>
        <w:rPr>
          <w:b/>
        </w:rPr>
        <w:t xml:space="preserve">[379] </w:t>
      </w:r>
      <w:hyperlink r:id="rId647">
        <w:r>
          <w:rPr>
            <w:color w:val="1155CC"/>
            <w:u w:val="single"/>
          </w:rPr>
          <w:t>Integrin inhibition facilitates fibrocartilaginous transformation in connective tissue in osteoarthritis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48">
        <w:r>
          <w:rPr>
            <w:color w:val="1155CC"/>
            <w:u w:val="single"/>
          </w:rPr>
          <w:t>10.1126/sciadv.ady4112</w:t>
        </w:r>
      </w:hyperlink>
    </w:p>
    <w:p>
      <w:pPr>
        <w:spacing w:before="0" w:after="120"/>
      </w:pPr>
      <w:r>
        <w:rPr>
          <w:b/>
        </w:rPr>
        <w:t xml:space="preserve">Notes: </w:t>
      </w:r>
      <w:r>
        <w:t>abstract_source=crossref</w:t>
      </w:r>
    </w:p>
    <w:p>
      <w:pPr>
        <w:spacing w:before="0" w:after="200" w:lineRule="auto" w:line="276"/>
      </w:pPr>
      <w:r>
        <w:rPr>
          <w:b/>
        </w:rPr>
        <w:t xml:space="preserve">Abstract: </w:t>
      </w:r>
      <w:r>
        <w:t>Osteoarthritis (OA) is a disabling condition with pathological remodeling of different joints, resulting in impaired function of the whole musculoskeletal system in vertebrates. Fibrocartilage has poor self-repair capacity after OA, leading to restricted treatment strategies and unsatisfying clinical efficacy. Recently, we constructed the spatiotemporal multiomic landscape of fibrocartilage and connective tissue in human temporomandibular joint (TMJ)–OA, observing that adjacent connective tissue could transform to fibrocartilage in TMJ-OA. We found that the</w:t>
      </w:r>
      <w:r>
        <w:t xml:space="preserve"> </w:t>
      </w:r>
      <w:r>
        <w:t>COL5A1</w:t>
      </w:r>
      <w:r>
        <w:t xml:space="preserve"> </w:t>
      </w:r>
      <w:r>
        <w:t>+</w:t>
      </w:r>
      <w:r>
        <w:t xml:space="preserve"> </w:t>
      </w:r>
      <w:r>
        <w:t>fibroblast population, derived from perivascular niche, contributes to fibrocartilaginous extracellular matrix (ECM) transformation. Multijoint analysis showed that integrin α</w:t>
      </w:r>
      <w:r>
        <w:t xml:space="preserve"> </w:t>
      </w:r>
      <w:r>
        <w:t>V</w:t>
      </w:r>
      <w:r>
        <w:t xml:space="preserve"> </w:t>
      </w:r>
      <w:r>
        <w:t>/β</w:t>
      </w:r>
      <w:r>
        <w:rPr>
          <w:vertAlign w:val="subscript"/>
        </w:rPr>
        <w:t>5</w:t>
      </w:r>
      <w:r>
        <w:t>was universally activated in OA joints, which led to increased fibrocartilaginous transcription but disarranged ECM transformation in connective tissues. In OA mouse models and a TMJ-OA miniature pig model, inhibition of integrin α</w:t>
      </w:r>
      <w:r>
        <w:t xml:space="preserve"> </w:t>
      </w:r>
      <w:r>
        <w:t>V</w:t>
      </w:r>
      <w:r>
        <w:t xml:space="preserve"> </w:t>
      </w:r>
      <w:r>
        <w:t>/β</w:t>
      </w:r>
      <w:r>
        <w:rPr>
          <w:vertAlign w:val="subscript"/>
        </w:rPr>
        <w:t>5</w:t>
      </w:r>
      <w:r>
        <w:t>activity using cilengitide facilitated the transcriptional reprogramming of</w:t>
      </w:r>
      <w:r>
        <w:t xml:space="preserve"> </w:t>
      </w:r>
      <w:r>
        <w:t>C</w:t>
      </w:r>
      <w:r>
        <w:t xml:space="preserve"> </w:t>
      </w:r>
      <w:r>
        <w:t>o</w:t>
      </w:r>
      <w:r>
        <w:t xml:space="preserve"> </w:t>
      </w:r>
      <w:r>
        <w:t>l5a1</w:t>
      </w:r>
      <w:r>
        <w:t xml:space="preserve"> </w:t>
      </w:r>
      <w:r>
        <w:t>+</w:t>
      </w:r>
      <w:r>
        <w:t xml:space="preserve"> </w:t>
      </w:r>
      <w:r>
        <w:t>fibroblast and functional remodeling of the connective tissues. Our findings verified the effectiveness of cilengitide and provided a clinical route for fibrocartilage injury repair in OA.</w:t>
      </w:r>
    </w:p>
    <w:p>
      <w:pPr>
        <w:spacing w:before="120" w:after="120"/>
      </w:pPr>
      <w:r>
        <w:rPr>
          <w:sz w:val="18"/>
        </w:rPr>
        <w:t>——————————————————————————————————————————————————————————————————————</w:t>
      </w:r>
    </w:p>
    <w:p>
      <w:pPr>
        <w:spacing w:before="160" w:after="80" w:line="240" w:lineRule="auto"/>
      </w:pPr>
      <w:r>
        <w:rPr>
          <w:b/>
        </w:rPr>
        <w:t xml:space="preserve">[380] </w:t>
      </w:r>
      <w:hyperlink r:id="rId649">
        <w:r>
          <w:rPr>
            <w:color w:val="1155CC"/>
            <w:u w:val="single"/>
          </w:rPr>
          <w:t>Global urban vegetation exhibits divergent thermal effects: From cooling to warming as aridity increases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50">
        <w:r>
          <w:rPr>
            <w:color w:val="1155CC"/>
            <w:u w:val="single"/>
          </w:rPr>
          <w:t>10.1126/sciadv.aea9165</w:t>
        </w:r>
      </w:hyperlink>
    </w:p>
    <w:p>
      <w:pPr>
        <w:spacing w:before="0" w:after="120"/>
      </w:pPr>
      <w:r>
        <w:rPr>
          <w:b/>
        </w:rPr>
        <w:t xml:space="preserve">Notes: </w:t>
      </w:r>
      <w:r>
        <w:t>abstract_source=crossref</w:t>
      </w:r>
    </w:p>
    <w:p>
      <w:pPr>
        <w:spacing w:before="0" w:after="200" w:lineRule="auto" w:line="276"/>
      </w:pPr>
      <w:r>
        <w:rPr>
          <w:b/>
        </w:rPr>
        <w:t xml:space="preserve">Abstract: </w:t>
      </w:r>
      <w:r>
        <w:t>Urban vegetation, a key nature-based solution for mitigating heat stress, is critical as global warming, and urban heat islands amplify high temperatures in cities, affecting over half the global population. Yet, its potential warming effects remain unquantified globally, with mechanisms unclear. Using high-resolution satellite and climate data, we provide the first global assessment of vegetation’s temperature regulation across 761 megacities across 105 countries, uncovering a paradox: cooling weakens in arid environments; and in 22% of cities with &amp;lt;1000-millimeter annual precipitation, vegetation, particularly grasslands and croplands, causes net warming. This results from lower albedo and reduced heat storage outweighing limited evapotranspiration in arid regions. During extreme heat, trees fail to cool 25% of cities, while grasslands and croplands fail in 71 and 82%, respectively, due to reduced evapotranspiration under high vapor pressure deficits and impeded canopy conductance. Climate-adaptive greening and irrigation are critical, while high-albedo surfaces may better mitigate heat in water-scarce cities. Misguided greening risks are worsening urban warming.</w:t>
      </w:r>
    </w:p>
    <w:p>
      <w:pPr>
        <w:spacing w:before="120" w:after="120"/>
      </w:pPr>
      <w:r>
        <w:rPr>
          <w:sz w:val="18"/>
        </w:rPr>
        <w:t>——————————————————————————————————————————————————————————————————————</w:t>
      </w:r>
    </w:p>
    <w:p>
      <w:pPr>
        <w:spacing w:before="160" w:after="80" w:line="240" w:lineRule="auto"/>
      </w:pPr>
      <w:r>
        <w:rPr>
          <w:b/>
        </w:rPr>
        <w:t xml:space="preserve">[381] </w:t>
      </w:r>
      <w:hyperlink r:id="rId651">
        <w:r>
          <w:rPr>
            <w:color w:val="1155CC"/>
            <w:u w:val="single"/>
          </w:rPr>
          <w:t>Metabolomic profiling reveals the potential of fatty acids as regulators of exhausted CD8 T cells during chronic viral infection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52">
        <w:r>
          <w:rPr>
            <w:color w:val="1155CC"/>
            <w:u w:val="single"/>
          </w:rPr>
          <w:t>10.1073/pnas.2419820122</w:t>
        </w:r>
      </w:hyperlink>
    </w:p>
    <w:p>
      <w:pPr>
        <w:spacing w:before="0" w:after="120"/>
      </w:pPr>
      <w:r>
        <w:rPr>
          <w:b/>
        </w:rPr>
        <w:t xml:space="preserve">Notes: </w:t>
      </w:r>
      <w:r>
        <w:t>abstract_source=crossref</w:t>
      </w:r>
    </w:p>
    <w:p>
      <w:pPr>
        <w:spacing w:before="0" w:after="200" w:lineRule="auto" w:line="276"/>
      </w:pPr>
      <w:r>
        <w:rPr>
          <w:b/>
        </w:rPr>
        <w:t xml:space="preserve">Abstract: </w:t>
      </w:r>
      <w:r>
        <w:t>Chronic infections induce CD8 T cell exhaustion, marked by impaired effector function. While intrinsic drivers are well studied, the role of the surrounding metabolic environment in shaping exhausted CD8 T cells (Tex) is less understood. Using untargeted metabolomics and the murine lymphocytic choriomeningitis virus infection model, we investigated systemic metabolite changes following acute vs. chronic viral infections. We identified distinct short-term and persistent metabolite shifts, with the most significant differences occurring transiently during the early phase of the sustained infection. This included nutrient changes that were partially associated with CD8 T cell–induced anorexia and lipolysis. One remarkable observation was the elevation of medium- and long-chain fatty acids (FA) and acylcarnitines during the first week after chronic infection. Consistently, virus-specific CD8 T cells from chronic infection exhibited increased lipid accumulation and uptake compared to their counterparts from acute infection, particularly the stem-like Tex (Tex</w:t>
      </w:r>
      <w:r>
        <w:t xml:space="preserve"> </w:t>
      </w:r>
      <w:r>
        <w:t>STEM</w:t>
      </w:r>
      <w:r>
        <w:t xml:space="preserve"> </w:t>
      </w:r>
      <w:r>
        <w:t>), which generates Tex</w:t>
      </w:r>
      <w:r>
        <w:t xml:space="preserve"> </w:t>
      </w:r>
      <w:r>
        <w:t>INT</w:t>
      </w:r>
      <w:r>
        <w:t xml:space="preserve"> </w:t>
      </w:r>
      <w:r>
        <w:t>that directly limit viral replication. Notably, only Tex</w:t>
      </w:r>
      <w:r>
        <w:t xml:space="preserve"> </w:t>
      </w:r>
      <w:r>
        <w:t>STEM</w:t>
      </w:r>
      <w:r>
        <w:t xml:space="preserve"> </w:t>
      </w:r>
      <w:r>
        <w:t>increased oxidative metabolism upon ex vivo FA exposure, while short-term administration of FA during late chronic infection exclusively increased Tex</w:t>
      </w:r>
      <w:r>
        <w:t xml:space="preserve"> </w:t>
      </w:r>
      <w:r>
        <w:t>STEM</w:t>
      </w:r>
      <w:r>
        <w:t xml:space="preserve"> </w:t>
      </w:r>
      <w:r>
        <w:t>and their mitochondrial potential. The last-mentioned treatment also led to reduced Tex</w:t>
      </w:r>
      <w:r>
        <w:t xml:space="preserve"> </w:t>
      </w:r>
      <w:r>
        <w:t>INT</w:t>
      </w:r>
      <w:r>
        <w:t xml:space="preserve"> </w:t>
      </w:r>
      <w:r>
        <w:t>and enhanced PD-1 across all Tex subsets, which coincided with compromised viral control. Our study offers a valuable resource for investigating the regulatory role of specific metabolites during acute and chronic viral infections and highlights the potential of FA to fine-tune Tex subsets during protracted infections.</w:t>
      </w:r>
    </w:p>
    <w:p>
      <w:pPr>
        <w:spacing w:before="120" w:after="120"/>
      </w:pPr>
      <w:r>
        <w:rPr>
          <w:sz w:val="18"/>
        </w:rPr>
        <w:t>——————————————————————————————————————————————————————————————————————</w:t>
      </w:r>
    </w:p>
    <w:p>
      <w:pPr>
        <w:spacing w:before="160" w:after="80" w:line="240" w:lineRule="auto"/>
      </w:pPr>
      <w:r>
        <w:rPr>
          <w:b/>
        </w:rPr>
        <w:t xml:space="preserve">[382] </w:t>
      </w:r>
      <w:hyperlink r:id="rId653">
        <w:r>
          <w:rPr>
            <w:color w:val="1155CC"/>
            <w:u w:val="single"/>
          </w:rPr>
          <w:t>A MAPK cascade regulates nuclear migration during female gametogenesis to establish specific cell identity and rice female fertility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54">
        <w:r>
          <w:rPr>
            <w:color w:val="1155CC"/>
            <w:u w:val="single"/>
          </w:rPr>
          <w:t>10.1073/pnas.2426754122</w:t>
        </w:r>
      </w:hyperlink>
    </w:p>
    <w:p>
      <w:pPr>
        <w:spacing w:before="0" w:after="120"/>
      </w:pPr>
      <w:r>
        <w:rPr>
          <w:b/>
        </w:rPr>
        <w:t xml:space="preserve">Notes: </w:t>
      </w:r>
      <w:r>
        <w:t>abstract_source=crossref</w:t>
      </w:r>
    </w:p>
    <w:p>
      <w:pPr>
        <w:spacing w:before="0" w:after="200" w:lineRule="auto" w:line="276"/>
      </w:pPr>
      <w:r>
        <w:rPr>
          <w:b/>
        </w:rPr>
        <w:t xml:space="preserve">Abstract: </w:t>
      </w:r>
      <w:r>
        <w:t>During the development of the rice female gametophyte (FG, embryo sac), there exists a free-nuclear stage wherein eight nuclei, originating from the same mother cell nucleus, respectively migrate to specific positions to acquire distinct cell identities after cellularization and develop into the egg cell, central cell, or accessory cells. Therefore, this nuclear migration stage is essential for fertilization and rice fertility. How these nuclei can find their own way to exactly move to different predetermined positions and how the two polar nuclei are selected have been intriguing questions for decades. Here, we show that a mitogen-activated protein kinase cascade, composed of OsMEKK2/OsMEKK21, OsMKK6, and OsMPK4, precisely regulates free-nuclear migration and determines the number and identities of polar nuclei. Specifically, OsMKK6 phosphorylates OsMPK4 to restrict nuclear migration at the chalazal pole, ensuring the accurate number and positioning of antipodal cells and polar nuclei. Loss-of-function mutations in</w:t>
      </w:r>
      <w:r>
        <w:t xml:space="preserve"> </w:t>
      </w:r>
      <w:r>
        <w:t>OsMKK6</w:t>
      </w:r>
      <w:r>
        <w:t xml:space="preserve"> </w:t>
      </w:r>
      <w:r>
        <w:t>and</w:t>
      </w:r>
      <w:r>
        <w:t xml:space="preserve"> </w:t>
      </w:r>
      <w:r>
        <w:t>OsMPK4</w:t>
      </w:r>
      <w:r>
        <w:t xml:space="preserve"> </w:t>
      </w:r>
      <w:r>
        <w:t>result in an excess of polar nuclei at the expense of antipodal cells. Additionally, OsMEKK2 and OsMEKK21 function as upstream regulators, phosphorylating and modulating downstream substrates to control nuclear migration at both poles. This regulation is essential for FG fertility and seed production. Our findings reveal a hierarchical model for the regulation of nuclear migration during embryo sac development and provide valuable insights into how an embryo sac orchestrates the migration of eight nuclei in response to different positional cues, thereby establishing female fertility in rice.</w:t>
      </w:r>
    </w:p>
    <w:p>
      <w:pPr>
        <w:spacing w:before="120" w:after="120"/>
      </w:pPr>
      <w:r>
        <w:rPr>
          <w:sz w:val="18"/>
        </w:rPr>
        <w:t>——————————————————————————————————————————————————————————————————————</w:t>
      </w:r>
    </w:p>
    <w:p>
      <w:pPr>
        <w:spacing w:before="160" w:after="80" w:line="240" w:lineRule="auto"/>
      </w:pPr>
      <w:r>
        <w:rPr>
          <w:b/>
        </w:rPr>
        <w:t xml:space="preserve">[383] </w:t>
      </w:r>
      <w:hyperlink r:id="rId655">
        <w:r>
          <w:rPr>
            <w:color w:val="1155CC"/>
            <w:u w:val="single"/>
          </w:rPr>
          <w:t>Revisiting ancient whole-genome duplications in the seed and flowering plants through the lens of dosage-sensitive genes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56">
        <w:r>
          <w:rPr>
            <w:color w:val="1155CC"/>
            <w:u w:val="single"/>
          </w:rPr>
          <w:t>10.1126/sciadv.aea9797</w:t>
        </w:r>
      </w:hyperlink>
    </w:p>
    <w:p>
      <w:pPr>
        <w:spacing w:before="0" w:after="120"/>
      </w:pPr>
      <w:r>
        <w:rPr>
          <w:b/>
        </w:rPr>
        <w:t xml:space="preserve">Notes: </w:t>
      </w:r>
      <w:r>
        <w:t>abstract_source=crossref</w:t>
      </w:r>
    </w:p>
    <w:p>
      <w:pPr>
        <w:spacing w:before="0" w:after="200" w:lineRule="auto" w:line="276"/>
      </w:pPr>
      <w:r>
        <w:rPr>
          <w:b/>
        </w:rPr>
        <w:t xml:space="preserve">Abstract: </w:t>
      </w:r>
      <w:r>
        <w:t>Whole-genome duplication (WGD) has been proposed as a catalyst for evolutionary innovation in seed plants and angiosperms, yet their occurrence remains contentious. By integrating gene dosage balance principles with phylogenomic reconciliation and probabilistic modeling, we revisit the debated ancestral seed and angiosperm WGDs. Leveraging dosage-sensitive orthologous gene groups (OGs) as evolutionary markers across representative plants for gene tree/species tree reconciliation, we demonstrate that gene retention patterns in</w:t>
      </w:r>
      <w:r>
        <w:t xml:space="preserve"> </w:t>
      </w:r>
      <w:r>
        <w:t>Amborella</w:t>
      </w:r>
      <w:r>
        <w:t xml:space="preserve"> </w:t>
      </w:r>
      <w:r>
        <w:t>and</w:t>
      </w:r>
      <w:r>
        <w:t xml:space="preserve"> </w:t>
      </w:r>
      <w:r>
        <w:t>Aristolochia</w:t>
      </w:r>
      <w:r>
        <w:t xml:space="preserve"> </w:t>
      </w:r>
      <w:r>
        <w:t>—early-diverging plants lacking post–angiosperm origin WGDs—reveal a single gene duplication peak predating the seed plant diversification, with no signal of ancestral angiosperm WGD. Correlation analyses of observed and expected OG copy numbers, given proposed WGD(s), further refute an angiosperm WGD. Probabilistic retention modeling analysis corroborates these findings and shows that retention rates of dosage-sensitive genes from the putative angiosperm WGD are extremely low. Besides, our study establishes that genes inferred to have higher dosage sensitivity based on their sequential retention following WGD events may have increased utility in resolving ancestral polyploidy.</w:t>
      </w:r>
    </w:p>
    <w:p>
      <w:pPr>
        <w:spacing w:before="120" w:after="120"/>
      </w:pPr>
      <w:r>
        <w:rPr>
          <w:sz w:val="18"/>
        </w:rPr>
        <w:t>——————————————————————————————————————————————————————————————————————</w:t>
      </w:r>
    </w:p>
    <w:p>
      <w:pPr>
        <w:spacing w:before="160" w:after="80" w:line="240" w:lineRule="auto"/>
      </w:pPr>
      <w:r>
        <w:rPr>
          <w:b/>
        </w:rPr>
        <w:t xml:space="preserve">[384] </w:t>
      </w:r>
      <w:hyperlink r:id="rId657">
        <w:r>
          <w:rPr>
            <w:color w:val="1155CC"/>
            <w:u w:val="single"/>
          </w:rPr>
          <w:t>Dual-receptor targeting of type I dendritic cells with DNA-scaffolded nanoparticles enhances STING-licensed antitumor immunity</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58">
        <w:r>
          <w:rPr>
            <w:color w:val="1155CC"/>
            <w:u w:val="single"/>
          </w:rPr>
          <w:t>10.1126/sciadv.aeb0452</w:t>
        </w:r>
      </w:hyperlink>
    </w:p>
    <w:p>
      <w:pPr>
        <w:spacing w:before="0" w:after="120"/>
      </w:pPr>
      <w:r>
        <w:rPr>
          <w:b/>
        </w:rPr>
        <w:t xml:space="preserve">Notes: </w:t>
      </w:r>
      <w:r>
        <w:t>abstract_source=crossref</w:t>
      </w:r>
    </w:p>
    <w:p>
      <w:pPr>
        <w:spacing w:before="0" w:after="200" w:lineRule="auto" w:line="276"/>
      </w:pPr>
      <w:r>
        <w:rPr>
          <w:b/>
        </w:rPr>
        <w:t xml:space="preserve">Abstract: </w:t>
      </w:r>
      <w:r>
        <w:t>Activating the stimulator of interferon genes (STING) pathway in conventional type I dendritic cells (cDC1s) is crucial for inhibiting solid tumor metastasis. A major hurdle is the cell type–specific delivery of immune agonists. To overcome this, we created a DNA-scaffolded poly(lactic-</w:t>
      </w:r>
      <w:r>
        <w:t>co</w:t>
      </w:r>
      <w:r>
        <w:t xml:space="preserve"> </w:t>
      </w:r>
      <w:r>
        <w:t>-glycolic acid) nanoparticle platform for precisely loading antibodies targeting cDC1 receptors, specifically DEC205 and Clec9A. Optimizing these targeting ligands revealed a 1:1 ratio as ideal for preferentially targeting splenic cDC1s in vivo. When the STING agonist MSA-2 was delivered via this platform, termed programmable and ratiometrically-engineered immunomodulatory nanoparticle (PRIME NP), its immunostimulatory activity significantly increased. In CT26 tumor–bearing mice, PRIME NP treatment triggered robust proinflammatory signaling and activated both innate and adaptive immune responses, leading to potent CD8</w:t>
      </w:r>
      <w:r>
        <w:t xml:space="preserve"> </w:t>
      </w:r>
      <w:r>
        <w:t>+</w:t>
      </w:r>
      <w:r>
        <w:t xml:space="preserve"> </w:t>
      </w:r>
      <w:r>
        <w:t>T cell–driven tumor regression and long-term survival in preclinical models. This work provides a framework for designing actively targeted particles and emphasizes DNA-scaffolded nanoparticles as an effective strategy to enhance the STING-cDC1 pathway for solid tumor treatment.</w:t>
      </w:r>
    </w:p>
    <w:p>
      <w:pPr>
        <w:spacing w:before="120" w:after="120"/>
      </w:pPr>
      <w:r>
        <w:rPr>
          <w:sz w:val="18"/>
        </w:rPr>
        <w:t>——————————————————————————————————————————————————————————————————————</w:t>
      </w:r>
    </w:p>
    <w:p>
      <w:pPr>
        <w:spacing w:before="160" w:after="80" w:line="240" w:lineRule="auto"/>
      </w:pPr>
      <w:r>
        <w:rPr>
          <w:b/>
        </w:rPr>
        <w:t xml:space="preserve">[385] </w:t>
      </w:r>
      <w:hyperlink r:id="rId659">
        <w:r>
          <w:rPr>
            <w:color w:val="1155CC"/>
            <w:u w:val="single"/>
          </w:rPr>
          <w:t>Interpretable early warnings using machine learning in an online game-experiment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60">
        <w:r>
          <w:rPr>
            <w:color w:val="1155CC"/>
            <w:u w:val="single"/>
          </w:rPr>
          <w:t>10.1073/pnas.2503493122</w:t>
        </w:r>
      </w:hyperlink>
    </w:p>
    <w:p>
      <w:pPr>
        <w:spacing w:before="0" w:after="120"/>
      </w:pPr>
      <w:r>
        <w:rPr>
          <w:b/>
        </w:rPr>
        <w:t xml:space="preserve">Notes: </w:t>
      </w:r>
      <w:r>
        <w:t>abstract_source=crossref</w:t>
      </w:r>
    </w:p>
    <w:p>
      <w:pPr>
        <w:spacing w:before="0" w:after="200" w:lineRule="auto" w:line="276"/>
      </w:pPr>
      <w:r>
        <w:rPr>
          <w:b/>
        </w:rPr>
        <w:t xml:space="preserve">Abstract: </w:t>
      </w:r>
      <w:r>
        <w:t>Stemming from physics and later applied to other fields such as ecology, the theory of critical transitions suggests that some regime shifts are preceded by statistical early warning signals. Reddit’s r/place experiment, a large-scale social game, provides a unique opportunity to test these signals consistently across thousands of subsystems undergoing critical transitions. In r/place, millions of users collaboratively created “compositions”, or pixel-art drawings, in which transitions occur when one composition rapidly replaces another. We develop a machine-learning-based early warning system that combines the predictive power of multiple system-specific time series via gradient-boosted decision trees with memory-retaining features. Our method significantly outperforms standard early warning indicators. Trained on the 2022 r/place data, our algorithm detects half of the transitions occurring within 20 min at a false positive rate of just 3.6%. Its performance remains robust when tested on the 2023 r/place event, demonstrating generalizability across different contexts. Using SHapley Additive exPlanations (SHAP) for interpreting the predictions, we investigate the underlying drivers of warnings, which could be relevant to other complex systems, especially online social systems. We reveal an interplay of patterns preceding transitions, such as critical slowing down or speeding up, a lack of innovation or coordination, turbulent histories, and a lack of image complexity. These findings show the potential of machine learning indicators in socio-ecological systems for predicting regime shifts and understanding their dynamics.</w:t>
      </w:r>
    </w:p>
    <w:p>
      <w:pPr>
        <w:spacing w:before="120" w:after="120"/>
      </w:pPr>
      <w:r>
        <w:rPr>
          <w:sz w:val="18"/>
        </w:rPr>
        <w:t>——————————————————————————————————————————————————————————————————————</w:t>
      </w:r>
    </w:p>
    <w:p>
      <w:pPr>
        <w:spacing w:before="160" w:after="80" w:line="240" w:lineRule="auto"/>
      </w:pPr>
      <w:r>
        <w:rPr>
          <w:b/>
        </w:rPr>
        <w:t xml:space="preserve">[386] </w:t>
      </w:r>
      <w:hyperlink r:id="rId661">
        <w:r>
          <w:rPr>
            <w:color w:val="1155CC"/>
            <w:u w:val="single"/>
          </w:rPr>
          <w:t>DEAD-box ATPase–marked condensates coordinate compartmentalized translation and antibiotic persistence</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62">
        <w:r>
          <w:rPr>
            <w:color w:val="1155CC"/>
            <w:u w:val="single"/>
          </w:rPr>
          <w:t>10.1126/sciadv.ady1930</w:t>
        </w:r>
      </w:hyperlink>
    </w:p>
    <w:p>
      <w:pPr>
        <w:spacing w:before="0" w:after="120"/>
      </w:pPr>
      <w:r>
        <w:rPr>
          <w:b/>
        </w:rPr>
        <w:t xml:space="preserve">Notes: </w:t>
      </w:r>
      <w:r>
        <w:t>abstract_source=crossref</w:t>
      </w:r>
    </w:p>
    <w:p>
      <w:pPr>
        <w:spacing w:before="0" w:after="200" w:lineRule="auto" w:line="276"/>
      </w:pPr>
      <w:r>
        <w:rPr>
          <w:b/>
        </w:rPr>
        <w:t xml:space="preserve">Abstract: </w:t>
      </w:r>
      <w:r>
        <w:t>Antibiotic-tolerant persisters use dormancy as a bet-hedging strategy to evade lethal antibiotics, undermining therapeutic efficacy. Protein condensates have been implicated in bacterial dormancy, yet how these assemblies orchestrate dormancy entry remains unclear. We evolved persisters that enter dormancy before the stationary phase, most harboring mutations in</w:t>
      </w:r>
      <w:r>
        <w:t xml:space="preserve"> </w:t>
      </w:r>
      <w:r>
        <w:t>serS</w:t>
      </w:r>
      <w:r>
        <w:t xml:space="preserve"> </w:t>
      </w:r>
      <w:r>
        <w:t>, encoding seryl-transfer RNA synthetase (SerRS). These variants recapitulated persistence induced by serine hydroxamate (SHX), a serine analog and SerRS inhibitor. Both the</w:t>
      </w:r>
      <w:r>
        <w:t xml:space="preserve"> </w:t>
      </w:r>
      <w:r>
        <w:t>serS</w:t>
      </w:r>
      <w:r>
        <w:t xml:space="preserve"> </w:t>
      </w:r>
      <w:r>
        <w:t>mutation and SHX treatment trigger SerRS sequestration into conserved DEAD-box adenosine triphosphatase–associated condensates, coinciding with growth arrest and dormancy. In vitro, the SerRS variant preferentially partitions into DeaD granules, consistent with its distinct in vivo localization. Microscopy revealed spatially restricted translation silencing within condensates upon SerRS partitioning. Together, these phase-separated condensates act as hubs that coordinate the transition from proliferation to dormancy, paralleling eukaryotic cell fate control via localized translation. Our findings provide mechanistic insight into bacterial persistence and suggest that targeting condensates could help combat antibiotic tolerance and delay resistance.</w:t>
      </w:r>
    </w:p>
    <w:p>
      <w:pPr>
        <w:spacing w:before="120" w:after="120"/>
      </w:pPr>
      <w:r>
        <w:rPr>
          <w:sz w:val="18"/>
        </w:rPr>
        <w:t>——————————————————————————————————————————————————————————————————————</w:t>
      </w:r>
    </w:p>
    <w:p>
      <w:pPr>
        <w:spacing w:before="160" w:after="80" w:line="240" w:lineRule="auto"/>
      </w:pPr>
      <w:r>
        <w:rPr>
          <w:b/>
        </w:rPr>
        <w:t xml:space="preserve">[387] </w:t>
      </w:r>
      <w:hyperlink r:id="rId663">
        <w:r>
          <w:rPr>
            <w:color w:val="1155CC"/>
            <w:u w:val="single"/>
          </w:rPr>
          <w:t>Febrile temperature activates the innate immune response by promoting aberrant influenza A virus RNA synthesis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64">
        <w:r>
          <w:rPr>
            <w:color w:val="1155CC"/>
            <w:u w:val="single"/>
          </w:rPr>
          <w:t>10.1126/sciadv.aeb2700</w:t>
        </w:r>
      </w:hyperlink>
    </w:p>
    <w:p>
      <w:pPr>
        <w:spacing w:before="0" w:after="120"/>
      </w:pPr>
      <w:r>
        <w:rPr>
          <w:b/>
        </w:rPr>
        <w:t xml:space="preserve">Notes: </w:t>
      </w:r>
      <w:r>
        <w:t>abstract_source=crossref</w:t>
      </w:r>
    </w:p>
    <w:p>
      <w:pPr>
        <w:spacing w:before="0" w:after="200" w:lineRule="auto" w:line="276"/>
      </w:pPr>
      <w:r>
        <w:rPr>
          <w:b/>
        </w:rPr>
        <w:t xml:space="preserve">Abstract: </w:t>
      </w:r>
      <w:r>
        <w:t>Fever during influenza A virus (IAV) infection is triggered by the innate immune response. Various factors contribute to this response, including IAV mini viral RNAs (mvRNA), which trigger RIG-I signaling when their replication and transcription are dysregulated by template loops (t-loops). It is presently not well understood whether the fever response to IAV infection affects subsequent viral replication and innate immune activation. Here, we show that IAV infection at temperatures that simulate fever leads to increased antiviral signaling in H1N1 and H3N2 infections. Mathematical modeling and experimental analyses reveal that differential IAV nucleoprotein and RNA polymerase production increase mvRNA and interferon production. Moreover, at the higher infection temperature, mvRNAs with dysregulating t-loops contribute most to the innate immune activation. We propose that fever during IAV infection can establish a positive feedback loop in which elevated aberrant RNA synthesis and innate immune activation can contribute to the dysregulation of cytokine production.</w:t>
      </w:r>
    </w:p>
    <w:p>
      <w:pPr>
        <w:spacing w:before="120" w:after="120"/>
      </w:pPr>
      <w:r>
        <w:rPr>
          <w:sz w:val="18"/>
        </w:rPr>
        <w:t>——————————————————————————————————————————————————————————————————————</w:t>
      </w:r>
    </w:p>
    <w:p>
      <w:pPr>
        <w:spacing w:before="160" w:after="80" w:line="240" w:lineRule="auto"/>
      </w:pPr>
      <w:r>
        <w:rPr>
          <w:b/>
        </w:rPr>
        <w:t xml:space="preserve">[388] </w:t>
      </w:r>
      <w:hyperlink r:id="rId665">
        <w:r>
          <w:rPr>
            <w:color w:val="1155CC"/>
            <w:u w:val="single"/>
          </w:rPr>
          <w:t>Observation of Kerr soliton microcomb locked with a phonon laser</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66">
        <w:r>
          <w:rPr>
            <w:color w:val="1155CC"/>
            <w:u w:val="single"/>
          </w:rPr>
          <w:t>10.1126/sciadv.aeb3400</w:t>
        </w:r>
      </w:hyperlink>
    </w:p>
    <w:p>
      <w:pPr>
        <w:spacing w:before="0" w:after="120"/>
      </w:pPr>
      <w:r>
        <w:rPr>
          <w:b/>
        </w:rPr>
        <w:t xml:space="preserve">Notes: </w:t>
      </w:r>
      <w:r>
        <w:t>abstract_source=crossref</w:t>
      </w:r>
    </w:p>
    <w:p>
      <w:pPr>
        <w:spacing w:before="0" w:after="200" w:lineRule="auto" w:line="276"/>
      </w:pPr>
      <w:r>
        <w:rPr>
          <w:b/>
        </w:rPr>
        <w:t xml:space="preserve">Abstract: </w:t>
      </w:r>
      <w:r>
        <w:t>Cavity optomechanics and dissipative Kerr soliton microcomb are two research fields that followed the parallel lines of development, and the interplay of their respective elements was unseen in the past. Here, we present an observation of mutually synchronized Kerr soliton microcomb and optomechanical oscillation in the same microresonator. We generated a previously unknown type of breathing soliton to drive the mechanical mode of the microresonator into a forced oscillation at the breathing frequency. Once the breathing frequency is tuned close to the mechanical frequency of the system, the breathing soliton and the excited mechanical oscillation suddenly lock together into a synchronization. This state locks to an almost unchanged breathing frequency, and exists over a considerable frequency range of the pump laser. The locked breathing Kerr soliton can substantially lower its phase noise and improve its long-term stability, providing potential applications in various areas.</w:t>
      </w:r>
    </w:p>
    <w:p>
      <w:pPr>
        <w:spacing w:before="120" w:after="120"/>
      </w:pPr>
      <w:r>
        <w:rPr>
          <w:sz w:val="18"/>
        </w:rPr>
        <w:t>——————————————————————————————————————————————————————————————————————</w:t>
      </w:r>
    </w:p>
    <w:p>
      <w:pPr>
        <w:spacing w:before="160" w:after="80" w:line="240" w:lineRule="auto"/>
      </w:pPr>
      <w:r>
        <w:rPr>
          <w:b/>
        </w:rPr>
        <w:t xml:space="preserve">[389] </w:t>
      </w:r>
      <w:hyperlink r:id="rId667">
        <w:r>
          <w:rPr>
            <w:color w:val="1155CC"/>
            <w:u w:val="single"/>
          </w:rPr>
          <w:t>Transition-metal-free electrochemical cross-electrophile coupling of activated benzyl alcohols and primary alkyl bromides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68">
        <w:r>
          <w:rPr>
            <w:color w:val="1155CC"/>
            <w:u w:val="single"/>
          </w:rPr>
          <w:t>10.1126/sciadv.aeb3720</w:t>
        </w:r>
      </w:hyperlink>
    </w:p>
    <w:p>
      <w:pPr>
        <w:spacing w:before="0" w:after="120"/>
      </w:pPr>
      <w:r>
        <w:rPr>
          <w:b/>
        </w:rPr>
        <w:t xml:space="preserve">Notes: </w:t>
      </w:r>
      <w:r>
        <w:t>abstract_source=crossref</w:t>
      </w:r>
    </w:p>
    <w:p>
      <w:pPr>
        <w:spacing w:before="0" w:after="200" w:lineRule="auto" w:line="276"/>
      </w:pPr>
      <w:r>
        <w:rPr>
          <w:b/>
        </w:rPr>
        <w:t xml:space="preserve">Abstract: </w:t>
      </w:r>
      <w:r>
        <w:t>Cross-electrophile coupling (XEC) has emerged as a powerful strategy for constructing carbon─carbon bonds. Here, we report the first transition-metal-free electrochemical XEC between readily available benzyl alcohol derivatives and primary alkyl bromides, enabling the efficient construction of C(sp</w:t>
      </w:r>
      <w:r>
        <w:rPr>
          <w:vertAlign w:val="subscript"/>
        </w:rPr>
        <w:t>3</w:t>
      </w:r>
      <w:r>
        <w:t>)─C(sp</w:t>
      </w:r>
      <w:r>
        <w:rPr>
          <w:vertAlign w:val="subscript"/>
        </w:rPr>
        <w:t>3</w:t>
      </w:r>
      <w:r>
        <w:t>) bonds to access valuable benzylic quaternary and tertiary carbon centers. This method expands the reaction profiles of both benzyl alcohols and electrochemistry. A key to unlocking this transformation is the identification of 4-</w:t>
      </w:r>
      <w:r>
        <w:t>tert</w:t>
      </w:r>
      <w:r>
        <w:t xml:space="preserve"> </w:t>
      </w:r>
      <w:r>
        <w:t>-butylbenzoyl (TBBz) as an effective activating group for benzyl alcohols. This modular protocol features broad substrate scope, compatibility with CO</w:t>
      </w:r>
      <w:r>
        <w:rPr>
          <w:vertAlign w:val="subscript"/>
        </w:rPr>
        <w:t>2</w:t>
      </w:r>
      <w:r>
        <w:t>and chlorosilanes as coupling partners, and is amenable to gram-scale synthesis. The synthetic utility of this method is exemplified by the simplified synthesis of high-value commercial building blocks and advanced intermediates for bioactive compounds, as well as the facile access to bioisosteric analogs of drug molecules.</w:t>
      </w:r>
    </w:p>
    <w:p>
      <w:pPr>
        <w:spacing w:before="120" w:after="120"/>
      </w:pPr>
      <w:r>
        <w:rPr>
          <w:sz w:val="18"/>
        </w:rPr>
        <w:t>——————————————————————————————————————————————————————————————————————</w:t>
      </w:r>
    </w:p>
    <w:p>
      <w:pPr>
        <w:spacing w:before="160" w:after="80" w:line="240" w:lineRule="auto"/>
      </w:pPr>
      <w:r>
        <w:rPr>
          <w:b/>
        </w:rPr>
        <w:t xml:space="preserve">[390] </w:t>
      </w:r>
      <w:hyperlink r:id="rId669">
        <w:r>
          <w:rPr>
            <w:color w:val="1155CC"/>
            <w:u w:val="single"/>
          </w:rPr>
          <w:t>4Pi stimulated Raman scattering for label-free super-resolution chemical imaging</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70">
        <w:r>
          <w:rPr>
            <w:color w:val="1155CC"/>
            <w:u w:val="single"/>
          </w:rPr>
          <w:t>10.1126/sciadv.aec0523</w:t>
        </w:r>
      </w:hyperlink>
    </w:p>
    <w:p>
      <w:pPr>
        <w:spacing w:before="0" w:after="120"/>
      </w:pPr>
      <w:r>
        <w:rPr>
          <w:b/>
        </w:rPr>
        <w:t xml:space="preserve">Notes: </w:t>
      </w:r>
      <w:r>
        <w:t>abstract_source=crossref</w:t>
      </w:r>
    </w:p>
    <w:p>
      <w:pPr>
        <w:spacing w:before="0" w:after="200" w:lineRule="auto" w:line="276"/>
      </w:pPr>
      <w:r>
        <w:rPr>
          <w:b/>
        </w:rPr>
        <w:t xml:space="preserve">Abstract: </w:t>
      </w:r>
      <w:r>
        <w:t>Super-resolution fluorescence microscopy has transformed biological imaging beyond the diffraction limit. However, many biomolecules, nanostructures, drug molecules, and metabolites cannot be easily tagged, requiring a label-free imaging approach. Stimulated Raman scattering (SRS) microscopy is a powerful platform for super-resolution label-free imaging, yet current super-resolution SRS approaches rely on photoswitching, saturation, or sample expansion, which are limited by labeling, photodamage, or signal dilution, respectively. Here, we combine SRS with 4Pi interferometry to enhance axial resolution nearly sevenfold. We report on improvements in imaging sensitivity and axial resolution using 80-nanometer polystyrene beads. Harnessing the improved axial resolution, we demonstrate super-resolution 4Pi-SRS imaging in resolving small lipid droplet structures in mammalian cells and lipid membranes in</w:t>
      </w:r>
      <w:r>
        <w:t xml:space="preserve"> </w:t>
      </w:r>
      <w:r>
        <w:t>Escherichia coli</w:t>
      </w:r>
      <w:r>
        <w:t xml:space="preserve"> </w:t>
      </w:r>
      <w:r>
        <w:t>cells. Because 4Pi-SRS uses interferometry to improve axial resolution, it is orthogonal to all previous super-resolution SRS techniques; thus, it is straightforward to integrate it with existing methods to achieve much higher resolution chemical imaging than previously possible.</w:t>
      </w:r>
    </w:p>
    <w:p>
      <w:pPr>
        <w:spacing w:before="120" w:after="120"/>
      </w:pPr>
      <w:r>
        <w:rPr>
          <w:sz w:val="18"/>
        </w:rPr>
        <w:t>——————————————————————————————————————————————————————————————————————</w:t>
      </w:r>
    </w:p>
    <w:p>
      <w:pPr>
        <w:spacing w:before="160" w:after="80" w:line="240" w:lineRule="auto"/>
      </w:pPr>
      <w:r>
        <w:rPr>
          <w:b/>
        </w:rPr>
        <w:t xml:space="preserve">[391] </w:t>
      </w:r>
      <w:hyperlink r:id="rId671">
        <w:r>
          <w:rPr>
            <w:color w:val="1155CC"/>
            <w:u w:val="single"/>
          </w:rPr>
          <w:t>PARP1 stabilizes FOXN3 to suppress pulmonary fibrosis through p38-related feedback regulation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72">
        <w:r>
          <w:rPr>
            <w:color w:val="1155CC"/>
            <w:u w:val="single"/>
          </w:rPr>
          <w:t>10.1126/sciadv.ady1681</w:t>
        </w:r>
      </w:hyperlink>
    </w:p>
    <w:p>
      <w:pPr>
        <w:spacing w:before="0" w:after="120"/>
      </w:pPr>
      <w:r>
        <w:rPr>
          <w:b/>
        </w:rPr>
        <w:t xml:space="preserve">Notes: </w:t>
      </w:r>
      <w:r>
        <w:t>abstract_source=crossref</w:t>
      </w:r>
    </w:p>
    <w:p>
      <w:pPr>
        <w:spacing w:before="0" w:after="200" w:lineRule="auto" w:line="276"/>
      </w:pPr>
      <w:r>
        <w:rPr>
          <w:b/>
        </w:rPr>
        <w:t xml:space="preserve">Abstract: </w:t>
      </w:r>
      <w:r>
        <w:t>The transcriptional repressor forkhead box N3 (FOXN3) has been reported to suppress pulmonary fibrosis by inhibiting Smad transcriptional activity. However, FOXN3 becomes unstable in response to profibrotic stimuli. This study identifies poly(ADP-ribose) polymerase–1 (PARP1) as a stabilizing partner of FOXN3, preventing its degradation by blocking p38-mediated phosphorylation. Lung-specific knockout (KO) of PARP1 promotes the development of pulmonary fibrosis by reducing the abundance of FOXN3. Conditional overexpression of FOXN3 notably mitigates pulmonary fibrosis resulting from PARP1 KO by impeding Smad signaling, underscoring the critical role of the PARP1-FOXN3 axis in pulmonary fibrosis. Mechanistically, p38 is a Smad response gene that is transcriptionally repressed by the PARP1/FOXN3 complex. The disruption of PARP1 or FOXN3 increases p38 expression, which in turn facilitates FOXN3 degradation through a feedback mechanism. This cascade activates Smad signaling, leading to a profibrotic response and myofibroblast activation. Notably, levels of PARP1 and FOXN3 are significantly reduced in patients with pulmonary fibrosis, highlighting PARP1’s crucial role in suppressing the disease by regulating FOXN3-mediated Smad signaling.</w:t>
      </w:r>
    </w:p>
    <w:p>
      <w:pPr>
        <w:spacing w:before="120" w:after="120"/>
      </w:pPr>
      <w:r>
        <w:rPr>
          <w:sz w:val="18"/>
        </w:rPr>
        <w:t>——————————————————————————————————————————————————————————————————————</w:t>
      </w:r>
    </w:p>
    <w:p>
      <w:pPr>
        <w:spacing w:before="160" w:after="80" w:line="240" w:lineRule="auto"/>
      </w:pPr>
      <w:r>
        <w:rPr>
          <w:b/>
        </w:rPr>
        <w:t xml:space="preserve">[392] </w:t>
      </w:r>
      <w:hyperlink r:id="rId673">
        <w:r>
          <w:rPr>
            <w:color w:val="1155CC"/>
            <w:u w:val="single"/>
          </w:rPr>
          <w:t>Social networks and international migration in Honduran villages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74">
        <w:r>
          <w:rPr>
            <w:color w:val="1155CC"/>
            <w:u w:val="single"/>
          </w:rPr>
          <w:t>10.1073/pnas.2505818122</w:t>
        </w:r>
      </w:hyperlink>
    </w:p>
    <w:p>
      <w:pPr>
        <w:spacing w:before="0" w:after="120"/>
      </w:pPr>
      <w:r>
        <w:rPr>
          <w:b/>
        </w:rPr>
        <w:t xml:space="preserve">Notes: </w:t>
      </w:r>
      <w:r>
        <w:t>abstract_source=crossref</w:t>
      </w:r>
    </w:p>
    <w:p>
      <w:pPr>
        <w:spacing w:before="0" w:after="200" w:lineRule="auto" w:line="276"/>
      </w:pPr>
      <w:r>
        <w:rPr>
          <w:b/>
        </w:rPr>
        <w:t xml:space="preserve">Abstract: </w:t>
      </w:r>
      <w:r>
        <w:t>Social relationships are central to shaping international migration patterns, yet the link between widescale network structure and mobility decisions remains poorly understood. Here, we investigate two key mechanisms by which social networks influence migration behavior: transmission of information and resources, and comparison of social status. These mechanisms suggest distinct sets of alters that an ego may emulate with respect to their migration behaviors, resulting in divergent mobility trajectories within and across communities. Leveraging longitudinal data from 73 Honduran villages (</w:t>
      </w:r>
      <w:r>
        <w:t xml:space="preserve"> </w:t>
      </w:r>
      <w:r>
        <w:t>N</w:t>
      </w:r>
      <w:r>
        <w:t xml:space="preserve"> </w:t>
      </w:r>
      <w:r>
        <w:t>=</w:t>
      </w:r>
      <w:r>
        <w:rPr>
          <w:vertAlign w:val="subscript"/>
        </w:rPr>
        <w:t>15</w:t>
      </w:r>
      <w:r>
        <w:t>,</w:t>
      </w:r>
      <w:r>
        <w:rPr>
          <w:vertAlign w:val="subscript"/>
        </w:rPr>
        <w:t>480</w:t>
      </w:r>
      <w:r>
        <w:t xml:space="preserve"> </w:t>
      </w:r>
      <w:r>
        <w:t>individuals) over six years, we use a Linear Network Autocorrelation Modeling framework to disentangle the effects of kinship, friendship, and economic ties on international migration decisions. Our findings reveal that incorporating social network factors as predictors significantly improves model fit. While indicators for resource-sharing processes substantially contribute to model performance, the inclusion of structural comparison mechanisms does not provide additional explanatory power. These results underscore the critical role of information and resource transmission within social networks in facilitating migration behaviors.</w:t>
      </w:r>
    </w:p>
    <w:p>
      <w:pPr>
        <w:spacing w:before="120" w:after="120"/>
      </w:pPr>
      <w:r>
        <w:rPr>
          <w:sz w:val="18"/>
        </w:rPr>
        <w:t>——————————————————————————————————————————————————————————————————————</w:t>
      </w:r>
    </w:p>
    <w:p>
      <w:pPr>
        <w:spacing w:before="160" w:after="80" w:line="240" w:lineRule="auto"/>
      </w:pPr>
      <w:r>
        <w:rPr>
          <w:b/>
        </w:rPr>
        <w:t xml:space="preserve">[393] </w:t>
      </w:r>
      <w:hyperlink r:id="rId675">
        <w:r>
          <w:rPr>
            <w:color w:val="1155CC"/>
            <w:u w:val="single"/>
          </w:rPr>
          <w:t>Antagonistic regulation of nitrogen and drought signaling mediated by NIN-like protein 7 transcription factor in Arabidopsis thaliana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76">
        <w:r>
          <w:rPr>
            <w:color w:val="1155CC"/>
            <w:u w:val="single"/>
          </w:rPr>
          <w:t>10.1073/pnas.2509904122</w:t>
        </w:r>
      </w:hyperlink>
    </w:p>
    <w:p>
      <w:pPr>
        <w:spacing w:before="0" w:after="120"/>
      </w:pPr>
      <w:r>
        <w:rPr>
          <w:b/>
        </w:rPr>
        <w:t xml:space="preserve">Notes: </w:t>
      </w:r>
      <w:r>
        <w:t>abstract_source=crossref</w:t>
      </w:r>
    </w:p>
    <w:p>
      <w:pPr>
        <w:spacing w:before="0" w:after="200" w:lineRule="auto" w:line="276"/>
      </w:pPr>
      <w:r>
        <w:rPr>
          <w:b/>
        </w:rPr>
        <w:t xml:space="preserve">Abstract: </w:t>
      </w:r>
      <w:r>
        <w:t>Plants face the constant challenge of reconciling antagonistic environmental signals, such as nutrient-driven growth and water deficit–induced stress responses. However, the molecular mechanisms that integrate these conflicting pathways remain poorly understood. Through a comprehensive transcriptomic meta-analysis in</w:t>
      </w:r>
      <w:r>
        <w:t xml:space="preserve"> </w:t>
      </w:r>
      <w:r>
        <w:t>Arabidopsis thaliana</w:t>
      </w:r>
      <w:r>
        <w:t xml:space="preserve"> </w:t>
      </w:r>
      <w:r>
        <w:t>, we show that nitrogen (N) supply and water deficit signaling exhibit overlapping and often opposing gene expression responses. Regulatory network modeling identifies the NIN-LIKE PROTEIN 7 (NLP7) transcription factor (TF) as a central integrator of these convergent transcriptional responses. Through combinatorial water deficit and N supply treatments in wild-type and</w:t>
      </w:r>
      <w:r>
        <w:t xml:space="preserve"> </w:t>
      </w:r>
      <w:r>
        <w:t>nlp7</w:t>
      </w:r>
      <w:r>
        <w:t xml:space="preserve"> </w:t>
      </w:r>
      <w:r>
        <w:t>mutant plants, we find that NLP7 accounts for 85% of the transcriptional interaction between these pathways. Chromatin immunoprecipitation and sequencing and a cell TF assay to detect TF regulation genome-wide reveal that NLP7 directly downregulate the expression of TFs such as</w:t>
      </w:r>
      <w:r>
        <w:t xml:space="preserve"> </w:t>
      </w:r>
      <w:r>
        <w:t>HB6</w:t>
      </w:r>
      <w:r>
        <w:t xml:space="preserve"> </w:t>
      </w:r>
      <w:r>
        <w:t>,</w:t>
      </w:r>
      <w:r>
        <w:t xml:space="preserve"> </w:t>
      </w:r>
      <w:r>
        <w:t>NAC6</w:t>
      </w:r>
      <w:r>
        <w:t xml:space="preserve"> </w:t>
      </w:r>
      <w:r>
        <w:t>,</w:t>
      </w:r>
      <w:r>
        <w:t xml:space="preserve"> </w:t>
      </w:r>
      <w:r>
        <w:t>NAP</w:t>
      </w:r>
      <w:r>
        <w:t xml:space="preserve"> </w:t>
      </w:r>
      <w:r>
        <w:t>, and</w:t>
      </w:r>
      <w:r>
        <w:t xml:space="preserve"> </w:t>
      </w:r>
      <w:r>
        <w:t>WRKY18</w:t>
      </w:r>
      <w:r>
        <w:t xml:space="preserve"> </w:t>
      </w:r>
      <w:r>
        <w:t>, which are central regulators of water deficit–mediated stress signaling. Repression of these secondary TFs has distinct downstream effects on gene expression, influencing shared and water deficit–specific responses. Loss of NLP7 enhances water deficit tolerance, characterized by increased water retention, reduced abscisic acid-mediated stomatal aperture, and altered expression of stress-responsive genes. These findings establish NLP7 as a central hub balancing growth and stress responses, providing insight into how plants integrate competing environmental cues.</w:t>
      </w:r>
    </w:p>
    <w:p>
      <w:pPr>
        <w:spacing w:before="120" w:after="120"/>
      </w:pPr>
      <w:r>
        <w:rPr>
          <w:sz w:val="18"/>
        </w:rPr>
        <w:t>——————————————————————————————————————————————————————————————————————</w:t>
      </w:r>
    </w:p>
    <w:p>
      <w:pPr>
        <w:spacing w:before="160" w:after="80" w:line="240" w:lineRule="auto"/>
      </w:pPr>
      <w:r>
        <w:rPr>
          <w:b/>
        </w:rPr>
        <w:t xml:space="preserve">[394] </w:t>
      </w:r>
      <w:hyperlink r:id="rId677">
        <w:r>
          <w:rPr>
            <w:color w:val="1155CC"/>
            <w:u w:val="single"/>
          </w:rPr>
          <w:t>Computer-assisted learning in the real world: How Khan Academy influences student math learning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78">
        <w:r>
          <w:rPr>
            <w:color w:val="1155CC"/>
            <w:u w:val="single"/>
          </w:rPr>
          <w:t>10.1073/pnas.2507708123</w:t>
        </w:r>
      </w:hyperlink>
    </w:p>
    <w:p>
      <w:pPr>
        <w:spacing w:before="0" w:after="120"/>
      </w:pPr>
      <w:r>
        <w:rPr>
          <w:b/>
        </w:rPr>
        <w:t xml:space="preserve">Notes: </w:t>
      </w:r>
      <w:r>
        <w:t>abstract_source=crossref</w:t>
      </w:r>
    </w:p>
    <w:p>
      <w:pPr>
        <w:spacing w:before="0" w:after="200" w:lineRule="auto" w:line="276"/>
      </w:pPr>
      <w:r>
        <w:rPr>
          <w:b/>
        </w:rPr>
        <w:t xml:space="preserve">Abstract: </w:t>
      </w:r>
      <w:r>
        <w:t>Computer-assisted learning (CAL) offers an affordable way to implement a mastery learning approach in the classroom. However, while experimental research suggests CAL can enhance student outcomes, such findings often rely on experimental conditions not easily replicated in ordinary classroom settings (e.g., opt-in participation, extensive training and support, and high CAL usage targets). To assess the real-world impact of CAL, we draw on a large three-year panel of administrative data covering over 200,000 students in school districts that licensed Khan Academy’s Measures of Academic Progress accelerator, a program designed to support math learning. To identify causal effects, we exploit within-teacher and within-school changes in average classroom CAL practice time—a strategy that yields precise, policy-relevant estimates even at modest usage levels. We find that a classroom with 6.6 h of annual Khan Academy practice (about 11 min per week) experiences a</w:t>
      </w:r>
      <w:r>
        <w:t xml:space="preserve"> </w:t>
      </w:r>
      <w:r>
        <w:t>+</w:t>
      </w:r>
      <w:r>
        <w:t xml:space="preserve"> </w:t>
      </w:r>
      <w:r>
        <w:t>0.031 SD gain in math test score performance compared to no practice. For classrooms with higher usage levels, we find approximately linear gains, with projected effects rising to</w:t>
      </w:r>
      <w:r>
        <w:t xml:space="preserve"> </w:t>
      </w:r>
      <w:r>
        <w:t>+</w:t>
      </w:r>
      <w:r>
        <w:t xml:space="preserve"> </w:t>
      </w:r>
      <w:r>
        <w:t>0.085 SD at the recommended 30 min per week. Higher-achieving students benefit most, in part because they spend more time on CAL and progress through more skills than lower-performing peers. Teachers might reduce achievement gaps and boost overall gains by encouraging more productive use of the platform (focused on skill mastery)—especially among struggling students.</w:t>
      </w:r>
    </w:p>
    <w:p>
      <w:pPr>
        <w:spacing w:before="120" w:after="120"/>
      </w:pPr>
      <w:r>
        <w:rPr>
          <w:sz w:val="18"/>
        </w:rPr>
        <w:t>——————————————————————————————————————————————————————————————————————</w:t>
      </w:r>
    </w:p>
    <w:p>
      <w:pPr>
        <w:spacing w:before="160" w:after="80" w:line="240" w:lineRule="auto"/>
      </w:pPr>
      <w:r>
        <w:rPr>
          <w:b/>
        </w:rPr>
        <w:t xml:space="preserve">[395] </w:t>
      </w:r>
      <w:hyperlink r:id="rId679">
        <w:r>
          <w:rPr>
            <w:color w:val="1155CC"/>
            <w:u w:val="single"/>
          </w:rPr>
          <w:t>Decoding anomalous thermal transport in magnetic semiconductors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80">
        <w:r>
          <w:rPr>
            <w:color w:val="1155CC"/>
            <w:u w:val="single"/>
          </w:rPr>
          <w:t>10.1126/sciadv.adw7332</w:t>
        </w:r>
      </w:hyperlink>
    </w:p>
    <w:p>
      <w:pPr>
        <w:spacing w:before="0" w:after="120"/>
      </w:pPr>
      <w:r>
        <w:rPr>
          <w:b/>
        </w:rPr>
        <w:t xml:space="preserve">Notes: </w:t>
      </w:r>
      <w:r>
        <w:t>abstract_source=crossref</w:t>
      </w:r>
    </w:p>
    <w:p>
      <w:pPr>
        <w:spacing w:before="0" w:after="200" w:lineRule="auto" w:line="276"/>
      </w:pPr>
      <w:r>
        <w:rPr>
          <w:b/>
        </w:rPr>
        <w:t xml:space="preserve">Abstract: </w:t>
      </w:r>
      <w:r>
        <w:t>Thermal conductivity in semiconductors typically decreases at high temperatures due to enhanced phonon-phonon interactions. In contrast, certain magnetic semiconductors, such as chromium nitride (CrN), exhibit an increased thermal conductivity above its Néel temperature, predicted to be caused by strong spin-phonon coupling. However, this hypothesis lacks experimental verification and detailed understanding. Here, we present conclusive experimental evidence showing that the enhanced thermal conductivity in CrN arises from anomalous temperature-dependent acoustic phonon lifetimes, driven by a dynamic coupling between spin fluctuations and acoustic phonons in the system. Temperature-dependent inelastic x-ray scattering measurements reveal that acoustic phonon lifetimes in CrN are strongly suppressed near Néel temperature but anomalously increase at higher temperatures. In contrast, the optical phonon lifetime decreases with rising temperature, akin to a nonmagnetic semiconductor, as it remains unaffected by spin-phonon coupling. This finding unveils the microscopic origin of anomalous heat transport behavior in magnetostructurally coupled materials, offering a pathway for effective thermal management in magnetic material–based devices.</w:t>
      </w:r>
    </w:p>
    <w:p>
      <w:pPr>
        <w:spacing w:before="120" w:after="120"/>
      </w:pPr>
      <w:r>
        <w:rPr>
          <w:sz w:val="18"/>
        </w:rPr>
        <w:t>——————————————————————————————————————————————————————————————————————</w:t>
      </w:r>
    </w:p>
    <w:p>
      <w:pPr>
        <w:spacing w:before="160" w:after="80" w:line="240" w:lineRule="auto"/>
      </w:pPr>
      <w:r>
        <w:rPr>
          <w:b/>
        </w:rPr>
        <w:t xml:space="preserve">[396] </w:t>
      </w:r>
      <w:hyperlink r:id="rId681">
        <w:r>
          <w:rPr>
            <w:color w:val="1155CC"/>
            <w:u w:val="single"/>
          </w:rPr>
          <w:t>Host–microbiome mutualism drives urea carbon salvage and acetogenesis during hibernation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82">
        <w:r>
          <w:rPr>
            <w:color w:val="1155CC"/>
            <w:u w:val="single"/>
          </w:rPr>
          <w:t>10.1073/pnas.2518978123</w:t>
        </w:r>
      </w:hyperlink>
    </w:p>
    <w:p>
      <w:pPr>
        <w:spacing w:before="0" w:after="120"/>
      </w:pPr>
      <w:r>
        <w:rPr>
          <w:b/>
        </w:rPr>
        <w:t xml:space="preserve">Notes: </w:t>
      </w:r>
      <w:r>
        <w:t>abstract_source=crossref</w:t>
      </w:r>
    </w:p>
    <w:p>
      <w:pPr>
        <w:spacing w:before="0" w:after="200" w:lineRule="auto" w:line="276"/>
      </w:pPr>
      <w:r>
        <w:rPr>
          <w:b/>
        </w:rPr>
        <w:t xml:space="preserve">Abstract: </w:t>
      </w:r>
      <w:r>
        <w:t>Hibernation is a seasonal survival strategy employed by certain mammals that, through torpor use, reduces overall energy expenditure and permits long-term fasting. Although fasting solves the challenge of winter food scarcity, it also removes dietary carbon, a critical biomolecular building block. Here, we demonstrate a process of urea carbon salvage (UCS) in hibernating 13-lined ground squirrels, whereby urea carbon is reclaimed through gut microbial ureolysis and used in reductive acetogenesis to produce acetate, a short-chain fatty acid (SCFA) of major value to the host and its gut microbiota. We find that urea carbon incorporation into acetate is more efficient during hibernation than the summer active season and that while both host and gut microbes oxidize acetate for energy supply throughout the year, the host’s ability to absorb and oxidize acetate is highest during hibernation. Metagenomic analysis of the gut microbiome indicates that genes involved in the degradation of gut mucins, an abundant endogenous nutrient, are retained during hibernation. The hydrogen disposal associated with reductive acetogenesis from urea carbon helps facilitate this mucin degradation by providing a luminal environment that sustains fermentation, thereby generating SCFAs and other metabolites usable by both the host and its gut microbes. Our findings introduce UCS as a mechanism that enables hibernating squirrels and their gut microbes to exploit two key endogenous nutrient sources—urea and mucins—in the resource-limited hibernation season.</w:t>
      </w:r>
    </w:p>
    <w:p>
      <w:pPr>
        <w:spacing w:before="120" w:after="120"/>
      </w:pPr>
      <w:r>
        <w:rPr>
          <w:sz w:val="18"/>
        </w:rPr>
        <w:t>——————————————————————————————————————————————————————————————————————</w:t>
      </w:r>
    </w:p>
    <w:p>
      <w:pPr>
        <w:spacing w:before="160" w:after="80" w:line="240" w:lineRule="auto"/>
      </w:pPr>
      <w:r>
        <w:rPr>
          <w:b/>
        </w:rPr>
        <w:t xml:space="preserve">[397] </w:t>
      </w:r>
      <w:hyperlink r:id="rId683">
        <w:r>
          <w:rPr>
            <w:color w:val="1155CC"/>
            <w:u w:val="single"/>
          </w:rPr>
          <w:t>Gene duplication, horizontal gene transfer, and trait trade-offs drive evolution of postfire resource acquisition in pyrophilous fungi</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84">
        <w:r>
          <w:rPr>
            <w:color w:val="1155CC"/>
            <w:u w:val="single"/>
          </w:rPr>
          <w:t>10.1073/pnas.2519152123</w:t>
        </w:r>
      </w:hyperlink>
    </w:p>
    <w:p>
      <w:pPr>
        <w:spacing w:before="0" w:after="120"/>
      </w:pPr>
      <w:r>
        <w:rPr>
          <w:b/>
        </w:rPr>
        <w:t xml:space="preserve">Notes: </w:t>
      </w:r>
      <w:r>
        <w:t>abstract_source=crossref</w:t>
      </w:r>
    </w:p>
    <w:p>
      <w:pPr>
        <w:spacing w:before="0" w:after="200" w:lineRule="auto" w:line="276"/>
      </w:pPr>
      <w:r>
        <w:rPr>
          <w:b/>
        </w:rPr>
        <w:t xml:space="preserve">Abstract: </w:t>
      </w:r>
      <w:r>
        <w:t>Wildfires significantly alter soil carbon (C) and nitrogen (N), reducing microbial richness and biomass, while selecting for “fire-loving” pyrophilous microbes that drive postfire nutrient cycling. However, the genomic strategies and functional trade-offs (balancing gains in one trait with costs in another) underlying the traits that enable pyrophilous microbes to survive and thrive postfire are virtually unknown. We hypothesized that pyrophilous fungi employ specialized genomic adaptations for C and N cycling, with evolutionary trade-offs between traits governing aromatic C degradation, N acquisition pathways, and rapid growth. To test these hypotheses, we performed complementary comparative genomics, transcriptomics after pyrogenic organic matter amendment, and growth rate bioassays for 18 pyrophilous fungi from five Ascomycota (Eurotiales, Pleosporales, Sordariales, Coniochaetales, and Pezizales) and three Basidiomycota (Agaricales, Holtermanniales, and Geminibasidiales) orders isolated from burned soils. We found a dramatic trait trade-off between fast growth and number of genes responsible for aromatic C degradation, implying burned environments select for metabolically costly genes despite their evolutionary cost. We used the comparative genomics framework to evaluate genomic signatures of evolution and found that either gene duplication and somatic mutation, or recombination via sexual reproduction, were the primary drivers of fungal genomic variation in aromatic C degradation and N acquisition genes. Finally, we identified cross-kingdom bacterial to fungal horizontal gene transfer (HGT) as a secondary strategy producing novel aromatic C degradation genes. Overall, we found that trait trade-offs and genome evolutionary strategies are key drivers that may predict the persistence and contribution of pyrophilous fungi to global C and N cycling.</w:t>
      </w:r>
    </w:p>
    <w:p>
      <w:pPr>
        <w:spacing w:before="120" w:after="120"/>
      </w:pPr>
      <w:r>
        <w:rPr>
          <w:sz w:val="18"/>
        </w:rPr>
        <w:t>——————————————————————————————————————————————————————————————————————</w:t>
      </w:r>
    </w:p>
    <w:p>
      <w:pPr>
        <w:spacing w:before="160" w:after="80" w:line="240" w:lineRule="auto"/>
      </w:pPr>
      <w:r>
        <w:rPr>
          <w:b/>
        </w:rPr>
        <w:t xml:space="preserve">[398] </w:t>
      </w:r>
      <w:hyperlink r:id="rId685">
        <w:r>
          <w:rPr>
            <w:color w:val="1155CC"/>
            <w:u w:val="single"/>
          </w:rPr>
          <w:t>Spaceflight alters molecular networks linked to diverse human diseases in a single cellular model</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686">
        <w:r>
          <w:rPr>
            <w:color w:val="1155CC"/>
            <w:u w:val="single"/>
          </w:rPr>
          <w:t>10.1126/sciadv.adw7832</w:t>
        </w:r>
      </w:hyperlink>
    </w:p>
    <w:p>
      <w:pPr>
        <w:spacing w:before="0" w:after="120"/>
      </w:pPr>
      <w:r>
        <w:rPr>
          <w:b/>
        </w:rPr>
        <w:t xml:space="preserve">Notes: </w:t>
      </w:r>
      <w:r>
        <w:t>abstract_source=crossref</w:t>
      </w:r>
    </w:p>
    <w:p>
      <w:pPr>
        <w:spacing w:before="0" w:after="200" w:lineRule="auto" w:line="276"/>
      </w:pPr>
      <w:r>
        <w:rPr>
          <w:b/>
        </w:rPr>
        <w:t xml:space="preserve">Abstract: </w:t>
      </w:r>
      <w:r>
        <w:t>The International Space Station provides an opportunity to study the impact of spaceflight on gene expression and possible links to human health. Our study investigates global changes in messenger RNA (mRNA) abundance in the THP-1 cell line, a monocyte-macrophage lineage known for plasticity and immune reprogramming features. We identified pathways positively enriched with genes affecting muscle and cardiac contraction, neuronal system, and sensory perception. Available computational models identified links with health issues, including cardiac, neurological, muscular, and renal disorders and alterations in senses. Specific mechanistic networks were identified: retinoid metabolism, cAMP (adenosine 3′,5′-monophosphate)/CREB (cAMP response element–binding protein) signaling, and glutamatergic receptor signaling, which were associated with changes in vision, sleep, and movement, respectively. A considerable reduction is observed in E2F-regulated transcription of G</w:t>
      </w:r>
      <w:r>
        <w:rPr>
          <w:vertAlign w:val="subscript"/>
        </w:rPr>
        <w:t>2</w:t>
      </w:r>
      <w:r>
        <w:t>-M and DNA repair genes. A c-myc–regulated mRNA splicing pathway was identified and found commonly down-regulated in other mission datasets. Our results offer a stimulating framework for several health states encountered during spaceflight and can be further used as an accelerated disease and drug discovery model.</w:t>
      </w:r>
    </w:p>
    <w:p>
      <w:pPr>
        <w:spacing w:before="120" w:after="120"/>
      </w:pPr>
      <w:r>
        <w:rPr>
          <w:sz w:val="18"/>
        </w:rPr>
        <w:t>——————————————————————————————————————————————————————————————————————</w:t>
      </w:r>
    </w:p>
    <w:p>
      <w:pPr>
        <w:spacing w:before="160" w:after="80" w:line="240" w:lineRule="auto"/>
      </w:pPr>
      <w:r>
        <w:rPr>
          <w:b/>
        </w:rPr>
        <w:t xml:space="preserve">[399] </w:t>
      </w:r>
      <w:hyperlink r:id="rId687">
        <w:r>
          <w:rPr>
            <w:color w:val="1155CC"/>
            <w:u w:val="single"/>
          </w:rPr>
          <w:t>Interplanetary magnetic correlation and low-frequency spectrum over many solar rotations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88">
        <w:r>
          <w:rPr>
            <w:color w:val="1155CC"/>
            <w:u w:val="single"/>
          </w:rPr>
          <w:t>10.1073/pnas.2519811122</w:t>
        </w:r>
      </w:hyperlink>
    </w:p>
    <w:p>
      <w:pPr>
        <w:spacing w:before="0" w:after="120"/>
      </w:pPr>
      <w:r>
        <w:rPr>
          <w:b/>
        </w:rPr>
        <w:t xml:space="preserve">Notes: </w:t>
      </w:r>
      <w:r>
        <w:t>abstract_source=crossref</w:t>
      </w:r>
    </w:p>
    <w:p>
      <w:pPr>
        <w:spacing w:before="0" w:after="200" w:lineRule="auto" w:line="276"/>
      </w:pPr>
      <w:r>
        <w:rPr>
          <w:b/>
        </w:rPr>
        <w:t xml:space="preserve">Abstract: </w:t>
      </w:r>
      <w:r>
        <w:t>Fluctuations and structure across a wide range of spatial and temporal scales are frequently studied in the solar wind. The properties of the low-frequency fluctuations are of relevance to turbulent energy injection into the plasma and the transport of high-energy cosmic rays. Correlation analysis of decade-long intervals of interplanetary data permits study of fluctuations at time scales much longer than suitably defined correlation times, and therefore at frequencies well below those associated with the Kolmogorov inertial range of in situ turbulence. At the frequencies of interest, we study the familiar occurrence of the</w:t>
      </w:r>
      <w:r>
        <w:t xml:space="preserve"> </w:t>
      </w:r>
      <w:r>
        <w:rPr>
          <w:vertAlign w:val="subscript"/>
        </w:rPr>
        <w:t>1</w:t>
      </w:r>
      <w:r>
        <w:t>/</w:t>
      </w:r>
      <w:r>
        <w:t>f</w:t>
      </w:r>
      <w:r>
        <w:t xml:space="preserve"> </w:t>
      </w:r>
      <w:r>
        <w:t>spectral signature. We also study point spectral features due to solar rotation and their relation with the</w:t>
      </w:r>
      <w:r>
        <w:t xml:space="preserve"> </w:t>
      </w:r>
      <w:r>
        <w:rPr>
          <w:vertAlign w:val="subscript"/>
        </w:rPr>
        <w:t>1</w:t>
      </w:r>
      <w:r>
        <w:t>/</w:t>
      </w:r>
      <w:r>
        <w:t>f</w:t>
      </w:r>
      <w:r>
        <w:t xml:space="preserve"> </w:t>
      </w:r>
      <w:r>
        <w:t>signal. We report properties at timescales ranging from minutes up to years, using data selected by wind speed, phase of solar cycle, and cartesian components of the magnetic field. A surprising finding is that the power in solar rotation harmonics is consistent with an extension of the</w:t>
      </w:r>
      <w:r>
        <w:t xml:space="preserve"> </w:t>
      </w:r>
      <w:r>
        <w:rPr>
          <w:vertAlign w:val="subscript"/>
        </w:rPr>
        <w:t>1</w:t>
      </w:r>
      <w:r>
        <w:t>/</w:t>
      </w:r>
      <w:r>
        <w:t>f</w:t>
      </w:r>
      <w:r>
        <w:t xml:space="preserve"> </w:t>
      </w:r>
      <w:r>
        <w:t>spectrum, down to frequencies as low as around</w:t>
      </w:r>
      <w:r>
        <w:t xml:space="preserve"> </w:t>
      </w:r>
      <w:r>
        <w:rPr>
          <w:vertAlign w:val="subscript"/>
        </w:rPr>
        <w:t>5</w:t>
      </w:r>
      <w:r>
        <w:t>×</w:t>
      </w:r>
      <w:r>
        <w:t xml:space="preserve"> </w:t>
      </w:r>
      <w:r>
        <w:rPr>
          <w:vertAlign w:val="subscript"/>
        </w:rPr>
        <w:t>10</w:t>
      </w:r>
      <w:r>
        <w:t xml:space="preserve"> </w:t>
      </w:r>
      <w:r>
        <w:t>−</w:t>
      </w:r>
      <w:r>
        <w:rPr>
          <w:vertAlign w:val="subscript"/>
        </w:rPr>
        <w:t>7</w:t>
      </w:r>
      <w:r>
        <w:t xml:space="preserve"> </w:t>
      </w:r>
      <w:r>
        <w:t>Hz</w:t>
      </w:r>
      <w:r>
        <w:t xml:space="preserve"> </w:t>
      </w:r>
      <w:r>
        <w:t>. The presence of a broadband</w:t>
      </w:r>
      <w:r>
        <w:t xml:space="preserve"> </w:t>
      </w:r>
      <w:r>
        <w:rPr>
          <w:vertAlign w:val="subscript"/>
        </w:rPr>
        <w:t>1</w:t>
      </w:r>
      <w:r>
        <w:t>/</w:t>
      </w:r>
      <w:r>
        <w:t>f</w:t>
      </w:r>
      <w:r>
        <w:t xml:space="preserve"> </w:t>
      </w:r>
      <w:r>
        <w:t>spectrum across different wind types supports the interpretation that</w:t>
      </w:r>
      <w:r>
        <w:t xml:space="preserve"> </w:t>
      </w:r>
      <w:r>
        <w:rPr>
          <w:vertAlign w:val="subscript"/>
        </w:rPr>
        <w:t>1</w:t>
      </w:r>
      <w:r>
        <w:t>/</w:t>
      </w:r>
      <w:r>
        <w:t>f</w:t>
      </w:r>
      <w:r>
        <w:t xml:space="preserve"> </w:t>
      </w:r>
      <w:r>
        <w:t>signals may be related to or even originate from the solar dynamo.</w:t>
      </w:r>
    </w:p>
    <w:p>
      <w:pPr>
        <w:spacing w:before="120" w:after="120"/>
      </w:pPr>
      <w:r>
        <w:rPr>
          <w:sz w:val="18"/>
        </w:rPr>
        <w:t>——————————————————————————————————————————————————————————————————————</w:t>
      </w:r>
    </w:p>
    <w:p>
      <w:pPr>
        <w:spacing w:before="160" w:after="80" w:line="240" w:lineRule="auto"/>
      </w:pPr>
      <w:r>
        <w:rPr>
          <w:b/>
        </w:rPr>
        <w:t xml:space="preserve">[400] </w:t>
      </w:r>
      <w:hyperlink r:id="rId689">
        <w:r>
          <w:rPr>
            <w:color w:val="1155CC"/>
            <w:u w:val="single"/>
          </w:rPr>
          <w:t>Striatal cholinergic interneurons exhibit compartment-specific anatomical and functional organization in the mouse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90">
        <w:r>
          <w:rPr>
            <w:color w:val="1155CC"/>
            <w:u w:val="single"/>
          </w:rPr>
          <w:t>10.1073/pnas.2519939123</w:t>
        </w:r>
      </w:hyperlink>
    </w:p>
    <w:p>
      <w:pPr>
        <w:spacing w:before="0" w:after="120"/>
      </w:pPr>
      <w:r>
        <w:rPr>
          <w:b/>
        </w:rPr>
        <w:t xml:space="preserve">Notes: </w:t>
      </w:r>
      <w:r>
        <w:t>abstract_source=crossref</w:t>
      </w:r>
    </w:p>
    <w:p>
      <w:pPr>
        <w:spacing w:before="0" w:after="200" w:lineRule="auto" w:line="276"/>
      </w:pPr>
      <w:r>
        <w:rPr>
          <w:b/>
        </w:rPr>
        <w:t xml:space="preserve">Abstract: </w:t>
      </w:r>
      <w:r>
        <w:t>Striatal output is dynamically modulated by cholinergic interneurons (CINs), the primary source of acetylcholine in the striatum. CINs have been classically viewed as a random and homogeneous population, but recent evidence suggests heterogeneity in their anatomical and functional organization. Here, using systematic mapping and quantitative spatial analyses, we found that—contrary to current dogma—CINs exhibited striking enrichment and nonrandom clustering in the striosome compartment, particularly in the lateral striatum. Similar analyses carried out for parvalbumin- and somatostatin-expressing interneurons revealed that compartmental organization is interneuron specific. The strong “striosome preference” exhibited by CINs was confined within striosome borders, not extending to the surrounding matrix. We further found that striosome and matrix CINs differed in their expression levels of phospho-S6 ribosomal protein-Ser240/244 and choline acetyltransferase, suggesting functional differences, and clustered CINs differed from unclustered CINs in their intrinsic membrane properties. Finally, CINs expressing Lhx6, which defines a distinct γ-aminobutyric acid (GABA) coreleasing population, were notably absent from regions where highly clustered striosomal CINs appeared. Collectively, our findings uncover important dimensions of CIN organization, suggesting that modulation of regional and compartmental striatal output may depend upon the spatial–functional heterogeneity of CINs.</w:t>
      </w:r>
    </w:p>
    <w:p>
      <w:pPr>
        <w:spacing w:before="120" w:after="120"/>
      </w:pPr>
      <w:r>
        <w:rPr>
          <w:sz w:val="18"/>
        </w:rPr>
        <w:t>——————————————————————————————————————————————————————————————————————</w:t>
      </w:r>
    </w:p>
    <w:p>
      <w:pPr>
        <w:spacing w:before="160" w:after="80" w:line="240" w:lineRule="auto"/>
      </w:pPr>
      <w:r>
        <w:rPr>
          <w:b/>
        </w:rPr>
        <w:t xml:space="preserve">[401] </w:t>
      </w:r>
      <w:hyperlink r:id="rId691">
        <w:r>
          <w:rPr>
            <w:color w:val="1155CC"/>
            <w:u w:val="single"/>
          </w:rPr>
          <w:t>Data-driven superresolution imaging in disordered media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92">
        <w:r>
          <w:rPr>
            <w:color w:val="1155CC"/>
            <w:u w:val="single"/>
          </w:rPr>
          <w:t>10.1073/pnas.2530449123</w:t>
        </w:r>
      </w:hyperlink>
    </w:p>
    <w:p>
      <w:pPr>
        <w:spacing w:before="0" w:after="120"/>
      </w:pPr>
      <w:r>
        <w:rPr>
          <w:b/>
        </w:rPr>
        <w:t xml:space="preserve">Notes: </w:t>
      </w:r>
      <w:r>
        <w:t>abstract_source=crossref</w:t>
      </w:r>
    </w:p>
    <w:p>
      <w:pPr>
        <w:spacing w:before="0" w:after="200" w:lineRule="auto" w:line="276"/>
      </w:pPr>
      <w:r>
        <w:rPr>
          <w:b/>
        </w:rPr>
        <w:t xml:space="preserve">Abstract: </w:t>
      </w:r>
      <w:r>
        <w:t>We propose a methodology that exploits large and diverse datasets to accurately estimate the ambient medium’s Green’s functions in strongly scattering media. Given these estimates, excellent imaging results are achieved, with a resolution that is better than that of a homogeneous medium. This phenomenon, known as superresolution, arises because the ambient scattering medium effectively enlarges the physical imaging aperture. While superresolution has been demonstrated and analyzed extensively in the context of physical time reversal, time reversal itself is not imaging. Our proposed methodology, based on either conventional optimization methods or neural networks, makes it possible to achieve superresolution imaging in complex media.</w:t>
      </w:r>
    </w:p>
    <w:p>
      <w:pPr>
        <w:spacing w:before="120" w:after="120"/>
      </w:pPr>
      <w:r>
        <w:rPr>
          <w:sz w:val="18"/>
        </w:rPr>
        <w:t>——————————————————————————————————————————————————————————————————————</w:t>
      </w:r>
    </w:p>
    <w:p>
      <w:pPr>
        <w:spacing w:before="160" w:after="80" w:line="240" w:lineRule="auto"/>
      </w:pPr>
      <w:r>
        <w:rPr>
          <w:b/>
        </w:rPr>
        <w:t xml:space="preserve">[402] </w:t>
      </w:r>
      <w:hyperlink r:id="rId693">
        <w:r>
          <w:rPr>
            <w:color w:val="1155CC"/>
            <w:u w:val="single"/>
          </w:rPr>
          <w:t>Structured electrolytes facilitate Grotthuss-type transport for enhanced proton-coupled electron transfer reactions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94">
        <w:r>
          <w:rPr>
            <w:color w:val="1155CC"/>
            <w:u w:val="single"/>
          </w:rPr>
          <w:t>10.1073/pnas.2530367122</w:t>
        </w:r>
      </w:hyperlink>
    </w:p>
    <w:p>
      <w:pPr>
        <w:spacing w:before="0" w:after="120"/>
      </w:pPr>
      <w:r>
        <w:rPr>
          <w:b/>
        </w:rPr>
        <w:t xml:space="preserve">Notes: </w:t>
      </w:r>
      <w:r>
        <w:t>abstract_source=crossref</w:t>
      </w:r>
    </w:p>
    <w:p>
      <w:pPr>
        <w:spacing w:before="0" w:after="200" w:lineRule="auto" w:line="276"/>
      </w:pPr>
      <w:r>
        <w:rPr>
          <w:b/>
        </w:rPr>
        <w:t xml:space="preserve">Abstract: </w:t>
      </w:r>
      <w:r>
        <w:t>Concentrated hydrogen-bonded electrolytes (CoHBEs) are structured, electrochemically stable, less-volatile alternatives to aqueous and dilute nonaqueous electrolytes, however, with high viscosities that limit molecular diffusion. This work provides an understanding of the proton conduction mechanism in CoHBEs based on mixtures of acids and azoles and establishes a link between the structurally dictated transport properties and the proton-coupled electron transfer (PCET) reaction rates that can be leveraged for enhancing electrochemical reactions. Diffusion and relaxation NMR studies suggest a breaking of the viscosity–conductivity tradeoff, where at high azole concentrations (&amp;gt;45 mol%), Grotthuss transport is more likely with lowered proton transfer energy barriers between the azole and the acid according to the machine learning (ML) accelerated ab initio path integral MD (AI-PIMD) simulations. Proton conduction pathways are found to be switchable between the hydrogen bonding networks of the acid and the azole, with imidazole chain forming structures better facilitating Grotthuss hopping. Supported by small-angle neutron scattering studies, the chains are found to have six member molecules on average with maximum of 3 to 4 imidazole/imidazoliums at 50 to 60 mol%. Despite their high viscosities, the measured PCET rates for quinones and phenazines measured in the protic CoHBEs present relatively high electron transfer rate constants (k</w:t>
      </w:r>
      <w:r>
        <w:rPr>
          <w:vertAlign w:val="subscript"/>
        </w:rPr>
        <w:t>0</w:t>
      </w:r>
      <w:r>
        <w:t>~ 10</w:t>
      </w:r>
      <w:r>
        <w:t xml:space="preserve"> </w:t>
      </w:r>
      <w:r>
        <w:t>−</w:t>
      </w:r>
      <w:r>
        <w:rPr>
          <w:vertAlign w:val="subscript"/>
        </w:rPr>
        <w:t>4</w:t>
      </w:r>
      <w:r>
        <w:t>cm/s), validated by rotating disc electrode and scanning electrochemical microscopy measurements. The results demonstrate that strategic tuning of hydrogen-bond donor–acceptor interactions enables the decoupling of proton transport and viscosity, thereby impacting PCET reactions.</w:t>
      </w:r>
    </w:p>
    <w:p>
      <w:pPr>
        <w:spacing w:before="120" w:after="120"/>
      </w:pPr>
      <w:r>
        <w:rPr>
          <w:sz w:val="18"/>
        </w:rPr>
        <w:t>——————————————————————————————————————————————————————————————————————</w:t>
      </w:r>
    </w:p>
    <w:p>
      <w:pPr>
        <w:spacing w:before="160" w:after="80" w:line="240" w:lineRule="auto"/>
      </w:pPr>
      <w:r>
        <w:rPr>
          <w:b/>
        </w:rPr>
        <w:t xml:space="preserve">[403] </w:t>
      </w:r>
      <w:hyperlink r:id="rId695">
        <w:r>
          <w:rPr>
            <w:color w:val="1155CC"/>
            <w:u w:val="single"/>
          </w:rPr>
          <w:t>Ancestral pattern of the Xenopus germ cell cyst: From the germ stem cells to the oocytes and nurse cells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96">
        <w:r>
          <w:rPr>
            <w:color w:val="1155CC"/>
            <w:u w:val="single"/>
          </w:rPr>
          <w:t>10.1073/pnas.2530031122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[404] </w:t>
      </w:r>
      <w:hyperlink r:id="rId697">
        <w:r>
          <w:rPr>
            <w:color w:val="1155CC"/>
            <w:u w:val="single"/>
          </w:rPr>
          <w:t>Dosa: A method to covalently barcode proteins for high-throughput biochemistry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698">
        <w:r>
          <w:rPr>
            <w:color w:val="1155CC"/>
            <w:u w:val="single"/>
          </w:rPr>
          <w:t>10.1073/pnas.2529762123</w:t>
        </w:r>
      </w:hyperlink>
    </w:p>
    <w:p>
      <w:pPr>
        <w:spacing w:before="0" w:after="120"/>
      </w:pPr>
      <w:r>
        <w:rPr>
          <w:b/>
        </w:rPr>
        <w:t xml:space="preserve">Notes: </w:t>
      </w:r>
      <w:r>
        <w:t>abstract_source=crossref</w:t>
      </w:r>
    </w:p>
    <w:p>
      <w:pPr>
        <w:spacing w:before="0" w:after="200" w:lineRule="auto" w:line="276"/>
      </w:pPr>
      <w:r>
        <w:rPr>
          <w:b/>
        </w:rPr>
        <w:t xml:space="preserve">Abstract: </w:t>
      </w:r>
      <w:r>
        <w:t>Deep mutational scanning couples a protein’s activity to DNA sequencing for high-throughput assessment of the effects of all single amino acid substitutions, but it largely uses indirect assays, like cell proliferation, as proxy for protein activity. Here, we covalently link variant proteins in vivo to an RNA barcode by fusing them to</w:t>
      </w:r>
      <w:r>
        <w:t xml:space="preserve"> </w:t>
      </w:r>
      <w:r>
        <w:t>Escherichia coli</w:t>
      </w:r>
      <w:r>
        <w:t xml:space="preserve"> </w:t>
      </w:r>
      <w:r>
        <w:t>tRNA (m</w:t>
      </w:r>
      <w:r>
        <w:rPr>
          <w:vertAlign w:val="subscript"/>
        </w:rPr>
        <w:t>5</w:t>
      </w:r>
      <w:r>
        <w:t>U</w:t>
      </w:r>
      <w:r>
        <w:rPr>
          <w:vertAlign w:val="subscript"/>
        </w:rPr>
        <w:t>54</w:t>
      </w:r>
      <w:r>
        <w:t>) methyltransferase TrmA (E358Q). This methyltransferase mutant forms a covalent bond with a tRNA T-arm stem-loop sequence, which we embed in an RNA along with a unique barcode. Following cell lysis, variant proteins are separated in vitro according to their biochemical properties and identified by sequencing their covalently linked barcodes. The in vitro assays can be carried out in highly denaturing conditions, such as 8 M urea, due to the covalent RNA–protein linkage. We use this method, Dosa, to analyze a large pool of FLAG epitope variants for binding to an anti-FLAG–antibody, to profile substrate variants for their cleavage by enteropeptidase and human rhinovirus 3C protease, and to measure the solubility of several hundred Aβ(1-42) variants. This method should be amenable to numerous biochemical assays with proteins produced in</w:t>
      </w:r>
      <w:r>
        <w:t xml:space="preserve"> </w:t>
      </w:r>
      <w:r>
        <w:t>E. coli</w:t>
      </w:r>
      <w:r>
        <w:t xml:space="preserve"> </w:t>
      </w:r>
      <w:r>
        <w:t>or mammalian cells.</w:t>
      </w:r>
    </w:p>
    <w:p>
      <w:pPr>
        <w:spacing w:before="120" w:after="120"/>
      </w:pPr>
      <w:r>
        <w:rPr>
          <w:sz w:val="18"/>
        </w:rPr>
        <w:t>——————————————————————————————————————————————————————————————————————</w:t>
      </w:r>
    </w:p>
    <w:p>
      <w:pPr>
        <w:spacing w:before="160" w:after="80" w:line="240" w:lineRule="auto"/>
      </w:pPr>
      <w:r>
        <w:rPr>
          <w:b/>
        </w:rPr>
        <w:t xml:space="preserve">[405] </w:t>
      </w:r>
      <w:hyperlink r:id="rId699">
        <w:r>
          <w:rPr>
            <w:color w:val="1155CC"/>
            <w:u w:val="single"/>
          </w:rPr>
          <w:t>Polymer conformational entropy as the driver of complex coacervation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00">
        <w:r>
          <w:rPr>
            <w:color w:val="1155CC"/>
            <w:u w:val="single"/>
          </w:rPr>
          <w:t>10.1073/pnas.2520181123</w:t>
        </w:r>
      </w:hyperlink>
    </w:p>
    <w:p>
      <w:pPr>
        <w:spacing w:before="0" w:after="120"/>
      </w:pPr>
      <w:r>
        <w:rPr>
          <w:b/>
        </w:rPr>
        <w:t xml:space="preserve">Notes: </w:t>
      </w:r>
      <w:r>
        <w:t>abstract_source=crossref</w:t>
      </w:r>
    </w:p>
    <w:p>
      <w:pPr>
        <w:spacing w:before="0" w:after="200" w:lineRule="auto" w:line="276"/>
      </w:pPr>
      <w:r>
        <w:rPr>
          <w:b/>
        </w:rPr>
        <w:t xml:space="preserve">Abstract: </w:t>
      </w:r>
      <w:r>
        <w:t>Understanding the mechanisms leading to complex coacervation is a fundamental challenge in biomolecular sciences. Here, we explored the condensation transition and pretransitional behavior of an archetypal system consisting of polyuridylic acid chains (PolyU) and short cationic peptides in buffered aqueous solutions. By combining static and dynamic light scattering with confocal microscopy, we determined the location of the transition and the partitioning of PolyU and peptides between the coexisting phases as a function of the total peptides/PolyU ratio. We find that upon adding peptides in the system, the size of PolyU coils in the single-phase region is progressively reduced by peptide-mediated intrachain bonds. Such conformational constraints become less severe in the dense phase, where part of the bonds become interchain as indicated by the sticky-reptation-type kinetics observed by dynamic light scattering. We propose a phenomenological model in which we include the loss in PolyU conformational entropy induced by peptide decoration and show that this quantity is large enough to be the main driver of the condensation transition. The model well reproduces the observed molecular partitioning between phases. We argue that the role of coil conformational relaxation, here demonstrated for a specific system, might be of general relevance in complex coacervation.</w:t>
      </w:r>
    </w:p>
    <w:p>
      <w:pPr>
        <w:spacing w:before="120" w:after="120"/>
      </w:pPr>
      <w:r>
        <w:rPr>
          <w:sz w:val="18"/>
        </w:rPr>
        <w:t>——————————————————————————————————————————————————————————————————————</w:t>
      </w:r>
    </w:p>
    <w:p>
      <w:pPr>
        <w:spacing w:before="160" w:after="80" w:line="240" w:lineRule="auto"/>
      </w:pPr>
      <w:r>
        <w:rPr>
          <w:b/>
        </w:rPr>
        <w:t xml:space="preserve">[406] </w:t>
      </w:r>
      <w:hyperlink r:id="rId701">
        <w:r>
          <w:rPr>
            <w:color w:val="1155CC"/>
            <w:u w:val="single"/>
          </w:rPr>
          <w:t>Self-adaptive dislocation morphing ductilizes a refractory high-entropy alloy across an ultrawide temperature spectrum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02">
        <w:r>
          <w:rPr>
            <w:color w:val="1155CC"/>
            <w:u w:val="single"/>
          </w:rPr>
          <w:t>10.1073/pnas.2529140123</w:t>
        </w:r>
      </w:hyperlink>
    </w:p>
    <w:p>
      <w:pPr>
        <w:spacing w:before="0" w:after="120"/>
      </w:pPr>
      <w:r>
        <w:rPr>
          <w:b/>
        </w:rPr>
        <w:t xml:space="preserve">Notes: </w:t>
      </w:r>
      <w:r>
        <w:t>abstract_source=crossref</w:t>
      </w:r>
    </w:p>
    <w:p>
      <w:pPr>
        <w:spacing w:before="0" w:after="200" w:lineRule="auto" w:line="276"/>
      </w:pPr>
      <w:r>
        <w:rPr>
          <w:b/>
        </w:rPr>
        <w:t xml:space="preserve">Abstract: </w:t>
      </w:r>
      <w:r>
        <w:t>Metals usually fracture catastrophically at cryogenic temperatures and soften rapidly at high temperatures. This dilemma arises from the incompatibility of strengthening mechanisms across vast temperature regimes. Here, this work unveils a self-adaptive dislocation morphing mechanism in a model NbTaTi-based refractory high-entropy alloy (RHEA) that enables exceptional strength and ductility from 4 K to 1673 K. At cryogenic temperatures, dislocation kinking coupled with deformation twinning suppresses the ductile-to-brittle transition. At ambient conditions, the sequential activation of edge and screw dislocations sustains work hardening. At elevated temperatures, enhanced dislocation interactions generate jogs, multijunctions, and helical dislocations, promoting superplasticity up to 250%. This intrinsic, temperature-responsive evolution of dislocation modes offers a defect engineering strategy for designing RHEAs capable of enduring extreme environments.</w:t>
      </w:r>
    </w:p>
    <w:p>
      <w:pPr>
        <w:spacing w:before="120" w:after="120"/>
      </w:pPr>
      <w:r>
        <w:rPr>
          <w:sz w:val="18"/>
        </w:rPr>
        <w:t>——————————————————————————————————————————————————————————————————————</w:t>
      </w:r>
    </w:p>
    <w:p>
      <w:pPr>
        <w:spacing w:before="160" w:after="80" w:line="240" w:lineRule="auto"/>
      </w:pPr>
      <w:r>
        <w:rPr>
          <w:b/>
        </w:rPr>
        <w:t xml:space="preserve">[407] </w:t>
      </w:r>
      <w:hyperlink r:id="rId703">
        <w:r>
          <w:rPr>
            <w:color w:val="1155CC"/>
            <w:u w:val="single"/>
          </w:rPr>
          <w:t>A neutralizing APOA5 monoclonal antibody reduces amounts of lipoprotein lipase in capillaries and triggers hypertriglyceridemia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04">
        <w:r>
          <w:rPr>
            <w:color w:val="1155CC"/>
            <w:u w:val="single"/>
          </w:rPr>
          <w:t>10.1073/pnas.2528664123</w:t>
        </w:r>
      </w:hyperlink>
    </w:p>
    <w:p>
      <w:pPr>
        <w:spacing w:before="0" w:after="120"/>
      </w:pPr>
      <w:r>
        <w:rPr>
          <w:b/>
        </w:rPr>
        <w:t xml:space="preserve">Notes: </w:t>
      </w:r>
      <w:r>
        <w:t>abstract_source=crossref</w:t>
      </w:r>
    </w:p>
    <w:p>
      <w:pPr>
        <w:spacing w:before="0" w:after="200" w:lineRule="auto" w:line="276"/>
      </w:pPr>
      <w:r>
        <w:rPr>
          <w:b/>
        </w:rPr>
        <w:t xml:space="preserve">Abstract: </w:t>
      </w:r>
      <w:r>
        <w:t>Apolipoprotein AV (APOA5) regulates intravascular triglyceride metabolism by binding to the angiopoietin-like protein 3/8 complex (ANGPTL3/8) and suppressing its ability to unfold the native conformation of lipoprotein lipase (LPL). LPL unfolding results in loss of catalytic activity and the detachment of LPL from the surface of cells. An</w:t>
      </w:r>
      <w:r>
        <w:t xml:space="preserve"> </w:t>
      </w:r>
      <w:r>
        <w:t>APOA5</w:t>
      </w:r>
      <w:r>
        <w:t xml:space="preserve"> </w:t>
      </w:r>
      <w:r>
        <w:t>truncation mutation (identified in two patients with hypertriglyceridemia) had suggested that the last 35 amino acids of APOA5 are important for its function. We reasoned that a monoclonal antibody (mAb) against carboxyl-terminal sequences in APOA5 could clarify functionally important amino acid residues in APOA5 and assist in elucidating the mechanism by which APOA5 regulates plasma triglyceride metabolism. Because carboxyl-terminal APOA5 sequences are evolutionarily conserved, we began by screening a human Fab bacteriophage library for binders of carboxyl-terminal APOA5 sequences. We identified one such binder and used phage DNA sequences to build a chimeric IgG</w:t>
      </w:r>
      <w:r>
        <w:rPr>
          <w:vertAlign w:val="subscript"/>
        </w:rPr>
        <w:t>1</w:t>
      </w:r>
      <w:r>
        <w:t>mAb (IBA707) against APOA5. The binding of IBA707 to APOA5 was abolished by nonconservative amino acid substitutions in conserved sequences (residues L337–I348) within a C-terminal α-helix in APOA5. The same substitutions disrupted APOA5’s ability to bind and inhibit ANGPTL3/8 activity. IBA707-mediated blockade of APOA5 function reduced intracapillary LPL levels and triggered elevated plasma levels of triglycerides and ANGPTL3/8 in both fasted and refed mice. IBA707 was cleared rapidly from the plasma in</w:t>
      </w:r>
      <w:r>
        <w:t xml:space="preserve"> </w:t>
      </w:r>
      <w:r>
        <w:t>Apoa5</w:t>
      </w:r>
      <w:r>
        <w:t xml:space="preserve"> </w:t>
      </w:r>
      <w:r>
        <w:t>+/+</w:t>
      </w:r>
      <w:r>
        <w:t xml:space="preserve"> </w:t>
      </w:r>
      <w:r>
        <w:t>mice but slowly in</w:t>
      </w:r>
      <w:r>
        <w:t xml:space="preserve"> </w:t>
      </w:r>
      <w:r>
        <w:t>Apoa5</w:t>
      </w:r>
      <w:r>
        <w:t xml:space="preserve"> </w:t>
      </w:r>
      <w:r>
        <w:t>–/–</w:t>
      </w:r>
      <w:r>
        <w:t xml:space="preserve"> </w:t>
      </w:r>
      <w:r>
        <w:t>mice. Our studies identified functionally important amino acids in APOA5 and revealed that APOA5 controls plasma triglyceride metabolism in part by modulating plasma levels of ANGPTL3/8.</w:t>
      </w:r>
    </w:p>
    <w:p>
      <w:pPr>
        <w:spacing w:before="120" w:after="120"/>
      </w:pPr>
      <w:r>
        <w:rPr>
          <w:sz w:val="18"/>
        </w:rPr>
        <w:t>——————————————————————————————————————————————————————————————————————</w:t>
      </w:r>
    </w:p>
    <w:p>
      <w:pPr>
        <w:spacing w:before="160" w:after="80" w:line="240" w:lineRule="auto"/>
      </w:pPr>
      <w:r>
        <w:rPr>
          <w:b/>
        </w:rPr>
        <w:t xml:space="preserve">[408] </w:t>
      </w:r>
      <w:hyperlink r:id="rId705">
        <w:r>
          <w:rPr>
            <w:color w:val="1155CC"/>
            <w:u w:val="single"/>
          </w:rPr>
          <w:t>Sticky interactions govern sequence-dependent dynamics in biomolecular condensates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06">
        <w:r>
          <w:rPr>
            <w:color w:val="1155CC"/>
            <w:u w:val="single"/>
          </w:rPr>
          <w:t>10.1073/pnas.2518384122</w:t>
        </w:r>
      </w:hyperlink>
    </w:p>
    <w:p>
      <w:pPr>
        <w:spacing w:before="0" w:after="120"/>
      </w:pPr>
      <w:r>
        <w:rPr>
          <w:b/>
        </w:rPr>
        <w:t xml:space="preserve">Notes: </w:t>
      </w:r>
      <w:r>
        <w:t>abstract_source=crossref</w:t>
      </w:r>
    </w:p>
    <w:p>
      <w:pPr>
        <w:spacing w:before="0" w:after="200" w:lineRule="auto" w:line="276"/>
      </w:pPr>
      <w:r>
        <w:rPr>
          <w:b/>
        </w:rPr>
        <w:t xml:space="preserve">Abstract: </w:t>
      </w:r>
      <w:r>
        <w:t>Intrinsically disordered proteins (IDPs) play a central role in shaping the dynamics and material properties of biomolecular condensates. Understanding how sequence features determine these properties is critical for elucidating physiological function and guiding the rational design of synthetic condensates. Here, we use molecular dynamics simulations to investigate condensates formed by model IDPs with systematically varied chain length and charge patterning, two features characteristic of natural IDPs. Our results show that chain relaxation times, governed by sequence-dependent electrostatic interactions, quantitatively predict condensate viscosity and diffusivity. These condensates exhibit dynamics consistent with a crossover regime between Rouse and reptation behavior. While the Rouse model with idealized friction fails to capture sequence effects, a sticky Rouse-like framework, which incorporates transient interchain contact lifetimes, accurately predicts chain reconfiguration times and, consequently, macroscopic material properties. This work establishes a predictive, sequence-resolved framework that links molecular interactions to condensate dynamics across length and time scales.</w:t>
      </w:r>
    </w:p>
    <w:p>
      <w:pPr>
        <w:spacing w:before="120" w:after="120"/>
      </w:pPr>
      <w:r>
        <w:rPr>
          <w:sz w:val="18"/>
        </w:rPr>
        <w:t>——————————————————————————————————————————————————————————————————————</w:t>
      </w:r>
    </w:p>
    <w:p>
      <w:pPr>
        <w:spacing w:before="160" w:after="80" w:line="240" w:lineRule="auto"/>
      </w:pPr>
      <w:r>
        <w:rPr>
          <w:b/>
        </w:rPr>
        <w:t xml:space="preserve">[409] </w:t>
      </w:r>
      <w:hyperlink r:id="rId707">
        <w:r>
          <w:rPr>
            <w:color w:val="1155CC"/>
            <w:u w:val="single"/>
          </w:rPr>
          <w:t>Dietary folic acid prevents peripheral neuropathy in mouse models of neural tube defects and type 2 diabetes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08">
        <w:r>
          <w:rPr>
            <w:color w:val="1155CC"/>
            <w:u w:val="single"/>
          </w:rPr>
          <w:t>10.1073/pnas.2528095123</w:t>
        </w:r>
      </w:hyperlink>
    </w:p>
    <w:p>
      <w:pPr>
        <w:spacing w:before="0" w:after="120"/>
      </w:pPr>
      <w:r>
        <w:rPr>
          <w:b/>
        </w:rPr>
        <w:t xml:space="preserve">Notes: </w:t>
      </w:r>
      <w:r>
        <w:t>abstract_source=crossref</w:t>
      </w:r>
    </w:p>
    <w:p>
      <w:pPr>
        <w:spacing w:before="0" w:after="200" w:lineRule="auto" w:line="276"/>
      </w:pPr>
      <w:r>
        <w:rPr>
          <w:b/>
        </w:rPr>
        <w:t xml:space="preserve">Abstract: </w:t>
      </w:r>
      <w:r>
        <w:t>Folate-mediated one-carbon metabolism is implicated in several pathologies including neural tube defects (NTDs), cancer, and neurodegenerative disorders, whereas diabetes is associated with NTDs and peripheral neuropathy (PN). The development of peripheral neuropathy was assessed in</w:t>
      </w:r>
      <w:r>
        <w:t xml:space="preserve"> </w:t>
      </w:r>
      <w:r>
        <w:t>Shmt1</w:t>
      </w:r>
      <w:r>
        <w:t xml:space="preserve"> </w:t>
      </w:r>
      <w:r>
        <w:t>+/−</w:t>
      </w:r>
      <w:r>
        <w:t>and Shmt1</w:t>
      </w:r>
      <w:r>
        <w:t xml:space="preserve"> </w:t>
      </w:r>
      <w:r>
        <w:t>−/−</w:t>
      </w:r>
      <w:r>
        <w:t xml:space="preserve"> </w:t>
      </w:r>
      <w:r>
        <w:t>mice, which are models of human folic acid–responsive NTDs, and diabetic (</w:t>
      </w:r>
      <w:r>
        <w:t xml:space="preserve"> </w:t>
      </w:r>
      <w:r>
        <w:t>Lepr</w:t>
      </w:r>
      <w:r>
        <w:t xml:space="preserve"> </w:t>
      </w:r>
      <w:r>
        <w:t>db</w:t>
      </w:r>
      <w:r>
        <w:t xml:space="preserve"> </w:t>
      </w:r>
      <w:r>
        <w:t>) mice to determine whether NTDs and PN have a shared etiology. From 6 wk of age, male and female mice with reduced</w:t>
      </w:r>
      <w:r>
        <w:t xml:space="preserve"> </w:t>
      </w:r>
      <w:r>
        <w:t>Shmt1</w:t>
      </w:r>
      <w:r>
        <w:t xml:space="preserve"> </w:t>
      </w:r>
      <w:r>
        <w:t>expression exhibited PN, with greater severity in females compared to males. The neuropathic progression was distinct from diabetic peripheral neuropathy (DPN) observed in</w:t>
      </w:r>
      <w:r>
        <w:t xml:space="preserve"> </w:t>
      </w:r>
      <w:r>
        <w:t>Lepr</w:t>
      </w:r>
      <w:r>
        <w:t xml:space="preserve"> </w:t>
      </w:r>
      <w:r>
        <w:t>db</w:t>
      </w:r>
      <w:r>
        <w:t xml:space="preserve"> </w:t>
      </w:r>
      <w:r>
        <w:t>mice. Excess dietary folic acid prevented PN in both</w:t>
      </w:r>
      <w:r>
        <w:t xml:space="preserve"> </w:t>
      </w:r>
      <w:r>
        <w:t>Shmt1</w:t>
      </w:r>
      <w:r>
        <w:t xml:space="preserve"> </w:t>
      </w:r>
      <w:r>
        <w:t>−/−</w:t>
      </w:r>
      <w:r>
        <w:t>and</w:t>
      </w:r>
      <w:r>
        <w:t xml:space="preserve"> </w:t>
      </w:r>
      <w:r>
        <w:t>Lepr</w:t>
      </w:r>
      <w:r>
        <w:t xml:space="preserve"> </w:t>
      </w:r>
      <w:r>
        <w:t>db/db</w:t>
      </w:r>
      <w:r>
        <w:t xml:space="preserve"> </w:t>
      </w:r>
      <w:r>
        <w:t>mice, whereas dietary uridine caused demyelinating PN in mice independent of genotype and folate status. The transcriptome from L3-L5 dorsal root ganglia (DRG) exhibited distinct sex-specific differences in glial cell gene expression when comparing</w:t>
      </w:r>
      <w:r>
        <w:t xml:space="preserve"> </w:t>
      </w:r>
      <w:r>
        <w:t>Shmt1</w:t>
      </w:r>
      <w:r>
        <w:t xml:space="preserve"> </w:t>
      </w:r>
      <w:r>
        <w:t>+/+</w:t>
      </w:r>
      <w:r>
        <w:t xml:space="preserve"> </w:t>
      </w:r>
      <w:r>
        <w:t>and</w:t>
      </w:r>
      <w:r>
        <w:t xml:space="preserve"> </w:t>
      </w:r>
      <w:r>
        <w:t>Shmt1</w:t>
      </w:r>
      <w:r>
        <w:t xml:space="preserve"> </w:t>
      </w:r>
      <w:r>
        <w:t>−/−</w:t>
      </w:r>
      <w:r>
        <w:t xml:space="preserve"> </w:t>
      </w:r>
      <w:r>
        <w:t>mice. DRG sensory neurons exhibited changes in the expression of solute carriers and ion channels involved in nociception, neurotransmission, and structural support. We conclude that reduced thymidylate synthesis causes folic acid–responsive NTDs and PN in mice and that diabetes sensitizes mice to folic acid–responsive PN. Diabetes induces a special nutritional requirement for high intake of folic acid to prevent PN.</w:t>
      </w:r>
    </w:p>
    <w:p>
      <w:pPr>
        <w:spacing w:before="120" w:after="120"/>
      </w:pPr>
      <w:r>
        <w:rPr>
          <w:sz w:val="18"/>
        </w:rPr>
        <w:t>——————————————————————————————————————————————————————————————————————</w:t>
      </w:r>
    </w:p>
    <w:p>
      <w:pPr>
        <w:spacing w:before="160" w:after="80" w:line="240" w:lineRule="auto"/>
      </w:pPr>
      <w:r>
        <w:rPr>
          <w:b/>
        </w:rPr>
        <w:t xml:space="preserve">[410] </w:t>
      </w:r>
      <w:hyperlink r:id="rId709">
        <w:r>
          <w:rPr>
            <w:color w:val="1155CC"/>
            <w:u w:val="single"/>
          </w:rPr>
          <w:t>Modeling and inferring metacommunity dynamics with Maximum Caliber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10">
        <w:r>
          <w:rPr>
            <w:color w:val="1155CC"/>
            <w:u w:val="single"/>
          </w:rPr>
          <w:t>10.1073/pnas.2520867123</w:t>
        </w:r>
      </w:hyperlink>
    </w:p>
    <w:p>
      <w:pPr>
        <w:spacing w:before="0" w:after="120"/>
      </w:pPr>
      <w:r>
        <w:rPr>
          <w:b/>
        </w:rPr>
        <w:t xml:space="preserve">Notes: </w:t>
      </w:r>
      <w:r>
        <w:t>abstract_source=crossref</w:t>
      </w:r>
    </w:p>
    <w:p>
      <w:pPr>
        <w:spacing w:before="0" w:after="200" w:lineRule="auto" w:line="276"/>
      </w:pPr>
      <w:r>
        <w:rPr>
          <w:b/>
        </w:rPr>
        <w:t xml:space="preserve">Abstract: </w:t>
      </w:r>
      <w:r>
        <w:t>A major challenge for community ecology is using spatiotemporal data to infer parameters of dynamical models without conducting laborious experiments. We present a framework from statistical physics—Maximum Caliber—to characterize the temporal dynamics of complex ecological systems in spatially extended landscapes and infer parameters from empirical data. As an extension of Maximum Entropy modeling, Maximum Caliber aims at modeling the probability of possible trajectories of a stochastic system, rather than focusing on system states. We demonstrate the ability of the Maximum Caliber framework to capture ecological processes ranging from near to far from equilibrium, using an array of species interaction motifs including random interactions, apparent competition, intraguild predation, and nontransitive competition, along with dispersal among multiple patches. For spatiotemporal data of species occupancy in a metacommunity, the parameters of a Maximum Caliber model can be estimated through a simple logistic regression to reveal migration rates between patches, interactions between species, and local environmental suitabilities. We test the accuracy of the method over a range of system sizes and time periods and find that these parameters can be estimated without bias. We introduce “entropy production” as a measure of irreversibility in system dynamics, and use “pseudo-</w:t>
      </w:r>
      <w:r>
        <w:t>R</w:t>
      </w:r>
      <w:r>
        <w:rPr>
          <w:vertAlign w:val="subscript"/>
        </w:rPr>
        <w:t>2</w:t>
      </w:r>
      <w:r>
        <w:t>” to characterize predictability of future states. We show that our model can predict the dynamics of metacommunities that are far from equilibrium. The capacity to estimate basic parameters of dynamical metacommunity models from spatiotemporal data represents an important breakthrough for the study of metacommunities with application to practical problems in conservation and restoration ecology.</w:t>
      </w:r>
    </w:p>
    <w:p>
      <w:pPr>
        <w:spacing w:before="120" w:after="120"/>
      </w:pPr>
      <w:r>
        <w:rPr>
          <w:sz w:val="18"/>
        </w:rPr>
        <w:t>——————————————————————————————————————————————————————————————————————</w:t>
      </w:r>
    </w:p>
    <w:p>
      <w:pPr>
        <w:spacing w:before="160" w:after="80" w:line="240" w:lineRule="auto"/>
      </w:pPr>
      <w:r>
        <w:rPr>
          <w:b/>
        </w:rPr>
        <w:t xml:space="preserve">[411] </w:t>
      </w:r>
      <w:hyperlink r:id="rId711">
        <w:r>
          <w:rPr>
            <w:color w:val="1155CC"/>
            <w:u w:val="single"/>
          </w:rPr>
          <w:t>L-lactic acid enhances type I interferon immune response and inhibits virus infection by promoting IRF9 L-lactylation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12">
        <w:r>
          <w:rPr>
            <w:color w:val="1155CC"/>
            <w:u w:val="single"/>
          </w:rPr>
          <w:t>10.1073/pnas.2521070123</w:t>
        </w:r>
      </w:hyperlink>
    </w:p>
    <w:p>
      <w:pPr>
        <w:spacing w:before="0" w:after="120"/>
      </w:pPr>
      <w:r>
        <w:rPr>
          <w:b/>
        </w:rPr>
        <w:t xml:space="preserve">Notes: </w:t>
      </w:r>
      <w:r>
        <w:t>abstract_source=crossref</w:t>
      </w:r>
    </w:p>
    <w:p>
      <w:pPr>
        <w:spacing w:before="0" w:after="200" w:lineRule="auto" w:line="276"/>
      </w:pPr>
      <w:r>
        <w:rPr>
          <w:b/>
        </w:rPr>
        <w:t xml:space="preserve">Abstract: </w:t>
      </w:r>
      <w:r>
        <w:t>Lysine lactylation is a crucial posttranslational modification (PTM) that regulates protein function. Here, this study revealed that L-lactic acid promotes host immune response and inhibits viral infection by inducing Interferon Regulatory Factor 9 (IRF9) L-lactylation. We first found L-lactylation modification (L-Kla) of IRF9 mediated by AARS1. Further studies demonstrated that IRF9 L-lactylation potentiates type I interferon (IFN-I) signaling by promoting IRF9–STAT2 interaction, thereby boosting antiviral immune response. Intriguingly, L-lactic acid exhibits dual effects on viral infection: L-lactic acid exhibits antiviral effects at physiological and moderately elevated levels but proviral effects at high levels. Furthermore, we found that the viruses can achieve immune evasion by promoting SIRT1-mediated delactylation of IRF9. Interestingly, we uncovered that metformin promotes IRF9 L-lactylation by both accumulating lactic acid and disrupting virus-induced IRF9–SIRT1 interaction. These findings renew the understanding of the roles of lactic acid in antiviral immune response and determine metformin’s immunomodulatory effects on antiviral immunity through regulating IRF9 L-lactylation.</w:t>
      </w:r>
    </w:p>
    <w:p>
      <w:pPr>
        <w:spacing w:before="120" w:after="120"/>
      </w:pPr>
      <w:r>
        <w:rPr>
          <w:sz w:val="18"/>
        </w:rPr>
        <w:t>——————————————————————————————————————————————————————————————————————</w:t>
      </w:r>
    </w:p>
    <w:p>
      <w:pPr>
        <w:spacing w:before="160" w:after="80" w:line="240" w:lineRule="auto"/>
      </w:pPr>
      <w:r>
        <w:rPr>
          <w:b/>
        </w:rPr>
        <w:t xml:space="preserve">[412] </w:t>
      </w:r>
      <w:hyperlink r:id="rId713">
        <w:r>
          <w:rPr>
            <w:color w:val="1155CC"/>
            <w:u w:val="single"/>
          </w:rPr>
          <w:t>Memory B cell development in response to mRNA SARS-CoV-2 and nanoparticle immunization in mice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14">
        <w:r>
          <w:rPr>
            <w:color w:val="1155CC"/>
            <w:u w:val="single"/>
          </w:rPr>
          <w:t>10.1073/pnas.2527869123</w:t>
        </w:r>
      </w:hyperlink>
    </w:p>
    <w:p>
      <w:pPr>
        <w:spacing w:before="0" w:after="120"/>
      </w:pPr>
      <w:r>
        <w:rPr>
          <w:b/>
        </w:rPr>
        <w:t xml:space="preserve">Notes: </w:t>
      </w:r>
      <w:r>
        <w:t>abstract_source=crossref</w:t>
      </w:r>
    </w:p>
    <w:p>
      <w:pPr>
        <w:spacing w:before="0" w:after="200" w:lineRule="auto" w:line="276"/>
      </w:pPr>
      <w:r>
        <w:rPr>
          <w:b/>
        </w:rPr>
        <w:t xml:space="preserve">Abstract: </w:t>
      </w:r>
      <w:r>
        <w:t>Nanoparticle immunogens excel at rapidly inducing high levels of circulating antibodies and are being deployed as part of several novel vaccines. However, their ability to elicit memory B cell responses is less well understood. Here, we compared serologic and memory B cell responses after prime boost vaccination with either SARS-CoV-2 Wuhan-Hu-1 mRNA vaccine, or protein nanoparticles: SARS-CoV-2 B.1.351 homotypic containing a single receptor binding domain (RBD); (homotypic beta) or a combination of different Sarbecovirus RBDs (mosaic 8b), respectively. The memory B cells elicited by the 3 vaccine regimens showed closely related antibody sequences, similar levels of somatic mutation, and clonal diversity. The breadth of serologic responses elicited by the mosaic nanoparticles was comparable to the homotypic nanoparticle and superior to the mRNA vaccine for some mismatched strains. However, serum neutralizing titers to SARS-CoV-2 were highest after mRNA vaccination. The three vaccines elicited memory B cells that produced antibodies specific to a broad range of epitopes on the RBD that differed in a way that may reflect epitope masking. Monoclonal antibodies derived from memory B cells elicited by the mosaic 8b nanoparticle showed greater breadth against a panel of SARS-CoV-2 variants and SARS-CoV.</w:t>
      </w:r>
    </w:p>
    <w:p>
      <w:pPr>
        <w:spacing w:before="120" w:after="120"/>
      </w:pPr>
      <w:r>
        <w:rPr>
          <w:sz w:val="18"/>
        </w:rPr>
        <w:t>——————————————————————————————————————————————————————————————————————</w:t>
      </w:r>
    </w:p>
    <w:p>
      <w:pPr>
        <w:spacing w:before="160" w:after="80" w:line="240" w:lineRule="auto"/>
      </w:pPr>
      <w:r>
        <w:rPr>
          <w:b/>
        </w:rPr>
        <w:t xml:space="preserve">[413] </w:t>
      </w:r>
      <w:hyperlink r:id="rId715">
        <w:r>
          <w:rPr>
            <w:color w:val="1155CC"/>
            <w:u w:val="single"/>
          </w:rPr>
          <w:t>Antibody responses to a highly conserved peptide in HCV E2 protein correlate with chronicity or spontaneous clearance of HCV infection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16">
        <w:r>
          <w:rPr>
            <w:color w:val="1155CC"/>
            <w:u w:val="single"/>
          </w:rPr>
          <w:t>10.1073/pnas.2522340122</w:t>
        </w:r>
      </w:hyperlink>
    </w:p>
    <w:p>
      <w:pPr>
        <w:spacing w:before="0" w:after="120"/>
      </w:pPr>
      <w:r>
        <w:rPr>
          <w:b/>
        </w:rPr>
        <w:t xml:space="preserve">Notes: </w:t>
      </w:r>
      <w:r>
        <w:t>abstract_source=crossref</w:t>
      </w:r>
    </w:p>
    <w:p>
      <w:pPr>
        <w:spacing w:before="0" w:after="200" w:lineRule="auto" w:line="276"/>
      </w:pPr>
      <w:r>
        <w:rPr>
          <w:b/>
        </w:rPr>
        <w:t xml:space="preserve">Abstract: </w:t>
      </w:r>
      <w:r>
        <w:t>Hepatitis C virus (HCV) infection frequently progresses to chronicity rather than spontaneous clearance, resulting in severe liver diseases including cirrhosis and hepatocellular carcinoma. The molecular mechanisms governing infection outcomes remain poorly understood. We identified Peptide A, a highly conserved epitope (residues 442 to 451) within HCV glycoprotein E2, and demonstrated that differential antibody binding patterns to this region correlate with distinct infection outcomes. This immunogenic, nonneutralizing epitope localizes to a structurally exposed region that shares residue 442 as a boundary with the previously characterized Epitope II (residues 430 to 442) and is positioned adjacent to variable region 2 (VR2, residues 460 to 485). Antibodies requiring both F442 and F447 residues within Peptide A for binding emerged early following infection and demonstrated strong correlation with chronic HCV progression. In contrast, antibodies binding exclusively to F447 were associated with spontaneous viral clearance and consistently co-occurred with Epitope II antibodies during later phases of infection. By establishing the relationship between these distinct antibody binding patterns and divergent infection outcomes, our findings elucidate potential HCV immune evasion mechanisms and may facilitate the development of predictive tools for determining chronic versus clearance outcomes early in infection, as well as inform rational vaccine design strategies.</w:t>
      </w:r>
    </w:p>
    <w:p>
      <w:pPr>
        <w:spacing w:before="120" w:after="120"/>
      </w:pPr>
      <w:r>
        <w:rPr>
          <w:sz w:val="18"/>
        </w:rPr>
        <w:t>——————————————————————————————————————————————————————————————————————</w:t>
      </w:r>
    </w:p>
    <w:p>
      <w:pPr>
        <w:spacing w:before="160" w:after="80" w:line="240" w:lineRule="auto"/>
      </w:pPr>
      <w:r>
        <w:rPr>
          <w:b/>
        </w:rPr>
        <w:t xml:space="preserve">[414] </w:t>
      </w:r>
      <w:hyperlink r:id="rId717">
        <w:r>
          <w:rPr>
            <w:color w:val="1155CC"/>
            <w:u w:val="single"/>
          </w:rPr>
          <w:t>Acclimation to high and low diurnal light is flexible in Chlamydomonas reinhardtii</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18">
        <w:r>
          <w:rPr>
            <w:color w:val="1155CC"/>
            <w:u w:val="single"/>
          </w:rPr>
          <w:t>10.1073/pnas.2523996123</w:t>
        </w:r>
      </w:hyperlink>
    </w:p>
    <w:p>
      <w:pPr>
        <w:spacing w:before="0" w:after="120"/>
      </w:pPr>
      <w:r>
        <w:rPr>
          <w:b/>
        </w:rPr>
        <w:t xml:space="preserve">Notes: </w:t>
      </w:r>
      <w:r>
        <w:t>abstract_source=crossref</w:t>
      </w:r>
    </w:p>
    <w:p>
      <w:pPr>
        <w:spacing w:before="0" w:after="200" w:lineRule="auto" w:line="276"/>
      </w:pPr>
      <w:r>
        <w:rPr>
          <w:b/>
        </w:rPr>
        <w:t xml:space="preserve">Abstract: </w:t>
      </w:r>
      <w:r>
        <w:t>Chlamydomonas acclimates to repeated low (LL) or high light (HL) days by changing the abundance of photosynthetic complexes and the ultrastructure of its thylakoid membranes. These phenotypes persist through the night phases, suggesting a readiness for the daylight environment that is routinely experienced despite the intervening dark periods [S. Dupuis</w:t>
      </w:r>
      <w:r>
        <w:t xml:space="preserve"> </w:t>
      </w:r>
      <w:r>
        <w:t>et al.</w:t>
      </w:r>
      <w:r>
        <w:t xml:space="preserve"> </w:t>
      </w:r>
      <w:r>
        <w:t>,</w:t>
      </w:r>
      <w:r>
        <w:t xml:space="preserve"> </w:t>
      </w:r>
      <w:r>
        <w:t>Plant Cell</w:t>
      </w:r>
      <w:r>
        <w:rPr>
          <w:vertAlign w:val="subscript"/>
        </w:rPr>
        <w:t>37</w:t>
      </w:r>
      <w:r>
        <w:t>, koaf086 (2025), 10.1093/plcell/koaf086]. Here, we investigate how prior acclimation impacts algal fitness upon a change in daylight intensity and how quickly Chlamydomonas can reprogram its photoprotective strategy in a diurnal context. We performed a systems analysis of synchronized populations acclimated to diurnal LL when subjected to HL days and of populations acclimated to diurnal HL when subjected to LL days. In the latter case, diurnal photoacclimation decreased fitness during the first day at a new light intensity: HL-acclimated cells barely increased in size over the first LL period, and they failed to complete a cell cycle. However, although LL-acclimated cells showed severe photodamage after 6 h of HL, they recovered chloroplast form and function later that afternoon and successfully divided at nightfall. These cells rapidly altered their thylakoid membrane ultrastructure, increased their photoprotective quenching capacity, and decreased their inventory of photosystem and antenna proteins by the end of the first HL day. Transcriptomic and proteomic analyses revealed rapid induction of thousands of genes, including those encoding proteases, chaperones, and other proteins involved in the chloroplast unfolded protein response. These results show that the alga is highly flexible and competent to rapidly acclimate to changes in diurnal light intensity.</w:t>
      </w:r>
    </w:p>
    <w:p>
      <w:pPr>
        <w:spacing w:before="120" w:after="120"/>
      </w:pPr>
      <w:r>
        <w:rPr>
          <w:sz w:val="18"/>
        </w:rPr>
        <w:t>——————————————————————————————————————————————————————————————————————</w:t>
      </w:r>
    </w:p>
    <w:p>
      <w:pPr>
        <w:spacing w:before="160" w:after="80" w:line="240" w:lineRule="auto"/>
      </w:pPr>
      <w:r>
        <w:rPr>
          <w:b/>
        </w:rPr>
        <w:t xml:space="preserve">[415] </w:t>
      </w:r>
      <w:hyperlink r:id="rId719">
        <w:r>
          <w:rPr>
            <w:color w:val="1155CC"/>
            <w:u w:val="single"/>
          </w:rPr>
          <w:t>Machine learning reveals hidden dimensions of functional similarity in proteins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20">
        <w:r>
          <w:rPr>
            <w:color w:val="1155CC"/>
            <w:u w:val="single"/>
          </w:rPr>
          <w:t>10.1073/pnas.2524802122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[416] </w:t>
      </w:r>
      <w:hyperlink r:id="rId721">
        <w:r>
          <w:rPr>
            <w:color w:val="1155CC"/>
            <w:u w:val="single"/>
          </w:rPr>
          <w:t>E2 variants for probing E3 ubiquitin ligase activities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22">
        <w:r>
          <w:rPr>
            <w:color w:val="1155CC"/>
            <w:u w:val="single"/>
          </w:rPr>
          <w:t>10.1073/pnas.2524899122</w:t>
        </w:r>
      </w:hyperlink>
    </w:p>
    <w:p>
      <w:pPr>
        <w:spacing w:before="0" w:after="120"/>
      </w:pPr>
      <w:r>
        <w:rPr>
          <w:b/>
        </w:rPr>
        <w:t xml:space="preserve">Notes: </w:t>
      </w:r>
      <w:r>
        <w:t>abstract_source=crossref</w:t>
      </w:r>
    </w:p>
    <w:p>
      <w:pPr>
        <w:spacing w:before="0" w:after="200" w:lineRule="auto" w:line="276"/>
      </w:pPr>
      <w:r>
        <w:rPr>
          <w:b/>
        </w:rPr>
        <w:t xml:space="preserve">Abstract: </w:t>
      </w:r>
      <w:r>
        <w:t>E3 ligases partner with E2 enzymes to regulate vast eukaryotic biology. The hierarchical nature of these pairings, with &amp;gt;600 E3s and ~40 E2s in humans, necessitates that E2s cofunction with numerous different E3s. Here, focusing on E3s in the RING-between-RING (RBR) family and their partner UBE2L3 and UBE2D-family E2s, we report an approach to interrogate selected pathways. We screened phage-displayed libraries of structure-based E2 variants (E2Vs) to discover enzymes with enhanced affinity and specificity toward half of all RBR E3 ligases (ARIH1, ARIH2, ANKIB1, CUL9, HOIL1, HOIP, and RNF14). Collectively, these E2Vs allowed distinguishing actions of different cofunctioning E3s, obtaining high-resolution cryogenic Electron Microscopy (cryo-EM) structures of an RBR E3 in the context of a substrate-bound multiprotein complex, and profiling an endogenous RBR E3 response to an extracellular stimulus. Overall, we anticipate that E2V technology will be a generalizable tool to enable in-depth mechanistic and structural analysis of E3 ligase functions, and mapping their activity states and protein partners in cellular signaling cascades.</w:t>
      </w:r>
    </w:p>
    <w:p>
      <w:pPr>
        <w:spacing w:before="120" w:after="120"/>
      </w:pPr>
      <w:r>
        <w:rPr>
          <w:sz w:val="18"/>
        </w:rPr>
        <w:t>——————————————————————————————————————————————————————————————————————</w:t>
      </w:r>
    </w:p>
    <w:p>
      <w:pPr>
        <w:spacing w:before="160" w:after="80" w:line="240" w:lineRule="auto"/>
      </w:pPr>
      <w:r>
        <w:rPr>
          <w:b/>
        </w:rPr>
        <w:t xml:space="preserve">[417] </w:t>
      </w:r>
      <w:hyperlink r:id="rId723">
        <w:r>
          <w:rPr>
            <w:color w:val="1155CC"/>
            <w:u w:val="single"/>
          </w:rPr>
          <w:t>Tetraspanin TSP-12 and SUP-17/ADAM10 exhibit cell type–specific codependence for trafficking through the Golgi</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24">
        <w:r>
          <w:rPr>
            <w:color w:val="1155CC"/>
            <w:u w:val="single"/>
          </w:rPr>
          <w:t>10.1073/pnas.2524916123</w:t>
        </w:r>
      </w:hyperlink>
    </w:p>
    <w:p>
      <w:pPr>
        <w:spacing w:before="0" w:after="120"/>
      </w:pPr>
      <w:r>
        <w:rPr>
          <w:b/>
        </w:rPr>
        <w:t xml:space="preserve">Notes: </w:t>
      </w:r>
      <w:r>
        <w:t>abstract_source=crossref</w:t>
      </w:r>
    </w:p>
    <w:p>
      <w:pPr>
        <w:spacing w:before="0" w:after="200" w:lineRule="auto" w:line="276"/>
      </w:pPr>
      <w:r>
        <w:rPr>
          <w:b/>
        </w:rPr>
        <w:t xml:space="preserve">Abstract: </w:t>
      </w:r>
      <w:r>
        <w:t>A subset of the four-pass transmembrane proteins called C8 tetraspanins (TspanC8) can bind and promote the cell surface localization of ADAM10 (A Disintegrin and Metalloproteinase 10). ADAM10 is a conserved transmembrane metalloprotease essential for metazoan embryonic development and human health. However, the in vivo functional relationships between C8 tetraspanins and ADAM10 are not fully understood.</w:t>
      </w:r>
      <w:r>
        <w:t xml:space="preserve"> </w:t>
      </w:r>
      <w:r>
        <w:t>Caenorhabditis elegans</w:t>
      </w:r>
      <w:r>
        <w:t xml:space="preserve"> </w:t>
      </w:r>
      <w:r>
        <w:t>has two paralogous tetraspanins, TSP-12 and TSP-14, that resemble the mammalian TspanC8 proteins. We have previously shown that TSP-12/TspanC8 can bind SUP-17/ADAM10 and promote its cell surface localization in early embryos. In this study, we identified the specific step in the secretory pathway where TSP-12–SUP-17 interaction is needed. We found that TSP-12 and SUP-17 share a mutually dependent, yet cell type– and developmental stage–specific relationship in their Golgi trafficking itinerary. In the early embryo, TSP-12 and SUP-17 depend on each other for their transit through the Golgi. However, only SUP-17 is required for proper Golgi trafficking of TSP-12 in the developing oocytes. We further showed that the ER accumulation of SUP-17 in embryos lacking TSP-12 is mediated by the Retention in Endoplasmic Reticulum 1 protein RER-1. These findings, combined with our previous work showing that TSP-12 and TSP-14 function redundantly in endosomes for the recycling of the type II receptor of the BMP signaling pathway, showcase the dynamic and versatile functions of TSP-12 in membrane trafficking in specific cellular contexts. They further highlight the importance of dissecting the functional relationships between TspanC8 proteins and ADAM10 in vivo.</w:t>
      </w:r>
    </w:p>
    <w:p>
      <w:pPr>
        <w:spacing w:before="120" w:after="120"/>
      </w:pPr>
      <w:r>
        <w:rPr>
          <w:sz w:val="18"/>
        </w:rPr>
        <w:t>——————————————————————————————————————————————————————————————————————</w:t>
      </w:r>
    </w:p>
    <w:p>
      <w:pPr>
        <w:spacing w:before="160" w:after="80" w:line="240" w:lineRule="auto"/>
      </w:pPr>
      <w:r>
        <w:rPr>
          <w:b/>
        </w:rPr>
        <w:t xml:space="preserve">[418] </w:t>
      </w:r>
      <w:hyperlink r:id="rId725">
        <w:r>
          <w:rPr>
            <w:color w:val="1155CC"/>
            <w:u w:val="single"/>
          </w:rPr>
          <w:t>CHAMP1 complex promotes heterochromatin assembly and reduces replication stress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26">
        <w:r>
          <w:rPr>
            <w:color w:val="1155CC"/>
            <w:u w:val="single"/>
          </w:rPr>
          <w:t>10.1073/pnas.2525144122</w:t>
        </w:r>
      </w:hyperlink>
    </w:p>
    <w:p>
      <w:pPr>
        <w:spacing w:before="0" w:after="120"/>
      </w:pPr>
      <w:r>
        <w:rPr>
          <w:b/>
        </w:rPr>
        <w:t xml:space="preserve">Notes: </w:t>
      </w:r>
      <w:r>
        <w:t>abstract_source=crossref</w:t>
      </w:r>
    </w:p>
    <w:p>
      <w:pPr>
        <w:spacing w:before="0" w:after="200" w:lineRule="auto" w:line="276"/>
      </w:pPr>
      <w:r>
        <w:rPr>
          <w:b/>
        </w:rPr>
        <w:t xml:space="preserve">Abstract: </w:t>
      </w:r>
      <w:r>
        <w:t>Replication stress (RS) is a major driver of genomic instability and a hallmark of cancer cells. Although dynamic heterochromatin remodeling has been implicated in RS response, the precise mechanisms remain unclear. The CHAMP1 complex, composed of CHAMP1, POGZ, HP1α, and the H3K9 methyltransferase SETDB1, is known to regulate heterochromatin assembly at multiple genomic sites. Interestingly, upon RS, the CHAMP1 complex is transiently recruited to stalled replication forks, where it facilitates H3K9me3 deposition and establishes a repressive chromatin environment. The complex is required for stabilization of replication forks, and it shields forks from MRE11-mediated degradation. The complex also reduces RS at specific chromosomal sites, such as the heterochromatin-rich telomeric sites in tumor cells which use the ALT pathway of telomere maintenance. Loss of the CHAMP1 complex results in increased micronuclei formation and heightened sensitivity to RS. Loss of the complex also leads to a compensatory increase in other pathways which reduce RS, such as the FA pathway and the ATR/CHK1 pathway. Notably, CHAMP1 deficiency induces synthetic lethality with FANCM inhibition in ALT-positive tumor cells, and the CHAMP1 complex is essential for the survival of CCNE1-amplified ovarian cancers. These findings uncover a heterochromatin-based mechanism of replication fork stabilization and suggest that CHAMP1 may represent a candidate therapeutic vulnerability in cancers with elevated RS.</w:t>
      </w:r>
    </w:p>
    <w:p>
      <w:pPr>
        <w:spacing w:before="120" w:after="120"/>
      </w:pPr>
      <w:r>
        <w:rPr>
          <w:sz w:val="18"/>
        </w:rPr>
        <w:t>——————————————————————————————————————————————————————————————————————</w:t>
      </w:r>
    </w:p>
    <w:p>
      <w:pPr>
        <w:spacing w:before="160" w:after="80" w:line="240" w:lineRule="auto"/>
      </w:pPr>
      <w:r>
        <w:rPr>
          <w:b/>
        </w:rPr>
        <w:t xml:space="preserve">[419] </w:t>
      </w:r>
      <w:hyperlink r:id="rId727">
        <w:r>
          <w:rPr>
            <w:color w:val="1155CC"/>
            <w:u w:val="single"/>
          </w:rPr>
          <w:t>Social attraction to a predatory black hole: A natural ecological trap for lobsters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28">
        <w:r>
          <w:rPr>
            <w:color w:val="1155CC"/>
            <w:u w:val="single"/>
          </w:rPr>
          <w:t>10.1073/pnas.2527644123</w:t>
        </w:r>
      </w:hyperlink>
    </w:p>
    <w:p>
      <w:pPr>
        <w:spacing w:before="0" w:after="120"/>
      </w:pPr>
      <w:r>
        <w:rPr>
          <w:b/>
        </w:rPr>
        <w:t xml:space="preserve">Notes: </w:t>
      </w:r>
      <w:r>
        <w:t>abstract_source=crossref</w:t>
      </w:r>
    </w:p>
    <w:p>
      <w:pPr>
        <w:spacing w:before="0" w:after="200" w:lineRule="auto" w:line="276"/>
      </w:pPr>
      <w:r>
        <w:rPr>
          <w:b/>
        </w:rPr>
        <w:t xml:space="preserve">Abstract: </w:t>
      </w:r>
      <w:r>
        <w:t>Ecological traps occur when animals erroneously choose habitats that lower their fitness, drawn by cues that are adaptive in most instances, but not all. Most ecological traps result from anthropogenic changes that make habitats less beneficial, yet still attractive to unsuspecting animals. Naturally occurring ecological traps are rare, persisting despite their drain on population sustainability. We found an unusual natural ecological trap whereby social juvenile Caribbean spiny lobsters (</w:t>
      </w:r>
      <w:r>
        <w:t xml:space="preserve"> </w:t>
      </w:r>
      <w:r>
        <w:t>Panulirus argus</w:t>
      </w:r>
      <w:r>
        <w:t xml:space="preserve"> </w:t>
      </w:r>
      <w:r>
        <w:t>) are drawn to solution hole dens by the scent of larger conspecifics dwelling there, but where predatory red grouper (</w:t>
      </w:r>
      <w:r>
        <w:t xml:space="preserve"> </w:t>
      </w:r>
      <w:r>
        <w:t>Epinephelus morio</w:t>
      </w:r>
      <w:r>
        <w:t xml:space="preserve"> </w:t>
      </w:r>
      <w:r>
        <w:t>) also lurk. Although lobsters are sensitive to odors from food, healthy and diseased conspecifics, and other predators such as octopus, our experiments revealed that lobsters cannot detect the scent of groupers. As a consequence, mortality of small juvenile lobsters was 30% higher near solution holes occupied by grouper, as compared to larger lobsters that are invulnerable to the gape-limited grouper predator. By preying on small lobsters, grouper negatively skewed lobster size distributions up to 16 m away from the solution hole lair that they patrol. Our results provide one of the clearest examples of a natural ecological trap, in which the normally advantageous social cue of large conspecifics lures young lobsters to what is a predatory death trap. Although anthropogenically driven traps are an evolutionarily new and destabilizing force for animal populations, natural ecological traps like this one are ecological oddities whose effects on populations can be locally intense, yet persist through time.</w:t>
      </w:r>
    </w:p>
    <w:p>
      <w:pPr>
        <w:spacing w:before="120" w:after="120"/>
      </w:pPr>
      <w:r>
        <w:rPr>
          <w:sz w:val="18"/>
        </w:rPr>
        <w:t>——————————————————————————————————————————————————————————————————————</w:t>
      </w:r>
    </w:p>
    <w:p>
      <w:pPr>
        <w:spacing w:before="160" w:after="80" w:line="240" w:lineRule="auto"/>
      </w:pPr>
      <w:r>
        <w:rPr>
          <w:b/>
        </w:rPr>
        <w:t xml:space="preserve">[420] </w:t>
      </w:r>
      <w:hyperlink r:id="rId729">
        <w:r>
          <w:rPr>
            <w:color w:val="1155CC"/>
            <w:u w:val="single"/>
          </w:rPr>
          <w:t>Polyserine domains are toxic and exacerbate tau pathology in mice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30">
        <w:r>
          <w:rPr>
            <w:color w:val="1155CC"/>
            <w:u w:val="single"/>
          </w:rPr>
          <w:t>10.1073/pnas.2527425122</w:t>
        </w:r>
      </w:hyperlink>
    </w:p>
    <w:p>
      <w:pPr>
        <w:spacing w:before="0" w:after="120"/>
      </w:pPr>
      <w:r>
        <w:rPr>
          <w:b/>
        </w:rPr>
        <w:t xml:space="preserve">Notes: </w:t>
      </w:r>
      <w:r>
        <w:t>abstract_source=crossref</w:t>
      </w:r>
    </w:p>
    <w:p>
      <w:pPr>
        <w:spacing w:before="0" w:after="200" w:lineRule="auto" w:line="276"/>
      </w:pPr>
      <w:r>
        <w:rPr>
          <w:b/>
        </w:rPr>
        <w:t xml:space="preserve">Abstract: </w:t>
      </w:r>
      <w:r>
        <w:t>Polyserine domains mediate the association of some nuclear RNA-binding proteins with cytoplasmic tau aggregates occurring in tauopathy models and patient samples. In cell lines, polyserine domains mediate colocalization with tau aggregates and promote formation, suggesting that the cytoplasmic mislocalization of polyserine-containing proteins could contribute to human disease. Moreover, polyserine can be produced by repeat-associated non-AUG translation in CAG repeat expansion diseases. However, whether polyserine expressed in a mammalian brain is toxic and/or can exacerbate tau pathology is unknown. We used AAV9-mediated delivery to express a 42-repeat polyserine protein in wild-type and tau transgenic mouse models. We observe that polyserine expression has toxic effects in wild-type animals indicated by reduced weight, behavioral abnormalities, and a striking loss of Purkinje cells. Moreover, in the presence of a pathogenic variant of human tau, polyserine exacerbates disease markers such as phosphorylated and insoluble tau levels and the seeding capacity of brain extracts. These findings demonstrate that polyserine domains can promote tau-mediated pathology in a mouse model and support the hypothesis that polyserine-containing proteins could contribute to the progression of human tauopathies.</w:t>
      </w:r>
    </w:p>
    <w:p>
      <w:pPr>
        <w:spacing w:before="120" w:after="120"/>
      </w:pPr>
      <w:r>
        <w:rPr>
          <w:sz w:val="18"/>
        </w:rPr>
        <w:t>——————————————————————————————————————————————————————————————————————</w:t>
      </w:r>
    </w:p>
    <w:p>
      <w:pPr>
        <w:spacing w:before="160" w:after="80" w:line="240" w:lineRule="auto"/>
      </w:pPr>
      <w:r>
        <w:rPr>
          <w:b/>
        </w:rPr>
        <w:t xml:space="preserve">[421] </w:t>
      </w:r>
      <w:hyperlink r:id="rId731">
        <w:r>
          <w:rPr>
            <w:color w:val="1155CC"/>
            <w:u w:val="single"/>
          </w:rPr>
          <w:t>Differential roles of type I topoisomerases in regulating HPV pathogenesis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32">
        <w:r>
          <w:rPr>
            <w:color w:val="1155CC"/>
            <w:u w:val="single"/>
          </w:rPr>
          <w:t>10.1073/pnas.2526296123</w:t>
        </w:r>
      </w:hyperlink>
    </w:p>
    <w:p>
      <w:pPr>
        <w:spacing w:before="0" w:after="120"/>
      </w:pPr>
      <w:r>
        <w:rPr>
          <w:b/>
        </w:rPr>
        <w:t xml:space="preserve">Notes: </w:t>
      </w:r>
      <w:r>
        <w:t>abstract_source=crossref</w:t>
      </w:r>
    </w:p>
    <w:p>
      <w:pPr>
        <w:spacing w:before="0" w:after="200" w:lineRule="auto" w:line="276"/>
      </w:pPr>
      <w:r>
        <w:rPr>
          <w:b/>
        </w:rPr>
        <w:t xml:space="preserve">Abstract: </w:t>
      </w:r>
      <w:r>
        <w:t>High-risk human papillomaviruses (HPVs) activate the Ataxia Telangiectasia Mutated and Ataxia Telangiectasia and Rad3-Related pathways by inducing DNA breaks through the action of viral oncoproteins E6 and E7, which target factors such as topoisomerases. Type I topoisomerases cleave and religate a single strand of DNA, and little is known about how they regulate HPV pathogenesis. The levels of type I topoisomerases, TOP1α, TOP3α, and TOP3β, were all elevated in cells maintaining high-risk HPV genomes, as well as in squamous cell carcinomas. Only TOP1α and TOP3β, but not TOP3α, bound to HPV genomes and were critical for regulating viral gene transcription and replication with little effect on cell growth. Furthermore, the knockdown of TOP1α or TOP3β reduced levels of DNA breaks and differentially altered the expression of genes in key pathways. TOP1α knockdown reduced the expression of IL6 and activation of the procytokine signaling pathway. In contrast, TOP3β targeted EGR3, which regulates growth and differentiation. Finally, TOP1α and TOP3β differentially regulate the formation of R-loops, which are critical for viral replication. These findings demonstrate the differential roles of type I topoisomerases in HPV pathogenesis.</w:t>
      </w:r>
    </w:p>
    <w:p>
      <w:pPr>
        <w:spacing w:before="120" w:after="120"/>
      </w:pPr>
      <w:r>
        <w:rPr>
          <w:sz w:val="18"/>
        </w:rPr>
        <w:t>——————————————————————————————————————————————————————————————————————</w:t>
      </w:r>
    </w:p>
    <w:p>
      <w:pPr>
        <w:spacing w:before="160" w:after="80" w:line="240" w:lineRule="auto"/>
      </w:pPr>
      <w:r>
        <w:rPr>
          <w:b/>
        </w:rPr>
        <w:t xml:space="preserve">[422] </w:t>
      </w:r>
      <w:hyperlink r:id="rId733">
        <w:r>
          <w:rPr>
            <w:color w:val="1155CC"/>
            <w:u w:val="single"/>
          </w:rPr>
          <w:t>Reply to Benito et al.: Problems in the Cretaceous evolution of the avian palatobasal joint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34">
        <w:r>
          <w:rPr>
            <w:color w:val="1155CC"/>
            <w:u w:val="single"/>
          </w:rPr>
          <w:t>10.1073/pnas.2520865123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[423] </w:t>
      </w:r>
      <w:hyperlink r:id="rId735">
        <w:r>
          <w:rPr>
            <w:color w:val="1155CC"/>
            <w:u w:val="single"/>
          </w:rPr>
          <w:t>Susceptible host dynamics explain pathogen resilience to perturbations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36">
        <w:r>
          <w:rPr>
            <w:color w:val="1155CC"/>
            <w:u w:val="single"/>
          </w:rPr>
          <w:t>10.1073/pnas.2517518122</w:t>
        </w:r>
      </w:hyperlink>
    </w:p>
    <w:p>
      <w:pPr>
        <w:spacing w:before="0" w:after="120"/>
      </w:pPr>
      <w:r>
        <w:rPr>
          <w:b/>
        </w:rPr>
        <w:t xml:space="preserve">Notes: </w:t>
      </w:r>
      <w:r>
        <w:t>abstract_source=crossref</w:t>
      </w:r>
    </w:p>
    <w:p>
      <w:pPr>
        <w:spacing w:before="0" w:after="200" w:lineRule="auto" w:line="276"/>
      </w:pPr>
      <w:r>
        <w:rPr>
          <w:b/>
        </w:rPr>
        <w:t xml:space="preserve">Abstract: </w:t>
      </w:r>
      <w:r>
        <w:t>Interventions to slow the spread of SARS-CoV-2 significantly disrupted the transmission of other pathogens. As interventions lifted, whether and when human pathogens would eventually return to their prepandemic dynamics remains to be answered. Here, we present a framework for estimating pathogen resilience based on how fast epidemic patterns return to their prepandemic dynamics. By analyzing time series data from Hong Kong, Canada, Korea, and the United States, we quantify the resilience of common respiratory pathogens and further predict when each pathogen will eventually return to its prepandemic dynamics. Our predictions are able to distinguish which pathogens should have returned already, and deviations from these predictions reveal long-term impacts of pandemic perturbations. We find a faster rate of susceptible replenishment underlies pathogen resilience and sensitivity to both large and small perturbations. Overall, our analysis highlights the persistent nature of common respiratory pathogens compared to vaccine-preventable infections, such as measles.</w:t>
      </w:r>
    </w:p>
    <w:p>
      <w:pPr>
        <w:spacing w:before="120" w:after="120"/>
      </w:pPr>
      <w:r>
        <w:rPr>
          <w:sz w:val="18"/>
        </w:rPr>
        <w:t>——————————————————————————————————————————————————————————————————————</w:t>
      </w:r>
    </w:p>
    <w:p>
      <w:pPr>
        <w:spacing w:before="160" w:after="80" w:line="240" w:lineRule="auto"/>
      </w:pPr>
      <w:r>
        <w:rPr>
          <w:b/>
        </w:rPr>
        <w:t xml:space="preserve">[424] </w:t>
      </w:r>
      <w:hyperlink r:id="rId737">
        <w:r>
          <w:rPr>
            <w:color w:val="1155CC"/>
            <w:u w:val="single"/>
          </w:rPr>
          <w:t>Vapor-mediated wetting and imbibition control on micropatterned surfaces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38">
        <w:r>
          <w:rPr>
            <w:color w:val="1155CC"/>
            <w:u w:val="single"/>
          </w:rPr>
          <w:t>10.1073/pnas.2519761122</w:t>
        </w:r>
      </w:hyperlink>
    </w:p>
    <w:p>
      <w:pPr>
        <w:spacing w:before="0" w:after="120"/>
      </w:pPr>
      <w:r>
        <w:rPr>
          <w:b/>
        </w:rPr>
        <w:t xml:space="preserve">Notes: </w:t>
      </w:r>
      <w:r>
        <w:t>abstract_source=crossref</w:t>
      </w:r>
    </w:p>
    <w:p>
      <w:pPr>
        <w:spacing w:before="0" w:after="200" w:lineRule="auto" w:line="276"/>
      </w:pPr>
      <w:r>
        <w:rPr>
          <w:b/>
        </w:rPr>
        <w:t xml:space="preserve">Abstract: </w:t>
      </w:r>
      <w:r>
        <w:t>Wetting of micropatterned surfaces is ubiquitous in nature and key to many technological applications like spray cooling, inkjet printing, and semiconductor processing. Overcoming the intrinsic, chemistry- and topography-governed wetting behaviors often requires specific materials which limits applicability. Here, we demonstrate that droplet spreading and wicking on hydrophilic patterns can be controlled by the vapor of a lower-surface-tension liquid. Condensation of the vapor induces Marangoni forces that delay capillary wicking and contract liquid into a droplet on top of the imbibed film. Thereby, macroscopic droplets can be maintained in an apparent partial wetting state, effectively cloaking the pattern. We quantify how pattern characteristics and vapor condensation compete, balancing in different wetting states from pinning to complete imbibition. Since this balance is the result of nonequilibrium processes rather than static wetting phenomena, it can be reversibly tuned by modifying the vapor concentration. This way, we guide droplets across patterns and even extract previously imbibed liquids, devising strategies for coating, cleaning, and drying functional surfaces.</w:t>
      </w:r>
    </w:p>
    <w:p>
      <w:pPr>
        <w:spacing w:before="120" w:after="120"/>
      </w:pPr>
      <w:r>
        <w:rPr>
          <w:sz w:val="18"/>
        </w:rPr>
        <w:t>——————————————————————————————————————————————————————————————————————</w:t>
      </w:r>
    </w:p>
    <w:p>
      <w:pPr>
        <w:spacing w:before="160" w:after="80" w:line="240" w:lineRule="auto"/>
      </w:pPr>
      <w:r>
        <w:rPr>
          <w:b/>
        </w:rPr>
        <w:t xml:space="preserve">[425] </w:t>
      </w:r>
      <w:hyperlink r:id="rId739">
        <w:r>
          <w:rPr>
            <w:color w:val="1155CC"/>
            <w:u w:val="single"/>
          </w:rPr>
          <w:t>Linking culture and individual behavior: The concept and measurement of cultural consonance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40">
        <w:r>
          <w:rPr>
            <w:color w:val="1155CC"/>
            <w:u w:val="single"/>
          </w:rPr>
          <w:t>10.1073/pnas.2525165123</w:t>
        </w:r>
      </w:hyperlink>
    </w:p>
    <w:p>
      <w:pPr>
        <w:spacing w:before="0" w:after="120"/>
      </w:pPr>
      <w:r>
        <w:rPr>
          <w:b/>
        </w:rPr>
        <w:t xml:space="preserve">Notes: </w:t>
      </w:r>
      <w:r>
        <w:t>abstract_source=crossref</w:t>
      </w:r>
    </w:p>
    <w:p>
      <w:pPr>
        <w:spacing w:before="0" w:after="200" w:lineRule="auto" w:line="276"/>
      </w:pPr>
      <w:r>
        <w:rPr>
          <w:b/>
        </w:rPr>
        <w:t xml:space="preserve">Abstract: </w:t>
      </w:r>
      <w:r>
        <w:t>Culture has been a central concept in the social sciences for well over a century. Yet, a theory of culture with an associated measurement model providing the means to systematically study its effects has proven elusive. Developments in cognitive culture theory over the past several years provide a new perspective and a new set of tools. Culture can be conceptualized as a set of shared cognitive models that encode the information required for individuals to function in a given social setting. These cultural models can be elicited and examined in detail using the methods of cultural domain analysis, and the cultural consensus model (CCM) can be used to test for sharing and to describe variation in culture. Using the results of cultural consensus analysis as a foundation, cultural consonance can be measured for individuals. Cultural consonance is the degree to which individuals, in their own behaviors, approximate the prototypes for behavior encoded in cultural models. Cultural consonance thus extends cognitive culture theory to an examination of culture expressed in behavior. In this article, this theoretical and methodological orientation is presented, and some implications of its empirical examination are discussed.</w:t>
      </w:r>
    </w:p>
    <w:p>
      <w:pPr>
        <w:spacing w:before="120" w:after="120"/>
      </w:pPr>
      <w:r>
        <w:rPr>
          <w:sz w:val="18"/>
        </w:rPr>
        <w:t>——————————————————————————————————————————————————————————————————————</w:t>
      </w:r>
    </w:p>
    <w:p>
      <w:pPr>
        <w:spacing w:before="160" w:after="80" w:line="240" w:lineRule="auto"/>
      </w:pPr>
      <w:r>
        <w:rPr>
          <w:b/>
        </w:rPr>
        <w:t xml:space="preserve">[426] </w:t>
      </w:r>
      <w:hyperlink r:id="rId741">
        <w:r>
          <w:rPr>
            <w:color w:val="1155CC"/>
            <w:u w:val="single"/>
          </w:rPr>
          <w:t>Targeting transthyretin by one Cas9 variant with superfidelity and broad compatibility</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42">
        <w:r>
          <w:rPr>
            <w:color w:val="1155CC"/>
            <w:u w:val="single"/>
          </w:rPr>
          <w:t>10.1126/sciadv.adu6505</w:t>
        </w:r>
      </w:hyperlink>
    </w:p>
    <w:p>
      <w:pPr>
        <w:spacing w:before="0" w:after="120"/>
      </w:pPr>
      <w:r>
        <w:rPr>
          <w:b/>
        </w:rPr>
        <w:t xml:space="preserve">Notes: </w:t>
      </w:r>
      <w:r>
        <w:t>abstract_source=crossref</w:t>
      </w:r>
    </w:p>
    <w:p>
      <w:pPr>
        <w:spacing w:before="0" w:after="200" w:lineRule="auto" w:line="276"/>
      </w:pPr>
      <w:r>
        <w:rPr>
          <w:b/>
        </w:rPr>
        <w:t xml:space="preserve">Abstract: </w:t>
      </w:r>
      <w:r>
        <w:t>Amyloid transthyretin (ATTR) amyloidosis is a fatal disease caused by the accumulation of misfolded transthyretin proteins. Although knocking down the</w:t>
      </w:r>
      <w:r>
        <w:t xml:space="preserve"> </w:t>
      </w:r>
      <w:r>
        <w:t>TTR</w:t>
      </w:r>
      <w:r>
        <w:t xml:space="preserve"> </w:t>
      </w:r>
      <w:r>
        <w:t>gene by CRISPR-Cas9 represents a promising strategy for treating ATTR amyloidosis, its efficiency and safety remain to be further investigated. Here, we report a systematic investigation of SpCas9-based</w:t>
      </w:r>
      <w:r>
        <w:t xml:space="preserve"> </w:t>
      </w:r>
      <w:r>
        <w:t>TTR</w:t>
      </w:r>
      <w:r>
        <w:t xml:space="preserve"> </w:t>
      </w:r>
      <w:r>
        <w:t>editing. Besides the target site, wild-type SpCas9 and the reported variants induced extensive off-target edits. To improve the fidelity, we performed structural analysis and designed a series of SpCas9 variants. Studies demonstrated that SpCas9-Mut5 is an ultrahigh-fidelity variant, which induces extremely low levels of off-target edits and translocations without substantial impairment of on-target editing activity. SpCas9-Mut5 is compatible with the adenine base editor (ABE) system, markedly reducing off-target edits and narrowing the editing window. In conclusion, our study suggests that SpCas9-Mut5 is an excellent candidate for</w:t>
      </w:r>
      <w:r>
        <w:t xml:space="preserve"> </w:t>
      </w:r>
      <w:r>
        <w:t>TTR</w:t>
      </w:r>
      <w:r>
        <w:t xml:space="preserve"> </w:t>
      </w:r>
      <w:r>
        <w:t>gene editing. Besides ATTR amyloidosis, SpCas9-Mut5 and its derivative ABE could be widely used in the treatment of other diseases.</w:t>
      </w:r>
    </w:p>
    <w:p>
      <w:pPr>
        <w:spacing w:before="120" w:after="120"/>
      </w:pPr>
      <w:r>
        <w:rPr>
          <w:sz w:val="18"/>
        </w:rPr>
        <w:t>——————————————————————————————————————————————————————————————————————</w:t>
      </w:r>
    </w:p>
    <w:p>
      <w:pPr>
        <w:spacing w:before="160" w:after="80" w:line="240" w:lineRule="auto"/>
      </w:pPr>
      <w:r>
        <w:rPr>
          <w:b/>
        </w:rPr>
        <w:t xml:space="preserve">[427] </w:t>
      </w:r>
      <w:hyperlink r:id="rId743">
        <w:r>
          <w:rPr>
            <w:color w:val="1155CC"/>
            <w:u w:val="single"/>
          </w:rPr>
          <w:t>Shouldering the challenge of deciphering avian palate evolution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44">
        <w:r>
          <w:rPr>
            <w:color w:val="1155CC"/>
            <w:u w:val="single"/>
          </w:rPr>
          <w:t>10.1073/pnas.2514111123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[428] </w:t>
      </w:r>
      <w:hyperlink r:id="rId745">
        <w:r>
          <w:rPr>
            <w:color w:val="1155CC"/>
            <w:u w:val="single"/>
          </w:rPr>
          <w:t>Synergistic intragenic epigenetic deregulation by IDH2 and SRSF2 mutations causes mis-splicing of key transcriptional regulators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46">
        <w:r>
          <w:rPr>
            <w:color w:val="1155CC"/>
            <w:u w:val="single"/>
          </w:rPr>
          <w:t>10.1126/sciadv.adu8292</w:t>
        </w:r>
      </w:hyperlink>
    </w:p>
    <w:p>
      <w:pPr>
        <w:spacing w:before="0" w:after="120"/>
      </w:pPr>
      <w:r>
        <w:rPr>
          <w:b/>
        </w:rPr>
        <w:t xml:space="preserve">Notes: </w:t>
      </w:r>
      <w:r>
        <w:t>abstract_source=crossref</w:t>
      </w:r>
    </w:p>
    <w:p>
      <w:pPr>
        <w:spacing w:before="0" w:after="200" w:lineRule="auto" w:line="276"/>
      </w:pPr>
      <w:r>
        <w:rPr>
          <w:b/>
        </w:rPr>
        <w:t xml:space="preserve">Abstract: </w:t>
      </w:r>
      <w:r>
        <w:t>Genes affecting DNA methylation (DNAme) are frequently comutated with splicing factors in acute myeloid leukemia (AML) and associate with more aggressive phenotypes. To elucidate the underlying molecular mechanisms, we deeply profiled wild-type and</w:t>
      </w:r>
      <w:r>
        <w:t xml:space="preserve"> </w:t>
      </w:r>
      <w:r>
        <w:t>IDH2</w:t>
      </w:r>
      <w:r>
        <w:t xml:space="preserve"> </w:t>
      </w:r>
      <w:r>
        <w:t>R140Q</w:t>
      </w:r>
      <w:r>
        <w:t xml:space="preserve"> </w:t>
      </w:r>
      <w:r>
        <w:t>/SRSF2</w:t>
      </w:r>
      <w:r>
        <w:t xml:space="preserve"> </w:t>
      </w:r>
      <w:r>
        <w:t>P95</w:t>
      </w:r>
      <w:r>
        <w:t xml:space="preserve"> </w:t>
      </w:r>
      <w:r>
        <w:t>single- or double-mutant AMLs. We find a unique set of mis-spliced genes and differentially methylated CpGs in double mutants. Mis-spliced exons are enriched in CCNG splicing enhancers and in the corresponding DNAme changes. Using a machine learning model, we can accurately predict exon inclusion levels from proximal CpGs. These CpGs are more likely to overlap footprints of RNA binding and chromatin-modifying complexes but not transcription factors. We also report unique gene expression profiles associated with each genotype; however, the differentially expressed genes do not overlap with mis-spliced transcripts. Instead, the mis-spliced genes encode for proteins that interact with the complexes regulating these differentially expressed genes. Thus, aberrant DNAme and splicing lead to the mis-splicing of key regulatory complexes, resulting in the aberrant gene expression profiles characteristic of these AMLs.</w:t>
      </w:r>
    </w:p>
    <w:p>
      <w:pPr>
        <w:spacing w:before="120" w:after="120"/>
      </w:pPr>
      <w:r>
        <w:rPr>
          <w:sz w:val="18"/>
        </w:rPr>
        <w:t>——————————————————————————————————————————————————————————————————————</w:t>
      </w:r>
    </w:p>
    <w:p>
      <w:pPr>
        <w:spacing w:before="160" w:after="80" w:line="240" w:lineRule="auto"/>
      </w:pPr>
      <w:r>
        <w:rPr>
          <w:b/>
        </w:rPr>
        <w:t xml:space="preserve">[429] </w:t>
      </w:r>
      <w:hyperlink r:id="rId747">
        <w:r>
          <w:rPr>
            <w:color w:val="1155CC"/>
            <w:u w:val="single"/>
          </w:rPr>
          <w:t>Mechanical compression induces neuronal apoptosis, reduces synaptic activity, and promotes glial neuroinflammation in mice and humans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48">
        <w:r>
          <w:rPr>
            <w:color w:val="1155CC"/>
            <w:u w:val="single"/>
          </w:rPr>
          <w:t>10.1073/pnas.2513172122</w:t>
        </w:r>
      </w:hyperlink>
    </w:p>
    <w:p>
      <w:pPr>
        <w:spacing w:before="0" w:after="120"/>
      </w:pPr>
      <w:r>
        <w:rPr>
          <w:b/>
        </w:rPr>
        <w:t xml:space="preserve">Notes: </w:t>
      </w:r>
      <w:r>
        <w:t>abstract_source=crossref</w:t>
      </w:r>
    </w:p>
    <w:p>
      <w:pPr>
        <w:spacing w:before="0" w:after="200" w:lineRule="auto" w:line="276"/>
      </w:pPr>
      <w:r>
        <w:rPr>
          <w:b/>
        </w:rPr>
        <w:t xml:space="preserve">Abstract: </w:t>
      </w:r>
      <w:r>
        <w:t>Mass effect, characterized by the compression and deformation of neural tissue from space-occupying lesions, can lead to debilitating neurological symptoms and poses a significant clinical challenge. In the primary brain tumor glioblastoma (GBM), we have shown previously that compressive solid stress originating from the growing tumor reduces cerebral blood flow, leading to neuronal loss, increased functional impairment, and poor clinical outcomes. However, the direct effects of compression on neurons and the underlying biophysical mechanisms are poorly understood. Here, using multiscale compression systems and physiologically relevant in vitro and in vivo models, we find that chronic mechanical compression induces neuronal apoptosis and loss of synaptic puncta, leading to disrupted neural network activity, as assessed by calcium imaging. This is accompanied by increased HIF-1 signaling and upregulation of downstream stress-adaptive genes in neurons. We further show that chronic compression triggers AP-1–driven gene expression in glial cells, promoting a neuroinflammatory response. Together, these findings reveal that solid stress directly contributes to neuronal dysfunction and inflammation caused by GBM by activating distinct pathways that can be targeted in future studies for neuroprotection.</w:t>
      </w:r>
    </w:p>
    <w:p>
      <w:pPr>
        <w:spacing w:before="120" w:after="120"/>
      </w:pPr>
      <w:r>
        <w:rPr>
          <w:sz w:val="18"/>
        </w:rPr>
        <w:t>——————————————————————————————————————————————————————————————————————</w:t>
      </w:r>
    </w:p>
    <w:p>
      <w:pPr>
        <w:spacing w:before="160" w:after="80" w:line="240" w:lineRule="auto"/>
      </w:pPr>
      <w:r>
        <w:rPr>
          <w:b/>
        </w:rPr>
        <w:t xml:space="preserve">[430] </w:t>
      </w:r>
      <w:hyperlink r:id="rId749">
        <w:r>
          <w:rPr>
            <w:color w:val="1155CC"/>
            <w:u w:val="single"/>
          </w:rPr>
          <w:t>Saccade-related LFP power transients in the primate amygdala and hippocampus linked to the perception of social status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50">
        <w:r>
          <w:rPr>
            <w:color w:val="1155CC"/>
            <w:u w:val="single"/>
          </w:rPr>
          <w:t>10.1073/pnas.2516365123</w:t>
        </w:r>
      </w:hyperlink>
    </w:p>
    <w:p>
      <w:pPr>
        <w:spacing w:before="0" w:after="120"/>
      </w:pPr>
      <w:r>
        <w:rPr>
          <w:b/>
        </w:rPr>
        <w:t xml:space="preserve">Notes: </w:t>
      </w:r>
      <w:r>
        <w:t>abstract_source=crossref</w:t>
      </w:r>
    </w:p>
    <w:p>
      <w:pPr>
        <w:spacing w:before="0" w:after="200" w:lineRule="auto" w:line="276"/>
      </w:pPr>
      <w:r>
        <w:rPr>
          <w:b/>
        </w:rPr>
        <w:t xml:space="preserve">Abstract: </w:t>
      </w:r>
      <w:r>
        <w:t>A key aspect of healthy social functioning in both humans and nonhuman primates is the ability to extract status-related information from observing the social signals exchanged between individuals. Knowing the social status of others determines how long we look at them and how we engage with them in social interactions. While looking at faces and eyes requires a functionally intact amygdala, hippocampal memories guide the eyes toward socially relevant areas of a visual scene. We examined the local field potentials associated with socially meaningful eye movements in the amygdala and hippocampus of macaques as they watched videos of dominant–subordinate interactions among unfamiliar conspecifics. In both structures, the saccade-related potentials showed status-dependent amplitude modulation in specific frequency bands. In the amygdala, shifting gaze from lower- to higher-status individuals was associated with anticipatory power transients in the 20 to 25 Hz frequency band, whereas gaze shifts from higher- to lower-status individuals were marked by predominantly postsaccadic power transients. Following the gaze of the aggressive, dominant individual induced increased postsaccadic power in the gamma band in both the amygdala and hippocampus, with some variation in frequency depending on whether the saccade landed on the social partner or elsewhere. The timing, frequency, and status-specificity of these power transients reveal the contribution of the amygdala and hippocampus to the visual exploration of social scenes.</w:t>
      </w:r>
    </w:p>
    <w:p>
      <w:pPr>
        <w:spacing w:before="120" w:after="120"/>
      </w:pPr>
      <w:r>
        <w:rPr>
          <w:sz w:val="18"/>
        </w:rPr>
        <w:t>——————————————————————————————————————————————————————————————————————</w:t>
      </w:r>
    </w:p>
    <w:p>
      <w:pPr>
        <w:spacing w:before="160" w:after="80" w:line="240" w:lineRule="auto"/>
      </w:pPr>
      <w:r>
        <w:rPr>
          <w:b/>
        </w:rPr>
        <w:t xml:space="preserve">[431] </w:t>
      </w:r>
      <w:hyperlink r:id="rId751">
        <w:r>
          <w:rPr>
            <w:color w:val="1155CC"/>
            <w:u w:val="single"/>
          </w:rPr>
          <w:t>Earliest evidence of hominin bipedalism in Sahelanthropus tchadensis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52">
        <w:r>
          <w:rPr>
            <w:color w:val="1155CC"/>
            <w:u w:val="single"/>
          </w:rPr>
          <w:t>10.1126/sciadv.adv0130</w:t>
        </w:r>
      </w:hyperlink>
    </w:p>
    <w:p>
      <w:pPr>
        <w:spacing w:before="0" w:after="120"/>
      </w:pPr>
      <w:r>
        <w:rPr>
          <w:b/>
        </w:rPr>
        <w:t xml:space="preserve">Notes: </w:t>
      </w:r>
      <w:r>
        <w:t>abstract_source=crossref</w:t>
      </w:r>
    </w:p>
    <w:p>
      <w:pPr>
        <w:spacing w:before="0" w:after="200" w:lineRule="auto" w:line="276"/>
      </w:pPr>
      <w:r>
        <w:rPr>
          <w:b/>
        </w:rPr>
        <w:t xml:space="preserve">Abstract: </w:t>
      </w:r>
      <w:r>
        <w:t>Bipedalism is a key adaptation that differentiates hominins (humans and our extinct relatives) from living and fossil apes. The earliest putative hominin,</w:t>
      </w:r>
      <w:r>
        <w:t xml:space="preserve"> </w:t>
      </w:r>
      <w:r>
        <w:t>Sahelanthropus tchadensis</w:t>
      </w:r>
      <w:r>
        <w:t xml:space="preserve"> </w:t>
      </w:r>
      <w:r>
        <w:t>(~7 million years old), was originally represented by a cranium, the reconstruction of which suggested to its discoverers that</w:t>
      </w:r>
      <w:r>
        <w:t xml:space="preserve"> </w:t>
      </w:r>
      <w:r>
        <w:t>Sahelanthropus</w:t>
      </w:r>
      <w:r>
        <w:t xml:space="preserve"> </w:t>
      </w:r>
      <w:r>
        <w:t>carried its head in a manner similar to known bipedal hominins. Recently, two partial ulnae and a femur shaft were announced as evidence in support of the contention that</w:t>
      </w:r>
      <w:r>
        <w:t xml:space="preserve"> </w:t>
      </w:r>
      <w:r>
        <w:t>Sahelanthropus</w:t>
      </w:r>
      <w:r>
        <w:t xml:space="preserve"> </w:t>
      </w:r>
      <w:r>
        <w:t>was an early biped, but those interpretations have been challenged. Here, while we find that both limb bones are most similar in size and geometric morphometric shape to chimpanzees (genus</w:t>
      </w:r>
      <w:r>
        <w:t xml:space="preserve"> </w:t>
      </w:r>
      <w:r>
        <w:t>Pan</w:t>
      </w:r>
      <w:r>
        <w:t xml:space="preserve"> </w:t>
      </w:r>
      <w:r>
        <w:t>), we demonstrate that their relative proportion is more hominin-like. Furthermore, we confirm two features linked to hominin-like hip and knee function and identify a femoral tubercle, a feature only found in bipedal hominins. Our results suggest that</w:t>
      </w:r>
      <w:r>
        <w:t xml:space="preserve"> </w:t>
      </w:r>
      <w:r>
        <w:t>Sahelanthropus</w:t>
      </w:r>
      <w:r>
        <w:t xml:space="preserve"> </w:t>
      </w:r>
      <w:r>
        <w:t>was an early biped that evolved from a</w:t>
      </w:r>
      <w:r>
        <w:t xml:space="preserve"> </w:t>
      </w:r>
      <w:r>
        <w:t>Pan</w:t>
      </w:r>
      <w:r>
        <w:t xml:space="preserve"> </w:t>
      </w:r>
      <w:r>
        <w:t>-like Miocene ape ancestor.</w:t>
      </w:r>
    </w:p>
    <w:p>
      <w:pPr>
        <w:spacing w:before="120" w:after="120"/>
      </w:pPr>
      <w:r>
        <w:rPr>
          <w:sz w:val="18"/>
        </w:rPr>
        <w:t>——————————————————————————————————————————————————————————————————————</w:t>
      </w:r>
    </w:p>
    <w:p>
      <w:pPr>
        <w:spacing w:before="160" w:after="80" w:line="240" w:lineRule="auto"/>
      </w:pPr>
      <w:r>
        <w:rPr>
          <w:b/>
        </w:rPr>
        <w:t xml:space="preserve">[432] </w:t>
      </w:r>
      <w:hyperlink r:id="rId753">
        <w:r>
          <w:rPr>
            <w:color w:val="1155CC"/>
            <w:u w:val="single"/>
          </w:rPr>
          <w:t>Differentiation between regulated and disrupted growth arrests allows tailoring of effective treatments for antibiotic persistence</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54">
        <w:r>
          <w:rPr>
            <w:color w:val="1155CC"/>
            <w:u w:val="single"/>
          </w:rPr>
          <w:t>10.1126/sciadv.adt6577</w:t>
        </w:r>
      </w:hyperlink>
    </w:p>
    <w:p>
      <w:pPr>
        <w:spacing w:before="0" w:after="120"/>
      </w:pPr>
      <w:r>
        <w:rPr>
          <w:b/>
        </w:rPr>
        <w:t xml:space="preserve">Notes: </w:t>
      </w:r>
      <w:r>
        <w:t>abstract_source=crossref</w:t>
      </w:r>
    </w:p>
    <w:p>
      <w:pPr>
        <w:spacing w:before="0" w:after="200" w:lineRule="auto" w:line="276"/>
      </w:pPr>
      <w:r>
        <w:rPr>
          <w:b/>
        </w:rPr>
        <w:t xml:space="preserve">Abstract: </w:t>
      </w:r>
      <w:r>
        <w:t>Antibiotic persistence, typically attributed to dormant bacteria, is known to be a major cause of treatment failure. However, despite many years of intense research, no clear consensus on its mechanism has emerged. Here, we demonstrate that high survival under antibiotics may originate from two fundamentally different growth-arrest archetypes: either from a regulated growth arrest, leading to a protected dormant cellular state, or from a dysregulated disrupted growth arrest. Using modeling and experimental approaches including transcriptomics, microcalorimetry, and microfluidics, we unveil the characteristics and vulnerabilities of each growth-arrest archetype. In particular, disrupted bacteria show a general impairment of membrane homeostasis. This understanding resolves previous conflicting results regarding characteristics of persisters and allows tailoring treatments that target the different growth-arrested bacteria. The fundamental distinction between regulated and disrupted growth arrests should be broadly relevant for the description of cells under stress.</w:t>
      </w:r>
    </w:p>
    <w:p>
      <w:pPr>
        <w:spacing w:before="120" w:after="120"/>
      </w:pPr>
      <w:r>
        <w:rPr>
          <w:sz w:val="18"/>
        </w:rPr>
        <w:t>——————————————————————————————————————————————————————————————————————</w:t>
      </w:r>
    </w:p>
    <w:p>
      <w:pPr>
        <w:spacing w:before="160" w:after="80" w:line="240" w:lineRule="auto"/>
      </w:pPr>
      <w:r>
        <w:rPr>
          <w:b/>
        </w:rPr>
        <w:t xml:space="preserve">[433] </w:t>
      </w:r>
      <w:hyperlink r:id="rId755">
        <w:r>
          <w:rPr>
            <w:color w:val="1155CC"/>
            <w:u w:val="single"/>
          </w:rPr>
          <w:t>Distinct macronutrient ratios optimize offspring survival, growth, and maternal glucose tolerance across mouse reproduction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56">
        <w:r>
          <w:rPr>
            <w:color w:val="1155CC"/>
            <w:u w:val="single"/>
          </w:rPr>
          <w:t>10.1073/pnas.2513044123</w:t>
        </w:r>
      </w:hyperlink>
    </w:p>
    <w:p>
      <w:pPr>
        <w:spacing w:before="0" w:after="120"/>
      </w:pPr>
      <w:r>
        <w:rPr>
          <w:b/>
        </w:rPr>
        <w:t xml:space="preserve">Notes: </w:t>
      </w:r>
      <w:r>
        <w:t>abstract_source=crossref</w:t>
      </w:r>
    </w:p>
    <w:p>
      <w:pPr>
        <w:spacing w:before="0" w:after="200" w:lineRule="auto" w:line="276"/>
      </w:pPr>
      <w:r>
        <w:rPr>
          <w:b/>
        </w:rPr>
        <w:t xml:space="preserve">Abstract: </w:t>
      </w:r>
      <w:r>
        <w:t>Pregnancy and lactation are reproductive periods that require major energy and nutrient investment by the mother. Dietary perturbations over reproduction can impair offspring development and increase the risk of metabolic disease for the mother. However, how the intake of specific macronutrients, independent of total calorie intake, influence maternal reproductive investment and metabolic health remains poorly understood. To understand the role of protein, carbohydrate, and fat intake in influencing these parameters, we fed mice one of ten isocaloric diets that differed systematically in their macronutrient make-up. We allowed females to breed and observed striking effects of different macronutrients on fetal development, with protein intake having strong positive effects on offspring survival, accompanied by major shifts in the morphological structure of the placenta and placental lactogen production. However, maternal glucose tolerance was strongly impaired by high protein intake during pregnancy, with reproductive females more susceptible to the effects of these macronutrients than nonpregnant animals. Strikingly, metabolic effects were reversed after lactation, with mothers developing a resilience to the chronic effects of protein and fat intake on glucose tolerance observed in virgin animals. During lactation, we also observed that offspring development was optimized by a different ratio of macronutrients compared to during pregnancy. These results highlight the importance of optimizing macronutrient, particularly protein, intake to specific levels during pregnancy, ensuring a balance that maintains maternal glucose tolerance while providing sufficient nutrients to ensure healthy offspring growth and survival.</w:t>
      </w:r>
    </w:p>
    <w:p>
      <w:pPr>
        <w:spacing w:before="120" w:after="120"/>
      </w:pPr>
      <w:r>
        <w:rPr>
          <w:sz w:val="18"/>
        </w:rPr>
        <w:t>——————————————————————————————————————————————————————————————————————</w:t>
      </w:r>
    </w:p>
    <w:p>
      <w:pPr>
        <w:spacing w:before="160" w:after="80" w:line="240" w:lineRule="auto"/>
      </w:pPr>
      <w:r>
        <w:rPr>
          <w:b/>
        </w:rPr>
        <w:t xml:space="preserve">[434] </w:t>
      </w:r>
      <w:hyperlink r:id="rId757">
        <w:r>
          <w:rPr>
            <w:color w:val="1155CC"/>
            <w:u w:val="single"/>
          </w:rPr>
          <w:t>Exploring the interplay between protein conformational changes and phosphorylation in a pancreatic cancer cell and stellate cell coculture system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58">
        <w:r>
          <w:rPr>
            <w:color w:val="1155CC"/>
            <w:u w:val="single"/>
          </w:rPr>
          <w:t>10.1073/pnas.2511839122</w:t>
        </w:r>
      </w:hyperlink>
    </w:p>
    <w:p>
      <w:pPr>
        <w:spacing w:before="0" w:after="120"/>
      </w:pPr>
      <w:r>
        <w:rPr>
          <w:b/>
        </w:rPr>
        <w:t xml:space="preserve">Notes: </w:t>
      </w:r>
      <w:r>
        <w:t>abstract_source=crossref</w:t>
      </w:r>
    </w:p>
    <w:p>
      <w:pPr>
        <w:spacing w:before="0" w:after="200" w:lineRule="auto" w:line="276"/>
      </w:pPr>
      <w:r>
        <w:rPr>
          <w:b/>
        </w:rPr>
        <w:t xml:space="preserve">Abstract: </w:t>
      </w:r>
      <w:r>
        <w:t>A global exploration of the complex interplay between protein conformational changes and phosphorylation events in cell–cell interactions is crucial for understanding the dynamic nature of protein modifications. This understanding is essential for developing novel targeted therapies for pancreatic cancer, particularly in the context of interactions between pancreatic cancer cells (PCCs) and pancreatic stellate cells (PSCs). However, protein conformational changes that occur during PCCs–PSCs interactions remain poorly studied, and the relationship between these changes and phosphorylation is not well understood. Here, we present a comprehensive mass spectrometry–based study investigating the interplay between protein conformational alterations and phosphorylation in a coculture system of pancreatic ductal adenocarcinoma cells (PANC-1) and PSCs. Our results demonstrate that 435 proteins exhibiting conformational changes were detected during the coculture of PANC-1 with PSCs, primarily involving proteins associated with the tricarboxylic acid (TCA) cycle, glycolysis/gluconeogenesis, and carbon metabolism. Our findings also highlight a potential association between phosphorylation and protein conformational changes. Moreover, we identified five potential conformational targets, including ACLY, ACO1, ACO2, IDH1, and OGDH, which may provide valuable insights into the molecular pathways underlying gemcitabine resistance in pancreatic cancer. Overall, these results offer insights into protein conformational changes and their potential link to phosphorylation in the context of cancer-stromal cell interactions, paving the way for structure-based, targeted therapeutic strategies for pancreatic cancer treatment.</w:t>
      </w:r>
    </w:p>
    <w:p>
      <w:pPr>
        <w:spacing w:before="120" w:after="120"/>
      </w:pPr>
      <w:r>
        <w:rPr>
          <w:sz w:val="18"/>
        </w:rPr>
        <w:t>——————————————————————————————————————————————————————————————————————</w:t>
      </w:r>
    </w:p>
    <w:p>
      <w:pPr>
        <w:spacing w:before="160" w:after="80" w:line="240" w:lineRule="auto"/>
      </w:pPr>
      <w:r>
        <w:rPr>
          <w:b/>
        </w:rPr>
        <w:t xml:space="preserve">[435] </w:t>
      </w:r>
      <w:hyperlink r:id="rId759">
        <w:r>
          <w:rPr>
            <w:color w:val="1155CC"/>
            <w:u w:val="single"/>
          </w:rPr>
          <w:t>Janus Mn single atoms for triggering efficient photothermal catalytic CO2 methanation through spin polarization effect</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60">
        <w:r>
          <w:rPr>
            <w:color w:val="1155CC"/>
            <w:u w:val="single"/>
          </w:rPr>
          <w:t>10.1126/sciadv.adz7504</w:t>
        </w:r>
      </w:hyperlink>
    </w:p>
    <w:p>
      <w:pPr>
        <w:spacing w:before="0" w:after="120"/>
      </w:pPr>
      <w:r>
        <w:rPr>
          <w:b/>
        </w:rPr>
        <w:t xml:space="preserve">Notes: </w:t>
      </w:r>
      <w:r>
        <w:t>abstract_source=crossref</w:t>
      </w:r>
    </w:p>
    <w:p>
      <w:pPr>
        <w:spacing w:before="0" w:after="200" w:lineRule="auto" w:line="276"/>
      </w:pPr>
      <w:r>
        <w:rPr>
          <w:b/>
        </w:rPr>
        <w:t xml:space="preserve">Abstract: </w:t>
      </w:r>
      <w:r>
        <w:t>Photothermal catalysis, using sunlight as single energy source, is an ideal pattern for CO</w:t>
      </w:r>
      <w:r>
        <w:rPr>
          <w:vertAlign w:val="subscript"/>
        </w:rPr>
        <w:t>2</w:t>
      </w:r>
      <w:r>
        <w:t>reduction. Herein, Mn single atoms (SAs) are constructed on the surface of NNSO, which induces spin polarization effect, thus promoting directional transfer of photothermal electrons, and improving electron density of Mn sites and adsorption ability of CO</w:t>
      </w:r>
      <w:r>
        <w:rPr>
          <w:vertAlign w:val="subscript"/>
        </w:rPr>
        <w:t>2</w:t>
      </w:r>
      <w:r>
        <w:t>. Meanwhile, Mn SAs act as new active sites enhancing the adsorption of intermediate</w:t>
      </w:r>
      <w:r>
        <w:t xml:space="preserve"> </w:t>
      </w:r>
      <w:r>
        <w:t>*</w:t>
      </w:r>
      <w:r>
        <w:t xml:space="preserve"> </w:t>
      </w:r>
      <w:r>
        <w:t>CO, thus suppressing CO production, lowering energy barriers of hydrogenation, and changing the reaction path. In addition, the hydrogen overflow energy barriers decrease under the effect of spin polarization, promoting the rapid transfer of active H from Ni atoms to Mn SAs. As a result, the rate of CO</w:t>
      </w:r>
      <w:r>
        <w:rPr>
          <w:vertAlign w:val="subscript"/>
        </w:rPr>
        <w:t>2</w:t>
      </w:r>
      <w:r>
        <w:t>methanation is 195.7 millimoles per gram per hour with near-unity selectivity, and the catalytic activity of 1.0%Mn/NNSO increases by approximately 140 times compared with NNSO. To our knowledge, this is the first study that uses the spin polarization effect to achieve efficient photothermal CO</w:t>
      </w:r>
      <w:r>
        <w:rPr>
          <w:vertAlign w:val="subscript"/>
        </w:rPr>
        <w:t>2</w:t>
      </w:r>
      <w:r>
        <w:t>methanation.</w:t>
      </w:r>
    </w:p>
    <w:p>
      <w:pPr>
        <w:spacing w:before="120" w:after="120"/>
      </w:pPr>
      <w:r>
        <w:rPr>
          <w:sz w:val="18"/>
        </w:rPr>
        <w:t>——————————————————————————————————————————————————————————————————————</w:t>
      </w:r>
    </w:p>
    <w:p>
      <w:pPr>
        <w:spacing w:before="160" w:after="80" w:line="240" w:lineRule="auto"/>
      </w:pPr>
      <w:r>
        <w:rPr>
          <w:b/>
        </w:rPr>
        <w:t xml:space="preserve">[436] </w:t>
      </w:r>
      <w:hyperlink r:id="rId761">
        <w:r>
          <w:rPr>
            <w:color w:val="1155CC"/>
            <w:u w:val="single"/>
          </w:rPr>
          <w:t>Correction for Li et al., Tubular ACSM3 deficiency impairs medium-chain fatty acid metabolism and aggravates kidney fibrosis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62">
        <w:r>
          <w:rPr>
            <w:color w:val="1155CC"/>
            <w:u w:val="single"/>
          </w:rPr>
          <w:t>10.1073/pnas.2536034123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[437] </w:t>
      </w:r>
      <w:hyperlink r:id="rId763">
        <w:r>
          <w:rPr>
            <w:color w:val="1155CC"/>
            <w:u w:val="single"/>
          </w:rPr>
          <w:t>Cotranslational assembly directs the biogenesis of the m6A methyltransferase complex</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64">
        <w:r>
          <w:rPr>
            <w:color w:val="1155CC"/>
            <w:u w:val="single"/>
          </w:rPr>
          <w:t>10.1073/pnas.2517258123</w:t>
        </w:r>
      </w:hyperlink>
    </w:p>
    <w:p>
      <w:pPr>
        <w:spacing w:before="0" w:after="120"/>
      </w:pPr>
      <w:r>
        <w:rPr>
          <w:b/>
        </w:rPr>
        <w:t xml:space="preserve">Notes: </w:t>
      </w:r>
      <w:r>
        <w:t>abstract_source=crossref</w:t>
      </w:r>
    </w:p>
    <w:p>
      <w:pPr>
        <w:spacing w:before="0" w:after="200" w:lineRule="auto" w:line="276"/>
      </w:pPr>
      <w:r>
        <w:rPr>
          <w:b/>
        </w:rPr>
        <w:t xml:space="preserve">Abstract: </w:t>
      </w:r>
      <w:r>
        <w:t>The chemical modification</w:t>
      </w:r>
      <w:r>
        <w:t xml:space="preserve"> </w:t>
      </w:r>
      <w:r>
        <w:t>N</w:t>
      </w:r>
      <w:r>
        <w:rPr>
          <w:vertAlign w:val="subscript"/>
        </w:rPr>
        <w:t>6</w:t>
      </w:r>
      <w:r>
        <w:t>-methyladenosine (m</w:t>
      </w:r>
      <w:r>
        <w:rPr>
          <w:vertAlign w:val="subscript"/>
        </w:rPr>
        <w:t>6</w:t>
      </w:r>
      <w:r>
        <w:t>A) is catalyzed by the m</w:t>
      </w:r>
      <w:r>
        <w:rPr>
          <w:vertAlign w:val="subscript"/>
        </w:rPr>
        <w:t>6</w:t>
      </w:r>
      <w:r>
        <w:t>A methyltransferase complex (MTC) comprising METTL3 and METTL14 in the nucleus. Structural evidence reveals that METTL3 primarily functions as the catalytic core, while METTL14 serves as an RNA-binding scaffold. However, the mechanism directing the complex assembly in vivo remains enigmatic. Here, we demonstrate that MTC is formed by a cotranslational mechanism in which nascent METTL3 interacts with METTL14 polypeptide chain exposed from the ribosome exit tunnel. The methyltransferase domains in the subunits determine the specificity of their cotranslational interaction. In contrast, WTAP, the regulatory subunit of MTC, is recruited to the complex posttranslationally. We further identify CCT4, the key subunit of cytosolic chaperonin TCP-1, as an essential facilitator of the endogenous MTC assembly process. Depletion of CCT4 results in dramatic reduction of METTL3–METTL14 heterodimer formation. Remarkably, we engineer a cell-permeable peptide M14P1, which could disrupt cotranslational assembly of MTC, thereby impairing m</w:t>
      </w:r>
      <w:r>
        <w:rPr>
          <w:vertAlign w:val="subscript"/>
        </w:rPr>
        <w:t>6</w:t>
      </w:r>
      <w:r>
        <w:t>A deposition and significantly attenuating the proliferation of acute myeloid leukemia (AML) cells and promoting apoptosis. Collectively, our findings unravel intrinsic mechanisms governing the in vivo assembly of MTC, and provide a potential therapeutic strategy to disrupt oncogenic m</w:t>
      </w:r>
      <w:r>
        <w:rPr>
          <w:vertAlign w:val="subscript"/>
        </w:rPr>
        <w:t>6</w:t>
      </w:r>
      <w:r>
        <w:t>A pathways and impede AML progression.</w:t>
      </w:r>
    </w:p>
    <w:p>
      <w:pPr>
        <w:spacing w:before="120" w:after="120"/>
      </w:pPr>
      <w:r>
        <w:rPr>
          <w:sz w:val="18"/>
        </w:rPr>
        <w:t>——————————————————————————————————————————————————————————————————————</w:t>
      </w:r>
    </w:p>
    <w:p>
      <w:pPr>
        <w:spacing w:before="160" w:after="80" w:line="240" w:lineRule="auto"/>
      </w:pPr>
      <w:r>
        <w:rPr>
          <w:b/>
        </w:rPr>
        <w:t xml:space="preserve">[438] </w:t>
      </w:r>
      <w:hyperlink r:id="rId765">
        <w:r>
          <w:rPr>
            <w:color w:val="1155CC"/>
            <w:u w:val="single"/>
          </w:rPr>
          <w:t>Peripheral nerve injury reduces macrophage efferocytosis to facilitate neuropathic pain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66">
        <w:r>
          <w:rPr>
            <w:color w:val="1155CC"/>
            <w:u w:val="single"/>
          </w:rPr>
          <w:t>10.1073/pnas.2511401122</w:t>
        </w:r>
      </w:hyperlink>
    </w:p>
    <w:p>
      <w:pPr>
        <w:spacing w:before="0" w:after="120"/>
      </w:pPr>
      <w:r>
        <w:rPr>
          <w:b/>
        </w:rPr>
        <w:t xml:space="preserve">Notes: </w:t>
      </w:r>
      <w:r>
        <w:t>abstract_source=crossref</w:t>
      </w:r>
    </w:p>
    <w:p>
      <w:pPr>
        <w:spacing w:before="0" w:after="200" w:lineRule="auto" w:line="276"/>
      </w:pPr>
      <w:r>
        <w:rPr>
          <w:b/>
        </w:rPr>
        <w:t xml:space="preserve">Abstract: </w:t>
      </w:r>
      <w:r>
        <w:t>For reasons not fully understood, proresolving immune processes sometimes fail to engage after peripheral nerve injury (PNI), leading to enhanced neuropathic pain and inflammation. Here, we implicate reduced efferocytosis due to proteolytic cleavage of surface MER tyrosine kinase (MERTK) from macrophages at the site of PNI. After PNI, the proportion of macrophages expressing MERTK progressively decreased, while soluble (cleaved) MER increased. Using male and female knock-in mice encoding cleavage-resistant</w:t>
      </w:r>
      <w:r>
        <w:t xml:space="preserve"> </w:t>
      </w:r>
      <w:r>
        <w:t>Mertk</w:t>
      </w:r>
      <w:r>
        <w:t xml:space="preserve"> </w:t>
      </w:r>
      <w:r>
        <w:t>, we demonstrated that cleavage of MERTK from macrophages at the PNI site led to exaggerated pain-related behaviors. PNI-induced hyperactivity of TRPV1</w:t>
      </w:r>
      <w:r>
        <w:t xml:space="preserve"> </w:t>
      </w:r>
      <w:r>
        <w:t>+</w:t>
      </w:r>
      <w:r>
        <w:t xml:space="preserve"> </w:t>
      </w:r>
      <w:r>
        <w:t>sensory neurons and damage to myelin and myelinated axons was exacerbated by MERTK cleavage. Cleavage of MERTK led macrophages to adopt a proinflammatory phenotype. It also reduced their efferocytotic capacity, increasing accumulation of TUNEL</w:t>
      </w:r>
      <w:r>
        <w:t xml:space="preserve"> </w:t>
      </w:r>
      <w:r>
        <w:t>+</w:t>
      </w:r>
      <w:r>
        <w:t xml:space="preserve"> </w:t>
      </w:r>
      <w:r>
        <w:t>(apoptotic) and RIPK3</w:t>
      </w:r>
      <w:r>
        <w:t xml:space="preserve"> </w:t>
      </w:r>
      <w:r>
        <w:t>+</w:t>
      </w:r>
      <w:r>
        <w:t xml:space="preserve"> </w:t>
      </w:r>
      <w:r>
        <w:t>(necroptotic) cells at the injury site. The pronociceptive damage-associated molecular patterns (DAMPs) interleukin-33 and heat shock protein-90 were increased, consistent with passive release from uncleared cell corpses. These corpses can also release de novo antigens along with DAMPs to trigger autoimmunity, recently implicated in neuropathic pain through a mechanism involving secretion of immunoglobulin G (IgG). Indeed, MERTK cleavage led to accumulation of IgG at the injury site and dorsal root ganglia. All outcomes were further worsened when</w:t>
      </w:r>
      <w:r>
        <w:t xml:space="preserve"> </w:t>
      </w:r>
      <w:r>
        <w:t>Mertk</w:t>
      </w:r>
      <w:r>
        <w:t xml:space="preserve"> </w:t>
      </w:r>
      <w:r>
        <w:t>was conditionally deleted from macrophages. Our findings identify cleavage of MERTK from macrophages at the injury site as a pivotal regulator of pronociceptive and tissue-damaging neuroimmune signaling after PNI.</w:t>
      </w:r>
    </w:p>
    <w:p>
      <w:pPr>
        <w:spacing w:before="120" w:after="120"/>
      </w:pPr>
      <w:r>
        <w:rPr>
          <w:sz w:val="18"/>
        </w:rPr>
        <w:t>——————————————————————————————————————————————————————————————————————</w:t>
      </w:r>
    </w:p>
    <w:p>
      <w:pPr>
        <w:spacing w:before="160" w:after="80" w:line="240" w:lineRule="auto"/>
      </w:pPr>
      <w:r>
        <w:rPr>
          <w:b/>
        </w:rPr>
        <w:t xml:space="preserve">[439] </w:t>
      </w:r>
      <w:hyperlink r:id="rId767">
        <w:r>
          <w:rPr>
            <w:color w:val="1155CC"/>
            <w:u w:val="single"/>
          </w:rPr>
          <w:t>ZENN: A thermodynamics-inspired computational framework for heterogeneous data–driven modeling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68">
        <w:r>
          <w:rPr>
            <w:color w:val="1155CC"/>
            <w:u w:val="single"/>
          </w:rPr>
          <w:t>10.1073/pnas.2511227122</w:t>
        </w:r>
      </w:hyperlink>
    </w:p>
    <w:p>
      <w:pPr>
        <w:spacing w:before="0" w:after="120"/>
      </w:pPr>
      <w:r>
        <w:rPr>
          <w:b/>
        </w:rPr>
        <w:t xml:space="preserve">Notes: </w:t>
      </w:r>
      <w:r>
        <w:t>abstract_source=crossref</w:t>
      </w:r>
    </w:p>
    <w:p>
      <w:pPr>
        <w:spacing w:before="0" w:after="200" w:lineRule="auto" w:line="276"/>
      </w:pPr>
      <w:r>
        <w:rPr>
          <w:b/>
        </w:rPr>
        <w:t xml:space="preserve">Abstract: </w:t>
      </w:r>
      <w:r>
        <w:t>Traditional entropy-based methods—such as cross-entropy loss in classification problems—have long been essential tools for representing the information uncertainty and physical disorder in data and for developing artificial intelligence algorithms. However, the rapid growth of data across various domains has introduced new challenges, particularly the integration of heterogeneous datasets with intrinsic disparities. To address this, we introduce a zentropy-enhanced neural network (ZENN), extending zentropy theory into the data science domain via intrinsic entropy, enabling more effective learning from heterogeneous data sources. ZENN simultaneously learns both energy and intrinsic entropy components, capturing the underlying structure of multisource data. To support this, we redesign the neural network architecture to better reflect the intrinsic properties and variability inherent in diverse datasets. We demonstrate the effectiveness of ZENN on classification tasks and energy landscape reconstructions, showing its superior generalization capabilities and robustness-particularly in predicting high-order derivatives. In image and text classification tasks, ZENN demonstrates superior generalization by introducing a learnable temperature variable that models latent multisource heterogeneity, allowing it to surpass state-of-the-art models on CIFAR-10/100, BBC News, and AG News. As a practical application in materials science, we employ ZENN to reconstruct the Helmholtz energy landscape of Fe</w:t>
      </w:r>
      <w:r>
        <w:rPr>
          <w:vertAlign w:val="subscript"/>
        </w:rPr>
        <w:t>3</w:t>
      </w:r>
      <w:r>
        <w:t>Pt using data generated from density functional theory and capture key material behaviors, including negative thermal expansion and the critical point in the temperature–pressure space. Overall, this work presents a zentropy-grounded framework for data-driven machine learning, positioning ZENN as a versatile and robust approach for scientific problems involving complex, heterogeneous datasets.</w:t>
      </w:r>
    </w:p>
    <w:p>
      <w:pPr>
        <w:spacing w:before="120" w:after="120"/>
      </w:pPr>
      <w:r>
        <w:rPr>
          <w:sz w:val="18"/>
        </w:rPr>
        <w:t>——————————————————————————————————————————————————————————————————————</w:t>
      </w:r>
    </w:p>
    <w:p>
      <w:pPr>
        <w:spacing w:before="160" w:after="80" w:line="240" w:lineRule="auto"/>
      </w:pPr>
      <w:r>
        <w:rPr>
          <w:b/>
        </w:rPr>
        <w:t xml:space="preserve">[440] </w:t>
      </w:r>
      <w:hyperlink r:id="rId769">
        <w:r>
          <w:rPr>
            <w:color w:val="1155CC"/>
            <w:u w:val="single"/>
          </w:rPr>
          <w:t>Monolayer nanocrystalline graphene synthesized from pyrolyzing a Langmuir monolayer of a polyaromatic hydrocarbon</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70">
        <w:r>
          <w:rPr>
            <w:color w:val="1155CC"/>
            <w:u w:val="single"/>
          </w:rPr>
          <w:t>10.1126/sciadv.adv1856</w:t>
        </w:r>
      </w:hyperlink>
    </w:p>
    <w:p>
      <w:pPr>
        <w:spacing w:before="0" w:after="120"/>
      </w:pPr>
      <w:r>
        <w:rPr>
          <w:b/>
        </w:rPr>
        <w:t xml:space="preserve">Notes: </w:t>
      </w:r>
      <w:r>
        <w:t>abstract_source=crossref</w:t>
      </w:r>
    </w:p>
    <w:p>
      <w:pPr>
        <w:spacing w:before="0" w:after="200" w:lineRule="auto" w:line="276"/>
      </w:pPr>
      <w:r>
        <w:rPr>
          <w:b/>
        </w:rPr>
        <w:t xml:space="preserve">Abstract: </w:t>
      </w:r>
      <w:r>
        <w:t>Bulk carbon materials can be synthesized through the modulation of precursor structures, stacking mode, and the optimization of pyrolysis conditions. The structure of two-dimensional (2D) carbon materials, however, is mainly driven by the pyrolysis temperature, pressure, and organic gas flow rates. Here, we report the synthesis of a centimeter-sized nanocrystalline graphene monolayer from pyrolyzing a Langmuir monolayer of a hexa(terpyridine)hexaphenylbenzene polyaromatic hydrocarbon (PAH) yielding a 2D carbon material with a thickness of 0.36 ± 0.07 nm. By designing the amphiphilic PAHs and reducing intermolecular π-π stacking interactions, a monolayer of horizontally aligned PAH was obtained at the water-air interface. During the pyrolysis, the monolayer served as a molecularly thin solid carbon source, leading to the controlled preparation of an electrically insulating nanocrystalline graphene monolayer. Our work proposes a 2D carbon material formed from the initial assembly of PAH monolayer at the water-air interface and subsequent pyrolysis and offers a modular strategy for designing nanocrystalline 2D films.</w:t>
      </w:r>
    </w:p>
    <w:p>
      <w:pPr>
        <w:spacing w:before="120" w:after="120"/>
      </w:pPr>
      <w:r>
        <w:rPr>
          <w:sz w:val="18"/>
        </w:rPr>
        <w:t>——————————————————————————————————————————————————————————————————————</w:t>
      </w:r>
    </w:p>
    <w:p>
      <w:pPr>
        <w:spacing w:before="160" w:after="80" w:line="240" w:lineRule="auto"/>
      </w:pPr>
      <w:r>
        <w:rPr>
          <w:b/>
        </w:rPr>
        <w:t xml:space="preserve">[441] </w:t>
      </w:r>
      <w:hyperlink r:id="rId771">
        <w:r>
          <w:rPr>
            <w:color w:val="1155CC"/>
            <w:u w:val="single"/>
          </w:rPr>
          <w:t>STING/type I interferon pathway is required for antigen-containing PLGA nanoparticle- and apoptotic cell–induced CD4+ T cell tolerance</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72">
        <w:r>
          <w:rPr>
            <w:color w:val="1155CC"/>
            <w:u w:val="single"/>
          </w:rPr>
          <w:t>10.1126/sciadv.adv8860</w:t>
        </w:r>
      </w:hyperlink>
    </w:p>
    <w:p>
      <w:pPr>
        <w:spacing w:before="0" w:after="120"/>
      </w:pPr>
      <w:r>
        <w:rPr>
          <w:b/>
        </w:rPr>
        <w:t xml:space="preserve">Notes: </w:t>
      </w:r>
      <w:r>
        <w:t>abstract_source=crossref</w:t>
      </w:r>
    </w:p>
    <w:p>
      <w:pPr>
        <w:spacing w:before="0" w:after="200" w:lineRule="auto" w:line="276"/>
      </w:pPr>
      <w:r>
        <w:rPr>
          <w:b/>
        </w:rPr>
        <w:t xml:space="preserve">Abstract: </w:t>
      </w:r>
      <w:r>
        <w:t>Autoreactive CD4</w:t>
      </w:r>
      <w:r>
        <w:t xml:space="preserve"> </w:t>
      </w:r>
      <w:r>
        <w:t>+</w:t>
      </w:r>
      <w:r>
        <w:t xml:space="preserve"> </w:t>
      </w:r>
      <w:r>
        <w:t>T cell infiltration, tissue destruction, and spread epitope–specific CD4</w:t>
      </w:r>
      <w:r>
        <w:t xml:space="preserve"> </w:t>
      </w:r>
      <w:r>
        <w:t>+</w:t>
      </w:r>
      <w:r>
        <w:t xml:space="preserve"> </w:t>
      </w:r>
      <w:r>
        <w:t>T cell activation underly CD4</w:t>
      </w:r>
      <w:r>
        <w:t xml:space="preserve"> </w:t>
      </w:r>
      <w:r>
        <w:t>+</w:t>
      </w:r>
      <w:r>
        <w:t xml:space="preserve"> </w:t>
      </w:r>
      <w:r>
        <w:t>T cell–mediated autoimmune disease pathogenesis. Here, we identify previously unknown pathways required for antigen (Ag)–specific tolerogenic immune-modifying particle/Cour nanoparticle (TIMP/CNP)–induced tolerance. The data show that myeloid cells phagocytose CNPs, undergo apoptosis, and release oxidized DNA [8-hydroxy-2′-deoxyguanosine (8-OHG)]. Subsequently, Ag-specific CNP treatment increases the number of PD-L1</w:t>
      </w:r>
      <w:r>
        <w:t xml:space="preserve"> </w:t>
      </w:r>
      <w:r>
        <w:t>+</w:t>
      </w:r>
      <w:r>
        <w:t xml:space="preserve"> </w:t>
      </w:r>
      <w:r>
        <w:t>cDC2 dendritic cells and the number of FoxP3</w:t>
      </w:r>
      <w:r>
        <w:t xml:space="preserve"> </w:t>
      </w:r>
      <w:r>
        <w:t>+</w:t>
      </w:r>
      <w:r>
        <w:t xml:space="preserve"> </w:t>
      </w:r>
      <w:r>
        <w:t>, CTLA-4</w:t>
      </w:r>
      <w:r>
        <w:t xml:space="preserve"> </w:t>
      </w:r>
      <w:r>
        <w:t>+</w:t>
      </w:r>
      <w:r>
        <w:t xml:space="preserve"> </w:t>
      </w:r>
      <w:r>
        <w:t>, PD-1</w:t>
      </w:r>
      <w:r>
        <w:t xml:space="preserve"> </w:t>
      </w:r>
      <w:r>
        <w:t>+</w:t>
      </w:r>
      <w:r>
        <w:t xml:space="preserve"> </w:t>
      </w:r>
      <w:r>
        <w:t>, and IL-10</w:t>
      </w:r>
      <w:r>
        <w:t xml:space="preserve"> </w:t>
      </w:r>
      <w:r>
        <w:t>+</w:t>
      </w:r>
      <w:r>
        <w:t xml:space="preserve"> </w:t>
      </w:r>
      <w:r>
        <w:t>regulatory CD4</w:t>
      </w:r>
      <w:r>
        <w:t xml:space="preserve"> </w:t>
      </w:r>
      <w:r>
        <w:t>+</w:t>
      </w:r>
      <w:r>
        <w:t xml:space="preserve"> </w:t>
      </w:r>
      <w:r>
        <w:t>T cells via a stimulator of interferon genes (STING)/interferon-α/β receptor (IFNAR)–dependent pathway. In addition, these same pathways were found to be required for both Ag-coupled apoptotic leukocyte–induced and Ag-coupled red blood cell treatment–induced CD4</w:t>
      </w:r>
      <w:r>
        <w:t xml:space="preserve"> </w:t>
      </w:r>
      <w:r>
        <w:t>+</w:t>
      </w:r>
      <w:r>
        <w:t xml:space="preserve"> </w:t>
      </w:r>
      <w:r>
        <w:t>T cell tolerance. Together, these results show that Ag-specific tolerance induced by the presence of apoptotic cells, and by CNP-induced apoptosis, requires the STING/IFNAR pathway, thereby illustrating a previously unknown function of this pathway.</w:t>
      </w:r>
    </w:p>
    <w:p>
      <w:pPr>
        <w:spacing w:before="120" w:after="120"/>
      </w:pPr>
      <w:r>
        <w:rPr>
          <w:sz w:val="18"/>
        </w:rPr>
        <w:t>——————————————————————————————————————————————————————————————————————</w:t>
      </w:r>
    </w:p>
    <w:p>
      <w:pPr>
        <w:spacing w:before="160" w:after="80" w:line="240" w:lineRule="auto"/>
      </w:pPr>
      <w:r>
        <w:rPr>
          <w:b/>
        </w:rPr>
        <w:t xml:space="preserve">[442] </w:t>
      </w:r>
      <w:hyperlink r:id="rId773">
        <w:r>
          <w:rPr>
            <w:color w:val="1155CC"/>
            <w:u w:val="single"/>
          </w:rPr>
          <w:t>Mechanical control of the insect extracellular matrix nanostructure</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74">
        <w:r>
          <w:rPr>
            <w:color w:val="1155CC"/>
            <w:u w:val="single"/>
          </w:rPr>
          <w:t>10.1126/sciadv.adw5022</w:t>
        </w:r>
      </w:hyperlink>
    </w:p>
    <w:p>
      <w:pPr>
        <w:spacing w:before="0" w:after="120"/>
      </w:pPr>
      <w:r>
        <w:rPr>
          <w:b/>
        </w:rPr>
        <w:t xml:space="preserve">Notes: </w:t>
      </w:r>
      <w:r>
        <w:t>abstract_source=crossref</w:t>
      </w:r>
    </w:p>
    <w:p>
      <w:pPr>
        <w:spacing w:before="0" w:after="200" w:lineRule="auto" w:line="276"/>
      </w:pPr>
      <w:r>
        <w:rPr>
          <w:b/>
        </w:rPr>
        <w:t xml:space="preserve">Abstract: </w:t>
      </w:r>
      <w:r>
        <w:t>Nanoscale modifications of apical extracellular matrix (ECM) have created various functional surfaces with distinct physical properties, exemplified by structural coloration and superhydrophobicity in animals and plants. To reveal the mechanisms, we investigated cuticle morphogenesis in</w:t>
      </w:r>
      <w:r>
        <w:t xml:space="preserve"> </w:t>
      </w:r>
      <w:r>
        <w:t>Drosophila</w:t>
      </w:r>
      <w:r>
        <w:t xml:space="preserve"> </w:t>
      </w:r>
      <w:r>
        <w:t>olfactory organs, where hundreds of ~50-nanometer nanopores in the cuticle covering the olfactory neurons permit selective odorant entry. We showed that zona pellucida domain (ZPD) proteins form the cell type–specific ECM compartments before cuticle secretion, and its disruption leads to less and irregularly sized nanopores. The ZPD protein Dusky-like controls the formation of the outermost layer of the cuticle, the envelope. Trynity, Nyobe, Neo, and Morpheyus form matrices with specific mixing and sorting properties, termed “cloud ECM,” which restrict cell growth and movement. This work identifies a previously unidentified role for ZPD proteins as modular units that establish the mechanical environment essential for nanoscale ECM morphogenesis, opening a previously unexplored context for these biomimetically important structures.</w:t>
      </w:r>
    </w:p>
    <w:p>
      <w:pPr>
        <w:spacing w:before="120" w:after="120"/>
      </w:pPr>
      <w:r>
        <w:rPr>
          <w:sz w:val="18"/>
        </w:rPr>
        <w:t>——————————————————————————————————————————————————————————————————————</w:t>
      </w:r>
    </w:p>
    <w:p>
      <w:pPr>
        <w:spacing w:before="160" w:after="80" w:line="240" w:lineRule="auto"/>
      </w:pPr>
      <w:r>
        <w:rPr>
          <w:b/>
        </w:rPr>
        <w:t xml:space="preserve">[443] </w:t>
      </w:r>
      <w:hyperlink r:id="rId775">
        <w:r>
          <w:rPr>
            <w:color w:val="1155CC"/>
            <w:u w:val="single"/>
          </w:rPr>
          <w:t>Dysregulation of a nucleotidyltransferase induces division and surface glycan defects in Escherichia coli by altering related metabolite levels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76">
        <w:r>
          <w:rPr>
            <w:color w:val="1155CC"/>
            <w:u w:val="single"/>
          </w:rPr>
          <w:t>10.1073/pnas.2510285122</w:t>
        </w:r>
      </w:hyperlink>
    </w:p>
    <w:p>
      <w:pPr>
        <w:spacing w:before="0" w:after="120"/>
      </w:pPr>
      <w:r>
        <w:rPr>
          <w:b/>
        </w:rPr>
        <w:t xml:space="preserve">Notes: </w:t>
      </w:r>
      <w:r>
        <w:t>abstract_source=crossref</w:t>
      </w:r>
    </w:p>
    <w:p>
      <w:pPr>
        <w:spacing w:before="0" w:after="200" w:lineRule="auto" w:line="276"/>
      </w:pPr>
      <w:r>
        <w:rPr>
          <w:b/>
        </w:rPr>
        <w:t xml:space="preserve">Abstract: </w:t>
      </w:r>
      <w:r>
        <w:t>The cell surface of gram-negative</w:t>
      </w:r>
      <w:r>
        <w:t xml:space="preserve"> </w:t>
      </w:r>
      <w:r>
        <w:t>Escherichia coli</w:t>
      </w:r>
      <w:r>
        <w:t xml:space="preserve"> </w:t>
      </w:r>
      <w:r>
        <w:t>is rich in glycoconjugates, including O-antigen (O-Ag) and enterobacterial common antigen polysaccharides, which mediate interactions with the environment. Enzymes called nucleotidyltransferases produce nucleoside diphosphate sugars (NDP-sugars), the precursors to these and many other cellular glycans. Across bacteria, glucose-1-phosphate thymidylyltransferases (G1P-Ts) couple deoxythymidine triphosphate (dTTP) and glucose-1-phosphate to produce a key secondary metabolite, deoxythymidine diphosphate-glucose (dTDP-Glc). Flux through many glycan biosynthetic pathways is regulated through feedback inhibition at an allosteric site of the conserved bacterial G1P-T RmlA. Here, we sought to address the cellular consequences of G1P-T dysregulation on metabolic flux and</w:t>
      </w:r>
      <w:r>
        <w:t xml:space="preserve"> </w:t>
      </w:r>
      <w:r>
        <w:t>E. coli</w:t>
      </w:r>
      <w:r>
        <w:t xml:space="preserve"> </w:t>
      </w:r>
      <w:r>
        <w:t>physiology. Expression of a hyperactive RmlA variant in</w:t>
      </w:r>
      <w:r>
        <w:t xml:space="preserve"> </w:t>
      </w:r>
      <w:r>
        <w:t>E. coli</w:t>
      </w:r>
      <w:r>
        <w:t xml:space="preserve"> </w:t>
      </w:r>
      <w:r>
        <w:t>cells lacking native G1P-Ts abrogated growth, induced morphological defects, and increased sensitivity toward cell division inhibitors. These defects were suppressed through nucleotide supplementation, leading to the hypothesis that growth and division defects result from observed depletion of nucleotide pools required for DNA synthesis. Inspection of nucleotide metabolite compositions in</w:t>
      </w:r>
      <w:r>
        <w:t xml:space="preserve"> </w:t>
      </w:r>
      <w:r>
        <w:t>E. coli</w:t>
      </w:r>
      <w:r>
        <w:t xml:space="preserve"> </w:t>
      </w:r>
      <w:r>
        <w:t>lysates carrying mutant G1P-T, however, also indicated increased cellular concentrations of the primary metabolite uridine diphosphate glucose (UDP-Glc), which is known to block cell division. We found that high intracellular levels of UDP-Glc also unexpectedly halt the expression of O-Ag, which reveals that this metabolite is key for coordinating surface glycan biosynthesis and DNA precursor production prior to cell division. Overall, this work highlights the importance of G1P-T regulation and uncovers additional roles of UDP-Glc as a molecular sensor that mediates diverse bacterial biosynthetic processes.</w:t>
      </w:r>
    </w:p>
    <w:p>
      <w:pPr>
        <w:spacing w:before="120" w:after="120"/>
      </w:pPr>
      <w:r>
        <w:rPr>
          <w:sz w:val="18"/>
        </w:rPr>
        <w:t>——————————————————————————————————————————————————————————————————————</w:t>
      </w:r>
    </w:p>
    <w:p>
      <w:pPr>
        <w:spacing w:before="160" w:after="80" w:line="240" w:lineRule="auto"/>
      </w:pPr>
      <w:r>
        <w:rPr>
          <w:b/>
        </w:rPr>
        <w:t xml:space="preserve">[444] </w:t>
      </w:r>
      <w:hyperlink r:id="rId777">
        <w:r>
          <w:rPr>
            <w:color w:val="1155CC"/>
            <w:u w:val="single"/>
          </w:rPr>
          <w:t>Bacteriocin-transport–inspired oral peptide-probiotic delivery ameliorates IBD complications via autophagy and gut homeostasis</w:t>
        </w:r>
      </w:hyperlink>
    </w:p>
    <w:p>
      <w:pPr>
        <w:spacing w:before="0" w:after="120" w:line="240" w:lineRule="auto"/>
      </w:pPr>
      <w:r>
        <w:rPr>
          <w:b/>
        </w:rPr>
        <w:t xml:space="preserve">Source: </w:t>
      </w:r>
      <w:r>
        <w:t>AAAS: Science Advances: Table of Contents</w:t>
      </w:r>
      <w:r>
        <w:t xml:space="preserve">    </w:t>
      </w:r>
      <w:r>
        <w:rPr>
          <w:b/>
        </w:rPr>
        <w:t xml:space="preserve">Pub date: </w:t>
      </w:r>
      <w:r>
        <w:t>2026-01-02 08:00:00+00:00</w:t>
      </w:r>
      <w:r>
        <w:t xml:space="preserve">    </w:t>
      </w:r>
      <w:r>
        <w:rPr>
          <w:b/>
        </w:rPr>
        <w:t xml:space="preserve">DOI: </w:t>
      </w:r>
      <w:hyperlink r:id="rId778">
        <w:r>
          <w:rPr>
            <w:color w:val="1155CC"/>
            <w:u w:val="single"/>
          </w:rPr>
          <w:t>10.1126/sciadv.adz9069</w:t>
        </w:r>
      </w:hyperlink>
    </w:p>
    <w:p>
      <w:pPr>
        <w:spacing w:before="0" w:after="120"/>
      </w:pPr>
      <w:r>
        <w:rPr>
          <w:b/>
        </w:rPr>
        <w:t xml:space="preserve">Notes: </w:t>
      </w:r>
      <w:r>
        <w:t>abstract_source=crossref</w:t>
      </w:r>
    </w:p>
    <w:p>
      <w:pPr>
        <w:spacing w:before="0" w:after="200" w:lineRule="auto" w:line="276"/>
      </w:pPr>
      <w:r>
        <w:rPr>
          <w:b/>
        </w:rPr>
        <w:t xml:space="preserve">Abstract: </w:t>
      </w:r>
      <w:r>
        <w:t>Intestinal fibrosis (IF), a severe complication of inflammatory bowel disease (IBD), remains a critical unmet clinical need. Although the LL37 peptide and probiotics demonstrate therapeutic potential against IF, their clinical translation is hampered by enzymatic hydrolysis and rapid clearance. Here, inspired by the strategy of bacteriocin transport by bacteria (BTB), we developed an orally administered biotherapeutic platform [BTB–alginate (Alg)] featuring an “all-in-one” architecture that enables spatiotemporal coordination of LL37 and probiotics. The BTB-Alg effectively restored intestinal homeostasis through inflammation resolution, immune modulation, and gut microbiota reconstitution. Notably, integrated multiomics analysis and molecular dynamics simulations revealed that LL37 exerts antifibrotic effects by inducing adenosine 5′-monophosphate–activated protein kinase/mammalian target of rapamycin–mediated autophagy, a mechanism validated in clinical specimens. BTB-Alg exhibited potent therapeutic efficacy in three murine models of acute colitis, IBD-associated IF, and</w:t>
      </w:r>
      <w:r>
        <w:t xml:space="preserve"> </w:t>
      </w:r>
      <w:r>
        <w:t>Clostridioides difficile</w:t>
      </w:r>
      <w:r>
        <w:t xml:space="preserve"> </w:t>
      </w:r>
      <w:r>
        <w:t>–complicated colitis, highlighting its potential as an IBD treatment paradigm. This study offers a clinically translatable strategy for broad gastrointestinal applications.</w:t>
      </w:r>
    </w:p>
    <w:p>
      <w:pPr>
        <w:spacing w:before="120" w:after="120"/>
      </w:pPr>
      <w:r>
        <w:rPr>
          <w:sz w:val="18"/>
        </w:rPr>
        <w:t>——————————————————————————————————————————————————————————————————————</w:t>
      </w:r>
    </w:p>
    <w:p>
      <w:pPr>
        <w:spacing w:before="160" w:after="80" w:line="240" w:lineRule="auto"/>
      </w:pPr>
      <w:r>
        <w:rPr>
          <w:b/>
        </w:rPr>
        <w:t xml:space="preserve">[445] </w:t>
      </w:r>
      <w:hyperlink r:id="rId779">
        <w:r>
          <w:rPr>
            <w:color w:val="1155CC"/>
            <w:u w:val="single"/>
          </w:rPr>
          <w:t>Identifying direct risk factors in UK Biobank via simultaneous Bayesian-frequentist model-averaged hypothesis testing using Doublethink</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2026-01-02 08:00:00+00:00</w:t>
      </w:r>
      <w:r>
        <w:t xml:space="preserve">    </w:t>
      </w:r>
      <w:r>
        <w:rPr>
          <w:b/>
        </w:rPr>
        <w:t xml:space="preserve">DOI: </w:t>
      </w:r>
      <w:hyperlink r:id="rId780">
        <w:r>
          <w:rPr>
            <w:color w:val="1155CC"/>
            <w:u w:val="single"/>
          </w:rPr>
          <w:t>10.1073/pnas.2514138122</w:t>
        </w:r>
      </w:hyperlink>
    </w:p>
    <w:p>
      <w:pPr>
        <w:spacing w:before="0" w:after="120"/>
      </w:pPr>
      <w:r>
        <w:rPr>
          <w:b/>
        </w:rPr>
        <w:t xml:space="preserve">Notes: </w:t>
      </w:r>
      <w:r>
        <w:t>abstract_source=crossref</w:t>
      </w:r>
    </w:p>
    <w:p>
      <w:pPr>
        <w:spacing w:before="0" w:after="200" w:lineRule="auto" w:line="276"/>
      </w:pPr>
      <w:r>
        <w:rPr>
          <w:b/>
        </w:rPr>
        <w:t xml:space="preserve">Abstract: </w:t>
      </w:r>
      <w:r>
        <w:t>Big data approaches to discovering nongenetic risk factors have lagged behind genome-wide association studies that routinely uncover novel genetic risk factors for diverse diseases. Instead, epidemiology typically focuses on candidate risk factors. Since modern biobanks contain thousands of potential risk factors, candidate approaches may introduce bias, inadequately control for multiple testing, and overlook important signals. Doublethink, a model-averaged hypothesis testing approach, offers a solution that simultaneously controls the Bayesian false discovery rate (FDR) and frequentist familywise error rate (FWER) while accounting for uncertainty in variable selection. Here, we investigate direct risk factors for COVID-19 hospitalization from among 1,912 variables in 201,917 UK Biobank participants by implementing a Doublethink-based exposome-wide association study using Markov Chain Monte Carlo. Focusing on the 2020 outbreak, we find nine individual variables and seven groups of variables exposome-wide significant at 9% FDR and 0.05% FWER. We identify significant direct effects among relatively overlooked risk factors including aging, dementia, and prior infection, which we evaluate in relation to studies of other populations. We detect significant direct effects among some commonly reported risk factors like age, sex, and obesity, but not others like cardiovascular disease. The effects of hypertension, depression, and diabetes appeared to be mediated via general comorbidity. Doublethink produces interchangeable posterior odds and</w:t>
      </w:r>
      <w:r>
        <w:t xml:space="preserve"> </w:t>
      </w:r>
      <w:r>
        <w:t>P</w:t>
      </w:r>
      <w:r>
        <w:t xml:space="preserve"> </w:t>
      </w:r>
      <w:r>
        <w:t>-values for individual variables and arbitrary groups, facilitating flexible and powerful post hoc hypothesis testing. We discuss the potential for impact and limitations of joint Bayesian-frequentist hypothesis testing, including the benefits of an agnostic exposome-wide approach to discovery.</w:t>
      </w:r>
    </w:p>
    <w:p>
      <w:pPr>
        <w:spacing w:before="120" w:after="120"/>
      </w:pPr>
      <w:r>
        <w:rPr>
          <w:sz w:val="18"/>
        </w:rPr>
        <w:t>——————————————————————————————————————————————————————————————————————</w:t>
      </w:r>
    </w:p>
    <w:p>
      <w:pPr>
        <w:spacing w:before="160" w:after="80" w:line="240" w:lineRule="auto"/>
      </w:pPr>
      <w:r>
        <w:rPr>
          <w:b/>
        </w:rPr>
        <w:t xml:space="preserve">[446] </w:t>
      </w:r>
      <w:hyperlink r:id="rId781">
        <w:r>
          <w:rPr>
            <w:color w:val="1155CC"/>
            <w:u w:val="single"/>
          </w:rPr>
          <w:t>[ASAP] Thiol-Regulated Rhodium Nanocatalyst for Electrochemical Reductive Perdeuteration of Alkenes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09:40:01+00:00</w:t>
      </w:r>
      <w:r>
        <w:t xml:space="preserve">    </w:t>
      </w:r>
      <w:r>
        <w:rPr>
          <w:b/>
        </w:rPr>
        <w:t xml:space="preserve">DOI: </w:t>
      </w:r>
      <w:hyperlink r:id="rId782">
        <w:r>
          <w:rPr>
            <w:color w:val="1155CC"/>
            <w:u w:val="single"/>
          </w:rPr>
          <w:t>10.1021/jacs.5c19410</w:t>
        </w:r>
      </w:hyperlink>
    </w:p>
    <w:p>
      <w:pPr>
        <w:spacing w:before="0" w:after="120"/>
      </w:pPr>
      <w:r>
        <w:rPr>
          <w:b/>
        </w:rPr>
        <w:t xml:space="preserve">Notes: </w:t>
      </w:r>
      <w:r>
        <w:t>abstract_source=pubmed</w:t>
      </w:r>
    </w:p>
    <w:p>
      <w:pPr>
        <w:spacing w:before="0" w:after="200" w:lineRule="auto" w:line="276"/>
      </w:pPr>
      <w:r>
        <w:rPr>
          <w:b/>
        </w:rPr>
        <w:t xml:space="preserve">Abstract: </w:t>
      </w:r>
      <w:r>
        <w:t>Perdeuterated compounds are essential in various fields, including the development of deuterated pharmaceuticals and stable isotope-labeled internal standards (SIL-IS). The reductive perdeuteration of alkenes offers an economical and efficient method to obtain alkanes with multiple deuterium atoms. Despite progress in heterogeneous catalytic reductive deuteration of alkenes, the perdeuteration analogue remains elusive, mainly due to difficulties in generating controllable surface-active deuterium species, which are necessary for efficient and selective labeling. Herein, we present an electrochemical strategy for the reductive perdeuteration of alkenes using Rh nanoparticles and D2O as the deuterium source. Thioalcohol serves as a crucial additive that modifies Rh nanoparticles, enhancing deuterium incorporation from 2 to 5 D atoms per molecule. Mechanistic studies reveal that thioalcohol functions as a sulfur anion coordinating with the nanoparticles during the reaction, suppressing reductive deuteration while significantly improving both the H-D exchange between Rh-D and alkenes, and the regeneration of Rh-D from Rh-H and D2O. This method demonstrates high site-selectivity for both aryl and alkyl alkenes, and is broadly effective with alkenes of varying electronic character. The strategy can be readily applied to the synthesis of deuterated pharmaceuticals, typically yielding products with over 4.0 deuterium atoms per molecule, thus providing a rapid and cost-effective pathway for practical SIL-IS applications.</w:t>
      </w:r>
    </w:p>
    <w:p>
      <w:pPr>
        <w:spacing w:before="120" w:after="120"/>
      </w:pPr>
      <w:r>
        <w:rPr>
          <w:sz w:val="18"/>
        </w:rPr>
        <w:t>——————————————————————————————————————————————————————————————————————</w:t>
      </w:r>
    </w:p>
    <w:p>
      <w:pPr>
        <w:spacing w:before="160" w:after="80" w:line="240" w:lineRule="auto"/>
      </w:pPr>
      <w:r>
        <w:rPr>
          <w:b/>
        </w:rPr>
        <w:t xml:space="preserve">[447] </w:t>
      </w:r>
      <w:hyperlink r:id="rId783">
        <w:r>
          <w:rPr>
            <w:color w:val="1155CC"/>
            <w:u w:val="single"/>
          </w:rPr>
          <w:t>Decoding Interfacial Charge‐Carrier Dynamics in Integrated Perovskite/Organic Solar Cells via Numerical Modeling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2026-01-02 11:36:39+00:00</w:t>
      </w:r>
      <w:r>
        <w:t xml:space="preserve">    </w:t>
      </w:r>
      <w:r>
        <w:rPr>
          <w:b/>
        </w:rPr>
        <w:t xml:space="preserve">DOI: </w:t>
      </w:r>
      <w:hyperlink r:id="rId784">
        <w:r>
          <w:rPr>
            <w:color w:val="1155CC"/>
            <w:u w:val="single"/>
          </w:rPr>
          <w:t>10.1002/aenm.202504060</w:t>
        </w:r>
      </w:hyperlink>
    </w:p>
    <w:p>
      <w:pPr>
        <w:spacing w:before="0" w:after="120"/>
      </w:pPr>
      <w:r>
        <w:rPr>
          <w:b/>
        </w:rPr>
        <w:t xml:space="preserve">Notes: </w:t>
      </w:r>
      <w:r>
        <w:t>abstract_source=crossref</w:t>
      </w:r>
    </w:p>
    <w:p>
      <w:pPr>
        <w:spacing w:before="0" w:after="200" w:lineRule="auto" w:line="276"/>
      </w:pPr>
      <w:r>
        <w:rPr>
          <w:b/>
        </w:rPr>
        <w:t xml:space="preserve">Abstract: </w:t>
      </w:r>
      <w:r>
        <w:t>Integrated perovskite/organic solar cells (I‐POSCs), which combine narrow‐bandgap organic absorbers with single‐junction perovskite cells, offer a new strategy for extending light absorption while maintaining the high open‐circuit voltage inherent to perovskites. Despite significant progress, I‐POSC efficiency is constrained by complex interfacial charge‐carrier dynamics at the perovskite/organic interface. A comprehensive theoretical framework based on drift‐diffusion simulations is developed to investigate charge‐carrier processes at the perovskite/organic interface. This stepwise analysis establishes critical links between carrier transport phenomena and device performance metrics. While Type‐II perovskite/organic alignment promotes photocurrent generation through efficient current extraction, and reverse Type‐II alignment preserves photovoltage via beneficial quasi‐Fermi level bending, the fill factor becomes the dominant performance‐limiting factor in the Type‐I transition regime due to moderate energetic barriers. Bimolecular recombination within the organic bulk heterojunction is identified as the primary loss mechanism in current I‐POSC devices, as opposed to interfacial trap‐assisted recombination. Suppressing this recombination channel can lead to substantial performance improvements. Further predictions indicate that the ideal performance of I‐POSCs remains confined within the detailed‐balance limits of the single‐junction OSC subcell. This work provides a unified physical understanding of the unusual behaviors in I‐POSCs and offers the I‐POSC community clear insights into their true potential.</w:t>
      </w:r>
    </w:p>
    <w:p>
      <w:pPr>
        <w:spacing w:before="120" w:after="120"/>
      </w:pPr>
      <w:r>
        <w:rPr>
          <w:sz w:val="18"/>
        </w:rPr>
        <w:t>——————————————————————————————————————————————————————————————————————</w:t>
      </w:r>
    </w:p>
    <w:p>
      <w:pPr>
        <w:spacing w:before="160" w:after="80" w:line="240" w:lineRule="auto"/>
      </w:pPr>
      <w:r>
        <w:rPr>
          <w:b/>
        </w:rPr>
        <w:t xml:space="preserve">[448] </w:t>
      </w:r>
      <w:hyperlink r:id="rId785">
        <w:r>
          <w:rPr>
            <w:color w:val="1155CC"/>
            <w:u w:val="single"/>
          </w:rPr>
          <w:t>[ASAP] Design and Development of DNA Damage Chemical Inducers of Proximity for Targeted Cancer Therapy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12:34:23+00:00</w:t>
      </w:r>
      <w:r>
        <w:t xml:space="preserve">    </w:t>
      </w:r>
      <w:r>
        <w:rPr>
          <w:b/>
        </w:rPr>
        <w:t xml:space="preserve">DOI: </w:t>
      </w:r>
      <w:hyperlink r:id="rId786">
        <w:r>
          <w:rPr>
            <w:color w:val="1155CC"/>
            <w:u w:val="single"/>
          </w:rPr>
          <w:t>10.1021/jacs.5c17396</w:t>
        </w:r>
      </w:hyperlink>
    </w:p>
    <w:p>
      <w:pPr>
        <w:spacing w:before="0" w:after="120"/>
      </w:pPr>
      <w:r>
        <w:rPr>
          <w:b/>
        </w:rPr>
        <w:t xml:space="preserve">Notes: </w:t>
      </w:r>
      <w:r>
        <w:t>abstract_source=pubmed</w:t>
      </w:r>
    </w:p>
    <w:p>
      <w:pPr>
        <w:spacing w:before="0" w:after="200" w:lineRule="auto" w:line="276"/>
      </w:pPr>
      <w:r>
        <w:rPr>
          <w:b/>
        </w:rPr>
        <w:t xml:space="preserve">Abstract: </w:t>
      </w:r>
      <w:r>
        <w:t>Many chemotherapies are effective against cancers that display high levels of genome instability by disrupting or overwhelming the DNA damage response (DDR) to induce cell death. PARP inhibitors (PARPi) exploit this vulnerability by stalling DNA repair, particularly in homologous recombination-deficient cancer cells. Although PARPi are now used to treat BRCA1/2-mutated cancers such as ovarian and breast cancers, they are still limited to a narrow range of clinical indications and are susceptible to acquired resistance. Here, we introduce "DNA damage chemical inducers of proximity" (DD-CIPs), bivalent molecules that rewire the mechanism of action of conventional PARPi. The DD-CIPs function through chemically induced proximity between PARP1/2 and the chromatin remodeling protein, BRD4. From a candidate library of DD-CIPs, we identified DD-CIP1, which induces the DDR and apoptosis in cancer cells at two-digit nanomolar concentrations. Further optimization yielded DD-CIP2, which induces tumor cell death at nanomolar concentrations across diverse blood and solid cancer cells, including cancer types that are insensitive to PARPi. Using small-cell lung cancer (SCLC) as a model, we found that DD-CIP2 triggers DDR, cell cycle arrest, and apoptosis in vitro, leading to antitumor efficacy without substantial toxicity in preclinical SCLC xenograft models at well-tolerated doses. Our findings demonstrate that DD-CIPs may provide an opportunity to address the limitations of traditional PARPi and establish chemical-induced proximity as a strategy for modulating the DDR in cancer.</w:t>
      </w:r>
    </w:p>
    <w:p>
      <w:pPr>
        <w:spacing w:before="120" w:after="120"/>
      </w:pPr>
      <w:r>
        <w:rPr>
          <w:sz w:val="18"/>
        </w:rPr>
        <w:t>——————————————————————————————————————————————————————————————————————</w:t>
      </w:r>
    </w:p>
    <w:p>
      <w:pPr>
        <w:spacing w:before="160" w:after="80" w:line="240" w:lineRule="auto"/>
      </w:pPr>
      <w:r>
        <w:rPr>
          <w:b/>
        </w:rPr>
        <w:t xml:space="preserve">[449] </w:t>
      </w:r>
      <w:hyperlink r:id="rId787">
        <w:r>
          <w:rPr>
            <w:color w:val="1155CC"/>
            <w:u w:val="single"/>
          </w:rPr>
          <w:t>[ASAP] Fused-Ring Electron Acceptors as a Versatile Additive Platform for Efficient Perovskite Photovoltaics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12:42:44+00:00</w:t>
      </w:r>
      <w:r>
        <w:t xml:space="preserve">    </w:t>
      </w:r>
      <w:r>
        <w:rPr>
          <w:b/>
        </w:rPr>
        <w:t xml:space="preserve">DOI: </w:t>
      </w:r>
      <w:hyperlink r:id="rId788">
        <w:r>
          <w:rPr>
            <w:color w:val="1155CC"/>
            <w:u w:val="single"/>
          </w:rPr>
          <w:t>10.1021/jacs.5c16976</w:t>
        </w:r>
      </w:hyperlink>
    </w:p>
    <w:p>
      <w:pPr>
        <w:spacing w:before="0" w:after="120"/>
      </w:pPr>
      <w:r>
        <w:rPr>
          <w:b/>
        </w:rPr>
        <w:t xml:space="preserve">Notes: </w:t>
      </w:r>
      <w:r>
        <w:t>abstract_source=pubmed</w:t>
      </w:r>
    </w:p>
    <w:p>
      <w:pPr>
        <w:spacing w:before="0" w:after="200" w:lineRule="auto" w:line="276"/>
      </w:pPr>
      <w:r>
        <w:rPr>
          <w:b/>
        </w:rPr>
        <w:t xml:space="preserve">Abstract: </w:t>
      </w:r>
      <w:r>
        <w:t>Various additives with rich chemical properties have been used to control crystal growth and passivate defects to boost the efficiency of perovskite solar cells (PSCs). However, the poor reproducibility between different research groups deteriorates the reliability of high-performance PSCs due to the "super" diversity of reported additives and lack of a reliable molecular design platform for versatile additives. Here, we present a general and rational additive design based on fused-ring electron acceptors (FREAs) to construct reproducible and efficient PSCs. The FREAs that we pioneered are a well-established molecular design platform with advantages in facile structural tailoring and property modulation, while the wide applicability and reproducibility of the FREAs have been confirmed worldwide in the organic photovoltaics community. Through building block design of the FREAs we reveal that the energy level alignment can be modulated by tailoring the FREA main chain to facilitate charge transport in perovskite films, while the wrinkled morphology with proper lattice strain can be induced by designing the FREA side chain to suppress ion migration for improved device stability. With optimized design, a champion efficiency of 26.66% (26.35% certified) was achieved by a new FREA additive, with dramatically improved stability of less than 8% efficiency loss after 2150 h of continuous operation under 1 sun illumination.</w:t>
      </w:r>
    </w:p>
    <w:p>
      <w:pPr>
        <w:spacing w:before="120" w:after="120"/>
      </w:pPr>
      <w:r>
        <w:rPr>
          <w:sz w:val="18"/>
        </w:rPr>
        <w:t>——————————————————————————————————————————————————————————————————————</w:t>
      </w:r>
    </w:p>
    <w:p>
      <w:pPr>
        <w:spacing w:before="160" w:after="80" w:line="240" w:lineRule="auto"/>
      </w:pPr>
      <w:r>
        <w:rPr>
          <w:b/>
        </w:rPr>
        <w:t xml:space="preserve">[450] </w:t>
      </w:r>
      <w:hyperlink r:id="rId789">
        <w:r>
          <w:rPr>
            <w:color w:val="1155CC"/>
            <w:u w:val="single"/>
          </w:rPr>
          <w:t>[ASAP] Disulfide-Directed Multicyclic Peptides for Chimeric Antigen Receptors Targeting Solid Tumors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13:00:06+00:00</w:t>
      </w:r>
      <w:r>
        <w:t xml:space="preserve">    </w:t>
      </w:r>
      <w:r>
        <w:rPr>
          <w:b/>
        </w:rPr>
        <w:t xml:space="preserve">DOI: </w:t>
      </w:r>
      <w:hyperlink r:id="rId790">
        <w:r>
          <w:rPr>
            <w:color w:val="1155CC"/>
            <w:u w:val="single"/>
          </w:rPr>
          <w:t>10.1021/jacs.5c13642</w:t>
        </w:r>
      </w:hyperlink>
    </w:p>
    <w:p>
      <w:pPr>
        <w:spacing w:before="0" w:after="120"/>
      </w:pPr>
      <w:r>
        <w:rPr>
          <w:b/>
        </w:rPr>
        <w:t xml:space="preserve">Notes: </w:t>
      </w:r>
      <w:r>
        <w:t>abstract_source=pubmed</w:t>
      </w:r>
    </w:p>
    <w:p>
      <w:pPr>
        <w:spacing w:before="0" w:after="200" w:lineRule="auto" w:line="276"/>
      </w:pPr>
      <w:r>
        <w:rPr>
          <w:b/>
        </w:rPr>
        <w:t xml:space="preserve">Abstract: </w:t>
      </w:r>
      <w:r>
        <w:t>The clinical application of chimeric antigen receptor (CAR) T cell therapy in solid tumors remains limited due to significant safety concerns, particularly "on-target, off-tumor" toxicity and cytokine release syndrome (CRS). Here, we describe a class of CARs that employ disulfide-directed multicyclic peptides (DDMPs) as compact antigen-recognition domains targeting the tumor-associated antigens HER2 and TROP2. DDMP-based CAR T cells exhibited antigen density-dependent cytotoxicity in vitro and in vivo, efficiently eliminating cells with high antigen expression while sparing cells with low antigen levels, thereby mitigating on-target, off-tumor toxicity. In addition, DDMP-based CAR T cells secreted markedly lower levels of pro-inflammatory cytokines upon targeted killing, reducing CRS risk. Mechanistic analyses revealed that this favorable combination of restrained cytokine release and density-gated killing is associated with distinct T cell signaling pathway engagement and reduced cell avidity relative to conventional single-chain variable fragment (scFv)-based CAR T cells. Collectively, these findings establish DDMP-based CARs as a promising framework for engineering safer, yet efficacious, CAR T therapies for solid tumors.</w:t>
      </w:r>
    </w:p>
    <w:p>
      <w:pPr>
        <w:spacing w:before="120" w:after="120"/>
      </w:pPr>
      <w:r>
        <w:rPr>
          <w:sz w:val="18"/>
        </w:rPr>
        <w:t>——————————————————————————————————————————————————————————————————————</w:t>
      </w:r>
    </w:p>
    <w:p>
      <w:pPr>
        <w:spacing w:before="160" w:after="80" w:line="240" w:lineRule="auto"/>
      </w:pPr>
      <w:r>
        <w:rPr>
          <w:b/>
        </w:rPr>
        <w:t xml:space="preserve">[451] </w:t>
      </w:r>
      <w:hyperlink r:id="rId791">
        <w:r>
          <w:rPr>
            <w:color w:val="1155CC"/>
            <w:u w:val="single"/>
          </w:rPr>
          <w:t>[ASAP] Quantitative Membrane Paramagnetic Relaxation Enhancement (mPRE) Measurements on Lipid-Anchored Proteins: Insight into Orientational Dynamics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13:08:37+00:00</w:t>
      </w:r>
      <w:r>
        <w:t xml:space="preserve">    </w:t>
      </w:r>
      <w:r>
        <w:rPr>
          <w:b/>
        </w:rPr>
        <w:t xml:space="preserve">DOI: </w:t>
      </w:r>
      <w:hyperlink r:id="rId792">
        <w:r>
          <w:rPr>
            <w:color w:val="1155CC"/>
            <w:u w:val="single"/>
          </w:rPr>
          <w:t>10.1021/jacs.5c18374</w:t>
        </w:r>
      </w:hyperlink>
    </w:p>
    <w:p>
      <w:pPr>
        <w:spacing w:before="0" w:after="120"/>
      </w:pPr>
      <w:r>
        <w:rPr>
          <w:b/>
        </w:rPr>
        <w:t xml:space="preserve">Notes: </w:t>
      </w:r>
      <w:r>
        <w:t>abstract_source=pubmed</w:t>
      </w:r>
    </w:p>
    <w:p>
      <w:pPr>
        <w:spacing w:before="0" w:after="200" w:lineRule="auto" w:line="276"/>
      </w:pPr>
      <w:r>
        <w:rPr>
          <w:b/>
        </w:rPr>
        <w:t xml:space="preserve">Abstract: </w:t>
      </w:r>
      <w:r>
        <w:t>The function of many lipid-anchored eukaryotic proteins critically depends on their specific orientations relative to the membranes, which can block key active centers or binding interfaces. A precise mapping of these orientational landscapes is therefore vital for elucidating/understanding protein function, yet it remains technically challenging. Although membrane paramagnetic relaxation enhancement (mPRE) NMR spectroscopy can, in principle, map membrane-protein interfaces, the apparent observables can be drastically distorted for irreversibly lipid-anchored proteins. Here, we overcome this limitation by developing a tunable lipidation strategy using synthetic alk-1-en-3-one reagents. We demonstrate that conjugating undec-1-en-3-one to target proteins creates an effective anchor that establishes the fast-exchange equilibrium required for accurate mPRE measurements, restoring the theoretical dependence between apparent Γ2 rates and interspin distances. We validated this approach with a ubiquitin-based model system and then applied it to quantify the orientational dynamics of the oncoproteins KRas4B and HRas. A comparative analysis of the orientational ensembles constructed with artifact-free mPRE data reveals that the negatively charged POPS influences KRas4B orientations indirectly by constraining its C-terminal polybasic region, reshaping the landscape in favor of signaling-compatible orientations. Furthermore, we find that HRas on the neutral POPC bilayers adopts an orientational distribution strikingly similar to KRas4B on anionic, but not neutral, membranes, suggesting a functionally essential orientational convergence. This work establishes a generalizable method for quantifying membrane orientations of lipidated proteins, providing new insights into Ras regulation and opening the door to studying many previously intractable lipid-anchored systems.</w:t>
      </w:r>
    </w:p>
    <w:p>
      <w:pPr>
        <w:spacing w:before="120" w:after="120"/>
      </w:pPr>
      <w:r>
        <w:rPr>
          <w:sz w:val="18"/>
        </w:rPr>
        <w:t>——————————————————————————————————————————————————————————————————————</w:t>
      </w:r>
    </w:p>
    <w:p>
      <w:pPr>
        <w:spacing w:before="160" w:after="80" w:line="240" w:lineRule="auto"/>
      </w:pPr>
      <w:r>
        <w:rPr>
          <w:b/>
        </w:rPr>
        <w:t xml:space="preserve">[452] </w:t>
      </w:r>
      <w:hyperlink r:id="rId793">
        <w:r>
          <w:rPr>
            <w:color w:val="1155CC"/>
            <w:u w:val="single"/>
          </w:rPr>
          <w:t>[ASAP] Multilayered Alternating Cations Intercalation Perovskite Single Crystals with Strong π–π Interactions Unlock nW-Level Weak-Light Detection and Imaging</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2026-01-02 13:17:16+00:00</w:t>
      </w:r>
      <w:r>
        <w:t xml:space="preserve">    </w:t>
      </w:r>
      <w:r>
        <w:rPr>
          <w:b/>
        </w:rPr>
        <w:t xml:space="preserve">DOI: </w:t>
      </w:r>
      <w:hyperlink r:id="rId794">
        <w:r>
          <w:rPr>
            <w:color w:val="1155CC"/>
            <w:u w:val="single"/>
          </w:rPr>
          <w:t>10.1021/acsenergylett.5c03609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[453] </w:t>
      </w:r>
      <w:hyperlink r:id="rId795">
        <w:r>
          <w:rPr>
            <w:color w:val="1155CC"/>
            <w:u w:val="single"/>
          </w:rPr>
          <w:t>[ASAP] Caging the Chlorine Radical: Chemoselective Photocatalytic C(sp3)–H Functionalization Enabled by Terminal Cu–Cl Sites in a Metal–Organic Framework</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13:22:29+00:00</w:t>
      </w:r>
      <w:r>
        <w:t xml:space="preserve">    </w:t>
      </w:r>
      <w:r>
        <w:rPr>
          <w:b/>
        </w:rPr>
        <w:t xml:space="preserve">DOI: </w:t>
      </w:r>
      <w:hyperlink r:id="rId796">
        <w:r>
          <w:rPr>
            <w:color w:val="1155CC"/>
            <w:u w:val="single"/>
          </w:rPr>
          <w:t>10.1021/jacs.5c18222</w:t>
        </w:r>
      </w:hyperlink>
    </w:p>
    <w:p>
      <w:pPr>
        <w:spacing w:before="0" w:after="120"/>
      </w:pPr>
      <w:r>
        <w:rPr>
          <w:b/>
        </w:rPr>
        <w:t xml:space="preserve">Notes: </w:t>
      </w:r>
      <w:r>
        <w:t>abstract_source=pubmed</w:t>
      </w:r>
    </w:p>
    <w:p>
      <w:pPr>
        <w:spacing w:before="0" w:after="200" w:lineRule="auto" w:line="276"/>
      </w:pPr>
      <w:r>
        <w:rPr>
          <w:b/>
        </w:rPr>
        <w:t xml:space="preserve">Abstract: </w:t>
      </w:r>
      <w:r>
        <w:t>Hydrogen atom transfer (HAT) mediated by halogen radicals represents a powerful approach for the functionalization of inert C(sp3)-H bonds. Chlorine radical (Cl•), for example, is capable of generating carbon-centered radicals by abstracting strong C-H bonds (H-Cl bond dissociation energy = 103 kcal/mol). However, the chemoselectivity of these transformations typically suffers due to the high reactivity of Cl•. Herein, we disclose a novel strategy employing a metal-organic framework (MOF) to tame Cl• and effect the selective alkylation of C(sp3)-H bonds. Under light irradiation, MIT20-LiCl─an anionic Cu(II) MOF containing terminal Cu-Cl sites─undergoes ligand-to-metal charge transfer (LMCT) to generate a Cl•-like species that acts as an HAT mediator. MIT20-LiCl is a superior C(sp3)-H alkylation catalyst compared to soluble CuCl2 and allows for the chemoselective alkylation of alcohols without overoxidation. We further demonstrate that this protocol can be used to facilitate C(sp3)-H alkylation of ethers, amines, alcohols, and benzylic sites with broad functional group tolerance. Mechanistic experiments and density functional theory (DFT) calculations support that the framework effectively attenuates the reactivity of Cl• generated within its pores. Further, the heterogeneous MOF catalyst can be easily recycled and used in consecutive reactions without a loss in yield, making it a promising platform for sustainable C(sp3)-H functionalization.</w:t>
      </w:r>
    </w:p>
    <w:p>
      <w:pPr>
        <w:spacing w:before="120" w:after="120"/>
      </w:pPr>
      <w:r>
        <w:rPr>
          <w:sz w:val="18"/>
        </w:rPr>
        <w:t>——————————————————————————————————————————————————————————————————————</w:t>
      </w:r>
    </w:p>
    <w:p>
      <w:pPr>
        <w:spacing w:before="160" w:after="80" w:line="240" w:lineRule="auto"/>
      </w:pPr>
      <w:r>
        <w:rPr>
          <w:b/>
        </w:rPr>
        <w:t xml:space="preserve">[454] </w:t>
      </w:r>
      <w:hyperlink r:id="rId797">
        <w:r>
          <w:rPr>
            <w:color w:val="1155CC"/>
            <w:u w:val="single"/>
          </w:rPr>
          <w:t>[ASAP] Tracing Lithophilic Sites: In Situ Nanovisualization of Their Migration and Degradation in All-Solid-State Lithium Batteries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13:23:31+00:00</w:t>
      </w:r>
      <w:r>
        <w:t xml:space="preserve">    </w:t>
      </w:r>
      <w:r>
        <w:rPr>
          <w:b/>
        </w:rPr>
        <w:t xml:space="preserve">DOI: </w:t>
      </w:r>
      <w:hyperlink r:id="rId798">
        <w:r>
          <w:rPr>
            <w:color w:val="1155CC"/>
            <w:u w:val="single"/>
          </w:rPr>
          <w:t>10.1021/jacs.5c19144</w:t>
        </w:r>
      </w:hyperlink>
    </w:p>
    <w:p>
      <w:pPr>
        <w:spacing w:before="0" w:after="120"/>
      </w:pPr>
      <w:r>
        <w:rPr>
          <w:b/>
        </w:rPr>
        <w:t xml:space="preserve">Notes: </w:t>
      </w:r>
      <w:r>
        <w:t>abstract_source=pubmed</w:t>
      </w:r>
    </w:p>
    <w:p>
      <w:pPr>
        <w:spacing w:before="0" w:after="200" w:lineRule="auto" w:line="276"/>
      </w:pPr>
      <w:r>
        <w:rPr>
          <w:b/>
        </w:rPr>
        <w:t xml:space="preserve">Abstract: </w:t>
      </w:r>
      <w:r>
        <w:t>The location of lithium (Li) deposition sites and the subsequent dynamic evolution at the solid-state electrolyte (SSE)-Li anode interface critically influence the performance of all-solid-state batteries. Nevertheless, the nanoscale mechanisms governing these processes remain poorly understood, primarily due to the challenges involved in real-time nanoscale observation of buried interfaces. Here, we employ in situ electrochemical atomic force microscopy to directly visualize the interfacial evolution mediated by lithiophilic layers, revealing two distinct degradation pathways associated with on-site formed solid electrolyte interphase (SEI). In situ images show that the Au layer forms Li-Au intermetallic alloy during plating, guiding spherical Li deposition atop it and minimizing Li-SSE contact. This slows SSE decomposition, resulting in an inert, Li2S/Li2O-rich SEI that induces Li redeposition onto SEI-free regions during subsequent cycles; The Ag layer forms Li-Ag solid solution that maintains direct contact with SSE during plating, which promotes SSE decomposition and leads to the formation of lithiophilic, Ag2S-dominated SEI. Interfacial pore formation during stripping causes Li redeposition to be preferentially localized within SEI-rich, pore-free regions. Both lithiophilic evolution pathways cause progressive SEI accumulation and loss of interfacial lithiophilicity during cycling. Inserting an Au interlayer between Ag and SSE can mitigate SSE decomposition, prevent lithiophilic sites migration, thus improving cycling performance. This study reveals the fundamental interfacial degradation mechanisms and offers design strategies for stable Li metal anodes in solid-state batteries.</w:t>
      </w:r>
    </w:p>
    <w:p>
      <w:pPr>
        <w:spacing w:before="120" w:after="120"/>
      </w:pPr>
      <w:r>
        <w:rPr>
          <w:sz w:val="18"/>
        </w:rPr>
        <w:t>——————————————————————————————————————————————————————————————————————</w:t>
      </w:r>
    </w:p>
    <w:p>
      <w:pPr>
        <w:spacing w:before="160" w:after="80" w:line="240" w:lineRule="auto"/>
      </w:pPr>
      <w:r>
        <w:rPr>
          <w:b/>
        </w:rPr>
        <w:t xml:space="preserve">[455] </w:t>
      </w:r>
      <w:hyperlink r:id="rId799">
        <w:r>
          <w:rPr>
            <w:color w:val="1155CC"/>
            <w:u w:val="single"/>
          </w:rPr>
          <w:t>[ASAP] Ionomers: Behind-the-Scenes Influencer Determining the Performance of Membrane Electrode Assemblies in PEM Fuel Cells/Electrolyzers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2026-01-02 13:24:03+00:00</w:t>
      </w:r>
      <w:r>
        <w:t xml:space="preserve">    </w:t>
      </w:r>
      <w:r>
        <w:rPr>
          <w:b/>
        </w:rPr>
        <w:t xml:space="preserve">DOI: </w:t>
      </w:r>
      <w:hyperlink r:id="rId800">
        <w:r>
          <w:rPr>
            <w:color w:val="1155CC"/>
            <w:u w:val="single"/>
          </w:rPr>
          <w:t>10.1021/acsenergylett.5c04013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[456] </w:t>
      </w:r>
      <w:hyperlink r:id="rId801">
        <w:r>
          <w:rPr>
            <w:color w:val="1155CC"/>
            <w:u w:val="single"/>
          </w:rPr>
          <w:t>[ASAP] Enhanced Thermopower in Single-Fullerene Junctions via Interface Engineering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13:37:30+00:00</w:t>
      </w:r>
      <w:r>
        <w:t xml:space="preserve">    </w:t>
      </w:r>
      <w:r>
        <w:rPr>
          <w:b/>
        </w:rPr>
        <w:t xml:space="preserve">DOI: </w:t>
      </w:r>
      <w:hyperlink r:id="rId802">
        <w:r>
          <w:rPr>
            <w:color w:val="1155CC"/>
            <w:u w:val="single"/>
          </w:rPr>
          <w:t>10.1021/jacs.5c17958</w:t>
        </w:r>
      </w:hyperlink>
    </w:p>
    <w:p>
      <w:pPr>
        <w:spacing w:before="0" w:after="120"/>
      </w:pPr>
      <w:r>
        <w:rPr>
          <w:b/>
        </w:rPr>
        <w:t xml:space="preserve">Notes: </w:t>
      </w:r>
      <w:r>
        <w:t>abstract_source=pubmed</w:t>
      </w:r>
    </w:p>
    <w:p>
      <w:pPr>
        <w:spacing w:before="0" w:after="200" w:lineRule="auto" w:line="276"/>
      </w:pPr>
      <w:r>
        <w:rPr>
          <w:b/>
        </w:rPr>
        <w:t xml:space="preserve">Abstract: </w:t>
      </w:r>
      <w:r>
        <w:t>Fullerenes are promising thermoelectric candidates due to their unique electronic structure with small and multiple energy levels, and their single-molecule thermoelectric devices demonstrated significantly higher thermopowers than those of conventional organic systems. However, the interface engineering of the fullerene-electrode remains unexplored due to the experimental challenges in controlling the interfacial coupling at the single-molecule scale. Here, we investigate the thermopower properties of three fullerene derivatives Sc2C2@Cs(10528)-C72, Sc2C2@C3v-C82, and C2(3)-C82 in single-molecule junctions with different electrode configurations, including gold-fullerene-gold (Au-Au), asymmetric gold-fullerene-graphene (Au-Gr), and graphene-fullerene-graphene (Gr-Gr), using scanning tunneling microscope break-junction (STM-BJ) techniques. We find that the Seebeck coefficient increases consistently from Au-Au to Au-Gr to Gr-Gr junctions for all three fullerene molecules, in agreement with theoretical predictions. Notably, a Seebeck coefficient of -61.34 μV/K is achieved in graphene-Sc2C2@C82-graphene single-molecule junctions, the highest value reported to date for single-fullerene junctions. Our findings establish interface engineering as an effective pathway for improving the thermoelectric performance of single-molecule devices.</w:t>
      </w:r>
    </w:p>
    <w:p>
      <w:pPr>
        <w:spacing w:before="120" w:after="120"/>
      </w:pPr>
      <w:r>
        <w:rPr>
          <w:sz w:val="18"/>
        </w:rPr>
        <w:t>——————————————————————————————————————————————————————————————————————</w:t>
      </w:r>
    </w:p>
    <w:p>
      <w:pPr>
        <w:spacing w:before="160" w:after="80" w:line="240" w:lineRule="auto"/>
      </w:pPr>
      <w:r>
        <w:rPr>
          <w:b/>
        </w:rPr>
        <w:t xml:space="preserve">[457] </w:t>
      </w:r>
      <w:hyperlink r:id="rId803">
        <w:r>
          <w:rPr>
            <w:color w:val="1155CC"/>
            <w:u w:val="single"/>
          </w:rPr>
          <w:t>[ASAP] Operando HERFD-XAS of Bimetallic Perovskite Thin Film Interfaces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13:51:25+00:00</w:t>
      </w:r>
      <w:r>
        <w:t xml:space="preserve">    </w:t>
      </w:r>
      <w:r>
        <w:rPr>
          <w:b/>
        </w:rPr>
        <w:t xml:space="preserve">DOI: </w:t>
      </w:r>
      <w:hyperlink r:id="rId804">
        <w:r>
          <w:rPr>
            <w:color w:val="1155CC"/>
            <w:u w:val="single"/>
          </w:rPr>
          <w:t>10.1021/jacs.5c14062</w:t>
        </w:r>
      </w:hyperlink>
    </w:p>
    <w:p>
      <w:pPr>
        <w:spacing w:before="0" w:after="120"/>
      </w:pPr>
      <w:r>
        <w:rPr>
          <w:b/>
        </w:rPr>
        <w:t xml:space="preserve">Notes: </w:t>
      </w:r>
      <w:r>
        <w:t>abstract_source=pubmed</w:t>
      </w:r>
    </w:p>
    <w:p>
      <w:pPr>
        <w:spacing w:before="0" w:after="200" w:lineRule="auto" w:line="276"/>
      </w:pPr>
      <w:r>
        <w:rPr>
          <w:b/>
        </w:rPr>
        <w:t xml:space="preserve">Abstract: </w:t>
      </w:r>
      <w:r>
        <w:t>We investigated the valence dynamics of thin films during the electrocatalytic oxygen evolution reaction using operando high-energy-resolution fluorescence-detected (HERFD) X-ray absorption spectroscopy (XAS) in a 0.1 M KOH solution under an applied potential. We show that it is possible to measure the 10 unit cell (∼4 nm) bimetallic perovskite oxide La2CoMnO6 thin film grown on Pt-covered SiNx membranes. Operando Co and Mn K-edge HERFD XAS spectra on the active surface species were recorded from the backside of the SiNx membrane. The HERFD XAS Co K-edge spectra reveal a (partial) increase in the oxidation state from Co2+ in ex situ conditions to mainly Co3+ in the solid-liquid open-circuit voltage (OCV). Voltage-dependent Co K-edge HERFD XAS white line intensities show that Co is oxidized toward the higher oxidation state, while Mn remains Mn4+. Interestingly, the Co and Mn main edge shifts with the average valence change of 0.20; the valence of Mn is constant, implying that the valence of Co increases by 0.40. The OCV spectra were reversible when switching off the potentials. These observations clearly identify element-specific valence dynamics in the intrinsic oxygen evolution reaction.</w:t>
      </w:r>
    </w:p>
    <w:p>
      <w:pPr>
        <w:spacing w:before="120" w:after="120"/>
      </w:pPr>
      <w:r>
        <w:rPr>
          <w:sz w:val="18"/>
        </w:rPr>
        <w:t>——————————————————————————————————————————————————————————————————————</w:t>
      </w:r>
    </w:p>
    <w:p>
      <w:pPr>
        <w:spacing w:before="160" w:after="80" w:line="240" w:lineRule="auto"/>
      </w:pPr>
      <w:r>
        <w:rPr>
          <w:b/>
        </w:rPr>
        <w:t xml:space="preserve">[458] </w:t>
      </w:r>
      <w:hyperlink r:id="rId805">
        <w:r>
          <w:rPr>
            <w:color w:val="1155CC"/>
            <w:u w:val="single"/>
          </w:rPr>
          <w:t>[ASAP] Mapping the Undirected Borylation of C(sp3)–H Bonds in Strained Rings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13:54:45+00:00</w:t>
      </w:r>
      <w:r>
        <w:t xml:space="preserve">    </w:t>
      </w:r>
      <w:r>
        <w:rPr>
          <w:b/>
        </w:rPr>
        <w:t xml:space="preserve">DOI: </w:t>
      </w:r>
      <w:hyperlink r:id="rId806">
        <w:r>
          <w:rPr>
            <w:color w:val="1155CC"/>
            <w:u w:val="single"/>
          </w:rPr>
          <w:t>10.1021/jacs.5c18839</w:t>
        </w:r>
      </w:hyperlink>
    </w:p>
    <w:p>
      <w:pPr>
        <w:spacing w:before="0" w:after="120"/>
      </w:pPr>
      <w:r>
        <w:rPr>
          <w:b/>
        </w:rPr>
        <w:t xml:space="preserve">Notes: </w:t>
      </w:r>
      <w:r>
        <w:t>abstract_source=pubmed</w:t>
      </w:r>
    </w:p>
    <w:p>
      <w:pPr>
        <w:spacing w:before="0" w:after="200" w:lineRule="auto" w:line="276"/>
      </w:pPr>
      <w:r>
        <w:rPr>
          <w:b/>
        </w:rPr>
        <w:t xml:space="preserve">Abstract: </w:t>
      </w:r>
      <w:r>
        <w:t>Aliphatic small saturated carbocycles and azacycles are increasingly used as bioisosteres and structural cores in medicinally active compounds due to the beneficial pharmacological and physicochemical properties they can impart. Therefore, a need exists to modify these motifs and to install groups that enable their incorporation into organic structures; these goals can be accomplished by introducing functional groups at the position of the C-H bonds on the rings. However, functionalization of secondary C-H bonds in strained rings, such as cyclopropanes and cyclobutanes, confronts several challenges, including the greater strength of these bonds than those in unstrained rings. Although catalytic, undirected borylation has been reported to functionalize the C-H bonds of selected strained rings, the examples of such reactions in earlier studies are limited in scope, principally involving rings with a small number and size of substituents. We report the borylation of fused, spirocyclic, and polysubstituted cyclopropanes, cyclobutanes, azetidines, and β-lactams with high diastereoselectivity with the most recent generation of catalysts for the borylation of alkyl C-H bonds. Important for the formation of more complex structures, reactions occur, unlike reactions of larger rings, with steric hindrance on adjacent carbon atoms. The stoichiometry of the diboron reagent, the s-character of the C-H bond, and the disposition of substituents influence reactivity and product distribution in ways charted by our results. With these advances, the borylation of C-H bonds becomes a viable approach for the modification and incorporation of these ring systems into pharmaceutically active structures.</w:t>
      </w:r>
    </w:p>
    <w:p>
      <w:pPr>
        <w:spacing w:before="120" w:after="120"/>
      </w:pPr>
      <w:r>
        <w:rPr>
          <w:sz w:val="18"/>
        </w:rPr>
        <w:t>——————————————————————————————————————————————————————————————————————</w:t>
      </w:r>
    </w:p>
    <w:p>
      <w:pPr>
        <w:spacing w:before="160" w:after="80" w:line="240" w:lineRule="auto"/>
      </w:pPr>
      <w:r>
        <w:rPr>
          <w:b/>
        </w:rPr>
        <w:t xml:space="preserve">[459] </w:t>
      </w:r>
      <w:hyperlink r:id="rId807">
        <w:r>
          <w:rPr>
            <w:color w:val="1155CC"/>
            <w:u w:val="single"/>
          </w:rPr>
          <w:t>[ASAP] Helical Polymers: From Precise Synthesis to Structures and Functions</w:t>
        </w:r>
      </w:hyperlink>
    </w:p>
    <w:p>
      <w:pPr>
        <w:spacing w:before="0" w:after="120" w:line="240" w:lineRule="auto"/>
      </w:pPr>
      <w:r>
        <w:rPr>
          <w:b/>
        </w:rPr>
        <w:t xml:space="preserve">Source: </w:t>
      </w:r>
      <w:r>
        <w:t>Chemical Reviews: Latest Articles (ACS Publications)</w:t>
      </w:r>
      <w:r>
        <w:t xml:space="preserve">    </w:t>
      </w:r>
      <w:r>
        <w:rPr>
          <w:b/>
        </w:rPr>
        <w:t xml:space="preserve">Pub date: </w:t>
      </w:r>
      <w:r>
        <w:t>2026-01-02 13:56:55+00:00</w:t>
      </w:r>
      <w:r>
        <w:t xml:space="preserve">    </w:t>
      </w:r>
      <w:r>
        <w:rPr>
          <w:b/>
        </w:rPr>
        <w:t xml:space="preserve">DOI: </w:t>
      </w:r>
      <w:hyperlink r:id="rId808">
        <w:r>
          <w:rPr>
            <w:color w:val="1155CC"/>
            <w:u w:val="single"/>
          </w:rPr>
          <w:t>10.1021/acs.chemrev.5c00540</w:t>
        </w:r>
      </w:hyperlink>
    </w:p>
    <w:p>
      <w:pPr>
        <w:spacing w:before="0" w:after="120"/>
      </w:pPr>
      <w:r>
        <w:rPr>
          <w:b/>
        </w:rPr>
        <w:t xml:space="preserve">Notes: </w:t>
      </w:r>
      <w:r>
        <w:t>abstract_source=pubmed</w:t>
      </w:r>
    </w:p>
    <w:p>
      <w:pPr>
        <w:spacing w:before="0" w:after="200" w:lineRule="auto" w:line="276"/>
      </w:pPr>
      <w:r>
        <w:rPr>
          <w:b/>
        </w:rPr>
        <w:t xml:space="preserve">Abstract: </w:t>
      </w:r>
      <w:r>
        <w:t>Helices are ubiquitous in Nature and play indispensable roles in biological systems. A helix with an excess of one-handed helicity can be optically active because left- and right-handed helices are nonsuperimposable enantiomers. Stimulated by natural helices and their broad applications as chiral materials, artificial helical polymers have long been a hot research topic. Here, we describe recent advances in the controlled synthesis, structures, and functions of artificial helical polymers over the past decades. The main topics of this review include the controlled synthesis of one-handed static helical polymers through asymmetric polymerization and helix-sense-selective polymerization strategies and the precise fabrication of one-handed preferred dynamic helices via helix induction and memory. The remarkable progress in the applications of helical polymers in enantiomer separation, asymmetric catalysis, chiral self-assembly, and circularly polarized luminescence is then systematically summarized. Finally, the remaining challenges and future perspectives in the research areas of artificial helical polymers and related chiral materials are discussed.</w:t>
      </w:r>
    </w:p>
    <w:p>
      <w:pPr>
        <w:spacing w:before="120" w:after="120"/>
      </w:pPr>
      <w:r>
        <w:rPr>
          <w:sz w:val="18"/>
        </w:rPr>
        <w:t>——————————————————————————————————————————————————————————————————————</w:t>
      </w:r>
    </w:p>
    <w:p>
      <w:pPr>
        <w:spacing w:before="160" w:after="80" w:line="240" w:lineRule="auto"/>
      </w:pPr>
      <w:r>
        <w:rPr>
          <w:b/>
        </w:rPr>
        <w:t xml:space="preserve">[460] </w:t>
      </w:r>
      <w:hyperlink r:id="rId809">
        <w:r>
          <w:rPr>
            <w:color w:val="1155CC"/>
            <w:u w:val="single"/>
          </w:rPr>
          <w:t>[ASAP] Triazacoronene-Driven Synthesis and Assembly of Two-Dimensional Vinylene-Linked Covalent Organic Frameworks Tuned with Conformational Rotation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14:16:49+00:00</w:t>
      </w:r>
      <w:r>
        <w:t xml:space="preserve">    </w:t>
      </w:r>
      <w:r>
        <w:rPr>
          <w:b/>
        </w:rPr>
        <w:t xml:space="preserve">DOI: </w:t>
      </w:r>
      <w:hyperlink r:id="rId810">
        <w:r>
          <w:rPr>
            <w:color w:val="1155CC"/>
            <w:u w:val="single"/>
          </w:rPr>
          <w:t>10.1021/jacs.5c17080</w:t>
        </w:r>
      </w:hyperlink>
    </w:p>
    <w:p>
      <w:pPr>
        <w:spacing w:before="0" w:after="120"/>
      </w:pPr>
      <w:r>
        <w:rPr>
          <w:b/>
        </w:rPr>
        <w:t xml:space="preserve">Notes: </w:t>
      </w:r>
      <w:r>
        <w:t>abstract_source=pubmed</w:t>
      </w:r>
    </w:p>
    <w:p>
      <w:pPr>
        <w:spacing w:before="0" w:after="200" w:lineRule="auto" w:line="276"/>
      </w:pPr>
      <w:r>
        <w:rPr>
          <w:b/>
        </w:rPr>
        <w:t xml:space="preserve">Abstract: </w:t>
      </w:r>
      <w:r>
        <w:t>The layer stacking of two-dimensional (2D) vinylene-linked covalent organic frameworks can create different topologies and some unexpected properties but is still less explored rather than well-tuned. Here, trimethyl triazacoronene was newly developed as a tritopic monomer. Three pyridine nitrogen atoms evenly embedded at its molecular periphery endow it with not only a noncentrosymmetrically dense-sparse alternating distribution of electron cloud but also a strong electron-deficient character. It enables smooth Knoevenagel condensation with 1,4-phenyl- or 4,4'-diphenyl dialdehyde in the presence of benzoic acid to form two 2D COFs. One of them comprising phenyl nodes shows the less steric interactions between vinylene linkages with the aromatic units in each layer, where all building blocks tend to show an in-plane arrangement under the π-conjugated effect, and the layers could be periodically offset and stacked in a staggered AB mode upon the through-space polar interactions between the interlayer triazacoronene vertexes. For the other COF, its biphenyl nodes favorably adopt a twisted conformation, which could exert an interlocked effect for constraining the slip offset of the layers and result in an eclipsed AA assembly upon the interlayer π-π stacking interaction. These assemblies were confirmed by well-defined powder X-ray diffraction patterns and low-dose imaging in transmission electron microscopy. Moreover, the photophysical properties and photocatalytic activities of as-prepared COFs were fully investigated, which are highly in correlation with their in-plane and stacking structures. These findings provided an efficient strategy for fine-modulating the interlayer alignments of 2D materials with improved properties/functions.</w:t>
      </w:r>
    </w:p>
    <w:p>
      <w:pPr>
        <w:spacing w:before="120" w:after="120"/>
      </w:pPr>
      <w:r>
        <w:rPr>
          <w:sz w:val="18"/>
        </w:rPr>
        <w:t>——————————————————————————————————————————————————————————————————————</w:t>
      </w:r>
    </w:p>
    <w:p>
      <w:pPr>
        <w:spacing w:before="160" w:after="80" w:line="240" w:lineRule="auto"/>
      </w:pPr>
      <w:r>
        <w:rPr>
          <w:b/>
        </w:rPr>
        <w:t xml:space="preserve">[461] </w:t>
      </w:r>
      <w:hyperlink r:id="rId811">
        <w:r>
          <w:rPr>
            <w:color w:val="1155CC"/>
            <w:u w:val="single"/>
          </w:rPr>
          <w:t>[ASAP] Highly Acidic Second Coordination Spheres Promote In Situ Formation of Iron Phlorins Exhibiting Fast and Selective CO2 Reduction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14:48:34+00:00</w:t>
      </w:r>
      <w:r>
        <w:t xml:space="preserve">    </w:t>
      </w:r>
      <w:r>
        <w:rPr>
          <w:b/>
        </w:rPr>
        <w:t xml:space="preserve">DOI: </w:t>
      </w:r>
      <w:hyperlink r:id="rId812">
        <w:r>
          <w:rPr>
            <w:color w:val="1155CC"/>
            <w:u w:val="single"/>
          </w:rPr>
          <w:t>10.1021/jacs.5c16378</w:t>
        </w:r>
      </w:hyperlink>
    </w:p>
    <w:p>
      <w:pPr>
        <w:spacing w:before="0" w:after="120"/>
      </w:pPr>
      <w:r>
        <w:rPr>
          <w:b/>
        </w:rPr>
        <w:t xml:space="preserve">Notes: </w:t>
      </w:r>
      <w:r>
        <w:t>abstract_source=pubmed</w:t>
      </w:r>
    </w:p>
    <w:p>
      <w:pPr>
        <w:spacing w:before="0" w:after="200" w:lineRule="auto" w:line="276"/>
      </w:pPr>
      <w:r>
        <w:rPr>
          <w:b/>
        </w:rPr>
        <w:t xml:space="preserve">Abstract: </w:t>
      </w:r>
      <w:r>
        <w:t>Protic functional groups in the secondary coordination sphere (SCS) can lower reaction barriers for reductive electrocatalytic transformations by directing proton transfer from an exogenous acid to a bound substrate. In a recent report with iron tetraphenylporphyrin (Fe-TPP) catalysts bearing SCS amides, we found that pairing a more acidic SCS with a more acidic exogenous phenol acid provides the fastest kinetics for CO2 reduction to CO. Expanding on this precedent, we report a new series of Fe-TPP catalysts bearing highly acidic SCS thioamides (pKas of 17.5 ± 0.1 to 18.7 ± 0.1 in MeCN) and describe their catalytic activity in the presence of exogenous benzoic acid. Despite the uncommonly acidic conditions, we observe the selective 2e-/2H+ reduction of CO2 to CO with minimal competitive H2 evolution or porphyrin decomposition. Decreases in SCS pKa continue to provide significant rate enhancements, and the catalyst bearing the most acidic thioamide displays kinetics (log(kcat) = 8.65 ± 0.09) that are comparable to those of the leading molecular systems. Cyclic voltammetry, UV-visible spectroelectrochemistry, kinetic analysis, and density functional theory show that the highly acidic SCS thioamide groups change catalyst speciation by promoting in situ protonation of the reduced iron porphyrin to form an iron phlorin. This iron phlorin is reduced to form a highly active and selective catalyst for CO2 reduction that operates at more positive potentials compared with traditional Fe-TPP catalysts. This work therefore reveals a new role for the SCS in promoting beneficial changes to catalyst speciation and motivates further investigation of reduced metalloporphyrinoids.</w:t>
      </w:r>
    </w:p>
    <w:p>
      <w:pPr>
        <w:spacing w:before="120" w:after="120"/>
      </w:pPr>
      <w:r>
        <w:rPr>
          <w:sz w:val="18"/>
        </w:rPr>
        <w:t>——————————————————————————————————————————————————————————————————————</w:t>
      </w:r>
    </w:p>
    <w:p>
      <w:pPr>
        <w:spacing w:before="160" w:after="80" w:line="240" w:lineRule="auto"/>
      </w:pPr>
      <w:r>
        <w:rPr>
          <w:b/>
        </w:rPr>
        <w:t xml:space="preserve">[462] </w:t>
      </w:r>
      <w:hyperlink r:id="rId813">
        <w:r>
          <w:rPr>
            <w:color w:val="1155CC"/>
            <w:u w:val="single"/>
          </w:rPr>
          <w:t>[ASAP] Using Mechanochemistry to Activate Poly(vinyl chloride) as a Mechanotunable Brønsted-Acid-Releasing Reagent for Organic Synthesis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15:21:51+00:00</w:t>
      </w:r>
      <w:r>
        <w:t xml:space="preserve">    </w:t>
      </w:r>
      <w:r>
        <w:rPr>
          <w:b/>
        </w:rPr>
        <w:t xml:space="preserve">DOI: </w:t>
      </w:r>
      <w:hyperlink r:id="rId814">
        <w:r>
          <w:rPr>
            <w:color w:val="1155CC"/>
            <w:u w:val="single"/>
          </w:rPr>
          <w:t>10.1021/jacs.5c20376</w:t>
        </w:r>
      </w:hyperlink>
    </w:p>
    <w:p>
      <w:pPr>
        <w:spacing w:before="0" w:after="120"/>
      </w:pPr>
      <w:r>
        <w:rPr>
          <w:b/>
        </w:rPr>
        <w:t xml:space="preserve">Notes: </w:t>
      </w:r>
      <w:r>
        <w:t>abstract_source=pubmed</w:t>
      </w:r>
    </w:p>
    <w:p>
      <w:pPr>
        <w:spacing w:before="0" w:after="200" w:lineRule="auto" w:line="276"/>
      </w:pPr>
      <w:r>
        <w:rPr>
          <w:b/>
        </w:rPr>
        <w:t xml:space="preserve">Abstract: </w:t>
      </w:r>
      <w:r>
        <w:t>Mechanical force has the potential to activate thermodynamically and chemically stable molecules, enabling unique reactions to proceed with lower activation energies compared to those of conventional thermal activation pathways. However, the practical utility of such force-driven transformations in synthetic chemistry remains to be demonstrated. In this study, we developed a mechanochemical strategy for the facile activation of poly(vinyl chloride) (PVC), a stable plastic material, as a convenient and practical hydrochloric acid (HCl)-releasing reagent. Although HCl can be generated from PVC via thermal decomposition processes, elevated temperatures (&gt;250 °C) are required, which restrict their practical applications in chemical synthesis. In contrast, our mechanochemical approach leverages the mechanical energy generated via ball milling to induce the homolytic cleavage of the polymer chains, producing HCl under mild conditions. Preliminary calculations support that our proposed force-induced mechanoradical-related mechanism generates HCl with lower activation energies than thermal activation. Inspired by this finding, we demonstrate the applicability of PVC as a mechanotunable Brønsted-acid-releasing reagent to facilitate direct SN1-type substitution reactions of allylic and benzylic alcohols with electron-rich (hetero)aromatics, amines, and alcohols as nucleophiles under mild, solvent-free, and moisture-tolerant mechanochemical conditions. Moreover, these reactions proceeded efficiently using PVC-based plastic waste, such as PVC tubing. Beyond the immediate utility of this protocol, this work can be expected to inspire the development of mechanochemical approaches to activate stable, abundant commodity plastic materials for their valorization as chemical reagents in the synthesis of high-value molecules.</w:t>
      </w:r>
    </w:p>
    <w:p>
      <w:pPr>
        <w:spacing w:before="120" w:after="120"/>
      </w:pPr>
      <w:r>
        <w:rPr>
          <w:sz w:val="18"/>
        </w:rPr>
        <w:t>——————————————————————————————————————————————————————————————————————</w:t>
      </w:r>
    </w:p>
    <w:p>
      <w:pPr>
        <w:spacing w:before="160" w:after="80" w:line="240" w:lineRule="auto"/>
      </w:pPr>
      <w:r>
        <w:rPr>
          <w:b/>
        </w:rPr>
        <w:t xml:space="preserve">[463] </w:t>
      </w:r>
      <w:hyperlink r:id="rId815">
        <w:r>
          <w:rPr>
            <w:color w:val="1155CC"/>
            <w:u w:val="single"/>
          </w:rPr>
          <w:t>[ASAP] Rational Terminal Engineering Enabled Vulnerable Exocyclic-Vinyl-Free Nonfullerene Acceptors for Sensitive and Durable Near-Infrared Organic Photodetectors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15:22:31+00:00</w:t>
      </w:r>
      <w:r>
        <w:t xml:space="preserve">    </w:t>
      </w:r>
      <w:r>
        <w:rPr>
          <w:b/>
        </w:rPr>
        <w:t xml:space="preserve">DOI: </w:t>
      </w:r>
      <w:hyperlink r:id="rId816">
        <w:r>
          <w:rPr>
            <w:color w:val="1155CC"/>
            <w:u w:val="single"/>
          </w:rPr>
          <w:t>10.1021/jacs.5c17476</w:t>
        </w:r>
      </w:hyperlink>
    </w:p>
    <w:p>
      <w:pPr>
        <w:spacing w:before="0" w:after="120"/>
      </w:pPr>
      <w:r>
        <w:rPr>
          <w:b/>
        </w:rPr>
        <w:t xml:space="preserve">Notes: </w:t>
      </w:r>
      <w:r>
        <w:t>abstract_source=pubmed</w:t>
      </w:r>
    </w:p>
    <w:p>
      <w:pPr>
        <w:spacing w:before="0" w:after="200" w:lineRule="auto" w:line="276"/>
      </w:pPr>
      <w:r>
        <w:rPr>
          <w:b/>
        </w:rPr>
        <w:t xml:space="preserve">Abstract: </w:t>
      </w:r>
      <w:r>
        <w:t>The advancement of acceptor-donor-acceptor (A-D-A)-type nonfullerene acceptors (NFAs) has significantly enhanced the near-infrared organic photodetector (NIR OPD) performance. However, structural instability arising from vulnerable exocyclic vinyl bridges between donor (D) and acceptor (A) units remains a critical challenge for both material and device durability. Herein, we break this bottleneck through a pioneering terminal engineering strategy and present the judicious design and synthesis of novel electron-withdrawing 2-(2-bromo-3-cyano-8H-indeno[2,1-b]thiophen-8-ylidene)malononitrile (ITC2H) toward exocyclic-vinyl-free NFAs. Compared with the classical NFA (BTP-IC2H), the ITC2H-flanked derivative BTP-ITC2H exhibits not only enhanced chemical/photostability but also improved crystallinity, broadened and red-shifted absorption spectrum, optimized miscibility with polymer donor, and reduced reorganization energy. These synergistic advantages yield an optimized nanomorphology with suppressed trap states and favorable charge transport dynamics. The resulting self-powered OPD achieves a dark current density (Jd) of 3.3 × 10-11 A cm-2 and noise-limited specific detectivity (D*sh) surpassing 1013 Jones across 310-910 nm, coupled with a linear dynamic range (LDR) of 141 dB and superior thermal stability. The generality of this design paradigm is demonstrated by extending ITC2H to its halogenated analogues, enabling response extension to 1300 nm with a Jd of 3.87 × 10-11 A cm-2 and D*sh approaching 1013 Jones even at 1200 nm, underscoring their versatility for diverse applications. The molecular engineering paradigm in this work provides critical insights into structure-stability-performance relationships, advancing the development of robust and efficient organic optoelectronics for practical implementation.</w:t>
      </w:r>
    </w:p>
    <w:p>
      <w:pPr>
        <w:spacing w:before="120" w:after="120"/>
      </w:pPr>
      <w:r>
        <w:rPr>
          <w:sz w:val="18"/>
        </w:rPr>
        <w:t>——————————————————————————————————————————————————————————————————————</w:t>
      </w:r>
    </w:p>
    <w:p>
      <w:pPr>
        <w:spacing w:before="160" w:after="80" w:line="240" w:lineRule="auto"/>
      </w:pPr>
      <w:r>
        <w:rPr>
          <w:b/>
        </w:rPr>
        <w:t xml:space="preserve">[464] </w:t>
      </w:r>
      <w:hyperlink r:id="rId817">
        <w:r>
          <w:rPr>
            <w:color w:val="1155CC"/>
            <w:u w:val="single"/>
          </w:rPr>
          <w:t>[ASAP] Revisiting the Structural Limitations of Layered Oxide Cathodes for Reversible Lithium-Ion Storage</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2026-01-02 15:24:17+00:00</w:t>
      </w:r>
      <w:r>
        <w:t xml:space="preserve">    </w:t>
      </w:r>
      <w:r>
        <w:rPr>
          <w:b/>
        </w:rPr>
        <w:t xml:space="preserve">DOI: </w:t>
      </w:r>
      <w:hyperlink r:id="rId818">
        <w:r>
          <w:rPr>
            <w:color w:val="1155CC"/>
            <w:u w:val="single"/>
          </w:rPr>
          <w:t>10.1021/acsenergylett.5c03519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[465] </w:t>
      </w:r>
      <w:hyperlink r:id="rId819">
        <w:r>
          <w:rPr>
            <w:color w:val="1155CC"/>
            <w:u w:val="single"/>
          </w:rPr>
          <w:t>[ASAP] Polymeric Lysosome-Targeting Chimeras (PolyTACs): Extracellular Targeted Protein Degradation without Co-Opting Lysosome-Targeting Receptors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15:55:49+00:00</w:t>
      </w:r>
      <w:r>
        <w:t xml:space="preserve">    </w:t>
      </w:r>
      <w:r>
        <w:rPr>
          <w:b/>
        </w:rPr>
        <w:t xml:space="preserve">DOI: </w:t>
      </w:r>
      <w:hyperlink r:id="rId820">
        <w:r>
          <w:rPr>
            <w:color w:val="1155CC"/>
            <w:u w:val="single"/>
          </w:rPr>
          <w:t>10.1021/jacs.5c17519</w:t>
        </w:r>
      </w:hyperlink>
    </w:p>
    <w:p>
      <w:pPr>
        <w:spacing w:before="0" w:after="120"/>
      </w:pPr>
      <w:r>
        <w:rPr>
          <w:b/>
        </w:rPr>
        <w:t xml:space="preserve">Notes: </w:t>
      </w:r>
      <w:r>
        <w:t>abstract_source=pubmed</w:t>
      </w:r>
    </w:p>
    <w:p>
      <w:pPr>
        <w:spacing w:before="0" w:after="200" w:lineRule="auto" w:line="276"/>
      </w:pPr>
      <w:r>
        <w:rPr>
          <w:b/>
        </w:rPr>
        <w:t xml:space="preserve">Abstract: </w:t>
      </w:r>
      <w:r>
        <w:t>Extracellular targeted protein degradation (eTPD) is an emerging modality to regulate protein levels without genomic interruption. Current strategies co-opt lysosome-targeting receptors (LTRs) that are ubiquitously present in most cells, offering a high success rate of eTPD across cell types and tissues. To circumvent on-target, off-site protein degradation, exploring alternative strategies is becoming a main focus to advance conventional platforms. Until now, many efforts have been focused on developing degraders by repurposing the surface receptors with intrinsically internalizing function. Yet, exploring novel access to eTPD would introduce an arguably nimble molecular design paradigm that opens up new opportunities in many diseases without such receptor availability. Opening up the binding complementarity requirement from LTRs to any overexpressed cell surface receptor offers to endow eTPD platforms with new cellular targeting capabilities. Here, we report polymeric lysosome-targeting chimeras (PolyTACs), a polymer-antibody conjugate based platform for the targeted degradation of membrane-bound and soluble proteins without the need for involving LTRs. Mechanistic investigations suggest a nonclassical uptake pathway caused by the multivalent interactions between the PolyTACs and the overexpressed functionalities on the cell surface. The utility of PolyTACs in eTPD has been demonstrated with four disease-relevant membrane proteins. Additionally, the same design principle has also been leveraged to bind and drag soluble extracellular proteins into the lysosome. The design and fabrication simplicity, nonreliance on LTRs, and tissue-targeting capabilities open up new avenues for eTPD in many disease-specific applications.</w:t>
      </w:r>
    </w:p>
    <w:p>
      <w:pPr>
        <w:spacing w:before="120" w:after="120"/>
      </w:pPr>
      <w:r>
        <w:rPr>
          <w:sz w:val="18"/>
        </w:rPr>
        <w:t>——————————————————————————————————————————————————————————————————————</w:t>
      </w:r>
    </w:p>
    <w:p>
      <w:pPr>
        <w:spacing w:before="160" w:after="80" w:line="240" w:lineRule="auto"/>
      </w:pPr>
      <w:r>
        <w:rPr>
          <w:b/>
        </w:rPr>
        <w:t xml:space="preserve">[466] </w:t>
      </w:r>
      <w:hyperlink r:id="rId821">
        <w:r>
          <w:rPr>
            <w:color w:val="1155CC"/>
            <w:u w:val="single"/>
          </w:rPr>
          <w:t>[ASAP] Hydrogen Evolution in Lithium Water-in-Salt Electrolytes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2026-01-02 16:26:19+00:00</w:t>
      </w:r>
      <w:r>
        <w:t xml:space="preserve">    </w:t>
      </w:r>
      <w:r>
        <w:rPr>
          <w:b/>
        </w:rPr>
        <w:t xml:space="preserve">DOI: </w:t>
      </w:r>
      <w:hyperlink r:id="rId822">
        <w:r>
          <w:rPr>
            <w:color w:val="1155CC"/>
            <w:u w:val="single"/>
          </w:rPr>
          <w:t>10.1021/acsenergylett.5c02225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[467] </w:t>
      </w:r>
      <w:hyperlink r:id="rId823">
        <w:r>
          <w:rPr>
            <w:color w:val="1155CC"/>
            <w:u w:val="single"/>
          </w:rPr>
          <w:t>[ASAP] Multireference Embedding and Fragmentation Methods for Classical and Quantum Computers: From Model Systems to Realistic Applications</w:t>
        </w:r>
      </w:hyperlink>
    </w:p>
    <w:p>
      <w:pPr>
        <w:spacing w:before="0" w:after="120" w:line="240" w:lineRule="auto"/>
      </w:pPr>
      <w:r>
        <w:rPr>
          <w:b/>
        </w:rPr>
        <w:t xml:space="preserve">Source: </w:t>
      </w:r>
      <w:r>
        <w:t>Chemical Reviews: Latest Articles (ACS Publications)</w:t>
      </w:r>
      <w:r>
        <w:t xml:space="preserve">    </w:t>
      </w:r>
      <w:r>
        <w:rPr>
          <w:b/>
        </w:rPr>
        <w:t xml:space="preserve">Pub date: </w:t>
      </w:r>
      <w:r>
        <w:t>2026-01-02 16:58:51+00:00</w:t>
      </w:r>
      <w:r>
        <w:t xml:space="preserve">    </w:t>
      </w:r>
      <w:r>
        <w:rPr>
          <w:b/>
        </w:rPr>
        <w:t xml:space="preserve">DOI: </w:t>
      </w:r>
      <w:hyperlink r:id="rId824">
        <w:r>
          <w:rPr>
            <w:color w:val="1155CC"/>
            <w:u w:val="single"/>
          </w:rPr>
          <w:t>10.1021/acs.chemrev.5c00486</w:t>
        </w:r>
      </w:hyperlink>
    </w:p>
    <w:p>
      <w:pPr>
        <w:spacing w:before="0" w:after="120"/>
      </w:pPr>
      <w:r>
        <w:rPr>
          <w:b/>
        </w:rPr>
        <w:t xml:space="preserve">Notes: </w:t>
      </w:r>
      <w:r>
        <w:t>abstract_source=pubmed</w:t>
      </w:r>
    </w:p>
    <w:p>
      <w:pPr>
        <w:spacing w:before="0" w:after="200" w:lineRule="auto" w:line="276"/>
      </w:pPr>
      <w:r>
        <w:rPr>
          <w:b/>
        </w:rPr>
        <w:t xml:space="preserve">Abstract: </w:t>
      </w:r>
      <w:r>
        <w:t>One of the primary challenges in quantum chemistry is the accurate modeling of strong electron correlation. While multireference methods effectively capture such correlation, their steep scaling with system size prohibits their application to large molecules and extended materials. Quantum embedding offers a promising solution by partitioning complex systems into manageable subsystems. In this Review, we highlight recent advances in multireference density matrix embedding and localized active space self-consistent field approaches for complex molecules and extended materials. We discuss both classical implementations and the emerging potential of these methods on quantum computers. By extending classical embedding concepts to the quantum landscape, these algorithms have the potential to expand the reach of multireference methods in quantum chemistry and materials.</w:t>
      </w:r>
    </w:p>
    <w:p>
      <w:pPr>
        <w:spacing w:before="120" w:after="120"/>
      </w:pPr>
      <w:r>
        <w:rPr>
          <w:sz w:val="18"/>
        </w:rPr>
        <w:t>——————————————————————————————————————————————————————————————————————</w:t>
      </w:r>
    </w:p>
    <w:p>
      <w:pPr>
        <w:spacing w:before="160" w:after="80" w:line="240" w:lineRule="auto"/>
      </w:pPr>
      <w:r>
        <w:rPr>
          <w:b/>
        </w:rPr>
        <w:t xml:space="preserve">[468] </w:t>
      </w:r>
      <w:hyperlink r:id="rId825">
        <w:r>
          <w:rPr>
            <w:color w:val="1155CC"/>
            <w:u w:val="single"/>
          </w:rPr>
          <w:t>[ASAP] Reductive Arylation of PVC by Dual-Metal Catalyzed Cross-Electrophile Coupling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17:23:42+00:00</w:t>
      </w:r>
      <w:r>
        <w:t xml:space="preserve">    </w:t>
      </w:r>
      <w:r>
        <w:rPr>
          <w:b/>
        </w:rPr>
        <w:t xml:space="preserve">DOI: </w:t>
      </w:r>
      <w:hyperlink r:id="rId826">
        <w:r>
          <w:rPr>
            <w:color w:val="1155CC"/>
            <w:u w:val="single"/>
          </w:rPr>
          <w:t>10.1021/jacs.5c19840</w:t>
        </w:r>
      </w:hyperlink>
    </w:p>
    <w:p>
      <w:pPr>
        <w:spacing w:before="0" w:after="120"/>
      </w:pPr>
      <w:r>
        <w:rPr>
          <w:b/>
        </w:rPr>
        <w:t xml:space="preserve">Notes: </w:t>
      </w:r>
      <w:r>
        <w:t>abstract_source=pubmed</w:t>
      </w:r>
    </w:p>
    <w:p>
      <w:pPr>
        <w:spacing w:before="0" w:after="200" w:lineRule="auto" w:line="276"/>
      </w:pPr>
      <w:r>
        <w:rPr>
          <w:b/>
        </w:rPr>
        <w:t xml:space="preserve">Abstract: </w:t>
      </w:r>
      <w:r>
        <w:t>Poly(vinyl chloride) (PVC) is one of the world's most widely produced thermoplastics. Its wide range of properties depend upon high loadings of noncovalent additives that are susceptible to migration and leaching. Recent efforts have sought to address this material flaw by covalently attaching additives directly onto the backbone of PVC. However, known grafting reactions of PVC are limited to alkylation or nucleophilic substitution reactions and are not applicable to arylation. This synthetic limitation precludes the covalent grafting of aromatic additives like colorants, antioxidants, and flame retardants onto PVC. This work details a mild and controllable methodology for electroreductive arylation of PVC with a range of aryl bromides. The reaction is catalyzed by a combination of Co and Ni complexes to enable on-bond arylation of PVC with functional aromatic architectures that are common additives in formulations of commercial PVC plastics. The simple transformation can be applied directly to postconsumer PVC on multigram scale without chain scission. The arylated PVCs exhibit excellent chemical resistance without leaching of the aromatic additives.</w:t>
      </w:r>
    </w:p>
    <w:p>
      <w:pPr>
        <w:spacing w:before="120" w:after="120"/>
      </w:pPr>
      <w:r>
        <w:rPr>
          <w:sz w:val="18"/>
        </w:rPr>
        <w:t>——————————————————————————————————————————————————————————————————————</w:t>
      </w:r>
    </w:p>
    <w:p>
      <w:pPr>
        <w:spacing w:before="160" w:after="80" w:line="240" w:lineRule="auto"/>
      </w:pPr>
      <w:r>
        <w:rPr>
          <w:b/>
        </w:rPr>
        <w:t xml:space="preserve">[469] </w:t>
      </w:r>
      <w:hyperlink r:id="rId827">
        <w:r>
          <w:rPr>
            <w:color w:val="1155CC"/>
            <w:u w:val="single"/>
          </w:rPr>
          <w:t>[ASAP] Diverse N2 Functionalization Enabled by an Unsymmetric Dititanium Complex</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18:01:51+00:00</w:t>
      </w:r>
      <w:r>
        <w:t xml:space="preserve">    </w:t>
      </w:r>
      <w:r>
        <w:rPr>
          <w:b/>
        </w:rPr>
        <w:t xml:space="preserve">DOI: </w:t>
      </w:r>
      <w:hyperlink r:id="rId828">
        <w:r>
          <w:rPr>
            <w:color w:val="1155CC"/>
            <w:u w:val="single"/>
          </w:rPr>
          <w:t>10.1021/jacs.5c15167</w:t>
        </w:r>
      </w:hyperlink>
    </w:p>
    <w:p>
      <w:pPr>
        <w:spacing w:before="0" w:after="120"/>
      </w:pPr>
      <w:r>
        <w:rPr>
          <w:b/>
        </w:rPr>
        <w:t xml:space="preserve">Notes: </w:t>
      </w:r>
      <w:r>
        <w:t>abstract_source=pubmed</w:t>
      </w:r>
    </w:p>
    <w:p>
      <w:pPr>
        <w:spacing w:before="0" w:after="200" w:lineRule="auto" w:line="276"/>
      </w:pPr>
      <w:r>
        <w:rPr>
          <w:b/>
        </w:rPr>
        <w:t xml:space="preserve">Abstract: </w:t>
      </w:r>
      <w:r>
        <w:t>Di- and multinuclear metal cooperation plays a pivotal role in small-molecule activation and functionalization. Herein, we report a symmetric phenoxide-bridged ligand that supports an unsymmetric dititanium dinitrogen complex featuring side-on/end-on N2 coordination. This complex possessed a strongly nucleophilic (N2)4- moiety that readily underwent diverse derivatizations to construct N-C, N-Si, and N-P bonds. Particularly noteworthy are the complex's reactivities with α,ω-dihaloalkanes, which selectively generate structurally distinct N-heterocyclic compounds, showing the potential in constructing diverse N-contained heterocycles directly from N2.</w:t>
      </w:r>
    </w:p>
    <w:p>
      <w:pPr>
        <w:spacing w:before="120" w:after="120"/>
      </w:pPr>
      <w:r>
        <w:rPr>
          <w:sz w:val="18"/>
        </w:rPr>
        <w:t>——————————————————————————————————————————————————————————————————————</w:t>
      </w:r>
    </w:p>
    <w:p>
      <w:pPr>
        <w:spacing w:before="160" w:after="80" w:line="240" w:lineRule="auto"/>
      </w:pPr>
      <w:r>
        <w:rPr>
          <w:b/>
        </w:rPr>
        <w:t xml:space="preserve">[470] </w:t>
      </w:r>
      <w:hyperlink r:id="rId829">
        <w:r>
          <w:rPr>
            <w:color w:val="1155CC"/>
            <w:u w:val="single"/>
          </w:rPr>
          <w:t>[ASAP] Inner Leaflet-Anchored Multiplexed DNA Toolkits for Dynamic Tracking and Programmable Regulation of Cell Membrane Functions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18:26:55+00:00</w:t>
      </w:r>
      <w:r>
        <w:t xml:space="preserve">    </w:t>
      </w:r>
      <w:r>
        <w:rPr>
          <w:b/>
        </w:rPr>
        <w:t xml:space="preserve">DOI: </w:t>
      </w:r>
      <w:hyperlink r:id="rId830">
        <w:r>
          <w:rPr>
            <w:color w:val="1155CC"/>
            <w:u w:val="single"/>
          </w:rPr>
          <w:t>10.1021/jacs.5c19789</w:t>
        </w:r>
      </w:hyperlink>
    </w:p>
    <w:p>
      <w:pPr>
        <w:spacing w:before="0" w:after="120"/>
      </w:pPr>
      <w:r>
        <w:rPr>
          <w:b/>
        </w:rPr>
        <w:t xml:space="preserve">Notes: </w:t>
      </w:r>
      <w:r>
        <w:t>abstract_source=pubmed</w:t>
      </w:r>
    </w:p>
    <w:p>
      <w:pPr>
        <w:spacing w:before="0" w:after="200" w:lineRule="auto" w:line="276"/>
      </w:pPr>
      <w:r>
        <w:rPr>
          <w:b/>
        </w:rPr>
        <w:t xml:space="preserve">Abstract: </w:t>
      </w:r>
      <w:r>
        <w:t>Biological processes at the inner membrane leaflet are fundamental to cellular function. Achieving multitargeted tracking and regulation at the cytoplasmic membrane surface critically depends on the ability to deliver multiplexed chemical tools to the inner leaflet that can engage multiple biomolecules with well-defined stoichiometric control. However, efficient incorporation of such tools across the lipid bilayer remains a major challenge. Most studies employing chemical tools such as functional DNA to study membrane-associated activities have focused on the outer leaflet, leaving the inner leaflet largely unexplored. Here, we report the precise integration of multiplexed and functionally diverse DNA toolkits onto the inner membrane leaflet via liposome fusion-based transport (LiFT), enabling dynamic monitoring and programmable manipulation of two key membrane processes: transmembrane transport and signal transduction. Distinct sets of bioorthogonal DNA sequences were incorporated with high efficiency and defined orientation, providing proximity-enhanced resolution for tracking and regulating inner leaflet-associated biological activities. Using membrane-anchored multiplexed sensors, we mapped transmembrane ion dynamics, including proton gradient fluctuations and bidirectional Na+/K+ fluxes, revealing spatiotemporal progression of chemically induced cellular events. Moreover, we report the first DNA-based programmable control of inner leaflet signaling via cytosol-to-membrane protein translocation. Using a sequence-programmable, click-type DNA-enzyme ligation, we showcased multiplexed recruitment of proteins to the inner leaflet and subsequent activation of PI3K/Akt signaling. Finally, we demonstrated that strand-displacement reaction and photolabile chemistry can modulate the inner leaflet signaling cascade in response to bioorthogonal sequence inputs or light irradiation.</w:t>
      </w:r>
    </w:p>
    <w:p>
      <w:pPr>
        <w:spacing w:before="120" w:after="120"/>
      </w:pPr>
      <w:r>
        <w:rPr>
          <w:sz w:val="18"/>
        </w:rPr>
        <w:t>——————————————————————————————————————————————————————————————————————</w:t>
      </w:r>
    </w:p>
    <w:p>
      <w:pPr>
        <w:spacing w:before="160" w:after="80" w:line="240" w:lineRule="auto"/>
      </w:pPr>
      <w:r>
        <w:rPr>
          <w:b/>
        </w:rPr>
        <w:t xml:space="preserve">[471] </w:t>
      </w:r>
      <w:hyperlink r:id="rId831">
        <w:r>
          <w:rPr>
            <w:color w:val="1155CC"/>
            <w:u w:val="single"/>
          </w:rPr>
          <w:t>[ASAP] Atomic Resolution of Solid–Electrolyte Interphase Formation via Off-Lattice On-the-Fly Kinetic Monte Carlo</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18:27:56+00:00</w:t>
      </w:r>
      <w:r>
        <w:t xml:space="preserve">    </w:t>
      </w:r>
      <w:r>
        <w:rPr>
          <w:b/>
        </w:rPr>
        <w:t xml:space="preserve">DOI: </w:t>
      </w:r>
      <w:hyperlink r:id="rId832">
        <w:r>
          <w:rPr>
            <w:color w:val="1155CC"/>
            <w:u w:val="single"/>
          </w:rPr>
          <w:t>10.1021/jacs.5c21439</w:t>
        </w:r>
      </w:hyperlink>
    </w:p>
    <w:p>
      <w:pPr>
        <w:spacing w:before="0" w:after="120"/>
      </w:pPr>
      <w:r>
        <w:rPr>
          <w:b/>
        </w:rPr>
        <w:t xml:space="preserve">Notes: </w:t>
      </w:r>
      <w:r>
        <w:t>abstract_source=pubmed</w:t>
      </w:r>
    </w:p>
    <w:p>
      <w:pPr>
        <w:spacing w:before="0" w:after="200" w:lineRule="auto" w:line="276"/>
      </w:pPr>
      <w:r>
        <w:rPr>
          <w:b/>
        </w:rPr>
        <w:t xml:space="preserve">Abstract: </w:t>
      </w:r>
      <w:r>
        <w:t>Complex reactions occurring at the electrode/electrolyte interface in Li metal batteries lead to the formation of a solid-electrolyte interphase (SEI), which plays a vital role in stabilizing batteries' performance. An in-depth understanding of the SEI formation mechanism thus is crucial for battery optimization. Kinetic Monte Carlo (KMC) simulations can offer detailed information on the interfacial reaction processes over multiple time scales. However, conventional KMC methods employing on-lattice models and predefined event lists are inappropriate for modeling SEI formation due to the complex chemical environment at materials interfaces. In this work, we propose an off-lattice on-the-fly KMC (OTF-KMC) method integrated with a machine learning force field (MLFF) to investigate SEI growth at the atomic level. We study a system comprising a Li(100) surface and an electrolyte containing the ethylene carbonate (EC) molecules and Li salts and identify various decomposition pathways of EC molecules and PF6- anions to generate the SEI. Our results show that the SEI features a spatial distribution of an inorganic inner layer near the Li electrode with organic products relatively far from the surface, aligning closely with experimental evidence. More importantly, we present a versatile and robust computational framework for modeling interfacial reactions in electrochemical systems.</w:t>
      </w:r>
    </w:p>
    <w:p>
      <w:pPr>
        <w:spacing w:before="120" w:after="120"/>
      </w:pPr>
      <w:r>
        <w:rPr>
          <w:sz w:val="18"/>
        </w:rPr>
        <w:t>——————————————————————————————————————————————————————————————————————</w:t>
      </w:r>
    </w:p>
    <w:p>
      <w:pPr>
        <w:spacing w:before="160" w:after="80" w:line="240" w:lineRule="auto"/>
      </w:pPr>
      <w:r>
        <w:rPr>
          <w:b/>
        </w:rPr>
        <w:t xml:space="preserve">[472] </w:t>
      </w:r>
      <w:hyperlink r:id="rId833">
        <w:r>
          <w:rPr>
            <w:color w:val="1155CC"/>
            <w:u w:val="single"/>
          </w:rPr>
          <w:t>[ASAP] Hydrogen-Bonded Organic Framework Enables Phase-Pure Layered Tin Perovskite Nanowires for Room-Temperature Lasing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19:06:06+00:00</w:t>
      </w:r>
      <w:r>
        <w:t xml:space="preserve">    </w:t>
      </w:r>
      <w:r>
        <w:rPr>
          <w:b/>
        </w:rPr>
        <w:t xml:space="preserve">DOI: </w:t>
      </w:r>
      <w:hyperlink r:id="rId834">
        <w:r>
          <w:rPr>
            <w:color w:val="1155CC"/>
            <w:u w:val="single"/>
          </w:rPr>
          <w:t>10.1021/jacs.5c14431</w:t>
        </w:r>
      </w:hyperlink>
    </w:p>
    <w:p>
      <w:pPr>
        <w:spacing w:before="0" w:after="120"/>
      </w:pPr>
      <w:r>
        <w:rPr>
          <w:b/>
        </w:rPr>
        <w:t xml:space="preserve">Notes: </w:t>
      </w:r>
      <w:r>
        <w:t>abstract_source=pubmed</w:t>
      </w:r>
    </w:p>
    <w:p>
      <w:pPr>
        <w:spacing w:before="0" w:after="200" w:lineRule="auto" w:line="276"/>
      </w:pPr>
      <w:r>
        <w:rPr>
          <w:b/>
        </w:rPr>
        <w:t xml:space="preserve">Abstract: </w:t>
      </w:r>
      <w:r>
        <w:t>Room-temperature lasing is a key milestone in the development of miniaturized optoelectronic and photonic devices. We present a simple approach to synthesize phase-pure quasi-2D layered tin perovskite nanowires with varying quantum well thicknesses (n = 1 to 4). By incorporating a new organic spacer capable of forming a hydrogen-bonded organic framework, this method promoted anisotropic crystal growth and enhanced lattice rigidity. Furthermore, introducing molecular intercalants enabled controlled crystallization into well-defined nanowires that function as Fabry-Pérot cavities. Cavities made from n = 2 to 4 perovskites support efficient and robust near-infrared, room-temperature optically pumped lasing with the threshold as low as 75.8 μJ/cm2, cavity quality factor over 3000, and negligible degradation over 106 pulses. A cleaved coupled nanolaser was fabricated as a proof-of-concept device for photonic applications.</w:t>
      </w:r>
    </w:p>
    <w:p>
      <w:pPr>
        <w:spacing w:before="120" w:after="120"/>
      </w:pPr>
      <w:r>
        <w:rPr>
          <w:sz w:val="18"/>
        </w:rPr>
        <w:t>——————————————————————————————————————————————————————————————————————</w:t>
      </w:r>
    </w:p>
    <w:p>
      <w:pPr>
        <w:spacing w:before="160" w:after="80" w:line="240" w:lineRule="auto"/>
      </w:pPr>
      <w:r>
        <w:rPr>
          <w:b/>
        </w:rPr>
        <w:t xml:space="preserve">[473] </w:t>
      </w:r>
      <w:hyperlink r:id="rId835">
        <w:r>
          <w:rPr>
            <w:color w:val="1155CC"/>
            <w:u w:val="single"/>
          </w:rPr>
          <w:t>[ASAP] Synergizing Mn(IV)/Mn(III) Dual-Excitable Complexes and Chiral Cobalt Catalysis for Divergent Asymmetric Transformations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19:43:02+00:00</w:t>
      </w:r>
      <w:r>
        <w:t xml:space="preserve">    </w:t>
      </w:r>
      <w:r>
        <w:rPr>
          <w:b/>
        </w:rPr>
        <w:t xml:space="preserve">DOI: </w:t>
      </w:r>
      <w:hyperlink r:id="rId836">
        <w:r>
          <w:rPr>
            <w:color w:val="1155CC"/>
            <w:u w:val="single"/>
          </w:rPr>
          <w:t>10.1021/jacs.5c16396</w:t>
        </w:r>
      </w:hyperlink>
    </w:p>
    <w:p>
      <w:pPr>
        <w:spacing w:before="0" w:after="120"/>
      </w:pPr>
      <w:r>
        <w:rPr>
          <w:b/>
        </w:rPr>
        <w:t xml:space="preserve">Notes: </w:t>
      </w:r>
      <w:r>
        <w:t>abstract_source=pubmed</w:t>
      </w:r>
    </w:p>
    <w:p>
      <w:pPr>
        <w:spacing w:before="0" w:after="200" w:lineRule="auto" w:line="276"/>
      </w:pPr>
      <w:r>
        <w:rPr>
          <w:b/>
        </w:rPr>
        <w:t xml:space="preserve">Abstract: </w:t>
      </w:r>
      <w:r>
        <w:t>Despite growing interest in 3d transition metals for photoredox catalysis, manganese remains markedly underexplored in this domain. The advancement of Mn-based photochemical asymmetric transformations has been significantly hindered by the metal's extensive range of accessible oxidation states (from -3 to +7), intricate excited-state redox behavior, and the propensity to form highly reactive transient species─factors that collectively undermine precise stereochemical control. To overcome these limitations, we introduce a synergistic dual-catalytic system that integrates a unique Mn(IV)/Mn(III) dual-excitable complex featuring N-heterocyclic carbene (NHC) ligands with a chiral cobalt bisoxazoline complex. This well-defined manganese complex enables mechanistically distinct and controllable radical pathways through excitation at different oxidation states─Mn(IV)* and Mn(III)*─allowing each excited state to be selectively harnessed with cobalt-mediated stereocontrol. This adaptive strategy facilitates two challenging enantioselective transformations: asymmetric alkylation of acyclic α-imino esters to construct quaternary stereocenters, and enantioselective protonation to form tertiary stereocenters. A wide range of α-tertiary and α-secondary amino acid derivatives were obtained in up to 99% yield with excellent enantioselectivity (up to 99:1 er). Notably, the system exhibits pronounced nonlinear stereochemical amplification, delivering high-fidelity enantioselection (up to 99:1 er) even when using a partially enriched chiral ligand (65:35 er). By leveraging earth-abundant metals and visible-light activation, our approach provides a sustainable and versatile platform for synthesizing high-value chiral building blocks, with promising implications for pharmaceutical and materials science.</w:t>
      </w:r>
    </w:p>
    <w:p>
      <w:pPr>
        <w:spacing w:before="120" w:after="120"/>
      </w:pPr>
      <w:r>
        <w:rPr>
          <w:sz w:val="18"/>
        </w:rPr>
        <w:t>——————————————————————————————————————————————————————————————————————</w:t>
      </w:r>
    </w:p>
    <w:p>
      <w:pPr>
        <w:spacing w:before="160" w:after="80" w:line="240" w:lineRule="auto"/>
      </w:pPr>
      <w:r>
        <w:rPr>
          <w:b/>
        </w:rPr>
        <w:t xml:space="preserve">[474] </w:t>
      </w:r>
      <w:hyperlink r:id="rId837">
        <w:r>
          <w:rPr>
            <w:color w:val="1155CC"/>
            <w:u w:val="single"/>
          </w:rPr>
          <w:t>[ASAP] Using Machine Learning for Green Substitution of Industrial Chemicals: Integrating Functionality, Hazard, and Life Cycle Impact</w:t>
        </w:r>
      </w:hyperlink>
    </w:p>
    <w:p>
      <w:pPr>
        <w:spacing w:before="0" w:after="120" w:line="240" w:lineRule="auto"/>
      </w:pPr>
      <w:r>
        <w:rPr>
          <w:b/>
        </w:rPr>
        <w:t xml:space="preserve">Source: </w:t>
      </w:r>
      <w:r>
        <w:t>Chemical Reviews: Latest Articles (ACS Publications)</w:t>
      </w:r>
      <w:r>
        <w:t xml:space="preserve">    </w:t>
      </w:r>
      <w:r>
        <w:rPr>
          <w:b/>
        </w:rPr>
        <w:t xml:space="preserve">Pub date: </w:t>
      </w:r>
      <w:r>
        <w:t>2026-01-02 19:46:56+00:00</w:t>
      </w:r>
      <w:r>
        <w:t xml:space="preserve">    </w:t>
      </w:r>
      <w:r>
        <w:rPr>
          <w:b/>
        </w:rPr>
        <w:t xml:space="preserve">DOI: </w:t>
      </w:r>
      <w:hyperlink r:id="rId838">
        <w:r>
          <w:rPr>
            <w:color w:val="1155CC"/>
            <w:u w:val="single"/>
          </w:rPr>
          <w:t>10.1021/acs.chemrev.5c00828</w:t>
        </w:r>
      </w:hyperlink>
    </w:p>
    <w:p>
      <w:pPr>
        <w:spacing w:before="0" w:after="120"/>
      </w:pPr>
      <w:r>
        <w:rPr>
          <w:b/>
        </w:rPr>
        <w:t xml:space="preserve">Notes: </w:t>
      </w:r>
      <w:r>
        <w:t>abstract_source=pubmed</w:t>
      </w:r>
    </w:p>
    <w:p>
      <w:pPr>
        <w:spacing w:before="0" w:after="200" w:lineRule="auto" w:line="276"/>
      </w:pPr>
      <w:r>
        <w:rPr>
          <w:b/>
        </w:rPr>
        <w:t xml:space="preserve">Abstract: </w:t>
      </w:r>
      <w:r>
        <w:t>Industrial chemicals are characterized by their substantial production volumes, widespread applications, fugitive release into the environment, and the general lack of full awareness regarding their risks, carrying global unintended adverse effects on human and ecological health. In the ongoing pursuit of more sustainable and less hazardous industrial chemicals, a tremendous body of research has been developed. However, reliance on empirical molecular design based solely on human knowledge and expertise may not be adequate for avoiding regrettable substitution. Recent advances in generative machine learning (ML) technologies, and their applications in ML-assisted molecular design, possess immense promise to bring innovative solutions for green substitution of hazardous industrial chemicals. This review outlines the methodologies of ML-assisted molecular design and proposes design strategies for green alternative chemicals that possess both necessary functionalities and low environmental hazards throughout their life cycles. Additionally, case examples are provided to illustrate the methodologies and highlight areas that warrant further research, including the development of AI agents for both chemical risk management and green substitution. Applications of the methodologies can yield a sustainable and responsible way that both promotes the benefits of industrial chemicals and simultaneously minimizes their adverse impacts on humans and the environment.</w:t>
      </w:r>
    </w:p>
    <w:p>
      <w:pPr>
        <w:spacing w:before="120" w:after="120"/>
      </w:pPr>
      <w:r>
        <w:rPr>
          <w:sz w:val="18"/>
        </w:rPr>
        <w:t>——————————————————————————————————————————————————————————————————————</w:t>
      </w:r>
    </w:p>
    <w:p>
      <w:pPr>
        <w:spacing w:before="160" w:after="80" w:line="240" w:lineRule="auto"/>
      </w:pPr>
      <w:r>
        <w:rPr>
          <w:b/>
        </w:rPr>
        <w:t xml:space="preserve">[475] </w:t>
      </w:r>
      <w:hyperlink r:id="rId839">
        <w:r>
          <w:rPr>
            <w:color w:val="1155CC"/>
            <w:u w:val="single"/>
          </w:rPr>
          <w:t>[ASAP] Crystal Surface Reactivity of Esterase@Zeolitic Imidazolate Framework Biocomposites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19:47:57+00:00</w:t>
      </w:r>
      <w:r>
        <w:t xml:space="preserve">    </w:t>
      </w:r>
      <w:r>
        <w:rPr>
          <w:b/>
        </w:rPr>
        <w:t xml:space="preserve">DOI: </w:t>
      </w:r>
      <w:hyperlink r:id="rId840">
        <w:r>
          <w:rPr>
            <w:color w:val="1155CC"/>
            <w:u w:val="single"/>
          </w:rPr>
          <w:t>10.1021/jacs.5c18572</w:t>
        </w:r>
      </w:hyperlink>
    </w:p>
    <w:p>
      <w:pPr>
        <w:spacing w:before="0" w:after="120"/>
      </w:pPr>
      <w:r>
        <w:rPr>
          <w:b/>
        </w:rPr>
        <w:t xml:space="preserve">Notes: </w:t>
      </w:r>
      <w:r>
        <w:t>abstract_source=pubmed</w:t>
      </w:r>
    </w:p>
    <w:p>
      <w:pPr>
        <w:spacing w:before="0" w:after="200" w:lineRule="auto" w:line="276"/>
      </w:pPr>
      <w:r>
        <w:rPr>
          <w:b/>
        </w:rPr>
        <w:t xml:space="preserve">Abstract: </w:t>
      </w:r>
      <w:r>
        <w:t>Esterase@zeolitic imidazolate framework (Esterase@ZIF) biocomposites have been synthesized by biomineralization of pig liver esterase to explore the synergistic interplay between esterase and the ZIF framework on crystal surface reactivity and biocompatibility. The targeted Esterase@ZIF crystal phases cover a wide range of ZIF topologies, namely, Zn(mIm)2 (ZIF-8, 3D sodalite, microporous, mImH = 2-methylimidazole), Zn(mIm)2·(mImH)0.5 (ZIF-L, 2D layered, nonporous), and Zn(mIm)(CO3)0.5 (ZIF-C, 3D, nonporous). As model reactions, we have assessed the hydrolytic decontamination of the G-type nerve agent simulant diisopropylfluorophosphate (DIFP) and esterase activity toward indoxyl acetate hydrolysis. The results show a clear synergistic interplay between esterase and the ZIF framework, which is attributed to the stabilized open-lid conformation of esterase and the reactivity of the ZIF crystal surface, leading to enhanced hydrolytic activity. P-F bond hydrolysis also induces Esterase@ZIF crystal surface degradation releasing mImH and Zn2+ ions. Released imidazole moieties enable a nucleophilic attack to DIFP-inhibited acetylcholinesterase (DIFP@AChE), promoting AChE reactivation and thereby reversing organophosphorous poisoning. In vitro cytotoxicity assays toward human neuroblastoma cell lines are indicative of increased biocompatibility of Esterase@ZIF in comparison to pristine ZIF materials. These results also exemplify that biomineralization can be used not only to protect enzymes from harsh environments but to modulate crystal surface reactivity and biocompatibility.</w:t>
      </w:r>
    </w:p>
    <w:p>
      <w:pPr>
        <w:spacing w:before="120" w:after="120"/>
      </w:pPr>
      <w:r>
        <w:rPr>
          <w:sz w:val="18"/>
        </w:rPr>
        <w:t>——————————————————————————————————————————————————————————————————————</w:t>
      </w:r>
    </w:p>
    <w:p>
      <w:pPr>
        <w:spacing w:before="160" w:after="80" w:line="240" w:lineRule="auto"/>
      </w:pPr>
      <w:r>
        <w:rPr>
          <w:b/>
        </w:rPr>
        <w:t xml:space="preserve">[476] </w:t>
      </w:r>
      <w:hyperlink r:id="rId841">
        <w:r>
          <w:rPr>
            <w:color w:val="1155CC"/>
            <w:u w:val="single"/>
          </w:rPr>
          <w:t>[ASAP] Sustainable and Efficient Bicarbonate Electrolysis via Enhanced CO2 and Cation Availability on a Gas–Water Dual-Permeable Electrode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20:08:44+00:00</w:t>
      </w:r>
      <w:r>
        <w:t xml:space="preserve">    </w:t>
      </w:r>
      <w:r>
        <w:rPr>
          <w:b/>
        </w:rPr>
        <w:t xml:space="preserve">DOI: </w:t>
      </w:r>
      <w:hyperlink r:id="rId842">
        <w:r>
          <w:rPr>
            <w:color w:val="1155CC"/>
            <w:u w:val="single"/>
          </w:rPr>
          <w:t>10.1021/jacs.5c20900</w:t>
        </w:r>
      </w:hyperlink>
    </w:p>
    <w:p>
      <w:pPr>
        <w:spacing w:before="0" w:after="120"/>
      </w:pPr>
      <w:r>
        <w:rPr>
          <w:b/>
        </w:rPr>
        <w:t xml:space="preserve">Notes: </w:t>
      </w:r>
      <w:r>
        <w:t>abstract_source=pubmed</w:t>
      </w:r>
    </w:p>
    <w:p>
      <w:pPr>
        <w:spacing w:before="0" w:after="200" w:lineRule="auto" w:line="276"/>
      </w:pPr>
      <w:r>
        <w:rPr>
          <w:b/>
        </w:rPr>
        <w:t xml:space="preserve">Abstract: </w:t>
      </w:r>
      <w:r>
        <w:t>The electrochemical conversion of cost-effective bicarbonates into industrially relevant chemicals offers a sustainable, low-carbon-footprint alternative to feedstock production using renewable electricity. However, its performance is limited by low CO2 concentrations at catalyst surfaces and harsh acidic conditions that promote the hydrogen evolution reaction and catalyst degradation. In this study, we developed a robust ionomer-inorganic nanoparticle (NP) composite coating (5-15 μm Nafion-SiC NPs), positioned between the catalyst and bipolar membrane, enabling efficient dual-permeability of gaseous CO2 and liquid electrolyte to promote bicarbonate electrolysis over extended operation. Specifically, the Nafion perfluorocarbon chains on the assembled Nafion-SiC NPs interconnect to form a continuous aerophilic network that facilitates CO2 diffusion. Simultaneously, the interparticle voids between NPs provide hydrophilic pathways that permit efficient electrolyte transport. This prepared stratified electrode increases local CO2 concentration to 75% saturation and enriches K+ availability at electrocatalyst surfaces at cathodic potentials during bicarbonate electrolysis. Experiments validate a high CO2 permeance of ∼0.008 cm3 cm-2 s-1 cmHg-1 and a low ionic resistance of ∼0.85 Ω cm2 for the composite coating under wet conditions. Crucially, the electrically insulating Nafion-SiC NPs resist electric-field-induced K+ penetration to ensure long-term hydrophobicity and stable gas transport. This system achieved sustained bicarbonate-to-CO electrolysis over 1100 h with an 84-88% Faradaic efficiency and a 35.8% energy efficiency at 100 mA cm-2. Extending this gas-liquid dual-permeable coating strategy to Bi- and Sn-based electrodes enhanced bicarbonate-to-formate electroreduction, highlighting the generalizability of this gas-liquid dual-permeable design for advancing heterogeneous electrolysis at triple-phase interfaces.</w:t>
      </w:r>
    </w:p>
    <w:p>
      <w:pPr>
        <w:spacing w:before="120" w:after="120"/>
      </w:pPr>
      <w:r>
        <w:rPr>
          <w:sz w:val="18"/>
        </w:rPr>
        <w:t>——————————————————————————————————————————————————————————————————————</w:t>
      </w:r>
    </w:p>
    <w:p>
      <w:pPr>
        <w:spacing w:before="160" w:after="80" w:line="240" w:lineRule="auto"/>
      </w:pPr>
      <w:r>
        <w:rPr>
          <w:b/>
        </w:rPr>
        <w:t xml:space="preserve">[477] </w:t>
      </w:r>
      <w:hyperlink r:id="rId843">
        <w:r>
          <w:rPr>
            <w:color w:val="1155CC"/>
            <w:u w:val="single"/>
          </w:rPr>
          <w:t>[ASAP] Nickel-Catalyzed Aryl Borylations: Opportunities and Challenges for Innovation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20:10:35+00:00</w:t>
      </w:r>
      <w:r>
        <w:t xml:space="preserve">    </w:t>
      </w:r>
      <w:r>
        <w:rPr>
          <w:b/>
        </w:rPr>
        <w:t xml:space="preserve">DOI: </w:t>
      </w:r>
      <w:hyperlink r:id="rId844">
        <w:r>
          <w:rPr>
            <w:color w:val="1155CC"/>
            <w:u w:val="single"/>
          </w:rPr>
          <w:t>10.1021/jacs.5c16385</w:t>
        </w:r>
      </w:hyperlink>
    </w:p>
    <w:p>
      <w:pPr>
        <w:spacing w:before="0" w:after="120"/>
      </w:pPr>
      <w:r>
        <w:rPr>
          <w:b/>
        </w:rPr>
        <w:t xml:space="preserve">Notes: </w:t>
      </w:r>
      <w:r>
        <w:t>abstract_source=pubmed</w:t>
      </w:r>
    </w:p>
    <w:p>
      <w:pPr>
        <w:spacing w:before="0" w:after="200" w:lineRule="auto" w:line="276"/>
      </w:pPr>
      <w:r>
        <w:rPr>
          <w:b/>
        </w:rPr>
        <w:t xml:space="preserve">Abstract: </w:t>
      </w:r>
      <w:r>
        <w:t>The utility of aryl boronic acids, esters, and their congeners has led to the development of methods spanning from early synthesis strategies via deprotonations and metal/halogen exchange protocols to sophisticated and well-studied Pd-catalyzed Miyaura borylations and Ir-catalyzed C-H activations. Ni catalysis has also emerged as an approach that is not only more economical and environmentally sustainable than precious metal catalysis but also enables access to mechanistic pathways and substrates that are typically inaccessible with Pd catalysis. While Ni-catalyzed aryl borylations have been successfully demonstrated in the academic and industrial literature for decades, the lack of general conditions and Ni-specific reaction design studies prevents broader application of these methods. In this Perspective, we discuss the current state of the literature regarding Ni-catalyzed aryl borylation and suggest areas of focus for continued study. Advances in mechanistic insight, rational ligand design, high-throughput platforms, and machine-learning models will be instrumental in establishing dependable starting conditions that may largely eliminate the need for cumbersome substrate-tailored optimization. Ni-catalyzed aryl borylations have shown enough promise to become a prominent topic in the current literature, and developing a well-understood suite of general reaction conditions will allow this mode of reactivity to become a competitive borylative strategy.</w:t>
      </w:r>
    </w:p>
    <w:p>
      <w:pPr>
        <w:spacing w:before="120" w:after="120"/>
      </w:pPr>
      <w:r>
        <w:rPr>
          <w:sz w:val="18"/>
        </w:rPr>
        <w:t>——————————————————————————————————————————————————————————————————————</w:t>
      </w:r>
    </w:p>
    <w:p>
      <w:pPr>
        <w:spacing w:before="160" w:after="80" w:line="240" w:lineRule="auto"/>
      </w:pPr>
      <w:r>
        <w:rPr>
          <w:b/>
        </w:rPr>
        <w:t xml:space="preserve">[478] </w:t>
      </w:r>
      <w:hyperlink r:id="rId845">
        <w:r>
          <w:rPr>
            <w:color w:val="1155CC"/>
            <w:u w:val="single"/>
          </w:rPr>
          <w:t>[ASAP] Correction to “Improving Triplet–Triplet Annihilation Upconversion Output by a Triplet Mediator Approach: Mechanistic Insights on Homo- and Hetero-Annihilation in Three-Component Systems”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2026-01-02 20:28:31+00:00</w:t>
      </w:r>
      <w:r>
        <w:t xml:space="preserve">    </w:t>
      </w:r>
      <w:r>
        <w:rPr>
          <w:b/>
        </w:rPr>
        <w:t xml:space="preserve">DOI: </w:t>
      </w:r>
      <w:hyperlink r:id="rId846">
        <w:r>
          <w:rPr>
            <w:color w:val="1155CC"/>
            <w:u w:val="single"/>
          </w:rPr>
          <w:t>10.1021/jacs.5c22551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[479] </w:t>
      </w:r>
      <w:hyperlink r:id="rId847">
        <w:r>
          <w:rPr>
            <w:color w:val="1155CC"/>
            <w:u w:val="single"/>
          </w:rPr>
          <w:t>Design and applications of immunomodulatory microspheres: From material properties to multisystem disease therapies</w:t>
        </w:r>
      </w:hyperlink>
    </w:p>
    <w:p>
      <w:pPr>
        <w:spacing w:before="0" w:after="120" w:line="240" w:lineRule="auto"/>
      </w:pPr>
      <w:r>
        <w:rPr>
          <w:b/>
        </w:rPr>
        <w:t xml:space="preserve">Source: </w:t>
      </w:r>
      <w:r>
        <w:t>ScienceDirect Publication: Materials Today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[480] </w:t>
      </w:r>
      <w:hyperlink r:id="rId848">
        <w:r>
          <w:rPr>
            <w:color w:val="1155CC"/>
            <w:u w:val="single"/>
          </w:rPr>
          <w:t>Non-remnant triglyceride-rich lipoproteins due to lipoprotein lipase deficiency increase atherosclerosis in mice</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Increased fasting and postprandial triglyceride levels are risk factors for cardiovascular disease (CVD). Partially metabolized triglyceride-rich lipoproteins (TRLs) termed remnants are created when intestinally-derived chylomicrons and liver secreted very low density lipoproteins (VLDLs) interact with lipoprotein lipase (LpL) situated on the luminal surface of capillary endothelial cells. Higher circulating remnant levels have been implicated as the reason for the relationship between TRL levels and CVD. We hypothesized that nascent lipoproteins not only remnants are atherogenic. To test this, we created mice with induced whole-body lipoprotein lipase (LpL) deficiency combined with LDL receptor (LDLR) deficiency. On an atherogenic Western-type diet (WD), male and female mice with induced global LpL deficiency (iLpl-/-) and LDLR knockdown (Ldlrkd) developed hypertriglyceridemia and elevated cholesterol levels; all the increased cholesterol was in chylomicrons or large VLDL. After 12 weeks on a WD, atherosclerotic lesions both in the brachiocephalic artery and the aortic root were more severe in iLpl-/-/Ldlrkd mice than control Ldlrkd mice. Aorta from hypertriglyceridemic mice had changes in the transcriptomes of endothelial cells, macrophages, and smooth muscle cells indicating vascular inflammation. Our data show that intact TRLs contribute to atherosclerosis, explain the association of postprandial lipemia and vascular disease and prove that non-remnant TRLs are not benign.</w:t>
      </w:r>
    </w:p>
    <w:p>
      <w:pPr>
        <w:spacing w:before="120" w:after="120"/>
      </w:pPr>
      <w:r>
        <w:rPr>
          <w:sz w:val="18"/>
        </w:rPr>
        <w:t>——————————————————————————————————————————————————————————————————————</w:t>
      </w:r>
    </w:p>
    <w:p>
      <w:pPr>
        <w:spacing w:before="160" w:after="80" w:line="240" w:lineRule="auto"/>
      </w:pPr>
      <w:r>
        <w:rPr>
          <w:b/>
        </w:rPr>
        <w:t xml:space="preserve">[481] </w:t>
      </w:r>
      <w:hyperlink r:id="rId849">
        <w:r>
          <w:rPr>
            <w:color w:val="1155CC"/>
            <w:u w:val="single"/>
          </w:rPr>
          <w:t>Digital twin-enabled dynamic 4E-S multi-objective optimization framework for intelligent gas turbine operation with flexible loads</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[482] </w:t>
      </w:r>
      <w:hyperlink r:id="rId850">
        <w:r>
          <w:rPr>
            <w:color w:val="1155CC"/>
            <w:u w:val="single"/>
          </w:rPr>
          <w:t>The Effective Energy Shift (EfES) algorithm: A non-iterative piece-wise linear method for mapping storage capacity to self-sufficiency and self-consumption</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[483] </w:t>
      </w:r>
      <w:hyperlink r:id="rId851">
        <w:r>
          <w:rPr>
            <w:color w:val="1155CC"/>
            <w:u w:val="single"/>
          </w:rPr>
          <w:t>A cascaded gas-liquid separator for multi-stack series configuration to improve the current efficiency of an alkaline water electrolysis system</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[484] </w:t>
      </w:r>
      <w:hyperlink r:id="rId852">
        <w:r>
          <w:rPr>
            <w:color w:val="1155CC"/>
            <w:u w:val="single"/>
          </w:rPr>
          <w:t>Integrated design for underwater thermoelectric generator (TEG) based on fully coupled multiphysics fields analysis method</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[485] </w:t>
      </w:r>
      <w:hyperlink r:id="rId853">
        <w:r>
          <w:rPr>
            <w:color w:val="1155CC"/>
            <w:u w:val="single"/>
          </w:rPr>
          <w:t>A review of underground energy storage: Modeling, experiments, and challenges</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[486] </w:t>
      </w:r>
      <w:hyperlink r:id="rId854">
        <w:r>
          <w:rPr>
            <w:color w:val="1155CC"/>
            <w:u w:val="single"/>
          </w:rPr>
          <w:t>Internet data centers and industrial parks as flexibility providers in modern power systems: An ADMM-based coordination mechanism</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[487] </w:t>
      </w:r>
      <w:hyperlink r:id="rId855">
        <w:r>
          <w:rPr>
            <w:color w:val="1155CC"/>
            <w:u w:val="single"/>
          </w:rPr>
          <w:t>Techno-economic analysis of hydrogen-to-power, ammonia-to-power pathway with biomass-to-power integration</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[488] </w:t>
      </w:r>
      <w:hyperlink r:id="rId856">
        <w:r>
          <w:rPr>
            <w:color w:val="1155CC"/>
            <w:u w:val="single"/>
          </w:rPr>
          <w:t>Cycloreversion-enhanced toughness and degradability in mechanophore-embedded end-linked polymer networks</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Enhancing the toughness while achieving triggerable degradation in single-network polymer systems without modifying their inherent chemical composition or network architecture remains a significant challenge. Here we demonstrate a smart end-linked polymer network that “self-strengthen” during use yet “self-destruct” upon certain stimuli. Embedding nonscissile cyclobutane-fused tetrahydrofuran mechanophores within the middle of end-linked polymer networks significantly enhances both toughness and degradability. Under mechanical stress, the force-coupled cycloreversion of these mechanophores releases concealed chain segments, enabling single-network materials to exhibit threefold toughness and tenfold tear energies compared to conventional counterparts. Additionally, ball-milling griding of the bulk material unveils acid-sensitive enol ether units, leading to a markedly improved degradation profile under acidic conditions. This dual effect—originating from the force-coupled cycloreversion of cyclobutane-fused tetrahydrofuran mechanophores—provides an ideal combination of superior mechanical performance and on-demand degradability.</w:t>
      </w:r>
    </w:p>
    <w:p>
      <w:pPr>
        <w:spacing w:before="120" w:after="120"/>
      </w:pPr>
      <w:r>
        <w:rPr>
          <w:sz w:val="18"/>
        </w:rPr>
        <w:t>——————————————————————————————————————————————————————————————————————</w:t>
      </w:r>
    </w:p>
    <w:p>
      <w:pPr>
        <w:spacing w:before="160" w:after="80" w:line="240" w:lineRule="auto"/>
      </w:pPr>
      <w:r>
        <w:rPr>
          <w:b/>
        </w:rPr>
        <w:t xml:space="preserve">[489] </w:t>
      </w:r>
      <w:hyperlink r:id="rId857">
        <w:r>
          <w:rPr>
            <w:color w:val="1155CC"/>
            <w:u w:val="single"/>
          </w:rPr>
          <w:t>Learning-based optimal power bidding of an overseas photovoltaic-battery storage plant in Singapore electricity market</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[490] </w:t>
      </w:r>
      <w:hyperlink r:id="rId858">
        <w:r>
          <w:rPr>
            <w:color w:val="1155CC"/>
            <w:u w:val="single"/>
          </w:rPr>
          <w:t>A carbon-negative solar fuel production method with enhanced solar contribution and superior CO2 reduction capacity: Experimental and system investigation</w:t>
        </w:r>
      </w:hyperlink>
    </w:p>
    <w:p>
      <w:pPr>
        <w:spacing w:before="0" w:after="120" w:line="240" w:lineRule="auto"/>
      </w:pPr>
      <w:r>
        <w:rPr>
          <w:b/>
        </w:rPr>
        <w:t xml:space="preserve">Source: </w:t>
      </w:r>
      <w:r>
        <w:t>ScienceDirect Publication: Applied Energy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[491] </w:t>
      </w:r>
      <w:hyperlink r:id="rId859">
        <w:r>
          <w:rPr>
            <w:color w:val="1155CC"/>
            <w:u w:val="single"/>
          </w:rPr>
          <w:t>Chemically durable and cost-efficient N-doped SnO2 transparent electrodes for Full-color perovskite light-emitting diodes</w:t>
        </w:r>
      </w:hyperlink>
    </w:p>
    <w:p>
      <w:pPr>
        <w:spacing w:before="0" w:after="120" w:line="240" w:lineRule="auto"/>
      </w:pPr>
      <w:r>
        <w:rPr>
          <w:b/>
        </w:rPr>
        <w:t xml:space="preserve">Source: </w:t>
      </w:r>
      <w:r>
        <w:t>ScienceDirect Publication: Materials Today</w:t>
      </w:r>
      <w:r>
        <w:t xml:space="preserve">    </w:t>
      </w:r>
      <w:r>
        <w:rPr>
          <w:b/>
        </w:rPr>
        <w:t xml:space="preserve">Pub date: </w:t>
      </w:r>
      <w:r>
        <w:t>2026-01-03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[492] </w:t>
      </w:r>
      <w:hyperlink r:id="rId860">
        <w:r>
          <w:rPr>
            <w:color w:val="1155CC"/>
            <w:u w:val="single"/>
          </w:rPr>
          <w:t>Distinct antidepressant therapies act on a common brain network</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Depression disorder is a global health crisis, due to its high prevalence. Yet clinical treatments are inadequate. Uncovering the neural correlates of depression remission is a vital step toward developing effective therapies. Using a method termed therapeutic network mapping, we performed secondary analyses on the data of 16 longitudinal experiments and found that the network of the amygdala was commonly modulated by three antidepressant therapies (pharmacotherapy, electroconvulsive therapy, and magnetic seizure therapy). This therapeutic network was i) validated by two independent treatment datasets of patients with depression and a prospective preclinical experiment on male rats, ii) associated with networks of depression-related genes, neurotransmitters, and cognitions, and iii) also the target network of deep brain stimulation and repetitive transcranial magnetic stimulation (rTMS). Finally, a longitudinal rTMS experiment indicated that strengthened therapeutic network connectivity is associated with higher depressant alleviation. Taken together, our findings demonstrate that distinct antidepressant therapies act on a common network with potential targets for developing effective therapies.</w:t>
      </w:r>
    </w:p>
    <w:p>
      <w:pPr>
        <w:spacing w:before="120" w:after="120"/>
      </w:pPr>
      <w:r>
        <w:rPr>
          <w:sz w:val="18"/>
        </w:rPr>
        <w:t>——————————————————————————————————————————————————————————————————————</w:t>
      </w:r>
    </w:p>
    <w:p>
      <w:pPr>
        <w:spacing w:before="160" w:after="80" w:line="240" w:lineRule="auto"/>
      </w:pPr>
      <w:r>
        <w:rPr>
          <w:b/>
        </w:rPr>
        <w:t xml:space="preserve">[493] </w:t>
      </w:r>
      <w:hyperlink r:id="rId861">
        <w:r>
          <w:rPr>
            <w:color w:val="1155CC"/>
            <w:u w:val="single"/>
          </w:rPr>
          <w:t>A chromosome region linked to neurodevelopmental disorders influences locomotor behavior through sex-specific neural circuits</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Biological sex shapes the manifestation and progression of neurodevelopmental disorders (NDDs), however, the underlying mechanisms remains unclear. Hemideletion of the 16p11.2 region (16p11.2 del/+) is associated with NDDs, and 16p11.2 del/+ mice exhibit sex-specific, striatum-related phenotypes relevant to NDDs. In this study, using snRNA-seq, we identify cell type- and sex-specific transcriptomic changes in D1- and D2-spiny projection neurons (SPNs), with greater impact in males. Fiber photometry recordings reveal reduced neuronal activity in the dorsal striatum of 16p11.2 del/+ males, but not females, with D2-SPNs identified as the primary contributors to this reduction. Behaviorally, we utilize conditional genetic approaches and find that selective hemideletion in D2-SPNs, but not D1-SPNs, induces male-specific hyperactivity, whereas cortical hemideletion increases hyperactivity in both sexes. Thus, a locus linked to NDDs acts in distinct striatal circuits, selectively impacting behavior in a sex- and cell type-specific manner.</w:t>
      </w:r>
    </w:p>
    <w:p>
      <w:pPr>
        <w:spacing w:before="120" w:after="120"/>
      </w:pPr>
      <w:r>
        <w:rPr>
          <w:sz w:val="18"/>
        </w:rPr>
        <w:t>——————————————————————————————————————————————————————————————————————</w:t>
      </w:r>
    </w:p>
    <w:p>
      <w:pPr>
        <w:spacing w:before="160" w:after="80" w:line="240" w:lineRule="auto"/>
      </w:pPr>
      <w:r>
        <w:rPr>
          <w:b/>
        </w:rPr>
        <w:t xml:space="preserve">[494] </w:t>
      </w:r>
      <w:hyperlink r:id="rId862">
        <w:r>
          <w:rPr>
            <w:color w:val="1155CC"/>
            <w:u w:val="single"/>
          </w:rPr>
          <w:t>CUL4A-DDB1-DCAF10 is an N-recognin for N-terminally acetylated Src kinases</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Co-translational N-terminal modifications such as methionine excision, acetylation, and myristoylation govern protein stability, localization, and folding. Disruption can expose N-terminal degrons that trigger ubiquitin-mediated degradation, safeguarding the proteome. N-terminal acetylation usually protects proteins from degradation, but can also promote it through the Ac/N-degron pathway. Src-family kinases (SFKs), signaling enzymes implicated in tumorigenesis, require N-terminal myristoylation for function. Using peptide pull-downs, mass spectrometry, and AlphaFold 3 predictions, we identify DCAF10 as the E3 ligase substrate receptor for alternatively N-terminally acetylated SFKs. Combining siRNA-mediated knockdown and CRISPR/Cas9-mediated knockout of endogenous Lyn with inducible Lyn-GFP variants confirms that DCAF10 regulates SFK levels by recognizing an N-terminal acetylated glycine residue. In vitro, a CUL4A-DDB1-DCAF10 complex ubiquitinates N-terminally acetylated SFKs. Thus, we define a novel N-degron pathway that monitors replacement of myristoylation by acetylation and activates degradation of SFKs upon acetylation. This mechanism may extend to other N-terminally myristoylated proteins beyond SFKs.</w:t>
      </w:r>
    </w:p>
    <w:p>
      <w:pPr>
        <w:spacing w:before="120" w:after="120"/>
      </w:pPr>
      <w:r>
        <w:rPr>
          <w:sz w:val="18"/>
        </w:rPr>
        <w:t>——————————————————————————————————————————————————————————————————————</w:t>
      </w:r>
    </w:p>
    <w:p>
      <w:pPr>
        <w:spacing w:before="160" w:after="80" w:line="240" w:lineRule="auto"/>
      </w:pPr>
      <w:r>
        <w:rPr>
          <w:b/>
        </w:rPr>
        <w:t xml:space="preserve">[495] </w:t>
      </w:r>
      <w:hyperlink r:id="rId863">
        <w:r>
          <w:rPr>
            <w:color w:val="1155CC"/>
            <w:u w:val="single"/>
          </w:rPr>
          <w:t>Crystallization modulation for wide-bandgap perovskites with universal defect passivation toward efficient perovskite/organic tandem photovoltaics</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Wide-bandgap (WBG) perovskites with bandgaps exceeding 1.8 eV are suitable for perovskite/organic or multi-junction tandem solar cell (TSC) applications. However, their complex components easily induce hardly controlled phase heterogeneity and defects during the crystallization process. Herein, we propose a multifunctional additive, DL-methionine methylsulfonium chloride, with a unique combination of functional groups to regulate the crystallization thermodynamics and passivate defects of WBG perovskites. Our comprehensive experimental and computational results reveal that the additive synergistically promotes the nucleation kinetics and improves phase homogeneity during the crystallization process, thereby achieving uniform and low-defect perovskite films, significantly suppressing the non-radiative recombination and phase segregation. Consequently, the single-junction 1.83 eV-WBG perovskite solar cells demonstrate a champion power conversion efficiency (PCE) of 20.4% and notably enhanced operational stability. Furthermore, impressive PCEs of 26.0% and 22.1% are achieved for rigid and flexible perovskite/organic TSCs, respectively, showing great promise for pursuing flexible tandem applications.</w:t>
      </w:r>
    </w:p>
    <w:p>
      <w:pPr>
        <w:spacing w:before="120" w:after="120"/>
      </w:pPr>
      <w:r>
        <w:rPr>
          <w:sz w:val="18"/>
        </w:rPr>
        <w:t>——————————————————————————————————————————————————————————————————————</w:t>
      </w:r>
    </w:p>
    <w:p>
      <w:pPr>
        <w:spacing w:before="160" w:after="80" w:line="240" w:lineRule="auto"/>
      </w:pPr>
      <w:r>
        <w:rPr>
          <w:b/>
        </w:rPr>
        <w:t xml:space="preserve">[496] </w:t>
      </w:r>
      <w:hyperlink r:id="rId864">
        <w:r>
          <w:rPr>
            <w:color w:val="1155CC"/>
            <w:u w:val="single"/>
          </w:rPr>
          <w:t>Structural barriers control the spatial extent of slow earthquake slip</w:t>
        </w:r>
      </w:hyperlink>
    </w:p>
    <w:p>
      <w:pPr>
        <w:spacing w:before="0" w:after="120" w:line="240" w:lineRule="auto"/>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200" w:lineRule="auto" w:line="276"/>
      </w:pPr>
      <w:r>
        <w:rPr>
          <w:b/>
        </w:rPr>
        <w:t xml:space="preserve">Abstract: </w:t>
      </w:r>
      <w:r>
        <w:t>Recent seismological and geodetic observations have revealed shallow slow earthquakes on subduction megathrusts, offering an opportunity to explore the factors controlling megathrust slip. Identifying these controlling factors helps constrain the potential updip extent of future megathrust ruptures. Here, we investigate the factors controlling the spatial extent of shallow slow earthquakes by integrating tremor locations with uncertainty estimates, detailed bathymetry data, and multichannel seismic data for the 2020–2021 slow earthquake sequence in the Kumano-nada region of the Nankai Trough. Tremor probability maps reveal that the updip, downdip, and lateral limits of tremor activity coincide with distinct structural boundaries. These include the kink or branching of the décollement, a deep-seated strike-slip fault, and the inner–outer wedge boundary. These structures likely act as geometrical or mechanical barriers, further influenced by variations in pore-fluid pressure and by the subducted Paleo–Zenisu ridge. The results indicate that megathrust geometry, material properties of the overriding prism, fluid distribution, and ridge subduction jointly govern the spatial extent of slow earthquakes, emphasizing the need to account for these factors in assessing the potential extent of future megathrust ruptures.</w:t>
      </w:r>
    </w:p>
    <w:p>
      <w:pPr>
        <w:spacing w:before="120" w:after="120"/>
      </w:pPr>
      <w:r>
        <w:rPr>
          <w:sz w:val="18"/>
        </w:rPr>
        <w:t>——————————————————————————————————————————————————————————————————————</w:t>
      </w:r>
    </w:p>
    <w:p>
      <w:pPr>
        <w:spacing w:before="160" w:after="80" w:line="240" w:lineRule="auto"/>
      </w:pPr>
      <w:r>
        <w:rPr>
          <w:b/>
        </w:rPr>
        <w:t xml:space="preserve">[497] </w:t>
      </w:r>
      <w:hyperlink r:id="rId865">
        <w:r>
          <w:rPr>
            <w:color w:val="1155CC"/>
            <w:u w:val="single"/>
          </w:rPr>
          <w:t>Extreme Squeezing of Volumetric Triboelectric Charge to a New Record of 224 nC cm−3 Inspired by Aesop's Fables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06:04:41+00:00</w:t>
      </w:r>
      <w:r>
        <w:t xml:space="preserve">    </w:t>
      </w:r>
      <w:r>
        <w:rPr>
          <w:b/>
        </w:rPr>
        <w:t xml:space="preserve">DOI: </w:t>
      </w:r>
      <w:hyperlink r:id="rId866">
        <w:r>
          <w:rPr>
            <w:color w:val="1155CC"/>
            <w:u w:val="single"/>
          </w:rPr>
          <w:t>10.1002/adma.202515482</w:t>
        </w:r>
      </w:hyperlink>
    </w:p>
    <w:p>
      <w:pPr>
        <w:spacing w:before="0" w:after="120"/>
      </w:pPr>
      <w:r>
        <w:rPr>
          <w:b/>
        </w:rPr>
        <w:t xml:space="preserve">Notes: </w:t>
      </w:r>
      <w:r>
        <w:t>abstract_source=crossref</w:t>
      </w:r>
    </w:p>
    <w:p>
      <w:pPr>
        <w:spacing w:before="0" w:after="200" w:lineRule="auto" w:line="276"/>
      </w:pPr>
      <w:r>
        <w:rPr>
          <w:b/>
        </w:rPr>
        <w:t xml:space="preserve">Abstract: </w:t>
      </w:r>
      <w:r>
        <w:t>Direct‐current triboelectric nanogenerators (DC‐TENGs) attract attention for their high output and low crest factor. However, inefficient spatial layouts create harmful discharge regions, causing internal charge loss. Inspired by Aesop's fable “The Crow and the Pitcher,” projection micro stereolithography integrates densely packed dual‐channel charge‐collecting electrodes into the slider, developing an Aesop's Fables‐inspired DC‐TENG (AF‐TENG) based on extreme spatial compression. This design creates efficient charge‐release pathways and achieves a record surface charge density of 14.2 mC m</w:t>
      </w:r>
      <w:r>
        <w:t xml:space="preserve"> </w:t>
      </w:r>
      <w:r>
        <w:t>−</w:t>
      </w:r>
      <w:r>
        <w:rPr>
          <w:vertAlign w:val="subscript"/>
        </w:rPr>
        <w:t>2</w:t>
      </w:r>
      <w:r>
        <w:t>. To eliminate device dimension effects on performance evaluation, a novel metric, volumetric triboelectric charge, is introduced to normalize charge transport efficiency and provide a universal standard for evaluating DC‐TENG designs. Comprehensive theoretical and experimental optimizations enable the AF‐TENG to achieve 800 V output and a record 224 nC cm</w:t>
      </w:r>
      <w:r>
        <w:t xml:space="preserve"> </w:t>
      </w:r>
      <w:r>
        <w:t>−</w:t>
      </w:r>
      <w:r>
        <w:rPr>
          <w:vertAlign w:val="subscript"/>
        </w:rPr>
        <w:t>3</w:t>
      </w:r>
      <w:r>
        <w:t>volumetric charge, with a fingertip‐sized device lighting 32 2 W LEDs and driving hygrometers and calculators, advancing performance and establishing an evaluation system as a benchmark for future DC‐TENGs.</w:t>
      </w:r>
    </w:p>
    <w:p>
      <w:pPr>
        <w:spacing w:before="120" w:after="120"/>
      </w:pPr>
      <w:r>
        <w:rPr>
          <w:sz w:val="18"/>
        </w:rPr>
        <w:t>——————————————————————————————————————————————————————————————————————</w:t>
      </w:r>
    </w:p>
    <w:p>
      <w:pPr>
        <w:spacing w:before="160" w:after="80" w:line="240" w:lineRule="auto"/>
      </w:pPr>
      <w:r>
        <w:rPr>
          <w:b/>
        </w:rPr>
        <w:t xml:space="preserve">[498] </w:t>
      </w:r>
      <w:hyperlink r:id="rId867">
        <w:r>
          <w:rPr>
            <w:color w:val="1155CC"/>
            <w:u w:val="single"/>
          </w:rPr>
          <w:t>Advances in Low‐Temperature Co‐Fired Ceramics for Next‐Generation Electronics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06:05:37+00:00</w:t>
      </w:r>
      <w:r>
        <w:t xml:space="preserve">    </w:t>
      </w:r>
      <w:r>
        <w:rPr>
          <w:b/>
        </w:rPr>
        <w:t xml:space="preserve">DOI: </w:t>
      </w:r>
      <w:hyperlink r:id="rId868">
        <w:r>
          <w:rPr>
            <w:color w:val="1155CC"/>
            <w:u w:val="single"/>
          </w:rPr>
          <w:t>10.1002/adma.202517514</w:t>
        </w:r>
      </w:hyperlink>
    </w:p>
    <w:p>
      <w:pPr>
        <w:spacing w:before="0" w:after="120"/>
      </w:pPr>
      <w:r>
        <w:rPr>
          <w:b/>
        </w:rPr>
        <w:t xml:space="preserve">Notes: </w:t>
      </w:r>
      <w:r>
        <w:t>abstract_source=crossref</w:t>
      </w:r>
    </w:p>
    <w:p>
      <w:pPr>
        <w:spacing w:before="0" w:after="200" w:lineRule="auto" w:line="276"/>
      </w:pPr>
      <w:r>
        <w:rPr>
          <w:b/>
        </w:rPr>
        <w:t xml:space="preserve">Abstract: </w:t>
      </w:r>
      <w:r>
        <w:t>Low‐temperature co‐fired ceramics (LTCC) with unique multilayer interconnection architectures are indispensable for electronic communication devices and high‐density integrated packaging, facing stringent demands in millimeter‐wave and higher‐frequency applications. This review highlights recent advances in optimizing the comprehensive performance of LTCCs and proposes strategies for further enhancement to meet the ever‐growing demands of high‐performance microwave devices and systems. Specifically, LTCC material designs tailored to achieve desirable properties are discussed, including appropriate permittivity, low dielectric loss, a near‐zero temperature coefficient of resonant frequency, high thermal conductivity, matched coefficient of thermal expansion, and excellent mechanical strength. Additionally, innovations in sintering technologies are highlighted, such as ultra‐low temperature co‐fired ceramic (ULTCC) technology and cold sintering process (CSP). These approaches further reduce sintering temperatures, enabling LTCCs to integrate with a broader range of materials (e.g., silicon chips, aluminum electrodes, 2D materials, and polymers) that were previously incompatible with traditional high‐temperature processes. Finally, this review offers insights into the future development directions of LTCCs in emerging applications, including 3D integration and advanced packaging, integrated communication and sensing systems, and millimeter‐wave/terahertz integrated miniaturized devices for next‐generation electronics.</w:t>
      </w:r>
    </w:p>
    <w:p>
      <w:pPr>
        <w:spacing w:before="120" w:after="120"/>
      </w:pPr>
      <w:r>
        <w:rPr>
          <w:sz w:val="18"/>
        </w:rPr>
        <w:t>——————————————————————————————————————————————————————————————————————</w:t>
      </w:r>
    </w:p>
    <w:p>
      <w:pPr>
        <w:spacing w:before="160" w:after="80" w:line="240" w:lineRule="auto"/>
      </w:pPr>
      <w:r>
        <w:rPr>
          <w:b/>
        </w:rPr>
        <w:t xml:space="preserve">[499] </w:t>
      </w:r>
      <w:hyperlink r:id="rId869">
        <w:r>
          <w:rPr>
            <w:color w:val="1155CC"/>
            <w:u w:val="single"/>
          </w:rPr>
          <w:t>Tailoring Point Defects to Enhance Thermoelectric Performance in AgCuTe‐Based Compounds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06:05:40+00:00</w:t>
      </w:r>
      <w:r>
        <w:t xml:space="preserve">    </w:t>
      </w:r>
      <w:r>
        <w:rPr>
          <w:b/>
        </w:rPr>
        <w:t xml:space="preserve">DOI: </w:t>
      </w:r>
      <w:hyperlink r:id="rId870">
        <w:r>
          <w:rPr>
            <w:color w:val="1155CC"/>
            <w:u w:val="single"/>
          </w:rPr>
          <w:t>10.1002/adma.202513610</w:t>
        </w:r>
      </w:hyperlink>
    </w:p>
    <w:p>
      <w:pPr>
        <w:spacing w:before="0" w:after="120"/>
      </w:pPr>
      <w:r>
        <w:rPr>
          <w:b/>
        </w:rPr>
        <w:t xml:space="preserve">Notes: </w:t>
      </w:r>
      <w:r>
        <w:t>abstract_source=crossref</w:t>
      </w:r>
    </w:p>
    <w:p>
      <w:pPr>
        <w:spacing w:before="0" w:after="200" w:lineRule="auto" w:line="276"/>
      </w:pPr>
      <w:r>
        <w:rPr>
          <w:b/>
        </w:rPr>
        <w:t xml:space="preserve">Abstract: </w:t>
      </w:r>
      <w:r>
        <w:t>Crystalline solids with intrinsically low lattice thermal conductivity are essential for advancing high‐performance thermoelectric materials. Superionic conductor AgCuTe exhibits inherently low lattice thermal conductivity and exceptional tunability in both electronic and phononic transport, making it a promising candidate for medium‐temperature thermoelectric applications. However, its practical deployment remains limited by suboptimal performance and insufficient optimization strategies. Here, we report a substantially enhanced dimensionless figure of merit (</w:t>
      </w:r>
      <w:r>
        <w:t xml:space="preserve"> </w:t>
      </w:r>
      <w:r>
        <w:t>ZT</w:t>
      </w:r>
      <w:r>
        <w:t xml:space="preserve"> </w:t>
      </w:r>
      <w:r>
        <w:t>) of ∼1.72 at 773 K in p‐type polycrystalline AgCuTe through a systematic point defects engineering strategy. Guided by mass and strain field fluctuation criteria for suppressing lattice thermal conductivity, sulfur is identified as an effective dopant. Subsequent introduction of cation vacancies further synergizes electronic and thermal transport, yielding a high average</w:t>
      </w:r>
      <w:r>
        <w:t xml:space="preserve"> </w:t>
      </w:r>
      <w:r>
        <w:t>ZT</w:t>
      </w:r>
      <w:r>
        <w:t xml:space="preserve"> </w:t>
      </w:r>
      <w:r>
        <w:t>of 1.55 between 523–773 K, surpassing all previously reported values for AgCuTe. Moreover, a segmented single‐leg thermoelectric module combining this material with commercial p‐type (Bi, Sb)</w:t>
      </w:r>
      <w:r>
        <w:rPr>
          <w:vertAlign w:val="subscript"/>
        </w:rPr>
        <w:t>2</w:t>
      </w:r>
      <w:r>
        <w:t>Te</w:t>
      </w:r>
      <w:r>
        <w:rPr>
          <w:vertAlign w:val="subscript"/>
        </w:rPr>
        <w:t>3</w:t>
      </w:r>
      <w:r>
        <w:t>achieves a high energy conversion efficiency of ∼13.7% under a temperature gradient of ∼467 K. These results underscore the efficacy of point defects engineering in optimizing superionic conductors and highlight the strong potential of AgCuTe for practical thermoelectric applications.</w:t>
      </w:r>
    </w:p>
    <w:p>
      <w:pPr>
        <w:spacing w:before="120" w:after="120"/>
      </w:pPr>
      <w:r>
        <w:rPr>
          <w:sz w:val="18"/>
        </w:rPr>
        <w:t>——————————————————————————————————————————————————————————————————————</w:t>
      </w:r>
    </w:p>
    <w:p>
      <w:pPr>
        <w:spacing w:before="160" w:after="80" w:line="240" w:lineRule="auto"/>
      </w:pPr>
      <w:r>
        <w:rPr>
          <w:b/>
        </w:rPr>
        <w:t xml:space="preserve">[500] </w:t>
      </w:r>
      <w:hyperlink r:id="rId871">
        <w:r>
          <w:rPr>
            <w:color w:val="1155CC"/>
            <w:u w:val="single"/>
          </w:rPr>
          <w:t>Reversible X‐Ray Memory Imaging for Cadmium‐Based Perovskites: Deep Trap‐Driven Radioluminescence Enhancement</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06:07:21+00:00</w:t>
      </w:r>
      <w:r>
        <w:t xml:space="preserve">    </w:t>
      </w:r>
      <w:r>
        <w:rPr>
          <w:b/>
        </w:rPr>
        <w:t xml:space="preserve">DOI: </w:t>
      </w:r>
      <w:hyperlink r:id="rId872">
        <w:r>
          <w:rPr>
            <w:color w:val="1155CC"/>
            <w:u w:val="single"/>
          </w:rPr>
          <w:t>10.1002/adma.202520865</w:t>
        </w:r>
      </w:hyperlink>
    </w:p>
    <w:p>
      <w:pPr>
        <w:spacing w:before="0" w:after="120"/>
      </w:pPr>
      <w:r>
        <w:rPr>
          <w:b/>
        </w:rPr>
        <w:t xml:space="preserve">Notes: </w:t>
      </w:r>
      <w:r>
        <w:t>abstract_source=crossref</w:t>
      </w:r>
    </w:p>
    <w:p>
      <w:pPr>
        <w:spacing w:before="0" w:after="200" w:lineRule="auto" w:line="276"/>
      </w:pPr>
      <w:r>
        <w:rPr>
          <w:b/>
        </w:rPr>
        <w:t xml:space="preserve">Abstract: </w:t>
      </w:r>
      <w:r>
        <w:t>X‐ray imaging has attracted significant attention for information encryption and anti‐counterfeiting. However, ensuring information security under multi‐level encryption scenarios remains challenges. Herein, we have developed a reversible X‐ray memory imaging technique for CsCdCl</w:t>
      </w:r>
      <w:r>
        <w:rPr>
          <w:vertAlign w:val="subscript"/>
        </w:rPr>
        <w:t>3</w:t>
      </w:r>
      <w:r>
        <w:t>:Pb perovskite, which integrates blue emission, persistent luminescence, and photochromic behavior into four stimulus response modes, enabling the multi‐level information encryption. Notably, CsCdCl</w:t>
      </w:r>
      <w:r>
        <w:rPr>
          <w:vertAlign w:val="subscript"/>
        </w:rPr>
        <w:t>3</w:t>
      </w:r>
      <w:r>
        <w:t>:Pb exhibits photochromic deepening, accompanied by a two‐fold enhancement in radioluminescence (RL) intensity with increasing X‐ray irradiation time. This enhancement originates from the formation of a new deep trap (0.79 eV) that facilitates energy transfer from the color centers to the Pb</w:t>
      </w:r>
      <w:r>
        <w:t xml:space="preserve"> </w:t>
      </w:r>
      <w:r>
        <w:t>2+</w:t>
      </w:r>
      <w:r>
        <w:t xml:space="preserve"> </w:t>
      </w:r>
      <w:r>
        <w:t>emission centers. Importantly, X‐ray memory imaging is attributed to the differences in RL enhancement between extending X‐ray irradiation time and turning on the X‐ray tube after removing capsule, which is demonstrated by cycling tests and stability characterizations under different dose rates. As a result, the RL enhancement and X‐ray memory imaging share common advantages: reversibility, fast response (5 s), rapid erasure capability (450 nm, 10–20 s), fatigue resistance (more than 100 cycles), and long‐term stability (more than half a year). This work presents an effective strategy for designing multi‐mode stimulus response perovskite materials and opens a new avenue for advanced multi‐level information security.</w:t>
      </w:r>
    </w:p>
    <w:p>
      <w:pPr>
        <w:spacing w:before="120" w:after="120"/>
      </w:pPr>
      <w:r>
        <w:rPr>
          <w:sz w:val="18"/>
        </w:rPr>
        <w:t>——————————————————————————————————————————————————————————————————————</w:t>
      </w:r>
    </w:p>
    <w:p>
      <w:pPr>
        <w:spacing w:before="160" w:after="80" w:line="240" w:lineRule="auto"/>
      </w:pPr>
      <w:r>
        <w:rPr>
          <w:b/>
        </w:rPr>
        <w:t xml:space="preserve">[501] </w:t>
      </w:r>
      <w:hyperlink r:id="rId873">
        <w:r>
          <w:rPr>
            <w:color w:val="1155CC"/>
            <w:u w:val="single"/>
          </w:rPr>
          <w:t>Orally Administered Nanoparticle Coacervate for Therapeutic Coating of Full Gastrointestinal Tract</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06:10:12+00:00</w:t>
      </w:r>
      <w:r>
        <w:t xml:space="preserve">    </w:t>
      </w:r>
      <w:r>
        <w:rPr>
          <w:b/>
        </w:rPr>
        <w:t xml:space="preserve">DOI: </w:t>
      </w:r>
      <w:hyperlink r:id="rId874">
        <w:r>
          <w:rPr>
            <w:color w:val="1155CC"/>
            <w:u w:val="single"/>
          </w:rPr>
          <w:t>10.1002/adma.202514708</w:t>
        </w:r>
      </w:hyperlink>
    </w:p>
    <w:p>
      <w:pPr>
        <w:spacing w:before="0" w:after="120"/>
      </w:pPr>
      <w:r>
        <w:rPr>
          <w:b/>
        </w:rPr>
        <w:t xml:space="preserve">Notes: </w:t>
      </w:r>
      <w:r>
        <w:t>abstract_source=crossref</w:t>
      </w:r>
    </w:p>
    <w:p>
      <w:pPr>
        <w:spacing w:before="0" w:after="200" w:lineRule="auto" w:line="276"/>
      </w:pPr>
      <w:r>
        <w:rPr>
          <w:b/>
        </w:rPr>
        <w:t xml:space="preserve">Abstract: </w:t>
      </w:r>
      <w:r>
        <w:t>Oral delivery of therapeutic nanoparticles offers a non‐invasive approach for treating gastrointestinal diseases, but achieving localized and sustained mucosal exposure while avoiding systemic toxicity remains a major challenge. Here, a Sucralfate‐based oral formulation is developed that incorporates therapeutic nanoparticles and transforms into a paste‐like coacervate upon contact with intestinal fluid, uniformly coating the entire gastrointestinal tract within 6 h, and clearing through fecal transit by 12 h. Systematic investigation shows that nanoparticle hydrophobicity is essential for stable incorporation into Sucralfate‐based formulation, supporting compatibility with a wide range of nanoparticle types. The incorporated nanoparticles are stabilized by strong non‐covalent interactions, which limit gastric leaching and reduce cellular uptake by 0.044% compared with PEGylated nanoparticles. As a representative example, antioxidant cerium oxide nanoparticles are tested in two distinct oxidative stress‐related models of intestinal injury, including immune‐mediated colitis and radiation‐induced enteropathy. In DSS colitis, our system reduced weight loss from 17.2% to 2.2% and restored colon structure and oxidative‐stress injury. In radiation‐induced enteropathy, our system attenuated weight loss from 25.5% to 11.4%, doubled villus length, and markedly enhanced epithelial regeneration. The formulation also accommodates nanoparticles with imaging capability, demonstrating versatility for both therapeutic and diagnostic applications in gastrointestinal diseases.</w:t>
      </w:r>
    </w:p>
    <w:p>
      <w:pPr>
        <w:spacing w:before="120" w:after="120"/>
      </w:pPr>
      <w:r>
        <w:rPr>
          <w:sz w:val="18"/>
        </w:rPr>
        <w:t>——————————————————————————————————————————————————————————————————————</w:t>
      </w:r>
    </w:p>
    <w:p>
      <w:pPr>
        <w:spacing w:before="160" w:after="80" w:line="240" w:lineRule="auto"/>
      </w:pPr>
      <w:r>
        <w:rPr>
          <w:b/>
        </w:rPr>
        <w:t xml:space="preserve">[502] </w:t>
      </w:r>
      <w:hyperlink r:id="rId875">
        <w:r>
          <w:rPr>
            <w:color w:val="1155CC"/>
            <w:u w:val="single"/>
          </w:rPr>
          <w:t>pH‐Responsive Biomineralized Probiotic for Self‐Amplifying Mucosal Vaccination: Gut‐Engineered Antigen Factories Drive Targeted Cervical Tumor Regression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06:11:03+00:00</w:t>
      </w:r>
      <w:r>
        <w:t xml:space="preserve">    </w:t>
      </w:r>
      <w:r>
        <w:rPr>
          <w:b/>
        </w:rPr>
        <w:t xml:space="preserve">DOI: </w:t>
      </w:r>
      <w:hyperlink r:id="rId876">
        <w:r>
          <w:rPr>
            <w:color w:val="1155CC"/>
            <w:u w:val="single"/>
          </w:rPr>
          <w:t>10.1002/adma.202510404</w:t>
        </w:r>
      </w:hyperlink>
    </w:p>
    <w:p>
      <w:pPr>
        <w:spacing w:before="0" w:after="120"/>
      </w:pPr>
      <w:r>
        <w:rPr>
          <w:b/>
        </w:rPr>
        <w:t xml:space="preserve">Notes: </w:t>
      </w:r>
      <w:r>
        <w:t>abstract_source=crossref</w:t>
      </w:r>
    </w:p>
    <w:p>
      <w:pPr>
        <w:spacing w:before="0" w:after="200" w:lineRule="auto" w:line="276"/>
      </w:pPr>
      <w:r>
        <w:rPr>
          <w:b/>
        </w:rPr>
        <w:t xml:space="preserve">Abstract: </w:t>
      </w:r>
      <w:r>
        <w:t>Therapeutic vaccines against cervical cancer critically depend on sustained high‐level HPV antigen production and prolonged antigen exposure. However, suboptimal antigen bioavailability and rapid systemic clearance remain key barriers to achieving robust vaccine efficacy. Here, we engineer an oral biohybrid vaccine using pH‐responsive biomineralized</w:t>
      </w:r>
      <w:r>
        <w:t xml:space="preserve"> </w:t>
      </w:r>
      <w:r>
        <w:t>Bacillus subtilis</w:t>
      </w:r>
      <w:r>
        <w:t xml:space="preserve"> </w:t>
      </w:r>
      <w:r>
        <w:t>(B‐BS/E7@M) to establish gut‐based antigen factories for sustained HPV16 E7 production. The calcium phosphate mineral coating confers gastric acid resistance (78.9% survivability vs. 9.1% uncoated) and synergizes with probiotic‐mucosa interactions to prolong intestinal retention (96 h, 4 × controls), enabling &amp;gt;4‐day antigen persistence and markedly enhances oral bioavailability. This system elicits coordinated immune activation: mucosal priming through germinal center expansion and APC maturation elevates IgG, IgA, and T‐cell subsets—including total T cells, cytotoxic T cells, and effector memory T cells—from day 21 onward. Systemic CD8</w:t>
      </w:r>
      <w:r>
        <w:t xml:space="preserve"> </w:t>
      </w:r>
      <w:r>
        <w:t>+</w:t>
      </w:r>
      <w:r>
        <w:t xml:space="preserve"> </w:t>
      </w:r>
      <w:r>
        <w:t>T‐cell activation via cross‐presentation enhances central and effector memory T cells, promoting tumor infiltration and resulting in 64% tumor suppression (</w:t>
      </w:r>
      <w:r>
        <w:t xml:space="preserve"> </w:t>
      </w:r>
      <w:r>
        <w:t>p</w:t>
      </w:r>
      <w:r>
        <w:t xml:space="preserve"> </w:t>
      </w:r>
      <w:r>
        <w:t>&amp;lt; 0.001) with 50% complete remission in TC‐1 models. Mechanistic studies pinpoint gut‐orchestrated cytotoxic T cell clonal expansion as the dominant effector pathway. By bridging synthetic biology with stimuli‐responsive biomaterials, this work pioneers a paradigm of living biotherapeutics—self‐replicating, mucosa‐deployable systems for precision cancer immunotherapy.</w:t>
      </w:r>
    </w:p>
    <w:p>
      <w:pPr>
        <w:spacing w:before="120" w:after="120"/>
      </w:pPr>
      <w:r>
        <w:rPr>
          <w:sz w:val="18"/>
        </w:rPr>
        <w:t>——————————————————————————————————————————————————————————————————————</w:t>
      </w:r>
    </w:p>
    <w:p>
      <w:pPr>
        <w:spacing w:before="160" w:after="80" w:line="240" w:lineRule="auto"/>
      </w:pPr>
      <w:r>
        <w:rPr>
          <w:b/>
        </w:rPr>
        <w:t xml:space="preserve">[503] </w:t>
      </w:r>
      <w:hyperlink r:id="rId877">
        <w:r>
          <w:rPr>
            <w:color w:val="1155CC"/>
            <w:u w:val="single"/>
          </w:rPr>
          <w:t>Electrochemical Protection of Cyanobacterial Cells from Molecular Oxygen Enables Sustained PhotoH2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06:12:10+00:00</w:t>
      </w:r>
      <w:r>
        <w:t xml:space="preserve">    </w:t>
      </w:r>
      <w:r>
        <w:rPr>
          <w:b/>
        </w:rPr>
        <w:t xml:space="preserve">DOI: </w:t>
      </w:r>
      <w:hyperlink r:id="rId878">
        <w:r>
          <w:rPr>
            <w:color w:val="1155CC"/>
            <w:u w:val="single"/>
          </w:rPr>
          <w:t>10.1002/anie.202519077</w:t>
        </w:r>
      </w:hyperlink>
    </w:p>
    <w:p>
      <w:pPr>
        <w:spacing w:before="0" w:after="120"/>
      </w:pPr>
      <w:r>
        <w:rPr>
          <w:b/>
        </w:rPr>
        <w:t xml:space="preserve">Notes: </w:t>
      </w:r>
      <w:r>
        <w:t>abstract_source=crossref</w:t>
      </w:r>
    </w:p>
    <w:p>
      <w:pPr>
        <w:spacing w:before="0" w:after="200" w:lineRule="auto" w:line="276"/>
      </w:pPr>
      <w:r>
        <w:rPr>
          <w:b/>
        </w:rPr>
        <w:t xml:space="preserve">Abstract: </w:t>
      </w:r>
      <w:r>
        <w:t>Photosynthetic hydrogen (photoH</w:t>
      </w:r>
      <w:r>
        <w:rPr>
          <w:vertAlign w:val="subscript"/>
        </w:rPr>
        <w:t>2</w:t>
      </w:r>
      <w:r>
        <w:t>) production is appealing for sustainable energy conversion. Oxygenic photosynthesis uses water as the sole electron source and light to lift electrons to a high energy level. The energized electrons are used by the hydrogenase for the catalytic conversion of protons into H</w:t>
      </w:r>
      <w:r>
        <w:rPr>
          <w:vertAlign w:val="subscript"/>
        </w:rPr>
        <w:t>2</w:t>
      </w:r>
      <w:r>
        <w:t>. Photosynthetic microorganisms own all enzymatic equipment for this process, and the feasibility of photoH</w:t>
      </w:r>
      <w:r>
        <w:rPr>
          <w:vertAlign w:val="subscript"/>
        </w:rPr>
        <w:t>2</w:t>
      </w:r>
      <w:r>
        <w:t>production was demonstrated. However, one of the main limitations is that O</w:t>
      </w:r>
      <w:r>
        <w:rPr>
          <w:vertAlign w:val="subscript"/>
        </w:rPr>
        <w:t>2</w:t>
      </w:r>
      <w:r>
        <w:t>, which is generated as a byproduct of photosynthesis, compromises the activity of most hydrogenases and hinders the wider applicability of this strategy. We tackle this challenge, showing the protection of cyanobacterial cells from metabolically‐generated O</w:t>
      </w:r>
      <w:r>
        <w:rPr>
          <w:vertAlign w:val="subscript"/>
        </w:rPr>
        <w:t>2</w:t>
      </w:r>
      <w:r>
        <w:t>by the integration of intact cells into a viologen‐modified redox polymer. Electrochemical activation of the redox polymer allows O</w:t>
      </w:r>
      <w:r>
        <w:rPr>
          <w:vertAlign w:val="subscript"/>
        </w:rPr>
        <w:t>2</w:t>
      </w:r>
      <w:r>
        <w:t>removal in proximity to the cyanobacterial cells with a steep diffusional gradient of O</w:t>
      </w:r>
      <w:r>
        <w:rPr>
          <w:vertAlign w:val="subscript"/>
        </w:rPr>
        <w:t>2</w:t>
      </w:r>
      <w:r>
        <w:t>outside the cells. Microelectrochemical local analysis of O</w:t>
      </w:r>
      <w:r>
        <w:rPr>
          <w:vertAlign w:val="subscript"/>
        </w:rPr>
        <w:t>2</w:t>
      </w:r>
      <w:r>
        <w:t>and H</w:t>
      </w:r>
      <w:r>
        <w:rPr>
          <w:vertAlign w:val="subscript"/>
        </w:rPr>
        <w:t>2</w:t>
      </w:r>
      <w:r>
        <w:t>confirms the protection and the possibility of photoH</w:t>
      </w:r>
      <w:r>
        <w:rPr>
          <w:vertAlign w:val="subscript"/>
        </w:rPr>
        <w:t>2</w:t>
      </w:r>
      <w:r>
        <w:t>production. Moreover, the use of mutant cells integrating a photosystem I‐hydrogenase fusion enables sustained photosynthetic H</w:t>
      </w:r>
      <w:r>
        <w:rPr>
          <w:vertAlign w:val="subscript"/>
        </w:rPr>
        <w:t>2</w:t>
      </w:r>
      <w:r>
        <w:t>production under these conditions, with the electrons for prolonged photoH</w:t>
      </w:r>
      <w:r>
        <w:rPr>
          <w:vertAlign w:val="subscript"/>
        </w:rPr>
        <w:t>2</w:t>
      </w:r>
      <w:r>
        <w:t>production most likely originating from photosynthetic water splitting.</w:t>
      </w:r>
    </w:p>
    <w:p>
      <w:pPr>
        <w:spacing w:before="120" w:after="120"/>
      </w:pPr>
      <w:r>
        <w:rPr>
          <w:sz w:val="18"/>
        </w:rPr>
        <w:t>——————————————————————————————————————————————————————————————————————</w:t>
      </w:r>
    </w:p>
    <w:p>
      <w:pPr>
        <w:spacing w:before="160" w:after="80" w:line="240" w:lineRule="auto"/>
      </w:pPr>
      <w:r>
        <w:rPr>
          <w:b/>
        </w:rPr>
        <w:t xml:space="preserve">[504] </w:t>
      </w:r>
      <w:hyperlink r:id="rId879">
        <w:r>
          <w:rPr>
            <w:color w:val="1155CC"/>
            <w:u w:val="single"/>
          </w:rPr>
          <w:t>Spin–Orbit Interaction Enabled Nonlinear Metasurface Holography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06:12:19+00:00</w:t>
      </w:r>
      <w:r>
        <w:t xml:space="preserve">    </w:t>
      </w:r>
      <w:r>
        <w:rPr>
          <w:b/>
        </w:rPr>
        <w:t xml:space="preserve">DOI: </w:t>
      </w:r>
      <w:hyperlink r:id="rId880">
        <w:r>
          <w:rPr>
            <w:color w:val="1155CC"/>
            <w:u w:val="single"/>
          </w:rPr>
          <w:t>10.1002/adma.202521229</w:t>
        </w:r>
      </w:hyperlink>
    </w:p>
    <w:p>
      <w:pPr>
        <w:spacing w:before="0" w:after="120"/>
      </w:pPr>
      <w:r>
        <w:rPr>
          <w:b/>
        </w:rPr>
        <w:t xml:space="preserve">Notes: </w:t>
      </w:r>
      <w:r>
        <w:t>abstract_source=crossref</w:t>
      </w:r>
    </w:p>
    <w:p>
      <w:pPr>
        <w:spacing w:before="0" w:after="200" w:lineRule="auto" w:line="276"/>
      </w:pPr>
      <w:r>
        <w:rPr>
          <w:b/>
        </w:rPr>
        <w:t xml:space="preserve">Abstract: </w:t>
      </w:r>
      <w:r>
        <w:t>Nonlinear optical metasurfaces have emerged as a powerful platform for efficient and multi‐dimensional manipulation of harmonic waves, offering distinct advantages such as high‐integration capability and phase‐matching‐free operation. Spin and orbital angular momentum (SAM and OAM) provide rich degrees of freedom for advanced light field control. While SAM‐ and OAM‐multiplexing metasurface holograms have been realized in the linear optical regime, their performance is hindered by a low signal‐to‐noise ratio stemming from residual light mode conversion. Nonlinear OAM holography has recently been demonstrated; however, its practicality remains limited by reliance on bulky nonlinear optical crystals that exhibit only intrinsic spin–orbit interaction (SOI). Here, we introduce nonlinear SOI holography via second harmonic generation on optical metasurfaces composed of gold plasmonic meta‐atoms. By controlling the local rotational symmetry and topological charges, these metasurface holograms can fully harness optical SOI through both intrinsic and extrinsic angular momentum mode conversions. Information hidden in second harmonic holographic images can only be reconstructed from the spin–orbit tomography of the fundamental waves, ensuring high‐security nonlinear optical encryption. The proposed approach offers promising applications in optical communications, optical information processing, high‐dimensional optical storage, and so on.</w:t>
      </w:r>
    </w:p>
    <w:p>
      <w:pPr>
        <w:spacing w:before="120" w:after="120"/>
      </w:pPr>
      <w:r>
        <w:rPr>
          <w:sz w:val="18"/>
        </w:rPr>
        <w:t>——————————————————————————————————————————————————————————————————————</w:t>
      </w:r>
    </w:p>
    <w:p>
      <w:pPr>
        <w:spacing w:before="160" w:after="80" w:line="240" w:lineRule="auto"/>
      </w:pPr>
      <w:r>
        <w:rPr>
          <w:b/>
        </w:rPr>
        <w:t xml:space="preserve">[505] </w:t>
      </w:r>
      <w:hyperlink r:id="rId881">
        <w:r>
          <w:rPr>
            <w:color w:val="1155CC"/>
            <w:u w:val="single"/>
          </w:rPr>
          <w:t>Modulating Li+ and Polysulfide Solvation with Low‐Density Moderately Solvating Electrolytes for Lithium–Sulfur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06:13:35+00:00</w:t>
      </w:r>
      <w:r>
        <w:t xml:space="preserve">    </w:t>
      </w:r>
      <w:r>
        <w:rPr>
          <w:b/>
        </w:rPr>
        <w:t xml:space="preserve">DOI: </w:t>
      </w:r>
      <w:hyperlink r:id="rId882">
        <w:r>
          <w:rPr>
            <w:color w:val="1155CC"/>
            <w:u w:val="single"/>
          </w:rPr>
          <w:t>10.1002/anie.202522940</w:t>
        </w:r>
      </w:hyperlink>
    </w:p>
    <w:p>
      <w:pPr>
        <w:spacing w:before="0" w:after="120"/>
      </w:pPr>
      <w:r>
        <w:rPr>
          <w:b/>
        </w:rPr>
        <w:t xml:space="preserve">Notes: </w:t>
      </w:r>
      <w:r>
        <w:t>abstract_source=crossref</w:t>
      </w:r>
    </w:p>
    <w:p>
      <w:pPr>
        <w:spacing w:before="0" w:after="200" w:lineRule="auto" w:line="276"/>
      </w:pPr>
      <w:r>
        <w:rPr>
          <w:b/>
        </w:rPr>
        <w:t xml:space="preserve">Abstract: </w:t>
      </w:r>
      <w:r>
        <w:t>Lithium–sulfur (Li–S) batteries show great promise as the next‐generation rechargeable batteries, yet they still suffer from polysulfide shuttling and interphasial instability. Electrolyte, as the medium for ion transport and sulfur conversion, plays a crucial role in overcoming these challenges. Here, we introduce a moderately solvating electrolyte (MSE) based on low‐density, low‐viscosity, and nonfluorinated ether co‐solvents that balances polysulfide suppression, Li metal stabilization, and redox kinetics. Through multiple solvent–solvent and solvent‐ion interactions, the optimized MSE weakens Li</w:t>
      </w:r>
      <w:r>
        <w:t xml:space="preserve"> </w:t>
      </w:r>
      <w:r>
        <w:t>+</w:t>
      </w:r>
      <w:r>
        <w:t xml:space="preserve"> </w:t>
      </w:r>
      <w:r>
        <w:t>‐solvent pairing while strengthening cation–anion interactions, thereby lowering the desolvation barrier and promoting the formation of a favorable solid–electrolyte interphase (SEI). Meanwhile, MSE limits the polysulfide dissolution but improves the accessibility of active material through better wettability and tailored solvation environment, leading to an altered sulfur deposition mechanism with β – α conversion. This approach enables a stable cycling of high‐mass loading Li–S cells (&amp;gt; 3.5 mg cm</w:t>
      </w:r>
      <w:r>
        <w:t xml:space="preserve"> </w:t>
      </w:r>
      <w:r>
        <w:t>−2</w:t>
      </w:r>
      <w:r>
        <w:t xml:space="preserve"> </w:t>
      </w:r>
      <w:r>
        <w:t>) at both room temperature and 45 °C (where shuttling and side reactions are severer), and demonstrates a pouch cell with lean electrolyte content (4.5 µL mg s</w:t>
      </w:r>
      <w:r>
        <w:t xml:space="preserve"> </w:t>
      </w:r>
      <w:r>
        <w:t>−1</w:t>
      </w:r>
      <w:r>
        <w:t xml:space="preserve"> </w:t>
      </w:r>
      <w:r>
        <w:t>). This work highlights a practical route to develop high‐performance electrolyte for Li–S cells and provides mechanistic insights into their operation.</w:t>
      </w:r>
    </w:p>
    <w:p>
      <w:pPr>
        <w:spacing w:before="120" w:after="120"/>
      </w:pPr>
      <w:r>
        <w:rPr>
          <w:sz w:val="18"/>
        </w:rPr>
        <w:t>——————————————————————————————————————————————————————————————————————</w:t>
      </w:r>
    </w:p>
    <w:p>
      <w:pPr>
        <w:spacing w:before="160" w:after="80" w:line="240" w:lineRule="auto"/>
      </w:pPr>
      <w:r>
        <w:rPr>
          <w:b/>
        </w:rPr>
        <w:t xml:space="preserve">[506] </w:t>
      </w:r>
      <w:hyperlink r:id="rId883">
        <w:r>
          <w:rPr>
            <w:color w:val="1155CC"/>
            <w:u w:val="single"/>
          </w:rPr>
          <w:t>Fabricating High‐Performance MOD‐Derived YBa2Cu3O7‐δ Layers Over 4 µm via a Novel Semi‐Growth Approach</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06:13:38+00:00</w:t>
      </w:r>
      <w:r>
        <w:t xml:space="preserve">    </w:t>
      </w:r>
      <w:r>
        <w:rPr>
          <w:b/>
        </w:rPr>
        <w:t xml:space="preserve">DOI: </w:t>
      </w:r>
      <w:hyperlink r:id="rId884">
        <w:r>
          <w:rPr>
            <w:color w:val="1155CC"/>
            <w:u w:val="single"/>
          </w:rPr>
          <w:t>10.1002/adma.202509630</w:t>
        </w:r>
      </w:hyperlink>
    </w:p>
    <w:p>
      <w:pPr>
        <w:spacing w:before="0" w:after="120"/>
      </w:pPr>
      <w:r>
        <w:rPr>
          <w:b/>
        </w:rPr>
        <w:t xml:space="preserve">Notes: </w:t>
      </w:r>
      <w:r>
        <w:t>abstract_source=crossref</w:t>
      </w:r>
    </w:p>
    <w:p>
      <w:pPr>
        <w:spacing w:before="0" w:after="200" w:lineRule="auto" w:line="276"/>
      </w:pPr>
      <w:r>
        <w:rPr>
          <w:b/>
        </w:rPr>
        <w:t xml:space="preserve">Abstract: </w:t>
      </w:r>
      <w:r>
        <w:t>This study investigates an effective method for preparing high‐performance YBa</w:t>
      </w:r>
      <w:r>
        <w:rPr>
          <w:vertAlign w:val="subscript"/>
        </w:rPr>
        <w:t>2</w:t>
      </w:r>
      <w:r>
        <w:t>Cu</w:t>
      </w:r>
      <w:r>
        <w:rPr>
          <w:vertAlign w:val="subscript"/>
        </w:rPr>
        <w:t>3</w:t>
      </w:r>
      <w:r>
        <w:t>O</w:t>
      </w:r>
      <w:r>
        <w:t xml:space="preserve"> </w:t>
      </w:r>
      <w:r>
        <w:t>7‐δ</w:t>
      </w:r>
      <w:r>
        <w:t xml:space="preserve"> </w:t>
      </w:r>
      <w:r>
        <w:t>(YBCO)‐coated conductors with thick superconducting layers using a semi‐growth strategy on a metal–organic decomposition (MOD) industrial production line. The performance results demonstrate that the semi‐growth method offers considerable advantages in terms of the film growth quality and high performance owing to the systematic design of a reserved layer, compared to the performance of 2L+L/2L+2L (semi‐growth) YBCO thick tapes of varying thicknesses. The 2L+2L thick films over 3.5 µm achieve a critical current (</w:t>
      </w:r>
      <w:r>
        <w:t xml:space="preserve"> </w:t>
      </w:r>
      <w:r>
        <w:t>I</w:t>
      </w:r>
      <w:r>
        <w:t xml:space="preserve"> </w:t>
      </w:r>
      <w:r>
        <w:t>c</w:t>
      </w:r>
      <w:r>
        <w:t xml:space="preserve"> </w:t>
      </w:r>
      <w:r>
        <w:t>) of 1150 A/12 mm‐width (i.e., 958 A/cm‐w) at 77 K@self‐field, almost double that of conventional 2L (1.6 µm) YBCO tapes, as well as the in‐field performance at low temperature. Although the</w:t>
      </w:r>
      <w:r>
        <w:t xml:space="preserve"> </w:t>
      </w:r>
      <w:r>
        <w:t>I</w:t>
      </w:r>
      <w:r>
        <w:t xml:space="preserve"> </w:t>
      </w:r>
      <w:r>
        <w:t>c</w:t>
      </w:r>
      <w:r>
        <w:t xml:space="preserve"> </w:t>
      </w:r>
      <w:r>
        <w:t>performance decreases when the film thickness increases to 4.2 µm in 2L+2L mode, the overall trend still demonstrates considerable potential for thick‐film fabrication. High‐performance YBCO tapes have been successfully scaled to the industrial production of hundreds of meters, showcasing broad application prospects and significant scientific value.</w:t>
      </w:r>
    </w:p>
    <w:p>
      <w:pPr>
        <w:spacing w:before="120" w:after="120"/>
      </w:pPr>
      <w:r>
        <w:rPr>
          <w:sz w:val="18"/>
        </w:rPr>
        <w:t>——————————————————————————————————————————————————————————————————————</w:t>
      </w:r>
    </w:p>
    <w:p>
      <w:pPr>
        <w:spacing w:before="160" w:after="80" w:line="240" w:lineRule="auto"/>
      </w:pPr>
      <w:r>
        <w:rPr>
          <w:b/>
        </w:rPr>
        <w:t xml:space="preserve">[507] </w:t>
      </w:r>
      <w:hyperlink r:id="rId885">
        <w:r>
          <w:rPr>
            <w:color w:val="1155CC"/>
            <w:u w:val="single"/>
          </w:rPr>
          <w:t>Halide Bond Assisted Double Desymmetrization of Meso‐Dicarboxylic Acids with Symmetrical Olefins via Asymmetric Halogenation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06:15:01+00:00</w:t>
      </w:r>
      <w:r>
        <w:t xml:space="preserve">    </w:t>
      </w:r>
      <w:r>
        <w:rPr>
          <w:b/>
        </w:rPr>
        <w:t xml:space="preserve">DOI: </w:t>
      </w:r>
      <w:hyperlink r:id="rId886">
        <w:r>
          <w:rPr>
            <w:color w:val="1155CC"/>
            <w:u w:val="single"/>
          </w:rPr>
          <w:t>10.1002/anie.202520866</w:t>
        </w:r>
      </w:hyperlink>
    </w:p>
    <w:p>
      <w:pPr>
        <w:spacing w:before="0" w:after="120"/>
      </w:pPr>
      <w:r>
        <w:rPr>
          <w:b/>
        </w:rPr>
        <w:t xml:space="preserve">Notes: </w:t>
      </w:r>
      <w:r>
        <w:t>abstract_source=crossref</w:t>
      </w:r>
    </w:p>
    <w:p>
      <w:pPr>
        <w:spacing w:before="0" w:after="200" w:lineRule="auto" w:line="276"/>
      </w:pPr>
      <w:r>
        <w:rPr>
          <w:b/>
        </w:rPr>
        <w:t xml:space="preserve">Abstract: </w:t>
      </w:r>
      <w:r>
        <w:t>The efficient synthesis of complex chiral molecules from achiral precursors is essential for sustainable pharmaceutical development. Among available strategies, the desymmetrization of</w:t>
      </w:r>
      <w:r>
        <w:t xml:space="preserve"> </w:t>
      </w:r>
      <w:r>
        <w:t>meso</w:t>
      </w:r>
      <w:r>
        <w:t xml:space="preserve"> </w:t>
      </w:r>
      <w:r>
        <w:t>compounds provides a powerful route to construct multiple stereocenters in a single step. Although</w:t>
      </w:r>
      <w:r>
        <w:t xml:space="preserve"> </w:t>
      </w:r>
      <w:r>
        <w:t>meso</w:t>
      </w:r>
      <w:r>
        <w:t xml:space="preserve"> </w:t>
      </w:r>
      <w:r>
        <w:t>‐dicarboxylic acids are promising feedstocks, their catalytic asymmetric desymmetrization remains a significant challenge. Herein we report a catalytic asymmetric halolactonization of</w:t>
      </w:r>
      <w:r>
        <w:t xml:space="preserve"> </w:t>
      </w:r>
      <w:r>
        <w:t>meso</w:t>
      </w:r>
      <w:r>
        <w:t xml:space="preserve"> </w:t>
      </w:r>
      <w:r>
        <w:t>‐dicarboxylic acids with electronically unbiased olefins, achieving simultaneous desymmetrization of both the</w:t>
      </w:r>
      <w:r>
        <w:t xml:space="preserve"> </w:t>
      </w:r>
      <w:r>
        <w:t>meso</w:t>
      </w:r>
      <w:r>
        <w:t xml:space="preserve"> </w:t>
      </w:r>
      <w:r>
        <w:t>‐dicarboxylic acid and haliranium intermediate. This method efficiently constructs chiral caged polycyclic lactones bearing six stereocenters in a single operation. Furthermore, the reaction is extended to exocyclic olefins, granting access to valuable terpenoid scaffolds. Its synthetic utility is highlighted by the enantioselective formal synthesis of (–)‐longifolene, establishing a versatile platform for accessing norbornane‐based natural products. Mechanistic studies reveal that the brominated amino‐urea catalyst operates as a biomimetic hydrogen‐bonding activator. Unexpectedly, the bromine substituent on the catalysts functions as an unconventional Brønsted base to stabilize a key intermediate via halide bond instead of a typical halogen bond. This work marks a substantial advancement in terpenoid synthesis, merging operational simplicity with the efficient generation of multiple stereocenters in a single transformation.</w:t>
      </w:r>
    </w:p>
    <w:p>
      <w:pPr>
        <w:spacing w:before="120" w:after="120"/>
      </w:pPr>
      <w:r>
        <w:rPr>
          <w:sz w:val="18"/>
        </w:rPr>
        <w:t>——————————————————————————————————————————————————————————————————————</w:t>
      </w:r>
    </w:p>
    <w:p>
      <w:pPr>
        <w:spacing w:before="160" w:after="80" w:line="240" w:lineRule="auto"/>
      </w:pPr>
      <w:r>
        <w:rPr>
          <w:b/>
        </w:rPr>
        <w:t xml:space="preserve">[508] </w:t>
      </w:r>
      <w:hyperlink r:id="rId887">
        <w:r>
          <w:rPr>
            <w:color w:val="1155CC"/>
            <w:u w:val="single"/>
          </w:rPr>
          <w:t>MOF‐Derived High‐Entropy Biphasic Sulfides for Zn‐I2‐S Synergistic Batteries with Machine‐Learning‐Assisted Prediction and In Situ Synchrotron Spectroscopy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06:15:02+00:00</w:t>
      </w:r>
      <w:r>
        <w:t xml:space="preserve">    </w:t>
      </w:r>
      <w:r>
        <w:rPr>
          <w:b/>
        </w:rPr>
        <w:t xml:space="preserve">DOI: </w:t>
      </w:r>
      <w:hyperlink r:id="rId888">
        <w:r>
          <w:rPr>
            <w:color w:val="1155CC"/>
            <w:u w:val="single"/>
          </w:rPr>
          <w:t>10.1002/adma.202523371</w:t>
        </w:r>
      </w:hyperlink>
    </w:p>
    <w:p>
      <w:pPr>
        <w:spacing w:before="0" w:after="120"/>
      </w:pPr>
      <w:r>
        <w:rPr>
          <w:b/>
        </w:rPr>
        <w:t xml:space="preserve">Notes: </w:t>
      </w:r>
      <w:r>
        <w:t>abstract_source=crossref</w:t>
      </w:r>
    </w:p>
    <w:p>
      <w:pPr>
        <w:spacing w:before="0" w:after="200" w:lineRule="auto" w:line="276"/>
      </w:pPr>
      <w:r>
        <w:rPr>
          <w:b/>
        </w:rPr>
        <w:t xml:space="preserve">Abstract: </w:t>
      </w:r>
      <w:r>
        <w:t>The practical application of aqueous zinc batteries remains constrained by the intrinsic limitations of monocomponent systems, such as the shuttle effect in Zn‐I</w:t>
      </w:r>
      <w:r>
        <w:rPr>
          <w:vertAlign w:val="subscript"/>
        </w:rPr>
        <w:t>2</w:t>
      </w:r>
      <w:r>
        <w:t>batteries and the sluggish kinetics in Zn─S batteries. To overcome these limitations, we developed a Zn‐S‐I</w:t>
      </w:r>
      <w:r>
        <w:rPr>
          <w:vertAlign w:val="subscript"/>
        </w:rPr>
        <w:t>2</w:t>
      </w:r>
      <w:r>
        <w:t>synergistic battery that synergistically exploits the complementary advantages of dual redox couples. A bifunctional high‐entropy sulfide (HES) catalyst anchored on N‐doped carbon nanosheets was engineered via a surfactant‐assisted metal‐organic framework (MOF) derivatization route. The entropy‐stabilized HES forms a unique wurtzite/zincblende biphasic structure, creating abundant grain boundaries and synergistic active sites. Electrochemical studies demonstrate that the synergistic battery exhibits outstanding electrochemical performance and cycling stability. Machine learning (ML) models were established to predict electrochemical behavior under various operating conditions. Operando synchrotron‐based spectroscopy combined with theoretical calculations revealed that the biphasic HES synergistically catalyzes multi‐step conversion reactions, simultaneously lowering energy barriers and suppressing shuttle effects. This work offers new insights into high‐entropy electrocatalysts for complex multi‐step energy storage reactions.</w:t>
      </w:r>
    </w:p>
    <w:p>
      <w:pPr>
        <w:spacing w:before="120" w:after="120"/>
      </w:pPr>
      <w:r>
        <w:rPr>
          <w:sz w:val="18"/>
        </w:rPr>
        <w:t>——————————————————————————————————————————————————————————————————————</w:t>
      </w:r>
    </w:p>
    <w:p>
      <w:pPr>
        <w:spacing w:before="160" w:after="80" w:line="240" w:lineRule="auto"/>
      </w:pPr>
      <w:r>
        <w:rPr>
          <w:b/>
        </w:rPr>
        <w:t xml:space="preserve">[509] </w:t>
      </w:r>
      <w:hyperlink r:id="rId889">
        <w:r>
          <w:rPr>
            <w:color w:val="1155CC"/>
            <w:u w:val="single"/>
          </w:rPr>
          <w:t>Operando Insights into Bridging Oxygen‐Driven RuOx Lattice Collapse and its Mitigation Strategy for Durable Industrial PEMWE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90">
        <w:r>
          <w:rPr>
            <w:color w:val="1155CC"/>
            <w:u w:val="single"/>
          </w:rPr>
          <w:t>10.1002/anie.202520766</w:t>
        </w:r>
      </w:hyperlink>
    </w:p>
    <w:p>
      <w:pPr>
        <w:spacing w:before="0" w:after="120"/>
      </w:pPr>
      <w:r>
        <w:rPr>
          <w:b/>
        </w:rPr>
        <w:t xml:space="preserve">Notes: </w:t>
      </w:r>
      <w:r>
        <w:t>abstract_source=crossref</w:t>
      </w:r>
    </w:p>
    <w:p>
      <w:pPr>
        <w:spacing w:before="0" w:after="200" w:lineRule="auto" w:line="276"/>
      </w:pPr>
      <w:r>
        <w:rPr>
          <w:b/>
        </w:rPr>
        <w:t xml:space="preserve">Abstract: </w:t>
      </w:r>
      <w:r>
        <w:t>Ruthenium oxide (RuO</w:t>
      </w:r>
      <w:r>
        <w:t xml:space="preserve"> </w:t>
      </w:r>
      <w:r>
        <w:t>x</w:t>
      </w:r>
      <w:r>
        <w:t xml:space="preserve"> </w:t>
      </w:r>
      <w:r>
        <w:t>) is a promising anode catalyst for proton exchange membrane water electrolysis (PEMWE), but its degradation mechanism, especially under practical ampere‐level operation, remains elusive. Herein, we established a device‐level diagnostic framework to investigate the evolution of RuO</w:t>
      </w:r>
      <w:r>
        <w:t xml:space="preserve"> </w:t>
      </w:r>
      <w:r>
        <w:t>x</w:t>
      </w:r>
      <w:r>
        <w:t xml:space="preserve"> </w:t>
      </w:r>
      <w:r>
        <w:t>.</w:t>
      </w:r>
      <w:r>
        <w:t xml:space="preserve"> </w:t>
      </w:r>
      <w:r>
        <w:t>Operando</w:t>
      </w:r>
      <w:r>
        <w:t xml:space="preserve"> </w:t>
      </w:r>
      <w:r>
        <w:t>PEMWE‐based X‐ray absorption spectroscopy (XAS) revealed a progressive negative shift of the Ru K‐edge. Extended X‐ray absorption fine structure (EXAFS) analysis further showed a pronounced decrease in both Ru–O and Ru–O–Ru coordination, revealing that irreversible loss of bridging oxygen (O</w:t>
      </w:r>
      <w:r>
        <w:t xml:space="preserve"> </w:t>
      </w:r>
      <w:r>
        <w:t>bridge</w:t>
      </w:r>
      <w:r>
        <w:t xml:space="preserve"> </w:t>
      </w:r>
      <w:r>
        <w:t>) triggers the final catalyst deactivation. Guided by these insights, we demonstrated that low‐level Ir doping in Ru</w:t>
      </w:r>
      <w:r>
        <w:t xml:space="preserve"> </w:t>
      </w:r>
      <w:r>
        <w:t>0.9</w:t>
      </w:r>
      <w:r>
        <w:t xml:space="preserve"> </w:t>
      </w:r>
      <w:r>
        <w:t>Ir</w:t>
      </w:r>
      <w:r>
        <w:t xml:space="preserve"> </w:t>
      </w:r>
      <w:r>
        <w:t>0.1</w:t>
      </w:r>
      <w:r>
        <w:t xml:space="preserve"> </w:t>
      </w:r>
      <w:r>
        <w:t>O</w:t>
      </w:r>
      <w:r>
        <w:t xml:space="preserve"> </w:t>
      </w:r>
      <w:r>
        <w:t>x</w:t>
      </w:r>
      <w:r>
        <w:t xml:space="preserve"> </w:t>
      </w:r>
      <w:r>
        <w:t>could notably increase the O</w:t>
      </w:r>
      <w:r>
        <w:t xml:space="preserve"> </w:t>
      </w:r>
      <w:r>
        <w:t>bridge</w:t>
      </w:r>
      <w:r>
        <w:t xml:space="preserve"> </w:t>
      </w:r>
      <w:r>
        <w:t>vacancy formation energy and thus stabilize the Ru–O framework. Under identical PEMWE operating conditions, the Ru valence state and coordination environment in Ru</w:t>
      </w:r>
      <w:r>
        <w:t xml:space="preserve"> </w:t>
      </w:r>
      <w:r>
        <w:t>0.9</w:t>
      </w:r>
      <w:r>
        <w:t xml:space="preserve"> </w:t>
      </w:r>
      <w:r>
        <w:t>Ir</w:t>
      </w:r>
      <w:r>
        <w:t xml:space="preserve"> </w:t>
      </w:r>
      <w:r>
        <w:t>0.1</w:t>
      </w:r>
      <w:r>
        <w:t xml:space="preserve"> </w:t>
      </w:r>
      <w:r>
        <w:t>O</w:t>
      </w:r>
      <w:r>
        <w:t xml:space="preserve"> </w:t>
      </w:r>
      <w:r>
        <w:t>x</w:t>
      </w:r>
      <w:r>
        <w:t xml:space="preserve"> </w:t>
      </w:r>
      <w:r>
        <w:t>remain relatively stable. In‐cell electrochemical impedance spectroscopy (EIS) and distribution of relaxation time (DRT) analyses confirmed that this structural stabilization strategy effectively maintains low electrode kinetic and proton transport resistances across a range of cell voltages, enabling stable operation at industrially relevant ampere‐level current densities. Finally, the resulting Ru</w:t>
      </w:r>
      <w:r>
        <w:t xml:space="preserve"> </w:t>
      </w:r>
      <w:r>
        <w:t>0.9</w:t>
      </w:r>
      <w:r>
        <w:t xml:space="preserve"> </w:t>
      </w:r>
      <w:r>
        <w:t>Ir</w:t>
      </w:r>
      <w:r>
        <w:t xml:space="preserve"> </w:t>
      </w:r>
      <w:r>
        <w:t>0.1</w:t>
      </w:r>
      <w:r>
        <w:t xml:space="preserve"> </w:t>
      </w:r>
      <w:r>
        <w:t>O</w:t>
      </w:r>
      <w:r>
        <w:t xml:space="preserve"> </w:t>
      </w:r>
      <w:r>
        <w:t>x</w:t>
      </w:r>
      <w:r>
        <w:t xml:space="preserve"> </w:t>
      </w:r>
      <w:r>
        <w:t>catalyst achieves 1.74 V at 3 A cm</w:t>
      </w:r>
      <w:r>
        <w:t xml:space="preserve"> </w:t>
      </w:r>
      <w:r>
        <w:t>−2</w:t>
      </w:r>
      <w:r>
        <w:t xml:space="preserve"> </w:t>
      </w:r>
      <w:r>
        <w:t>and stably operates for 500 h at 1 A cm</w:t>
      </w:r>
      <w:r>
        <w:t xml:space="preserve"> </w:t>
      </w:r>
      <w:r>
        <w:t>−2</w:t>
      </w:r>
      <w:r>
        <w:t xml:space="preserve"> </w:t>
      </w:r>
      <w:r>
        <w:t>, outperforming most reported Ru‐based anodes.</w:t>
      </w:r>
    </w:p>
    <w:p>
      <w:pPr>
        <w:spacing w:before="120" w:after="120"/>
      </w:pPr>
      <w:r>
        <w:rPr>
          <w:sz w:val="18"/>
        </w:rPr>
        <w:t>——————————————————————————————————————————————————————————————————————</w:t>
      </w:r>
    </w:p>
    <w:p>
      <w:pPr>
        <w:spacing w:before="160" w:after="80" w:line="240" w:lineRule="auto"/>
      </w:pPr>
      <w:r>
        <w:rPr>
          <w:b/>
        </w:rPr>
        <w:t xml:space="preserve">[510] </w:t>
      </w:r>
      <w:hyperlink r:id="rId891">
        <w:r>
          <w:rPr>
            <w:color w:val="1155CC"/>
            <w:u w:val="single"/>
          </w:rPr>
          <w:t>A Zinc Solvation‐Tailored Deep Eutectic Electrolyte for High‐Performance Zinc‐Ion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92">
        <w:r>
          <w:rPr>
            <w:color w:val="1155CC"/>
            <w:u w:val="single"/>
          </w:rPr>
          <w:t>10.1002/anie.202514392</w:t>
        </w:r>
      </w:hyperlink>
    </w:p>
    <w:p>
      <w:pPr>
        <w:spacing w:before="0" w:after="120"/>
      </w:pPr>
      <w:r>
        <w:rPr>
          <w:b/>
        </w:rPr>
        <w:t xml:space="preserve">Notes: </w:t>
      </w:r>
      <w:r>
        <w:t>abstract_source=crossref</w:t>
      </w:r>
    </w:p>
    <w:p>
      <w:pPr>
        <w:spacing w:before="0" w:after="200" w:lineRule="auto" w:line="276"/>
      </w:pPr>
      <w:r>
        <w:rPr>
          <w:b/>
        </w:rPr>
        <w:t xml:space="preserve">Abstract: </w:t>
      </w:r>
      <w:r>
        <w:t>Aqueous zinc‐ion batteries (AZIBs) are gaining attention as safe and cost‐effective alternatives to lithium‐ion batteries; however, their performance is fundamentally limited by parasitic reactions such as hydrogen evolution (HER), dendrite growth, and surface passivation, which result from the high reactivity of water. In this study, we report a novel nonhydrated deep eutectic electrolyte (DES), termed OUD‐122, formulated from Zn(OTf)</w:t>
      </w:r>
      <w:r>
        <w:rPr>
          <w:vertAlign w:val="subscript"/>
        </w:rPr>
        <w:t>2</w:t>
      </w:r>
      <w:r>
        <w:t>, urea, and dimethyl sulfoxide (DMSO) in a 1:2:2 molar ratio. In this ternary system, DMSO acts as a coordinating ligand to Zn</w:t>
      </w:r>
      <w:r>
        <w:t xml:space="preserve"> </w:t>
      </w:r>
      <w:r>
        <w:t>2+</w:t>
      </w:r>
      <w:r>
        <w:t xml:space="preserve"> </w:t>
      </w:r>
      <w:r>
        <w:t>, resulting in a well‐defined solvation structure and an extended hydrogen‐bond network among Zn(OTf)</w:t>
      </w:r>
      <w:r>
        <w:rPr>
          <w:vertAlign w:val="subscript"/>
        </w:rPr>
        <w:t>2</w:t>
      </w:r>
      <w:r>
        <w:t>, urea, and DMSO. This coordination environment effectively suppresses parasitic reactions, prevents byproduct accumulation and electrode corrosion, and significantly expands the electrochemical stability window. As a result, Zn||Zn symmetric cell exhibits exceptional lifespan exceeding 3000 h without short‐circuiting, while Zn||Cu asymmetric cells maintain an average Coulombic efficiency of 98.4% over 400 cycles. Furthermore, Zn||Prussian Blue full cells deliver a discharge capacity of 82.5 mAh g</w:t>
      </w:r>
      <w:r>
        <w:t xml:space="preserve"> </w:t>
      </w:r>
      <w:r>
        <w:t>−1</w:t>
      </w:r>
      <w:r>
        <w:t xml:space="preserve"> </w:t>
      </w:r>
      <w:r>
        <w:t>over 5000 cycles at room temperature and maintain 89.6 mAh g</w:t>
      </w:r>
      <w:r>
        <w:t xml:space="preserve"> </w:t>
      </w:r>
      <w:r>
        <w:t>−1</w:t>
      </w:r>
      <w:r>
        <w:t xml:space="preserve"> </w:t>
      </w:r>
      <w:r>
        <w:t>after 800 cycles at 50</w:t>
      </w:r>
      <w:r>
        <w:t xml:space="preserve"> </w:t>
      </w:r>
      <w:r>
        <w:t>°C, demonstrating robust electrochemical performance and thermal resilience.</w:t>
      </w:r>
    </w:p>
    <w:p>
      <w:pPr>
        <w:spacing w:before="120" w:after="120"/>
      </w:pPr>
      <w:r>
        <w:rPr>
          <w:sz w:val="18"/>
        </w:rPr>
        <w:t>——————————————————————————————————————————————————————————————————————</w:t>
      </w:r>
    </w:p>
    <w:p>
      <w:pPr>
        <w:spacing w:before="160" w:after="80" w:line="240" w:lineRule="auto"/>
      </w:pPr>
      <w:r>
        <w:rPr>
          <w:b/>
        </w:rPr>
        <w:t xml:space="preserve">[511] </w:t>
      </w:r>
      <w:hyperlink r:id="rId893">
        <w:r>
          <w:rPr>
            <w:color w:val="1155CC"/>
            <w:u w:val="single"/>
          </w:rPr>
          <w:t>Anionic Hofmeister Effect Differentiated Subcellular Distributions of pH‐Responsive Metal–Organic Cages for Tumor Photodynamic Immunotherapy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94">
        <w:r>
          <w:rPr>
            <w:color w:val="1155CC"/>
            <w:u w:val="single"/>
          </w:rPr>
          <w:t>10.1002/anie.202515058</w:t>
        </w:r>
      </w:hyperlink>
    </w:p>
    <w:p>
      <w:pPr>
        <w:spacing w:before="0" w:after="120"/>
      </w:pPr>
      <w:r>
        <w:rPr>
          <w:b/>
        </w:rPr>
        <w:t xml:space="preserve">Notes: </w:t>
      </w:r>
      <w:r>
        <w:t>abstract_source=crossref</w:t>
      </w:r>
    </w:p>
    <w:p>
      <w:pPr>
        <w:spacing w:before="0" w:after="200" w:lineRule="auto" w:line="276"/>
      </w:pPr>
      <w:r>
        <w:rPr>
          <w:b/>
        </w:rPr>
        <w:t xml:space="preserve">Abstract: </w:t>
      </w:r>
      <w:r>
        <w:t>The precise control of subcellular distribution offers significant advantages for advancing the understanding of cellular biology and targeted theranostics strategies. Herein, we report anionic Hofmeister effect triggered allostery of pH‐responsive metal–organic cage MOC‐68, which regulates the subcellular distributions with the salting‐out MOC‐68‐BF</w:t>
      </w:r>
      <w:r>
        <w:rPr>
          <w:vertAlign w:val="subscript"/>
        </w:rPr>
        <w:t>4</w:t>
      </w:r>
      <w:r>
        <w:t>exhibiting preferential cell membrane anchoring, while the salting‐in MOC‐68‐Cl demonstrating more endocytosis for lysosome targeting. Owing to the integration of multi‐functionalities of protonating imidazole moieties, conformationally adaptive amine vertices, and microsecond luminescent lifetimes into a nanocage, these MOCs show pH‐responsive singlet oxygen (</w:t>
      </w:r>
      <w:r>
        <w:rPr>
          <w:vertAlign w:val="subscript"/>
        </w:rPr>
        <w:t>1</w:t>
      </w:r>
      <w:r>
        <w:t>O</w:t>
      </w:r>
      <w:r>
        <w:rPr>
          <w:vertAlign w:val="subscript"/>
        </w:rPr>
        <w:t>2</w:t>
      </w:r>
      <w:r>
        <w:t>) generation through energy transfer pathways, and achieve microenvironment‐programmed photodynamic precision by anchoring MOC‐68‐BF</w:t>
      </w:r>
      <w:r>
        <w:rPr>
          <w:vertAlign w:val="subscript"/>
        </w:rPr>
        <w:t>4</w:t>
      </w:r>
      <w:r>
        <w:t>to near‐neutral cell membranes whereas enriching MOC‐68‐Cl in acidic lysosomes, which drives spatially resolved</w:t>
      </w:r>
      <w:r>
        <w:rPr>
          <w:vertAlign w:val="subscript"/>
        </w:rPr>
        <w:t>1</w:t>
      </w:r>
      <w:r>
        <w:t>O</w:t>
      </w:r>
      <w:r>
        <w:rPr>
          <w:vertAlign w:val="subscript"/>
        </w:rPr>
        <w:t>2</w:t>
      </w:r>
      <w:r>
        <w:t>generation gradients via protonation‐optimized metal‐to‐ligand charge transfer. Moreover, MOC‐68‐Cl achieves superior photocytotoxicity through PANoptosis‐mediated immunogenic cell death, driving primary tumor ablation via localized</w:t>
      </w:r>
      <w:r>
        <w:rPr>
          <w:vertAlign w:val="subscript"/>
        </w:rPr>
        <w:t>1</w:t>
      </w:r>
      <w:r>
        <w:t>O</w:t>
      </w:r>
      <w:r>
        <w:rPr>
          <w:vertAlign w:val="subscript"/>
        </w:rPr>
        <w:t>2</w:t>
      </w:r>
      <w:r>
        <w:t>burst while systemically activating T cell‐dependent adaptive immunity to concurrently suppress tumor progression and inhibit lung metastasis. This work highlights the potential of anion‐mediated biological behaviors of MOCs, providing a way to advance nanocage biomedicine for future precision theranostic applications.</w:t>
      </w:r>
    </w:p>
    <w:p>
      <w:pPr>
        <w:spacing w:before="120" w:after="120"/>
      </w:pPr>
      <w:r>
        <w:rPr>
          <w:sz w:val="18"/>
        </w:rPr>
        <w:t>——————————————————————————————————————————————————————————————————————</w:t>
      </w:r>
    </w:p>
    <w:p>
      <w:pPr>
        <w:spacing w:before="160" w:after="80" w:line="240" w:lineRule="auto"/>
      </w:pPr>
      <w:r>
        <w:rPr>
          <w:b/>
        </w:rPr>
        <w:t xml:space="preserve">[512] </w:t>
      </w:r>
      <w:hyperlink r:id="rId895">
        <w:r>
          <w:rPr>
            <w:color w:val="1155CC"/>
            <w:u w:val="single"/>
          </w:rPr>
          <w:t>Amide and Thioester Synthesis Via Oxidative Coupling of Alcohols with Amines or Thiols Using Alcohol Dehydrogenases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96">
        <w:r>
          <w:rPr>
            <w:color w:val="1155CC"/>
            <w:u w:val="single"/>
          </w:rPr>
          <w:t>10.1002/anie.202515469</w:t>
        </w:r>
      </w:hyperlink>
    </w:p>
    <w:p>
      <w:pPr>
        <w:spacing w:before="0" w:after="120"/>
      </w:pPr>
      <w:r>
        <w:rPr>
          <w:b/>
        </w:rPr>
        <w:t xml:space="preserve">Notes: </w:t>
      </w:r>
      <w:r>
        <w:t>abstract_source=crossref</w:t>
      </w:r>
    </w:p>
    <w:p>
      <w:pPr>
        <w:spacing w:before="0" w:after="200" w:lineRule="auto" w:line="276"/>
      </w:pPr>
      <w:r>
        <w:rPr>
          <w:b/>
        </w:rPr>
        <w:t xml:space="preserve">Abstract: </w:t>
      </w:r>
      <w:r>
        <w:t>Amide and thioester moieties are prevalent in pharmaceuticals, natural products, and functional materials, but their chemical synthesis suffers from poor atom economy and ungreen conditions, while biocatalytic methods require ATP‐dependent enzymes, activated intermediates, or show limited scope and activity. Here, we report the oxidative coupling of alcohols with ammonia or amines catalyzed by alcohol dehydrogenases (ADHs) via hemiaminal intermediates to form primary and secondary amides at pH 9.5–10.5. Pf‐ADH preferably converted linear aliphatic or arylaliphatic alcohols (up to 90% conversion), while Pp‐ADH and Aa‐ADH preferably converted branched or aromatic alcohols (up to 99% conversion). Preparative‐scale synthesis of an N‐methyl amide gave &amp;gt;99% conversion and 87% isolated yield. The method was extended to thioacid and thioester formation via hemithioacetal intermediates using hydrogen sulfide or thiols at pH 7. Pf‐ADH favored linear aliphatic alcohols (up to 93% conversion), Pp‐ADH branched alcohols (up to 82% conversion), and Aa‐ADH aromatic alcohols (up to 98% conversion). A KPi/MTBE biphasic system enabled the reaction with poorly soluble long‐chain thiols. Structure‐guided engineering of Aa‐ADH led to the Y151A and L186A variants with expanded activity toward longer‐chain amines or thiols. This work highlights how enzyme promiscuity with protein engineering can enable new‐to‐nature synthetic pathways for the production of valuable compounds.</w:t>
      </w:r>
    </w:p>
    <w:p>
      <w:pPr>
        <w:spacing w:before="120" w:after="120"/>
      </w:pPr>
      <w:r>
        <w:rPr>
          <w:sz w:val="18"/>
        </w:rPr>
        <w:t>——————————————————————————————————————————————————————————————————————</w:t>
      </w:r>
    </w:p>
    <w:p>
      <w:pPr>
        <w:spacing w:before="160" w:after="80" w:line="240" w:lineRule="auto"/>
      </w:pPr>
      <w:r>
        <w:rPr>
          <w:b/>
        </w:rPr>
        <w:t xml:space="preserve">[513] </w:t>
      </w:r>
      <w:hyperlink r:id="rId897">
        <w:r>
          <w:rPr>
            <w:color w:val="1155CC"/>
            <w:u w:val="single"/>
          </w:rPr>
          <w:t>Polymer‐Nanodomains Regulation for Optimized Ionic Translocation Enabling High‐Voltage and Practical Utility Lithium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98">
        <w:r>
          <w:rPr>
            <w:color w:val="1155CC"/>
            <w:u w:val="single"/>
          </w:rPr>
          <w:t>10.1002/anie.202515515</w:t>
        </w:r>
      </w:hyperlink>
    </w:p>
    <w:p>
      <w:pPr>
        <w:spacing w:before="0" w:after="120"/>
      </w:pPr>
      <w:r>
        <w:rPr>
          <w:b/>
        </w:rPr>
        <w:t xml:space="preserve">Notes: </w:t>
      </w:r>
      <w:r>
        <w:t>abstract_source=crossref</w:t>
      </w:r>
    </w:p>
    <w:p>
      <w:pPr>
        <w:spacing w:before="0" w:after="200" w:lineRule="auto" w:line="276"/>
      </w:pPr>
      <w:r>
        <w:rPr>
          <w:b/>
        </w:rPr>
        <w:t xml:space="preserve">Abstract: </w:t>
      </w:r>
      <w:r>
        <w:t>High‐voltage solid‐state lithium metal batteries (HVSSLMBs) integrate high‐voltage cathodes (HVCs) with lithium metal anodes, offering great promise for next‐generation energy storage. However, high‐voltage charging induces lattice oxygen oxidation at the cathode, generating reactive oxygen species (ROS) that degrade inorganic solid electrolytes. In addition, the low room‐temperature ionic conductivity and limited electrochemical stability of polymer electrolytes hinder their application with HVCs. Here, we design a composite polymer electrolyte (CPE) with dual‐domain‐coupled secondary nanoconfinement via precise polymer–nanodomain engineering. This structure combines a mesoporous framework with dynamic segmental motion, forming interconnected ion channels between free and anchored domains. The anchoring domains with high negative surface potential preload lithium ions, thereby increasing the local ion density and promoting a continuous high‐conductance path. Benefiting from the protection mechanism of the nanoconfined system, the chemical stability of the polymer is greatly improved, thus achieving operation at high voltage. Cells paired with 4.8 V LRMO (Li</w:t>
      </w:r>
      <w:r>
        <w:t xml:space="preserve"> </w:t>
      </w:r>
      <w:r>
        <w:t>1.2</w:t>
      </w:r>
      <w:r>
        <w:t xml:space="preserve"> </w:t>
      </w:r>
      <w:r>
        <w:t>Ni</w:t>
      </w:r>
      <w:r>
        <w:t xml:space="preserve"> </w:t>
      </w:r>
      <w:r>
        <w:t>0.13</w:t>
      </w:r>
      <w:r>
        <w:t xml:space="preserve"> </w:t>
      </w:r>
      <w:r>
        <w:t>Co</w:t>
      </w:r>
      <w:r>
        <w:t xml:space="preserve"> </w:t>
      </w:r>
      <w:r>
        <w:t>0.13</w:t>
      </w:r>
      <w:r>
        <w:t xml:space="preserve"> </w:t>
      </w:r>
      <w:r>
        <w:t>Mn</w:t>
      </w:r>
      <w:r>
        <w:t xml:space="preserve"> </w:t>
      </w:r>
      <w:r>
        <w:t>0.54</w:t>
      </w:r>
      <w:r>
        <w:t xml:space="preserve"> </w:t>
      </w:r>
      <w:r>
        <w:t>O</w:t>
      </w:r>
      <w:r>
        <w:rPr>
          <w:vertAlign w:val="subscript"/>
        </w:rPr>
        <w:t>2</w:t>
      </w:r>
      <w:r>
        <w:t>) retained 80.37% capacity after 200 cycles. Notably, this study reported the first‐ever assembly of a large‐format pouch cell combining a CPE with the LRMO cathode, delivering an impressive energy density of 419.47 Wh kg</w:t>
      </w:r>
      <w:r>
        <w:t xml:space="preserve"> </w:t>
      </w:r>
      <w:r>
        <w:t>−1</w:t>
      </w:r>
      <w:r>
        <w:t xml:space="preserve"> </w:t>
      </w:r>
      <w:r>
        <w:t>at a capacity of 4.61 Ah. This advancement marks a significant milestone in the application of HVSSLMBs.</w:t>
      </w:r>
    </w:p>
    <w:p>
      <w:pPr>
        <w:spacing w:before="120" w:after="120"/>
      </w:pPr>
      <w:r>
        <w:rPr>
          <w:sz w:val="18"/>
        </w:rPr>
        <w:t>——————————————————————————————————————————————————————————————————————</w:t>
      </w:r>
    </w:p>
    <w:p>
      <w:pPr>
        <w:spacing w:before="160" w:after="80" w:line="240" w:lineRule="auto"/>
      </w:pPr>
      <w:r>
        <w:rPr>
          <w:b/>
        </w:rPr>
        <w:t xml:space="preserve">[514] </w:t>
      </w:r>
      <w:hyperlink r:id="rId899">
        <w:r>
          <w:rPr>
            <w:color w:val="1155CC"/>
            <w:u w:val="single"/>
          </w:rPr>
          <w:t>Spin‐Matching Effect Triggering Enhanced Oxygen Reduction Reaction in Acidic and Alkaline Media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0">
        <w:r>
          <w:rPr>
            <w:color w:val="1155CC"/>
            <w:u w:val="single"/>
          </w:rPr>
          <w:t>10.1002/anie.202515517</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high‐performance oxygen reduction reaction (ORR) electrocatalysts operable across broad pH ranges is hindered by strong adsorption of hydroxyl intermediates (*OH). This work introduces a conceptually novel strategy of spin‐state modulation via interfacial engineering to regulate platinum nanocrystals anchored on atomically dispersed Fe‐N‐C substrates (Pt/Fe</w:t>
      </w:r>
      <w:r>
        <w:t xml:space="preserve"> </w:t>
      </w:r>
      <w:r>
        <w:t>SA</w:t>
      </w:r>
      <w:r>
        <w:t xml:space="preserve"> </w:t>
      </w:r>
      <w:r>
        <w:t>‐NC). Based on density functional theory (DFT) predictions, we construct a spin‐state‐tunable architecture by precisely controlling Pt particle size (2–8 nm), which induces spin‐matching effects that effectively mitigate *OH over‐binding in pH‐dependent ORR path. Mechanistic studies indicate that the synergy between FeN</w:t>
      </w:r>
      <w:r>
        <w:rPr>
          <w:vertAlign w:val="subscript"/>
        </w:rPr>
        <w:t>4</w:t>
      </w:r>
      <w:r>
        <w:t>‐mediated metal‐support interactions and size‐dependent spin polarization facilitates charge transfer, weakening *OH adsorption and promoting its desorption. In alkaline conditions, ∼2 nm Pt nanoclusters with moderate spin density achieve a peak power density of 179 mW cm</w:t>
      </w:r>
      <w:r>
        <w:t xml:space="preserve"> </w:t>
      </w:r>
      <w:r>
        <w:t>−2</w:t>
      </w:r>
      <w:r>
        <w:t xml:space="preserve"> </w:t>
      </w:r>
      <w:r>
        <w:t>in Zn‐air batteries with 150 h stability. Under acidic media, ∼8 nm Pt nanoparticles with low‐spin configuration deliver a mass activity of 0.65 A mg</w:t>
      </w:r>
      <w:r>
        <w:t xml:space="preserve"> </w:t>
      </w:r>
      <w:r>
        <w:t>Pt</w:t>
      </w:r>
      <w:r>
        <w:t xml:space="preserve"> </w:t>
      </w:r>
      <w:r>
        <w:t>−1</w:t>
      </w:r>
      <w:r>
        <w:t xml:space="preserve"> </w:t>
      </w:r>
      <w:r>
        <w:t>and a peak power density of 730 mW cm</w:t>
      </w:r>
      <w:r>
        <w:t xml:space="preserve"> </w:t>
      </w:r>
      <w:r>
        <w:t>−2</w:t>
      </w:r>
      <w:r>
        <w:t xml:space="preserve"> </w:t>
      </w:r>
      <w:r>
        <w:t>in proton‐exchange membrane fuel cells (PEMFCs), outperforming commercial Pt/C and retaining 90% activity after 3000 cycles. This finding provides a spin‐engineering paradigm for designing advanced electrocatalysts with ultralow Pt loading.</w:t>
      </w:r>
    </w:p>
    <w:p>
      <w:pPr>
        <w:spacing w:before="120" w:after="120"/>
      </w:pPr>
      <w:r>
        <w:rPr>
          <w:sz w:val="18"/>
        </w:rPr>
        <w:t>——————————————————————————————————————————————————————————————————————</w:t>
      </w:r>
    </w:p>
    <w:p>
      <w:pPr>
        <w:spacing w:before="160" w:after="80" w:line="240" w:lineRule="auto"/>
      </w:pPr>
      <w:r>
        <w:rPr>
          <w:b/>
        </w:rPr>
        <w:t xml:space="preserve">[515] </w:t>
      </w:r>
      <w:hyperlink r:id="rId901">
        <w:r>
          <w:rPr>
            <w:color w:val="1155CC"/>
            <w:u w:val="single"/>
          </w:rPr>
          <w:t>Direct C─H Lactonization of Carboxylic Acids Enabled by LMCT Photoactivation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2">
        <w:r>
          <w:rPr>
            <w:color w:val="1155CC"/>
            <w:u w:val="single"/>
          </w:rPr>
          <w:t>10.1002/anie.202515582</w:t>
        </w:r>
      </w:hyperlink>
    </w:p>
    <w:p>
      <w:pPr>
        <w:spacing w:before="0" w:after="120"/>
      </w:pPr>
      <w:r>
        <w:rPr>
          <w:b/>
        </w:rPr>
        <w:t xml:space="preserve">Notes: </w:t>
      </w:r>
      <w:r>
        <w:t>abstract_source=crossref</w:t>
      </w:r>
    </w:p>
    <w:p>
      <w:pPr>
        <w:spacing w:before="0" w:after="200" w:lineRule="auto" w:line="276"/>
      </w:pPr>
      <w:r>
        <w:rPr>
          <w:b/>
        </w:rPr>
        <w:t xml:space="preserve">Abstract: </w:t>
      </w:r>
      <w:r>
        <w:t>Photoinduced ligand‐to‐metal charge‐transfer (LMCT) activation of carboxylic acids has increasingly become recognized as a versatile platform for the development of synthetically useful new reactions. When the metal species is also capable of mediating an oxidative radical coupling process, this approach has been shown to be a powerful strategy for decarboxylative coupling of carboxylate feedstocks with diverse nucleophilic reaction partners. LMCT photoreactions that could engage the acyloxy radical intermediate in other canonical reactions of heteroatom‐centered radicals such as 1,5‐hydrogen atom transfer (HAT) would broaden the scope of possible reactions. The rapid intrinsic rate of decarboxylation, however, presents a formidable challenge. Herein, we report the LMCT‐promoted C─H lactonization of benzoic and aliphatic carboxylic acids. Mechanistic investigations suggest that under the optimized reaction conditions, the key acyloxy radical intermediate can be stabilized by the metal center, enabling 1,5‐zHAT to outcompete decarboxylation.</w:t>
      </w:r>
    </w:p>
    <w:p>
      <w:pPr>
        <w:spacing w:before="120" w:after="120"/>
      </w:pPr>
      <w:r>
        <w:rPr>
          <w:sz w:val="18"/>
        </w:rPr>
        <w:t>——————————————————————————————————————————————————————————————————————</w:t>
      </w:r>
    </w:p>
    <w:p>
      <w:pPr>
        <w:spacing w:before="160" w:after="80" w:line="240" w:lineRule="auto"/>
      </w:pPr>
      <w:r>
        <w:rPr>
          <w:b/>
        </w:rPr>
        <w:t xml:space="preserve">[516] </w:t>
      </w:r>
      <w:hyperlink r:id="rId903">
        <w:r>
          <w:rPr>
            <w:color w:val="1155CC"/>
            <w:u w:val="single"/>
          </w:rPr>
          <w:t>Multi‐Field Coupling Driven in Situ Interfacial Growth of COF‐functionalized Membranes for Lithium–Sulfur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4">
        <w:r>
          <w:rPr>
            <w:color w:val="1155CC"/>
            <w:u w:val="single"/>
          </w:rPr>
          <w:t>10.1002/anie.202515665</w:t>
        </w:r>
      </w:hyperlink>
    </w:p>
    <w:p>
      <w:pPr>
        <w:spacing w:before="0" w:after="120"/>
      </w:pPr>
      <w:r>
        <w:rPr>
          <w:b/>
        </w:rPr>
        <w:t xml:space="preserve">Notes: </w:t>
      </w:r>
      <w:r>
        <w:t>abstract_source=crossref</w:t>
      </w:r>
    </w:p>
    <w:p>
      <w:pPr>
        <w:spacing w:before="0" w:after="200" w:lineRule="auto" w:line="276"/>
      </w:pPr>
      <w:r>
        <w:rPr>
          <w:b/>
        </w:rPr>
        <w:t xml:space="preserve">Abstract: </w:t>
      </w:r>
      <w:r>
        <w:t>Conventional modification methods for the separator of high‐performance lithium‐sulfur batteries often struggle to realize the functional materials well adhering on and across the substrate. Herein, we employ a scalable top‐down strategy in an oil–water–oil system to interfacially polymerize COF nanoparticles across a polyolefin substrate as a self‐standing separator for Li─S batteries. By providing a suitable environment for the membrane to remain flat during polymerization, COF particles can penetrate from the surface into internal pores, forming a uniform and robust architecture. The resulting COF‐functionalized membrane incorporates abundant ‐OH groups that effectively promote Li</w:t>
      </w:r>
      <w:r>
        <w:t xml:space="preserve"> </w:t>
      </w:r>
      <w:r>
        <w:t>+</w:t>
      </w:r>
      <w:r>
        <w:t xml:space="preserve"> </w:t>
      </w:r>
      <w:r>
        <w:t>transport and restrict polysulfide shuttling. Benefiting from this synergy, the modified separator achieves high ionic conductivity (0.92 mS cm</w:t>
      </w:r>
      <w:r>
        <w:t xml:space="preserve"> </w:t>
      </w:r>
      <w:r>
        <w:t>−1</w:t>
      </w:r>
      <w:r>
        <w:t xml:space="preserve"> </w:t>
      </w:r>
      <w:r>
        <w:t>), an elevated polysulfide diffusion barrier (0.390 versus 0.283 eV), and excellent electrochemical performance, including 678 mAh g</w:t>
      </w:r>
      <w:r>
        <w:t xml:space="preserve"> </w:t>
      </w:r>
      <w:r>
        <w:t>−1</w:t>
      </w:r>
      <w:r>
        <w:t xml:space="preserve"> </w:t>
      </w:r>
      <w:r>
        <w:t>after 500 cycles at 1.0 C. This in situ interface polymerization strategy offers a new path for more comprehensively functionalizing COF‐based membrane to achieve high‐performance lithium‐sulfur batteries.</w:t>
      </w:r>
    </w:p>
    <w:p>
      <w:pPr>
        <w:spacing w:before="120" w:after="120"/>
      </w:pPr>
      <w:r>
        <w:rPr>
          <w:sz w:val="18"/>
        </w:rPr>
        <w:t>——————————————————————————————————————————————————————————————————————</w:t>
      </w:r>
    </w:p>
    <w:p>
      <w:pPr>
        <w:spacing w:before="160" w:after="80" w:line="240" w:lineRule="auto"/>
      </w:pPr>
      <w:r>
        <w:rPr>
          <w:b/>
        </w:rPr>
        <w:t xml:space="preserve">[517] </w:t>
      </w:r>
      <w:hyperlink r:id="rId905">
        <w:r>
          <w:rPr>
            <w:color w:val="1155CC"/>
            <w:u w:val="single"/>
          </w:rPr>
          <w:t>Triplet Metallovinylidenes of Palladium and Platinum Based on a Chelating P/Diazoalkene Ligand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6">
        <w:r>
          <w:rPr>
            <w:color w:val="1155CC"/>
            <w:u w:val="single"/>
          </w:rPr>
          <w:t>10.1002/anie.202516032</w:t>
        </w:r>
      </w:hyperlink>
    </w:p>
    <w:p>
      <w:pPr>
        <w:spacing w:before="0" w:after="120"/>
      </w:pPr>
      <w:r>
        <w:rPr>
          <w:b/>
        </w:rPr>
        <w:t xml:space="preserve">Notes: </w:t>
      </w:r>
      <w:r>
        <w:t>abstract_source=crossref</w:t>
      </w:r>
    </w:p>
    <w:p>
      <w:pPr>
        <w:spacing w:before="0" w:after="200" w:lineRule="auto" w:line="276"/>
      </w:pPr>
      <w:r>
        <w:rPr>
          <w:b/>
        </w:rPr>
        <w:t xml:space="preserve">Abstract: </w:t>
      </w:r>
      <w:r>
        <w:t>Triplet carbenes featuring a metal adjacent to the carbene center (metallocarbenes; R─C─M) are an emerging class of diradicals within the field of reactive intermediates. Here, we report the synthesis of the first spectroscopically characterized triplet metallovinylidenes (R─C→M; M = Pt, Pd). The synthetic access is based on a rigid P/C chelating diazoalkene ligand and its coordination to Pt and Pd. The C/P chelating ligand geometrically constrains the R─C→M angle and inhibits free bending. Irradiation of the free diazoalkene ligand generates a triplet vinylidene, characterized by Q‐band electron paramagnetic resonance (EPR) spectroscopy. Irradiation of the metal coordination complexes (Pt and Pd) affords triplet metallovinylidenes, which were characterized at low temperatures including photochemically triggered</w:t>
      </w:r>
      <w:r>
        <w:t xml:space="preserve"> </w:t>
      </w:r>
      <w:r>
        <w:t>in crystallo</w:t>
      </w:r>
      <w:r>
        <w:t xml:space="preserve"> </w:t>
      </w:r>
      <w:r>
        <w:t>X‐ray diffraction. Combined FD‐FT THz‐EPR spectroscopy and SQUID measurements allowed the determination of the large triplet zero‐field splitting (ZFS) with</w:t>
      </w:r>
      <w:r>
        <w:t xml:space="preserve"> </w:t>
      </w:r>
      <w:r>
        <w:t>D</w:t>
      </w:r>
      <w:r>
        <w:t xml:space="preserve"> </w:t>
      </w:r>
      <w:r>
        <w:t>values of 124.5 cm</w:t>
      </w:r>
      <w:r>
        <w:t xml:space="preserve"> </w:t>
      </w:r>
      <w:r>
        <w:t>−1</w:t>
      </w:r>
      <w:r>
        <w:t xml:space="preserve"> </w:t>
      </w:r>
      <w:r>
        <w:t>(Pt) and 8.0 cm</w:t>
      </w:r>
      <w:r>
        <w:t xml:space="preserve"> </w:t>
      </w:r>
      <w:r>
        <w:t>−1</w:t>
      </w:r>
      <w:r>
        <w:t xml:space="preserve"> </w:t>
      </w:r>
      <w:r>
        <w:t>(Pd) in excellent agreement with the electronic structure obtained by high‐level quantum chemical calculations.</w:t>
      </w:r>
    </w:p>
    <w:p>
      <w:pPr>
        <w:spacing w:before="120" w:after="120"/>
      </w:pPr>
      <w:r>
        <w:rPr>
          <w:sz w:val="18"/>
        </w:rPr>
        <w:t>——————————————————————————————————————————————————————————————————————</w:t>
      </w:r>
    </w:p>
    <w:p>
      <w:pPr>
        <w:spacing w:before="160" w:after="80" w:line="240" w:lineRule="auto"/>
      </w:pPr>
      <w:r>
        <w:rPr>
          <w:b/>
        </w:rPr>
        <w:t xml:space="preserve">[518] </w:t>
      </w:r>
      <w:hyperlink r:id="rId907">
        <w:r>
          <w:rPr>
            <w:color w:val="1155CC"/>
            <w:u w:val="single"/>
          </w:rPr>
          <w:t>The Methylbismuth Dication: Pentagonal Pyramidal Coordination and Ligand‐Induced Lewis Superacidity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8">
        <w:r>
          <w:rPr>
            <w:color w:val="1155CC"/>
            <w:u w:val="single"/>
          </w:rPr>
          <w:t>10.1002/anie.202516140</w:t>
        </w:r>
      </w:hyperlink>
    </w:p>
    <w:p>
      <w:pPr>
        <w:spacing w:before="0" w:after="120"/>
      </w:pPr>
      <w:r>
        <w:rPr>
          <w:b/>
        </w:rPr>
        <w:t xml:space="preserve">Notes: </w:t>
      </w:r>
      <w:r>
        <w:t>abstract_source=crossref</w:t>
      </w:r>
    </w:p>
    <w:p>
      <w:pPr>
        <w:spacing w:before="0" w:after="200" w:lineRule="auto" w:line="276"/>
      </w:pPr>
      <w:r>
        <w:rPr>
          <w:b/>
        </w:rPr>
        <w:t xml:space="preserve">Abstract: </w:t>
      </w:r>
      <w:r>
        <w:t>A profound understanding of the naturally preferred coordination geometry of molecular complexes is the basis for scientists to rationalize, predict, and design their physico‐chemical properties and reactivity. Gaining access to compounds with an unusual coordination chemistry and developing a fundamental knowledge about their properties represent key challenges in the field. Tackling these questions promises an entry to unexplored chemical space and reactivity patterns that are inaccessible for compounds found in more traditional coordination geometries. Here, we present the synthesis, isolation, and characterization of the simplest organobismuth dication, the methylbismuth dication [BiMe(thf)</w:t>
      </w:r>
      <w:r>
        <w:rPr>
          <w:vertAlign w:val="subscript"/>
        </w:rPr>
        <w:t>5</w:t>
      </w:r>
      <w:r>
        <w:t>][SbF</w:t>
      </w:r>
      <w:r>
        <w:rPr>
          <w:vertAlign w:val="subscript"/>
        </w:rPr>
        <w:t>6</w:t>
      </w:r>
      <w:r>
        <w:t>]</w:t>
      </w:r>
      <w:r>
        <w:rPr>
          <w:vertAlign w:val="subscript"/>
        </w:rPr>
        <w:t>2</w:t>
      </w:r>
      <w:r>
        <w:t>(</w:t>
      </w:r>
      <w:r>
        <w:rPr>
          <w:vertAlign w:val="subscript"/>
        </w:rPr>
        <w:t>1</w:t>
      </w:r>
      <w:r>
        <w:t>), stabilized only by five substitutionally labile THF ligands. The hexa‐coordinate compound shows a rare pentagonal pyramidal coordination geometry around the central atom, which is extremely unusual given the fact that this is an organometallic species with only simple monodentate monoanionic and/or neutral ligands without considerable steric bulk. The detailed investigation of this compound with experimental and theoretical approaches reveals the cause of the unusual coordination chemistry and uncovers multiple Lewis acidic binding sites and ligand‐induced Lewis superacidity.</w:t>
      </w:r>
    </w:p>
    <w:p>
      <w:pPr>
        <w:spacing w:before="120" w:after="120"/>
      </w:pPr>
      <w:r>
        <w:rPr>
          <w:sz w:val="18"/>
        </w:rPr>
        <w:t>——————————————————————————————————————————————————————————————————————</w:t>
      </w:r>
    </w:p>
    <w:p>
      <w:pPr>
        <w:spacing w:before="160" w:after="80" w:line="240" w:lineRule="auto"/>
      </w:pPr>
      <w:r>
        <w:rPr>
          <w:b/>
        </w:rPr>
        <w:t xml:space="preserve">[519] </w:t>
      </w:r>
      <w:hyperlink r:id="rId909">
        <w:r>
          <w:rPr>
            <w:color w:val="1155CC"/>
            <w:u w:val="single"/>
          </w:rPr>
          <w:t>Gas–Proton Microenvironment Modulation for Enhanced CO2‐to‐Formate Electroreduction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10">
        <w:r>
          <w:rPr>
            <w:color w:val="1155CC"/>
            <w:u w:val="single"/>
          </w:rPr>
          <w:t>10.1002/anie.202516163</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of interfacial water structure is essential for suppressing side reactions and enabling selective CO</w:t>
      </w:r>
      <w:r>
        <w:rPr>
          <w:vertAlign w:val="subscript"/>
        </w:rPr>
        <w:t>2</w:t>
      </w:r>
      <w:r>
        <w:t>electroreduction at industrial current densities. Here, we synthesize a series of bismuth‐based catalysts with spatially encoded superhydrophilic–superhydrophobic nanodomains by partially embedding polyvinylidene fluoride (PVDF) into Bi nanoparticles. This strategy creates interfacial polarity patterns that stabilize *OCHO intermediates while suppressing hydrogen and CO evolution. Compared to the PVDF‐free control, the optimized Bi–PVDF catalyst exhibits significantly enhanced formate partial current density, Faradaic efficiency (FE), and long‐term stability. It achieves &amp;gt; 90% FE at −200 mA cm</w:t>
      </w:r>
      <w:r>
        <w:t xml:space="preserve"> </w:t>
      </w:r>
      <w:r>
        <w:t>−2</w:t>
      </w:r>
      <w:r>
        <w:t xml:space="preserve"> </w:t>
      </w:r>
      <w:r>
        <w:t>for 50 h and maintains high selectivity up to −700 mA cm</w:t>
      </w:r>
      <w:r>
        <w:t xml:space="preserve"> </w:t>
      </w:r>
      <w:r>
        <w:t>−2</w:t>
      </w:r>
      <w:r>
        <w:t xml:space="preserve"> </w:t>
      </w:r>
      <w:r>
        <w:t>. Operando spectroscopy and multiscale simulations reveal that the dual‐wettability interface modulates local hydration and charge distribution, promoting selective intermediate formation while kinetically suppressing side pathways. By addressing the longstanding challenge of coupled gas–proton transport, this work offers a mechanism‐driven and scalable strategy to construct interfacial microenvironments for high‐rate, selective CO</w:t>
      </w:r>
      <w:r>
        <w:rPr>
          <w:vertAlign w:val="subscript"/>
        </w:rPr>
        <w:t>2</w:t>
      </w:r>
      <w:r>
        <w:t>electroreduction.</w:t>
      </w:r>
    </w:p>
    <w:p>
      <w:pPr>
        <w:spacing w:before="120" w:after="120"/>
      </w:pPr>
      <w:r>
        <w:rPr>
          <w:sz w:val="18"/>
        </w:rPr>
        <w:t>——————————————————————————————————————————————————————————————————————</w:t>
      </w:r>
    </w:p>
    <w:p>
      <w:pPr>
        <w:spacing w:before="160" w:after="80" w:line="240" w:lineRule="auto"/>
      </w:pPr>
      <w:r>
        <w:rPr>
          <w:b/>
        </w:rPr>
        <w:t xml:space="preserve">[520] </w:t>
      </w:r>
      <w:hyperlink r:id="rId911">
        <w:r>
          <w:rPr>
            <w:color w:val="1155CC"/>
            <w:u w:val="single"/>
          </w:rPr>
          <w:t>Coordination‐Induced Amplification of Birefringence and Nonlinear Optical Response in a Chiral Metal–Organic Framework</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12">
        <w:r>
          <w:rPr>
            <w:color w:val="1155CC"/>
            <w:u w:val="single"/>
          </w:rPr>
          <w:t>10.1002/anie.202516178</w:t>
        </w:r>
      </w:hyperlink>
    </w:p>
    <w:p>
      <w:pPr>
        <w:spacing w:before="0" w:after="120"/>
      </w:pPr>
      <w:r>
        <w:rPr>
          <w:b/>
        </w:rPr>
        <w:t xml:space="preserve">Notes: </w:t>
      </w:r>
      <w:r>
        <w:t>abstract_source=crossref</w:t>
      </w:r>
    </w:p>
    <w:p>
      <w:pPr>
        <w:spacing w:before="0" w:after="200" w:lineRule="auto" w:line="276"/>
      </w:pPr>
      <w:r>
        <w:rPr>
          <w:b/>
        </w:rPr>
        <w:t xml:space="preserve">Abstract: </w:t>
      </w:r>
      <w:r>
        <w:t>Crystalline materials exhibiting programmable optical anisotropy are of great interest for advanced photonic applications but remain challenging. In this study, we introduce a coordination‐driven approach that significantly enhances optical anisotropy by transforming a loosely packed molecular crystal (</w:t>
      </w:r>
      <w:r>
        <w:t xml:space="preserve"> </w:t>
      </w:r>
      <w:r>
        <w:t>crystal‐1</w:t>
      </w:r>
      <w:r>
        <w:t xml:space="preserve"> </w:t>
      </w:r>
      <w:r>
        <w:t>) into a chiral metal–organic framework (MOF) (</w:t>
      </w:r>
      <w:r>
        <w:t xml:space="preserve"> </w:t>
      </w:r>
      <w:r>
        <w:t>crystal‐2</w:t>
      </w:r>
      <w:r>
        <w:t xml:space="preserve"> </w:t>
      </w:r>
      <w:r>
        <w:t>). This structural transformation leads to a more than 20‐fold increase in birefringence (Δ</w:t>
      </w:r>
      <w:r>
        <w:t xml:space="preserve"> </w:t>
      </w:r>
      <w:r>
        <w:t>n</w:t>
      </w:r>
      <w:r>
        <w:t xml:space="preserve"> </w:t>
      </w:r>
      <w:r>
        <w:t>= 0.226 at 546 nm) and activates a measurable second‐harmonic generation (SHG) activity. First‐principles calculations suggest that the observed optical enhancement is driven by three main factors: coordination‐driven enhancement of asymmetry, alignment of the π‐conjugated framework, and anisotropic electron distribution. These findings highlight the potential of coordination polymerization as a versatile approach for designing hybrid optical materials with tailored anisotropy, providing a foundation for the development of MOF‐based photonic devices.</w:t>
      </w:r>
    </w:p>
    <w:p>
      <w:pPr>
        <w:spacing w:before="120" w:after="120"/>
      </w:pPr>
      <w:r>
        <w:rPr>
          <w:sz w:val="18"/>
        </w:rPr>
        <w:t>——————————————————————————————————————————————————————————————————————</w:t>
      </w:r>
    </w:p>
    <w:p>
      <w:pPr>
        <w:spacing w:before="160" w:after="80" w:line="240" w:lineRule="auto"/>
      </w:pPr>
      <w:r>
        <w:rPr>
          <w:b/>
        </w:rPr>
        <w:t xml:space="preserve">[521] </w:t>
      </w:r>
      <w:hyperlink r:id="rId913">
        <w:r>
          <w:rPr>
            <w:color w:val="1155CC"/>
            <w:u w:val="single"/>
          </w:rPr>
          <w:t>Charge‐Driven Self‐Assembly of Cholesterol Surfactants into Biofunctional Nanodiscs with Antiviral Activity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14">
        <w:r>
          <w:rPr>
            <w:color w:val="1155CC"/>
            <w:u w:val="single"/>
          </w:rPr>
          <w:t>10.1002/anie.202516207</w:t>
        </w:r>
      </w:hyperlink>
    </w:p>
    <w:p>
      <w:pPr>
        <w:spacing w:before="0" w:after="120"/>
      </w:pPr>
      <w:r>
        <w:rPr>
          <w:b/>
        </w:rPr>
        <w:t xml:space="preserve">Notes: </w:t>
      </w:r>
      <w:r>
        <w:t>abstract_source=crossref</w:t>
      </w:r>
    </w:p>
    <w:p>
      <w:pPr>
        <w:spacing w:before="0" w:after="200" w:lineRule="auto" w:line="276"/>
      </w:pPr>
      <w:r>
        <w:rPr>
          <w:b/>
        </w:rPr>
        <w:t xml:space="preserve">Abstract: </w:t>
      </w:r>
      <w:r>
        <w:t>Self‐assembly of lipid structures derived from amphiphilic molecules plays a crucial role in the development of biomimetic systems. Here we report a modular synthetic strategy for developing cholesteryl‐oligo‐glycerol‐based surfactants with tunable head group functionalities ranging from nonionic to anionic. This approach enables the systematic incorporation of functional groups and thus precise control of surface charge and hydrophilicity. To investigate the influence of multivalent charges on supermolecular‐assembly behavior, we compared three structurally cholesterol (CL) related surfactants: CL‐4S, with four sulfate groups, CL‐1S, with a single sulfate group, and CL‐4OH, a nonionic analog with four hydroxyl groups. We then incorporated these surfactants into lipid bilayers of 1,2‐dimyristoyl‐sn‐glycero‐3‐phosphocholine (DMPC) and cholesterol (CL) to study their behavior in membrane‐like environments. Experimental, simulation, and theoretical studies demonstrated that the CL‐4S formulation was able to convert lipid vesicles into nanodiscs, unlike CL‐1S and CL‐4OH, demonstrating the importance of adequate charges in supramolecular transition. Furthermore, both 1S‐Vesicles (CL‐1S based sulfated vesicles) and 4S‐Nanodiscs (CL‐4S based sulfated nanodiscs) showed inhibitory activity against herpes simplex virus‐1 (HSV‐1), indicating the potential of this multivalent supramolecular platform for antiviral applications.</w:t>
      </w:r>
    </w:p>
    <w:p>
      <w:pPr>
        <w:spacing w:before="120" w:after="120"/>
      </w:pPr>
      <w:r>
        <w:rPr>
          <w:sz w:val="18"/>
        </w:rPr>
        <w:t>——————————————————————————————————————————————————————————————————————</w:t>
      </w:r>
    </w:p>
    <w:p>
      <w:pPr>
        <w:spacing w:before="160" w:after="80" w:line="240" w:lineRule="auto"/>
      </w:pPr>
      <w:r>
        <w:rPr>
          <w:b/>
        </w:rPr>
        <w:t xml:space="preserve">[522] </w:t>
      </w:r>
      <w:hyperlink r:id="rId915">
        <w:r>
          <w:rPr>
            <w:color w:val="1155CC"/>
            <w:u w:val="single"/>
          </w:rPr>
          <w:t>Cationic Covalent Organic Framework for Photocatalytic Defluorinative Amination of Fluoroarenes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16">
        <w:r>
          <w:rPr>
            <w:color w:val="1155CC"/>
            <w:u w:val="single"/>
          </w:rPr>
          <w:t>10.1002/anie.202516235</w:t>
        </w:r>
      </w:hyperlink>
    </w:p>
    <w:p>
      <w:pPr>
        <w:spacing w:before="0" w:after="120"/>
      </w:pPr>
      <w:r>
        <w:rPr>
          <w:b/>
        </w:rPr>
        <w:t xml:space="preserve">Notes: </w:t>
      </w:r>
      <w:r>
        <w:t>abstract_source=crossref</w:t>
      </w:r>
    </w:p>
    <w:p>
      <w:pPr>
        <w:spacing w:before="0" w:after="200" w:lineRule="auto" w:line="276"/>
      </w:pPr>
      <w:r>
        <w:rPr>
          <w:b/>
        </w:rPr>
        <w:t xml:space="preserve">Abstract: </w:t>
      </w:r>
      <w:r>
        <w:t>Covalent organic frameworks (COFs)—a unique class of crystalline, porous materials—are distinguished for their structural tunability, large surface area, high chemical stability, and tunable functionalities, which can be modified through pre‐ or post‐synthetic modifications. These features make COFs highly attractive platforms for heterogeneous photocatalysis and electrocatalysis. Building on these inherent advantages, we strategically modulated the electronic structure of a bipyridine‐based COF (Tp‐Bpy) via simple one‐step methylation to yield a dicationic, highly electron‐deficient framework (Tp‐Bpy‐Me). This post‐synthetic modification preserved the structural integrity of COF and introduced profound changes to its electronic environment, including a notable upward (positive) shift in the valence band position. Consequently, the cationic Tp‐Bpy‐Me COF exhibited an exceptional ability to activate one of the most inert bonds in organic chemistry, the C─F bond, under visible light irradiation. This study establishes Tp‐Bpy‐Me as a robust and efficient heterogeneous photocatalyst for defluorinative C─N bond formation across a broad range of substrates, including various fluoroarenes and nucleophiles. Remarkably, the photocatalytic transformation proceeds even under natural sunlight, highlighting its potential for sustainable, energy‐efficient applications. To the best of our knowledge, this work is the first successful demonstration of C─F bond activation toward C─N bond formation using a COF‐based photocatalyst.</w:t>
      </w:r>
    </w:p>
    <w:p>
      <w:pPr>
        <w:spacing w:before="120" w:after="120"/>
      </w:pPr>
      <w:r>
        <w:rPr>
          <w:sz w:val="18"/>
        </w:rPr>
        <w:t>——————————————————————————————————————————————————————————————————————</w:t>
      </w:r>
    </w:p>
    <w:p>
      <w:pPr>
        <w:spacing w:before="160" w:after="80" w:line="240" w:lineRule="auto"/>
      </w:pPr>
      <w:r>
        <w:rPr>
          <w:b/>
        </w:rPr>
        <w:t xml:space="preserve">[523] </w:t>
      </w:r>
      <w:hyperlink r:id="rId917">
        <w:r>
          <w:rPr>
            <w:color w:val="1155CC"/>
            <w:u w:val="single"/>
          </w:rPr>
          <w:t>High‐Throughput Theoretical Screening of Single‐Atom Catalysts for Electrochemical Urea 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18">
        <w:r>
          <w:rPr>
            <w:color w:val="1155CC"/>
            <w:u w:val="single"/>
          </w:rPr>
          <w:t>10.1002/anie.202516299</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urea synthesis offers a promising approach for sustainable nitrogen and carbon utilization, yet its progress is hindered by the unclear reaction mechanism and the lack of effective catalyst design principles. Here, we conduct a high‐throughput screening of over 40 MN</w:t>
      </w:r>
      <w:r>
        <w:rPr>
          <w:vertAlign w:val="subscript"/>
        </w:rPr>
        <w:t>4</w:t>
      </w:r>
      <w:r>
        <w:t>C‐type single‐atom catalysts (SACs) to identify promising candidates for electrochemical urea synthesis. This strategy improves screening efficiency by 94.8% compared to conventional methods. Our analysis demonstrates that Ti─, V─, Nb─, Mo─, and Hf–N</w:t>
      </w:r>
      <w:r>
        <w:rPr>
          <w:vertAlign w:val="subscript"/>
        </w:rPr>
        <w:t>4</w:t>
      </w:r>
      <w:r>
        <w:t>C catalysts concurrently fulfill the essential criteria, including thermodynamic stability, favorable adsorption of small molecules, suppression of competing reactions, and low energy barriers for both hydrogenation and C–N coupling. Mechanistic investigations reveal two distinct C–N coupling pathways and demonstrate that hydrogenation of *N species is a prerequisite for subsequent coupling. Notably, we reveal a linear correlation between the limiting potentials of NO</w:t>
      </w:r>
      <w:r>
        <w:rPr>
          <w:vertAlign w:val="subscript"/>
        </w:rPr>
        <w:t>3</w:t>
      </w:r>
      <w:r>
        <w:t>−</w:t>
      </w:r>
      <w:r>
        <w:t>reduction and overall urea synthesis, establishing *NO</w:t>
      </w:r>
      <w:r>
        <w:rPr>
          <w:vertAlign w:val="subscript"/>
        </w:rPr>
        <w:t>3</w:t>
      </w:r>
      <w:r>
        <w:t>→ *N activity as a reliable descriptor for catalyst screening. This work provides mechanistic insights and a predictive framework for the rational design of efficient urea electrocatalysts.</w:t>
      </w:r>
    </w:p>
    <w:p>
      <w:pPr>
        <w:spacing w:before="120" w:after="120"/>
      </w:pPr>
      <w:r>
        <w:rPr>
          <w:sz w:val="18"/>
        </w:rPr>
        <w:t>——————————————————————————————————————————————————————————————————————</w:t>
      </w:r>
    </w:p>
    <w:p>
      <w:pPr>
        <w:spacing w:before="160" w:after="80" w:line="240" w:lineRule="auto"/>
      </w:pPr>
      <w:r>
        <w:rPr>
          <w:b/>
        </w:rPr>
        <w:t xml:space="preserve">[524] </w:t>
      </w:r>
      <w:hyperlink r:id="rId919">
        <w:r>
          <w:rPr>
            <w:color w:val="1155CC"/>
            <w:u w:val="single"/>
          </w:rPr>
          <w:t>Incorporating Redox‐Active Hexaazatrinaphthylene into a 2D Conductive Metal–Organic Framework for Robust Sodium‐Ion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0">
        <w:r>
          <w:rPr>
            <w:color w:val="1155CC"/>
            <w:u w:val="single"/>
          </w:rPr>
          <w:t>10.1002/anie.202516381</w:t>
        </w:r>
      </w:hyperlink>
    </w:p>
    <w:p>
      <w:pPr>
        <w:spacing w:before="0" w:after="120"/>
      </w:pPr>
      <w:r>
        <w:rPr>
          <w:b/>
        </w:rPr>
        <w:t xml:space="preserve">Notes: </w:t>
      </w:r>
      <w:r>
        <w:t>abstract_source=crossref</w:t>
      </w:r>
    </w:p>
    <w:p>
      <w:pPr>
        <w:spacing w:before="0" w:after="200" w:lineRule="auto" w:line="276"/>
      </w:pPr>
      <w:r>
        <w:rPr>
          <w:b/>
        </w:rPr>
        <w:t xml:space="preserve">Abstract: </w:t>
      </w:r>
      <w:r>
        <w:t>Two‐dimensional (2D) conductive metal–organic frameworks (cMOFs) hold tremendous promise as anode materials for sodium‐ion batteries (SIBs), owing to their electrical conductivity, porosity, appropriate interlayer spacing that facilitates ion intercalation, and stability in organic electrolytes. Yet, creating cMOFs hosting multiple redox‐active sites remains challenging. This paper reports a hexaazatrinaphthylene (HATN)‐based 2D cMOF, HATN‐O‐Zn, assembled by coordinating redox‐inactive Zn</w:t>
      </w:r>
      <w:r>
        <w:t xml:space="preserve"> </w:t>
      </w:r>
      <w:r>
        <w:t>2+</w:t>
      </w:r>
      <w:r>
        <w:t xml:space="preserve"> </w:t>
      </w:r>
      <w:r>
        <w:t>through bis(dioxolene) linkages. HATN‐O‐Zn forms hexagonal rod‐like crystals with electrical conductivity that promote rapid Na</w:t>
      </w:r>
      <w:r>
        <w:t xml:space="preserve"> </w:t>
      </w:r>
      <w:r>
        <w:t>+</w:t>
      </w:r>
      <w:r>
        <w:t xml:space="preserve"> </w:t>
      </w:r>
      <w:r>
        <w:t>diffusion and storage. As an anode, this material delivers a high reversible capacity of 319 mAh g</w:t>
      </w:r>
      <w:r>
        <w:t xml:space="preserve"> </w:t>
      </w:r>
      <w:r>
        <w:t>−1</w:t>
      </w:r>
      <w:r>
        <w:t xml:space="preserve"> </w:t>
      </w:r>
      <w:r>
        <w:t>at 0.1 A g</w:t>
      </w:r>
      <w:r>
        <w:t xml:space="preserve"> </w:t>
      </w:r>
      <w:r>
        <w:t>−1</w:t>
      </w:r>
      <w:r>
        <w:t xml:space="preserve"> </w:t>
      </w:r>
      <w:r>
        <w:t>and retains a capacity of 86 mAh g</w:t>
      </w:r>
      <w:r>
        <w:t xml:space="preserve"> </w:t>
      </w:r>
      <w:r>
        <w:t>−1</w:t>
      </w:r>
      <w:r>
        <w:t xml:space="preserve"> </w:t>
      </w:r>
      <w:r>
        <w:t>after 5000 cycles at 1 A g</w:t>
      </w:r>
      <w:r>
        <w:t xml:space="preserve"> </w:t>
      </w:r>
      <w:r>
        <w:t>−1</w:t>
      </w:r>
      <w:r>
        <w:t xml:space="preserve"> </w:t>
      </w:r>
      <w:r>
        <w:t>, demonstrating outstanding cycling stability at room temperature. Notably, HATN‐O‐Zn sustains performance at −20 °C, showing an initial capacity of 117 mAh g</w:t>
      </w:r>
      <w:r>
        <w:t xml:space="preserve"> </w:t>
      </w:r>
      <w:r>
        <w:t>−1</w:t>
      </w:r>
      <w:r>
        <w:t xml:space="preserve"> </w:t>
      </w:r>
      <w:r>
        <w:t>and 84.4% retention after 200 cycles at 0.1 A g</w:t>
      </w:r>
      <w:r>
        <w:t xml:space="preserve"> </w:t>
      </w:r>
      <w:r>
        <w:t>−1</w:t>
      </w:r>
      <w:r>
        <w:t xml:space="preserve"> </w:t>
      </w:r>
      <w:r>
        <w:t>, underscoring stability under harsh conditions. This stability is attributed to the structural robustness provided by redox‐inactive Zn</w:t>
      </w:r>
      <w:r>
        <w:t xml:space="preserve"> </w:t>
      </w:r>
      <w:r>
        <w:t>2+</w:t>
      </w:r>
      <w:r>
        <w:t xml:space="preserve"> </w:t>
      </w:r>
      <w:r>
        <w:t>. Spectroscopic and theoretical analyses reveal that dual redox‐active sites in the HATN moiety and Zn‐bis(dioxolene) linkages facilitate multiple electron transfer. This work highlights the design potential of combining redox‐active ligands with redox‐inactive metal nodes in 2D cMOFs for durable SIB anodes.</w:t>
      </w:r>
    </w:p>
    <w:p>
      <w:pPr>
        <w:spacing w:before="120" w:after="120"/>
      </w:pPr>
      <w:r>
        <w:rPr>
          <w:sz w:val="18"/>
        </w:rPr>
        <w:t>——————————————————————————————————————————————————————————————————————</w:t>
      </w:r>
    </w:p>
    <w:p>
      <w:pPr>
        <w:spacing w:before="160" w:after="80" w:line="240" w:lineRule="auto"/>
      </w:pPr>
      <w:r>
        <w:rPr>
          <w:b/>
        </w:rPr>
        <w:t xml:space="preserve">[525] </w:t>
      </w:r>
      <w:hyperlink r:id="rId921">
        <w:r>
          <w:rPr>
            <w:color w:val="1155CC"/>
            <w:u w:val="single"/>
          </w:rPr>
          <w:t>Solvent‐Controlled Supramolecular Polymerization and Morphology‐Depended Photoconductivity Modulation in a Squaraine‐Naphthalene Diimide‐Squaraine Bulk p/n Heterojunction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2">
        <w:r>
          <w:rPr>
            <w:color w:val="1155CC"/>
            <w:u w:val="single"/>
          </w:rPr>
          <w:t>10.1002/anie.202516556</w:t>
        </w:r>
      </w:hyperlink>
    </w:p>
    <w:p>
      <w:pPr>
        <w:spacing w:before="0" w:after="120"/>
      </w:pPr>
      <w:r>
        <w:rPr>
          <w:b/>
        </w:rPr>
        <w:t xml:space="preserve">Notes: </w:t>
      </w:r>
      <w:r>
        <w:t>abstract_source=crossref</w:t>
      </w:r>
    </w:p>
    <w:p>
      <w:pPr>
        <w:spacing w:before="0" w:after="200" w:lineRule="auto" w:line="276"/>
      </w:pPr>
      <w:r>
        <w:rPr>
          <w:b/>
        </w:rPr>
        <w:t xml:space="preserve">Abstract: </w:t>
      </w:r>
      <w:r>
        <w:t>We designed a donor–acceptor–donor (D–A–D) molecule,</w:t>
      </w:r>
      <w:r>
        <w:t xml:space="preserve"> </w:t>
      </w:r>
      <w:r>
        <w:t>TISQ</w:t>
      </w:r>
      <w:r>
        <w:t xml:space="preserve"> </w:t>
      </w:r>
      <w:r>
        <w:t>, consisting of squaraine as the electron donor and naphthalene diimide as the electron acceptor, connected via amide linkages that promote hydrogen bonding. This molecule undergoes self‐assembly with spatial segregation of donor and acceptor moieties depending on the nature of the solvent. In polar solvents, J‐type aggregates are formed via a cooperative nucleation–elongation mechanism, whereas in low‐polarity solvents, H‐type aggregates are formed through an isodesmic pathway. Microscopic analyses showed that J‐type aggregates adopt nanoparticle‐like morphologies, whereas H‐type aggregates assemble into higher‐order fibrous structures. Photoconductivity measurements demonstrated that J‐type aggregates exhibit enhanced charge transport relative to H‐type aggregates. The maximum transient photoconductivity (</w:t>
      </w:r>
      <w:r>
        <w:t xml:space="preserve"> </w:t>
      </w:r>
      <w:r>
        <w:t>φ</w:t>
      </w:r>
      <w:r>
        <w:t xml:space="preserve"> </w:t>
      </w:r>
      <w:r>
        <w:t>Σ</w:t>
      </w:r>
      <w:r>
        <w:t xml:space="preserve"> </w:t>
      </w:r>
      <w:r>
        <w:t>μ</w:t>
      </w:r>
      <w:r>
        <w:t xml:space="preserve"> </w:t>
      </w:r>
      <w:r>
        <w:t>) of the J‐type aggregate thin film reached 6.5 × 10</w:t>
      </w:r>
      <w:r>
        <w:t xml:space="preserve"> </w:t>
      </w:r>
      <w:r>
        <w:t>−5</w:t>
      </w:r>
      <w:r>
        <w:t xml:space="preserve"> </w:t>
      </w:r>
      <w:r>
        <w:t>cm</w:t>
      </w:r>
      <w:r>
        <w:rPr>
          <w:vertAlign w:val="subscript"/>
        </w:rPr>
        <w:t>2</w:t>
      </w:r>
      <w:r>
        <w:t>V</w:t>
      </w:r>
      <w:r>
        <w:t xml:space="preserve"> </w:t>
      </w:r>
      <w:r>
        <w:t>−1</w:t>
      </w:r>
      <w:r>
        <w:t xml:space="preserve"> </w:t>
      </w:r>
      <w:r>
        <w:t>s</w:t>
      </w:r>
      <w:r>
        <w:t xml:space="preserve"> </w:t>
      </w:r>
      <w:r>
        <w:t>−1</w:t>
      </w:r>
      <w:r>
        <w:t xml:space="preserve"> </w:t>
      </w:r>
      <w:r>
        <w:t>, exhibiting a photoconductivity 2.0 times greater than that of the H‐type aggregate thin film (3.2 × 10</w:t>
      </w:r>
      <w:r>
        <w:t xml:space="preserve"> </w:t>
      </w:r>
      <w:r>
        <w:t>−5</w:t>
      </w:r>
      <w:r>
        <w:t xml:space="preserve"> </w:t>
      </w:r>
      <w:r>
        <w:t>cm</w:t>
      </w:r>
      <w:r>
        <w:rPr>
          <w:vertAlign w:val="subscript"/>
        </w:rPr>
        <w:t>2</w:t>
      </w:r>
      <w:r>
        <w:t>V</w:t>
      </w:r>
      <w:r>
        <w:t xml:space="preserve"> </w:t>
      </w:r>
      <w:r>
        <w:t>−1</w:t>
      </w:r>
      <w:r>
        <w:t xml:space="preserve"> </w:t>
      </w:r>
      <w:r>
        <w:t>s</w:t>
      </w:r>
      <w:r>
        <w:t xml:space="preserve"> </w:t>
      </w:r>
      <w:r>
        <w:t>−1</w:t>
      </w:r>
      <w:r>
        <w:t xml:space="preserve"> </w:t>
      </w:r>
      <w:r>
        <w:t>). Although bulk heterojunction solar cells with photoactive layers of the D–A–D molecule face challenges in forming continuous macroscopic p/n heterojunctions, these findings underscore that controlled self‐assembly of D–A–D molecules facilitates the formation of nanoscale p/n heterojunctions and the aggregate morphology plays a critical role in the charge transport.</w:t>
      </w:r>
    </w:p>
    <w:p>
      <w:pPr>
        <w:spacing w:before="120" w:after="120"/>
      </w:pPr>
      <w:r>
        <w:rPr>
          <w:sz w:val="18"/>
        </w:rPr>
        <w:t>——————————————————————————————————————————————————————————————————————</w:t>
      </w:r>
    </w:p>
    <w:p>
      <w:pPr>
        <w:spacing w:before="160" w:after="80" w:line="240" w:lineRule="auto"/>
      </w:pPr>
      <w:r>
        <w:rPr>
          <w:b/>
        </w:rPr>
        <w:t xml:space="preserve">[526] </w:t>
      </w:r>
      <w:hyperlink r:id="rId923">
        <w:r>
          <w:rPr>
            <w:color w:val="1155CC"/>
            <w:u w:val="single"/>
          </w:rPr>
          <w:t>Efficient Electrosynthesis of Dinitrile from Nylon‐66‐Derived Diamine Enabled by Highly Active Mn–O–Co Motifs in Spinel Oxides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4">
        <w:r>
          <w:rPr>
            <w:color w:val="1155CC"/>
            <w:u w:val="single"/>
          </w:rPr>
          <w:t>10.1002/anie.202516581</w:t>
        </w:r>
      </w:hyperlink>
    </w:p>
    <w:p>
      <w:pPr>
        <w:spacing w:before="0" w:after="120"/>
      </w:pPr>
      <w:r>
        <w:rPr>
          <w:b/>
        </w:rPr>
        <w:t xml:space="preserve">Notes: </w:t>
      </w:r>
      <w:r>
        <w:t>abstract_source=crossref</w:t>
      </w:r>
    </w:p>
    <w:p>
      <w:pPr>
        <w:spacing w:before="0" w:after="200" w:lineRule="auto" w:line="276"/>
      </w:pPr>
      <w:r>
        <w:rPr>
          <w:b/>
        </w:rPr>
        <w:t xml:space="preserve">Abstract: </w:t>
      </w:r>
      <w:r>
        <w:t>Conventional industrial production of adiponitrile (ADN), a critical building block in energy storage devices and polymer manufacturing, is predominately achieved via butadiene hydrocyanation. However, this method suffers from harsh energy demand and reliance on highly toxic hydrogen cyanide, thereby posing significant environmental and safety concerns. Herein, we developed a sustainable electroreforming strategy for ADN synthesis from waste nylon‐66 using Mn doped Co</w:t>
      </w:r>
      <w:r>
        <w:rPr>
          <w:vertAlign w:val="subscript"/>
        </w:rPr>
        <w:t>3</w:t>
      </w:r>
      <w:r>
        <w:t>O</w:t>
      </w:r>
      <w:r>
        <w:rPr>
          <w:vertAlign w:val="subscript"/>
        </w:rPr>
        <w:t>4</w:t>
      </w:r>
      <w:r>
        <w:t>(Mn‐Co</w:t>
      </w:r>
      <w:r>
        <w:rPr>
          <w:vertAlign w:val="subscript"/>
        </w:rPr>
        <w:t>3</w:t>
      </w:r>
      <w:r>
        <w:t>O</w:t>
      </w:r>
      <w:r>
        <w:rPr>
          <w:vertAlign w:val="subscript"/>
        </w:rPr>
        <w:t>4</w:t>
      </w:r>
      <w:r>
        <w:t>) catalyst. Mn doping strategy endows Co</w:t>
      </w:r>
      <w:r>
        <w:rPr>
          <w:vertAlign w:val="subscript"/>
        </w:rPr>
        <w:t>3</w:t>
      </w:r>
      <w:r>
        <w:t>O</w:t>
      </w:r>
      <w:r>
        <w:rPr>
          <w:vertAlign w:val="subscript"/>
        </w:rPr>
        <w:t>4</w:t>
      </w:r>
      <w:r>
        <w:t>with enhanced activity toward electrooxidation of nylon‐66‐derived hexamethylenediamine (HMD). Combined experimental and theoretical investigations reveal that the selective incorporation of Mn into octahedral Co</w:t>
      </w:r>
      <w:r>
        <w:t xml:space="preserve"> </w:t>
      </w:r>
      <w:r>
        <w:t>3+</w:t>
      </w:r>
      <w:r>
        <w:t xml:space="preserve"> </w:t>
      </w:r>
      <w:r>
        <w:t>sites creates highly active Mn–O–Co motifs, which concurrently enables HMD adsorption at Mn sites and the formation of reactive hydroxyl species at Co sites. Such a synergistic interaction between Mn and Co sites promotes N─H bond activation, enabling Mn–Co</w:t>
      </w:r>
      <w:r>
        <w:rPr>
          <w:vertAlign w:val="subscript"/>
        </w:rPr>
        <w:t>3</w:t>
      </w:r>
      <w:r>
        <w:t>O</w:t>
      </w:r>
      <w:r>
        <w:rPr>
          <w:vertAlign w:val="subscript"/>
        </w:rPr>
        <w:t>4</w:t>
      </w:r>
      <w:r>
        <w:t>to achieve a high Faradaic efficiency of ADN (93%) at 200 mA cm</w:t>
      </w:r>
      <w:r>
        <w:t xml:space="preserve"> </w:t>
      </w:r>
      <w:r>
        <w:t>−2</w:t>
      </w:r>
      <w:r>
        <w:t xml:space="preserve"> </w:t>
      </w:r>
      <w:r>
        <w:t>, with a yield rate of 0.87 mmol cm</w:t>
      </w:r>
      <w:r>
        <w:t xml:space="preserve"> </w:t>
      </w:r>
      <w:r>
        <w:t>−2</w:t>
      </w:r>
      <w:r>
        <w:t xml:space="preserve"> </w:t>
      </w:r>
      <w:r>
        <w:t>h</w:t>
      </w:r>
      <w:r>
        <w:t xml:space="preserve"> </w:t>
      </w:r>
      <w:r>
        <w:t>−1</w:t>
      </w:r>
      <w:r>
        <w:t xml:space="preserve"> </w:t>
      </w:r>
      <w:r>
        <w:t>. Furthermore, our study demonstrates a scalable route to generate high‐purity ADN from end‐of‐life cable ties through acidic hydrolysis treatment followed by two‐electrode electrolysis, achieving an overall yield of 95%. This work offers a sustainable approach for ADN electrosynthesis from waste plastics leveraging renewable electricity.</w:t>
      </w:r>
    </w:p>
    <w:p>
      <w:pPr>
        <w:spacing w:before="120" w:after="120"/>
      </w:pPr>
      <w:r>
        <w:rPr>
          <w:sz w:val="18"/>
        </w:rPr>
        <w:t>——————————————————————————————————————————————————————————————————————</w:t>
      </w:r>
    </w:p>
    <w:p>
      <w:pPr>
        <w:spacing w:before="160" w:after="80" w:line="240" w:lineRule="auto"/>
      </w:pPr>
      <w:r>
        <w:rPr>
          <w:b/>
        </w:rPr>
        <w:t xml:space="preserve">[527] </w:t>
      </w:r>
      <w:hyperlink r:id="rId925">
        <w:r>
          <w:rPr>
            <w:color w:val="1155CC"/>
            <w:u w:val="single"/>
          </w:rPr>
          <w:t>Defluoroalkylation of Trifluoromethane with Organolithium Reagents: Mechanism and Synthesis of Fluoroalkenes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6">
        <w:r>
          <w:rPr>
            <w:color w:val="1155CC"/>
            <w:u w:val="single"/>
          </w:rPr>
          <w:t>10.1002/anie.202516598</w:t>
        </w:r>
      </w:hyperlink>
    </w:p>
    <w:p>
      <w:pPr>
        <w:spacing w:before="0" w:after="120"/>
      </w:pPr>
      <w:r>
        <w:rPr>
          <w:b/>
        </w:rPr>
        <w:t xml:space="preserve">Notes: </w:t>
      </w:r>
      <w:r>
        <w:t>abstract_source=crossref</w:t>
      </w:r>
    </w:p>
    <w:p>
      <w:pPr>
        <w:spacing w:before="0" w:after="200" w:lineRule="auto" w:line="276"/>
      </w:pPr>
      <w:r>
        <w:rPr>
          <w:b/>
        </w:rPr>
        <w:t xml:space="preserve">Abstract: </w:t>
      </w:r>
      <w:r>
        <w:t>Trifluoromethane (HCF</w:t>
      </w:r>
      <w:r>
        <w:rPr>
          <w:vertAlign w:val="subscript"/>
        </w:rPr>
        <w:t>3</w:t>
      </w:r>
      <w:r>
        <w:t>, HFC‐23) is a byproduct of fluoropolymer production that has limited applications. It is often stored or destroyed at the point of production, but if released into the environment is a potent greenhouse gas with a global warming potential of 14 600 times that of CO</w:t>
      </w:r>
      <w:r>
        <w:rPr>
          <w:vertAlign w:val="subscript"/>
        </w:rPr>
        <w:t>2</w:t>
      </w:r>
      <w:r>
        <w:t>. State‐of‐the‐art chemical technologies for upgrading HCF</w:t>
      </w:r>
      <w:r>
        <w:rPr>
          <w:vertAlign w:val="subscript"/>
        </w:rPr>
        <w:t>3</w:t>
      </w:r>
      <w:r>
        <w:t>typically occur with conservation of the CF</w:t>
      </w:r>
      <w:r>
        <w:rPr>
          <w:vertAlign w:val="subscript"/>
        </w:rPr>
        <w:t>3</w:t>
      </w:r>
      <w:r>
        <w:t>group. These approaches will come under increased scrutiny as concern over the environmental impact of perfluoroalkyl substances (PFAS) continues to grow. A more sustainable approach involves synthetic transformations that repurpose the atomic content of HCF</w:t>
      </w:r>
      <w:r>
        <w:rPr>
          <w:vertAlign w:val="subscript"/>
        </w:rPr>
        <w:t>3</w:t>
      </w:r>
      <w:r>
        <w:t>while also destroying the CF</w:t>
      </w:r>
      <w:r>
        <w:rPr>
          <w:vertAlign w:val="subscript"/>
        </w:rPr>
        <w:t>3</w:t>
      </w:r>
      <w:r>
        <w:t>group. In this paper, we report a rare example of the transformation of HCF</w:t>
      </w:r>
      <w:r>
        <w:rPr>
          <w:vertAlign w:val="subscript"/>
        </w:rPr>
        <w:t>3</w:t>
      </w:r>
      <w:r>
        <w:t>into a fluoroalkene functional group through defluoroalkylation. We rationalise product formation through DFT calculations, scale‐up the synthesis through continuous flow methods, and show that a fluoroalkene reagent derived from HCF</w:t>
      </w:r>
      <w:r>
        <w:rPr>
          <w:vertAlign w:val="subscript"/>
        </w:rPr>
        <w:t>3</w:t>
      </w:r>
      <w:r>
        <w:t>is a competent nucleophile for the fluoroethenylation of a range of aldehydes.</w:t>
      </w:r>
    </w:p>
    <w:p>
      <w:pPr>
        <w:spacing w:before="120" w:after="120"/>
      </w:pPr>
      <w:r>
        <w:rPr>
          <w:sz w:val="18"/>
        </w:rPr>
        <w:t>——————————————————————————————————————————————————————————————————————</w:t>
      </w:r>
    </w:p>
    <w:p>
      <w:pPr>
        <w:spacing w:before="160" w:after="80" w:line="240" w:lineRule="auto"/>
      </w:pPr>
      <w:r>
        <w:rPr>
          <w:b/>
        </w:rPr>
        <w:t xml:space="preserve">[528] </w:t>
      </w:r>
      <w:hyperlink r:id="rId927">
        <w:r>
          <w:rPr>
            <w:color w:val="1155CC"/>
            <w:u w:val="single"/>
          </w:rPr>
          <w:t>Modulation of Photoluminescence and Solar Thermal Energy Storage in Norbornadiene–Quadricyclane Dimers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8">
        <w:r>
          <w:rPr>
            <w:color w:val="1155CC"/>
            <w:u w:val="single"/>
          </w:rPr>
          <w:t>10.1002/anie.202516629</w:t>
        </w:r>
      </w:hyperlink>
    </w:p>
    <w:p>
      <w:pPr>
        <w:spacing w:before="0" w:after="120"/>
      </w:pPr>
      <w:r>
        <w:rPr>
          <w:b/>
        </w:rPr>
        <w:t xml:space="preserve">Notes: </w:t>
      </w:r>
      <w:r>
        <w:t>abstract_source=crossref</w:t>
      </w:r>
    </w:p>
    <w:p>
      <w:pPr>
        <w:spacing w:before="0" w:after="200" w:lineRule="auto" w:line="276"/>
      </w:pPr>
      <w:r>
        <w:rPr>
          <w:b/>
        </w:rPr>
        <w:t xml:space="preserve">Abstract: </w:t>
      </w:r>
      <w:r>
        <w:t>The norbornadiene/quadricyclane (NBD/QC) photoswitch pair is a promising system for molecular solar thermal (MOST) energy storage. Multichromophoric systems with two or more photoswitches can offer red‐shifted absorption, higher energy densities, and additional functionality. Here, a series of</w:t>
      </w:r>
      <w:r>
        <w:t xml:space="preserve"> </w:t>
      </w:r>
      <w:r>
        <w:t>ortho</w:t>
      </w:r>
      <w:r>
        <w:t xml:space="preserve"> </w:t>
      </w:r>
      <w:r>
        <w:t>‐ and</w:t>
      </w:r>
      <w:r>
        <w:t xml:space="preserve"> </w:t>
      </w:r>
      <w:r>
        <w:t>para</w:t>
      </w:r>
      <w:r>
        <w:t xml:space="preserve"> </w:t>
      </w:r>
      <w:r>
        <w:t>‐substituted NBD dimers bearing methoxy, hexoxy (for solubility), and cyano groups were synthesised and evaluated for their MOST properties. Compared to monomers, the dimers display red‐shifted absorption and improved solar spectrum match, with onsets between 448–488 nm, owing to their donor–acceptor design and extended conjugation. A key finding is the tunable relationship between molecular structure, photoluminescence and photoisomerisation:</w:t>
      </w:r>
      <w:r>
        <w:t xml:space="preserve"> </w:t>
      </w:r>
      <w:r>
        <w:t>para</w:t>
      </w:r>
      <w:r>
        <w:t xml:space="preserve"> </w:t>
      </w:r>
      <w:r>
        <w:t>‐dimers exhibit efficient fluorescence, whilst</w:t>
      </w:r>
      <w:r>
        <w:t xml:space="preserve"> </w:t>
      </w:r>
      <w:r>
        <w:t>ortho</w:t>
      </w:r>
      <w:r>
        <w:t xml:space="preserve"> </w:t>
      </w:r>
      <w:r>
        <w:t>‐dimers are superior photoswitches with quantum yields of isomerisation, Φ</w:t>
      </w:r>
      <w:r>
        <w:t xml:space="preserve"> </w:t>
      </w:r>
      <w:r>
        <w:t>i</w:t>
      </w:r>
      <w:r>
        <w:t xml:space="preserve"> </w:t>
      </w:r>
      <w:r>
        <w:t>, up to 63%. Solvent choice further modulates behaviour; Φ</w:t>
      </w:r>
      <w:r>
        <w:t xml:space="preserve"> </w:t>
      </w:r>
      <w:r>
        <w:t>i</w:t>
      </w:r>
      <w:r>
        <w:t xml:space="preserve"> </w:t>
      </w:r>
      <w:r>
        <w:t>is higher in acetonitrile, whereas fluorescence is more efficient in toluene. This interplay allows tailoring for specific functions. The best‐performing photoswitches were studied in a liquid‐chip device, achieving a record solar conversion efficiency of 2.9%. Catalytic back‐conversion using cobalt phthalocyanine on carbon and macroscopic heat release experiments at 0.1 M yielded a 5.78 °C temperature increase. This first experimental macroscopic heat release of a dimeric system provides important insights into design challenges and opportunities for advancing multichromophoric systems towards MOST applications.</w:t>
      </w:r>
    </w:p>
    <w:p>
      <w:pPr>
        <w:spacing w:before="120" w:after="120"/>
      </w:pPr>
      <w:r>
        <w:rPr>
          <w:sz w:val="18"/>
        </w:rPr>
        <w:t>——————————————————————————————————————————————————————————————————————</w:t>
      </w:r>
    </w:p>
    <w:p>
      <w:pPr>
        <w:spacing w:before="160" w:after="80" w:line="240" w:lineRule="auto"/>
      </w:pPr>
      <w:r>
        <w:rPr>
          <w:b/>
        </w:rPr>
        <w:t xml:space="preserve">[529] </w:t>
      </w:r>
      <w:hyperlink r:id="rId929">
        <w:r>
          <w:rPr>
            <w:color w:val="1155CC"/>
            <w:u w:val="single"/>
          </w:rPr>
          <w:t>Overcoming Hydrophobicity with Water Enables Ultrafast Hydrolysis of Waste Polyethylene Terephthalate at Very Mild Conditions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30">
        <w:r>
          <w:rPr>
            <w:color w:val="1155CC"/>
            <w:u w:val="single"/>
          </w:rPr>
          <w:t>10.1002/anie.202514136</w:t>
        </w:r>
      </w:hyperlink>
    </w:p>
    <w:p>
      <w:pPr>
        <w:spacing w:before="0" w:after="120"/>
      </w:pPr>
      <w:r>
        <w:rPr>
          <w:b/>
        </w:rPr>
        <w:t xml:space="preserve">Notes: </w:t>
      </w:r>
      <w:r>
        <w:t>abstract_source=crossref</w:t>
      </w:r>
    </w:p>
    <w:p>
      <w:pPr>
        <w:spacing w:before="0" w:after="200" w:lineRule="auto" w:line="276"/>
      </w:pPr>
      <w:r>
        <w:rPr>
          <w:b/>
        </w:rPr>
        <w:t xml:space="preserve">Abstract: </w:t>
      </w:r>
      <w:r>
        <w:t>Chemical recycling of plastics holds great promise but remains constrained by sustainability issues, with polyethylene terephthalate (PET) epitomizing this challenge. Herein, we introduce a conceptually novel strategy that overcomes PET's intrinsic hydrophobicity by physically re‐engineering the polymer's microstructure to enable ultrafast alkaline hydrolysis under exceptionally mild conditions. We leverage the ability of propylene carbonate (PC)—an inexpensive, commercial, green solvent—to selectively dissolve PET, to thermally induce phase separation, and subsequently act as a carrier for water insertion between polymer chains. Upon complete PC replacement, the water uptake exceeds twice the polymer mass, preventing chain re‐compaction and establishing an interfacial environment that facilitates hydroxyl ion diffusion to ester bonds and depolymerization with minimal alkali consumption. As a result, water‐swollen PET fully depolymerizes (96% TPA yield) at atmospheric pressure within 5 min at 90  or under 2 h at room temperature, vastly outperforming conventional hydrolysis methods. The process achieves a 20‐fold reduction in energy footprint versus direct PET hydrolysis. It performs robustly on challenging, real‐world feedstocks—including textiles and mixed plastic waste—enabling selective depolymerization unaffected by PET crystallinity. A techno‐economic analysis (TEA) confirms energy efficiency and strong economic feasibility, demonstrating overall competitiveness with existing engineered technologies. Beyond PET, the physical mechanism underpinning the strategy offers a scalable and sustainable platform for recycling a wide range of condensation polymers.</w:t>
      </w:r>
    </w:p>
    <w:p>
      <w:pPr>
        <w:spacing w:before="120" w:after="120"/>
      </w:pPr>
      <w:r>
        <w:rPr>
          <w:sz w:val="18"/>
        </w:rPr>
        <w:t>——————————————————————————————————————————————————————————————————————</w:t>
      </w:r>
    </w:p>
    <w:p>
      <w:pPr>
        <w:spacing w:before="160" w:after="80" w:line="240" w:lineRule="auto"/>
      </w:pPr>
      <w:r>
        <w:rPr>
          <w:b/>
        </w:rPr>
        <w:t xml:space="preserve">[530] </w:t>
      </w:r>
      <w:hyperlink r:id="rId931">
        <w:r>
          <w:rPr>
            <w:color w:val="1155CC"/>
            <w:u w:val="single"/>
          </w:rPr>
          <w:t>Tuning the Circularly Polarized Reflection from Cholesteric Hydroxypropyl Cellulose Using Molecular Photoswitches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32">
        <w:r>
          <w:rPr>
            <w:color w:val="1155CC"/>
            <w:u w:val="single"/>
          </w:rPr>
          <w:t>10.1002/anie.202520839</w:t>
        </w:r>
      </w:hyperlink>
    </w:p>
    <w:p>
      <w:pPr>
        <w:spacing w:before="0" w:after="120"/>
      </w:pPr>
      <w:r>
        <w:rPr>
          <w:b/>
        </w:rPr>
        <w:t xml:space="preserve">Notes: </w:t>
      </w:r>
      <w:r>
        <w:t>abstract_source=crossref</w:t>
      </w:r>
    </w:p>
    <w:p>
      <w:pPr>
        <w:spacing w:before="0" w:after="200" w:lineRule="auto" w:line="276"/>
      </w:pPr>
      <w:r>
        <w:rPr>
          <w:b/>
        </w:rPr>
        <w:t xml:space="preserve">Abstract: </w:t>
      </w:r>
      <w:r>
        <w:t>Controlling the ordering of molecular liquid crystals using light has found widespread applications in reflectors, sensors, and tunable optical filters. In chiral liquid crystals such as cholesterics, introducing a molecular switch can alter chiral interactions between mesogens and thus affect the periodicity and photonic band responsible for the structural color of the material. However, analogous photo‐control of cellulose‐based cholesteric polymers has not been reported. Here, we investigate the addition of achiral and chiral switches to cholesteric mesophases of structurally colored hydroxypropyl cellulose (HPC) and monitor changes in the photonic bandgap upon varying concentration, illumination, or temperature. While an achiral photoswitch enables reversible tuning of the reflected color upon</w:t>
      </w:r>
      <w:r>
        <w:t xml:space="preserve"> </w:t>
      </w:r>
      <w:r>
        <w:t>trans</w:t>
      </w:r>
      <w:r>
        <w:t xml:space="preserve"> </w:t>
      </w:r>
      <w:r>
        <w:t>‐</w:t>
      </w:r>
      <w:r>
        <w:t xml:space="preserve"> </w:t>
      </w:r>
      <w:r>
        <w:t>cis</w:t>
      </w:r>
      <w:r>
        <w:t xml:space="preserve"> </w:t>
      </w:r>
      <w:r>
        <w:t>photoisomerization, chiral switches (with different pendant groups and</w:t>
      </w:r>
      <w:r>
        <w:t xml:space="preserve"> </w:t>
      </w:r>
      <w:r>
        <w:t>R</w:t>
      </w:r>
      <w:r>
        <w:t xml:space="preserve"> </w:t>
      </w:r>
      <w:r>
        <w:t>/</w:t>
      </w:r>
      <w:r>
        <w:t>S</w:t>
      </w:r>
      <w:r>
        <w:t xml:space="preserve"> </w:t>
      </w:r>
      <w:r>
        <w:t>enantiomers) lead to substantial differences in pitch and polarized reflection during cycles of illumination or heating/cooling–attributed to the complex interplay between the chiralities of the switch and of the host mesophase. A final combination of chiral photoswitch and spiropyran enables independent control of reflected and transmitted color, which can be relevant for cellulose‐based photonic displays, smart labels, or anti‐counterfeiting technology.</w:t>
      </w:r>
    </w:p>
    <w:p>
      <w:pPr>
        <w:spacing w:before="120" w:after="120"/>
      </w:pPr>
      <w:r>
        <w:rPr>
          <w:sz w:val="18"/>
        </w:rPr>
        <w:t>——————————————————————————————————————————————————————————————————————</w:t>
      </w:r>
    </w:p>
    <w:p>
      <w:pPr>
        <w:spacing w:before="160" w:after="80" w:line="240" w:lineRule="auto"/>
      </w:pPr>
      <w:r>
        <w:rPr>
          <w:b/>
        </w:rPr>
        <w:t xml:space="preserve">[531] </w:t>
      </w:r>
      <w:hyperlink r:id="rId933">
        <w:r>
          <w:rPr>
            <w:color w:val="1155CC"/>
            <w:u w:val="single"/>
          </w:rPr>
          <w:t>A Cathepsin B‐Triggered CO‐Releasing Molecule with a Non‐Toxic Metal Core for Targeted Tumor Delivery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34">
        <w:r>
          <w:rPr>
            <w:color w:val="1155CC"/>
            <w:u w:val="single"/>
          </w:rPr>
          <w:t>10.1002/anie.202513808</w:t>
        </w:r>
      </w:hyperlink>
    </w:p>
    <w:p>
      <w:pPr>
        <w:spacing w:before="0" w:after="120"/>
      </w:pPr>
      <w:r>
        <w:rPr>
          <w:b/>
        </w:rPr>
        <w:t xml:space="preserve">Notes: </w:t>
      </w:r>
      <w:r>
        <w:t>abstract_source=crossref</w:t>
      </w:r>
    </w:p>
    <w:p>
      <w:pPr>
        <w:spacing w:before="0" w:after="200" w:lineRule="auto" w:line="276"/>
      </w:pPr>
      <w:r>
        <w:rPr>
          <w:b/>
        </w:rPr>
        <w:t xml:space="preserve">Abstract: </w:t>
      </w:r>
      <w:r>
        <w:t>Carbon monoxide (CO) has shown therapeutic potential across various diseases, including cancer. To enable controlled delivery, many CO‐releasing molecules (CORMs) have been developed. However, their clinical translation has been limited due to concerns about stability, potential toxicity, and insufficient targeting ability. In this study, we report the synthesis and characterization of an enzyme‐triggered CO‐releasing molecule (</w:t>
      </w:r>
      <w:r>
        <w:t xml:space="preserve"> </w:t>
      </w:r>
      <w:r>
        <w:t>ET‐CORM</w:t>
      </w:r>
      <w:r>
        <w:t xml:space="preserve"> </w:t>
      </w:r>
      <w:r>
        <w:t>) that can be site‐specifically conjugated to antibodies. This novel</w:t>
      </w:r>
      <w:r>
        <w:t xml:space="preserve"> </w:t>
      </w:r>
      <w:r>
        <w:t>ET‐CORM</w:t>
      </w:r>
      <w:r>
        <w:t xml:space="preserve"> </w:t>
      </w:r>
      <w:r>
        <w:t>is built on a biocompatible iron core, and releases CO upon cleavage by the cancer‐associated protease cathepsin B (CatB). The incorporation of a bioorthogonal handle into</w:t>
      </w:r>
      <w:r>
        <w:t xml:space="preserve"> </w:t>
      </w:r>
      <w:r>
        <w:t>ET‐CORM</w:t>
      </w:r>
      <w:r>
        <w:t xml:space="preserve"> </w:t>
      </w:r>
      <w:r>
        <w:t>enabled its efficient and site‐specific conjugation to the clinically used antibody trastuzumab via the interchain disulfide bonds. The resulting ET‐CORM–antibody conjugate (</w:t>
      </w:r>
      <w:r>
        <w:t xml:space="preserve"> </w:t>
      </w:r>
      <w:r>
        <w:t>ET‐CORM‐Ab</w:t>
      </w:r>
      <w:r>
        <w:t xml:space="preserve"> </w:t>
      </w:r>
      <w:r>
        <w:t>) exhibited an average drug‐to‐antibody ratio (DAR) of 6.8, corresponding to approximately 20 CO molecules per conjugate. This construct allowed for selective intracellular CO delivery to HER2‐overexpressing and CatB‐expressing cells in vitro. This study represents a metal‐based CORM–antibody conjugate activated by a tumor‐associated enzymatic trigger, opening new avenues for investigating CO‐mediated effects and advancing CO‐based cancer therapies to the clinics.</w:t>
      </w:r>
    </w:p>
    <w:p>
      <w:pPr>
        <w:spacing w:before="120" w:after="120"/>
      </w:pPr>
      <w:r>
        <w:rPr>
          <w:sz w:val="18"/>
        </w:rPr>
        <w:t>——————————————————————————————————————————————————————————————————————</w:t>
      </w:r>
    </w:p>
    <w:p>
      <w:pPr>
        <w:spacing w:before="160" w:after="80" w:line="240" w:lineRule="auto"/>
      </w:pPr>
      <w:r>
        <w:rPr>
          <w:b/>
        </w:rPr>
        <w:t xml:space="preserve">[532] </w:t>
      </w:r>
      <w:hyperlink r:id="rId935">
        <w:r>
          <w:rPr>
            <w:color w:val="1155CC"/>
            <w:u w:val="single"/>
          </w:rPr>
          <w:t>Hierarchical, Template‐Controlled Self‐Assembly of Two Different Organometallic Capsules from a Tetrakisimidazolium Salt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36">
        <w:r>
          <w:rPr>
            <w:color w:val="1155CC"/>
            <w:u w:val="single"/>
          </w:rPr>
          <w:t>10.1002/anie.202520814</w:t>
        </w:r>
      </w:hyperlink>
    </w:p>
    <w:p>
      <w:pPr>
        <w:spacing w:before="0" w:after="120"/>
      </w:pPr>
      <w:r>
        <w:rPr>
          <w:b/>
        </w:rPr>
        <w:t xml:space="preserve">Notes: </w:t>
      </w:r>
      <w:r>
        <w:t>abstract_source=crossref</w:t>
      </w:r>
    </w:p>
    <w:p>
      <w:pPr>
        <w:spacing w:before="0" w:after="200" w:lineRule="auto" w:line="276"/>
      </w:pPr>
      <w:r>
        <w:rPr>
          <w:b/>
        </w:rPr>
        <w:t xml:space="preserve">Abstract: </w:t>
      </w:r>
      <w:r>
        <w:t>Controlling the assembly of molecular nanocapsules through metal‐carbon bonds constitutes a major challenge in the field of supramolecular organometallic chemistry. Here, we demonstrate the construction of two nanosized dodecanuclear organometallic capsules, [{Ag(CH</w:t>
      </w:r>
      <w:r>
        <w:rPr>
          <w:vertAlign w:val="subscript"/>
        </w:rPr>
        <w:t>3</w:t>
      </w:r>
      <w:r>
        <w:t>CN)</w:t>
      </w:r>
      <w:r>
        <w:rPr>
          <w:vertAlign w:val="subscript"/>
        </w:rPr>
        <w:t>4</w:t>
      </w:r>
      <w:r>
        <w:t>(BF</w:t>
      </w:r>
      <w:r>
        <w:rPr>
          <w:vertAlign w:val="subscript"/>
        </w:rPr>
        <w:t>4</w:t>
      </w:r>
      <w:r>
        <w:t>)</w:t>
      </w:r>
      <w:r>
        <w:rPr>
          <w:vertAlign w:val="subscript"/>
        </w:rPr>
        <w:t>8</w:t>
      </w:r>
      <w:r>
        <w:t>}⊂Ag</w:t>
      </w:r>
      <w:r>
        <w:rPr>
          <w:vertAlign w:val="subscript"/>
        </w:rPr>
        <w:t>12</w:t>
      </w:r>
      <w:r>
        <w:t>(</w:t>
      </w:r>
      <w:r>
        <w:rPr>
          <w:vertAlign w:val="subscript"/>
        </w:rPr>
        <w:t>1</w:t>
      </w:r>
      <w:r>
        <w:t>)</w:t>
      </w:r>
      <w:r>
        <w:rPr>
          <w:vertAlign w:val="subscript"/>
        </w:rPr>
        <w:t>6</w:t>
      </w:r>
      <w:r>
        <w:t>](BF</w:t>
      </w:r>
      <w:r>
        <w:rPr>
          <w:vertAlign w:val="subscript"/>
        </w:rPr>
        <w:t>4</w:t>
      </w:r>
      <w:r>
        <w:t>)</w:t>
      </w:r>
      <w:r>
        <w:rPr>
          <w:vertAlign w:val="subscript"/>
        </w:rPr>
        <w:t>5</w:t>
      </w:r>
      <w:r>
        <w:t>and [(CF</w:t>
      </w:r>
      <w:r>
        <w:rPr>
          <w:vertAlign w:val="subscript"/>
        </w:rPr>
        <w:t>3</w:t>
      </w:r>
      <w:r>
        <w:t>SO</w:t>
      </w:r>
      <w:r>
        <w:rPr>
          <w:vertAlign w:val="subscript"/>
        </w:rPr>
        <w:t>3</w:t>
      </w:r>
      <w:r>
        <w:t>)</w:t>
      </w:r>
      <w:r>
        <w:rPr>
          <w:vertAlign w:val="subscript"/>
        </w:rPr>
        <w:t>8</w:t>
      </w:r>
      <w:r>
        <w:t>⊂Ag</w:t>
      </w:r>
      <w:r>
        <w:rPr>
          <w:vertAlign w:val="subscript"/>
        </w:rPr>
        <w:t>12</w:t>
      </w:r>
      <w:r>
        <w:t>(</w:t>
      </w:r>
      <w:r>
        <w:rPr>
          <w:vertAlign w:val="subscript"/>
        </w:rPr>
        <w:t>1</w:t>
      </w:r>
      <w:r>
        <w:t>)</w:t>
      </w:r>
      <w:r>
        <w:rPr>
          <w:vertAlign w:val="subscript"/>
        </w:rPr>
        <w:t>6</w:t>
      </w:r>
      <w:r>
        <w:t>](CF</w:t>
      </w:r>
      <w:r>
        <w:rPr>
          <w:vertAlign w:val="subscript"/>
        </w:rPr>
        <w:t>3</w:t>
      </w:r>
      <w:r>
        <w:t>SO</w:t>
      </w:r>
      <w:r>
        <w:rPr>
          <w:vertAlign w:val="subscript"/>
        </w:rPr>
        <w:t>3</w:t>
      </w:r>
      <w:r>
        <w:t>)</w:t>
      </w:r>
      <w:r>
        <w:rPr>
          <w:vertAlign w:val="subscript"/>
        </w:rPr>
        <w:t>4</w:t>
      </w:r>
      <w:r>
        <w:t>from the calix[4]resorcinarene‐based tetrakisimidazolium salts H</w:t>
      </w:r>
      <w:r>
        <w:rPr>
          <w:vertAlign w:val="subscript"/>
        </w:rPr>
        <w:t>4</w:t>
      </w:r>
      <w:r>
        <w:t>‐</w:t>
      </w:r>
      <w:r>
        <w:rPr>
          <w:vertAlign w:val="subscript"/>
        </w:rPr>
        <w:t>1</w:t>
      </w:r>
      <w:r>
        <w:t>(X)</w:t>
      </w:r>
      <w:r>
        <w:rPr>
          <w:vertAlign w:val="subscript"/>
        </w:rPr>
        <w:t>4</w:t>
      </w:r>
      <w:r>
        <w:t>and Ag</w:t>
      </w:r>
      <w:r>
        <w:t xml:space="preserve"> </w:t>
      </w:r>
      <w:r>
        <w:t>I</w:t>
      </w:r>
      <w:r>
        <w:t xml:space="preserve"> </w:t>
      </w:r>
      <w:r>
        <w:t>ions employing the metal‐carbene directed self‐assembly and hierarchical template strategies. An [Ag(CH</w:t>
      </w:r>
      <w:r>
        <w:rPr>
          <w:vertAlign w:val="subscript"/>
        </w:rPr>
        <w:t>3</w:t>
      </w:r>
      <w:r>
        <w:t>CH)</w:t>
      </w:r>
      <w:r>
        <w:rPr>
          <w:vertAlign w:val="subscript"/>
        </w:rPr>
        <w:t>4</w:t>
      </w:r>
      <w:r>
        <w:t>(BF</w:t>
      </w:r>
      <w:r>
        <w:rPr>
          <w:vertAlign w:val="subscript"/>
        </w:rPr>
        <w:t>4</w:t>
      </w:r>
      <w:r>
        <w:t>)</w:t>
      </w:r>
      <w:r>
        <w:rPr>
          <w:vertAlign w:val="subscript"/>
        </w:rPr>
        <w:t>8</w:t>
      </w:r>
      <w:r>
        <w:t>]</w:t>
      </w:r>
      <w:r>
        <w:t xml:space="preserve"> </w:t>
      </w:r>
      <w:r>
        <w:t>7−</w:t>
      </w:r>
      <w:r>
        <w:t>anion or eight triflate anions served as templates. The dodecanuclear capsules are the largest poly‐NHC‐derived assemblies known so far. Salt H</w:t>
      </w:r>
      <w:r>
        <w:rPr>
          <w:vertAlign w:val="subscript"/>
        </w:rPr>
        <w:t>4</w:t>
      </w:r>
      <w:r>
        <w:t>‐</w:t>
      </w:r>
      <w:r>
        <w:rPr>
          <w:vertAlign w:val="subscript"/>
        </w:rPr>
        <w:t>1</w:t>
      </w:r>
      <w:r>
        <w:t>(SbF</w:t>
      </w:r>
      <w:r>
        <w:rPr>
          <w:vertAlign w:val="subscript"/>
        </w:rPr>
        <w:t>6</w:t>
      </w:r>
      <w:r>
        <w:t>)</w:t>
      </w:r>
      <w:r>
        <w:rPr>
          <w:vertAlign w:val="subscript"/>
        </w:rPr>
        <w:t>4</w:t>
      </w:r>
      <w:r>
        <w:t>reacts with Ag</w:t>
      </w:r>
      <w:r>
        <w:rPr>
          <w:vertAlign w:val="subscript"/>
        </w:rPr>
        <w:t>2</w:t>
      </w:r>
      <w:r>
        <w:t>O to give the tetranuclear assembly [(SbF</w:t>
      </w:r>
      <w:r>
        <w:rPr>
          <w:vertAlign w:val="subscript"/>
        </w:rPr>
        <w:t>6</w:t>
      </w:r>
      <w:r>
        <w:t>)⊂Ag</w:t>
      </w:r>
      <w:r>
        <w:rPr>
          <w:vertAlign w:val="subscript"/>
        </w:rPr>
        <w:t>4</w:t>
      </w:r>
      <w:r>
        <w:t>(</w:t>
      </w:r>
      <w:r>
        <w:rPr>
          <w:vertAlign w:val="subscript"/>
        </w:rPr>
        <w:t>1</w:t>
      </w:r>
      <w:r>
        <w:t>)</w:t>
      </w:r>
      <w:r>
        <w:rPr>
          <w:vertAlign w:val="subscript"/>
        </w:rPr>
        <w:t>2</w:t>
      </w:r>
      <w:r>
        <w:t>](SbF</w:t>
      </w:r>
      <w:r>
        <w:rPr>
          <w:vertAlign w:val="subscript"/>
        </w:rPr>
        <w:t>6</w:t>
      </w:r>
      <w:r>
        <w:t>)</w:t>
      </w:r>
      <w:r>
        <w:rPr>
          <w:vertAlign w:val="subscript"/>
        </w:rPr>
        <w:t>3</w:t>
      </w:r>
      <w:r>
        <w:t>featuring an encapsulated SbF</w:t>
      </w:r>
      <w:r>
        <w:rPr>
          <w:vertAlign w:val="subscript"/>
        </w:rPr>
        <w:t>6</w:t>
      </w:r>
      <w:r>
        <w:t>−</w:t>
      </w:r>
      <w:r>
        <w:t>anion. Transmetalation of the tetra‐NHC ligands from silver to gold yielded in all cases tetranuclear assemblies of type [Au</w:t>
      </w:r>
      <w:r>
        <w:rPr>
          <w:vertAlign w:val="subscript"/>
        </w:rPr>
        <w:t>4</w:t>
      </w:r>
      <w:r>
        <w:t>(</w:t>
      </w:r>
      <w:r>
        <w:rPr>
          <w:vertAlign w:val="subscript"/>
        </w:rPr>
        <w:t>1</w:t>
      </w:r>
      <w:r>
        <w:t>)</w:t>
      </w:r>
      <w:r>
        <w:rPr>
          <w:vertAlign w:val="subscript"/>
        </w:rPr>
        <w:t>2</w:t>
      </w:r>
      <w:r>
        <w:t>]X</w:t>
      </w:r>
      <w:r>
        <w:rPr>
          <w:vertAlign w:val="subscript"/>
        </w:rPr>
        <w:t>4</w:t>
      </w:r>
      <w:r>
        <w:t>.</w:t>
      </w:r>
    </w:p>
    <w:p>
      <w:pPr>
        <w:spacing w:before="120" w:after="120"/>
      </w:pPr>
      <w:r>
        <w:rPr>
          <w:sz w:val="18"/>
        </w:rPr>
        <w:t>——————————————————————————————————————————————————————————————————————</w:t>
      </w:r>
    </w:p>
    <w:p>
      <w:pPr>
        <w:spacing w:before="160" w:after="80" w:line="240" w:lineRule="auto"/>
      </w:pPr>
      <w:r>
        <w:rPr>
          <w:b/>
        </w:rPr>
        <w:t xml:space="preserve">[533] </w:t>
      </w:r>
      <w:hyperlink r:id="rId937">
        <w:r>
          <w:rPr>
            <w:color w:val="1155CC"/>
            <w:u w:val="single"/>
          </w:rPr>
          <w:t>Correction to “Imaging‐Based High‐Content Screening with Clickable Probes Identifies XPB Inhibitors”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38">
        <w:r>
          <w:rPr>
            <w:color w:val="1155CC"/>
            <w:u w:val="single"/>
          </w:rPr>
          <w:t>10.1002/anie.202524764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[534] </w:t>
      </w:r>
      <w:hyperlink r:id="rId939">
        <w:r>
          <w:rPr>
            <w:color w:val="1155CC"/>
            <w:u w:val="single"/>
          </w:rPr>
          <w:t>Correction to “A Small‐Molecule Drug for the Self‐Checking of Mitophagy”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0">
        <w:r>
          <w:rPr>
            <w:color w:val="1155CC"/>
            <w:u w:val="single"/>
          </w:rPr>
          <w:t>10.1002/anie.202523766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[535] </w:t>
      </w:r>
      <w:hyperlink r:id="rId941">
        <w:r>
          <w:rPr>
            <w:color w:val="1155CC"/>
            <w:u w:val="single"/>
          </w:rPr>
          <w:t>Bypassing β‐Hydride Elimination: Excited‐State Pd‐Catalyzed C(sp3)–C(sp2) Coupling at Room Temperature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2">
        <w:r>
          <w:rPr>
            <w:color w:val="1155CC"/>
            <w:u w:val="single"/>
          </w:rPr>
          <w:t>10.1002/anie.202522979</w:t>
        </w:r>
      </w:hyperlink>
    </w:p>
    <w:p>
      <w:pPr>
        <w:spacing w:before="0" w:after="120"/>
      </w:pPr>
      <w:r>
        <w:rPr>
          <w:b/>
        </w:rPr>
        <w:t xml:space="preserve">Notes: </w:t>
      </w:r>
      <w:r>
        <w:t>abstract_source=crossref</w:t>
      </w:r>
    </w:p>
    <w:p>
      <w:pPr>
        <w:spacing w:before="0" w:after="200" w:lineRule="auto" w:line="276"/>
      </w:pPr>
      <w:r>
        <w:rPr>
          <w:b/>
        </w:rPr>
        <w:t xml:space="preserve">Abstract: </w:t>
      </w:r>
      <w:r>
        <w:t>Catalytic modification of C−H bonds using palladium is highly appealing, but transformations involving alkyl‐Pd(II) intermediates with</w:t>
      </w:r>
      <w:r>
        <w:t xml:space="preserve"> </w:t>
      </w:r>
      <w:r>
        <w:t>β</w:t>
      </w:r>
      <w:r>
        <w:t xml:space="preserve"> </w:t>
      </w:r>
      <w:r>
        <w:t>‐hydrogens are challenging due to the propensity for</w:t>
      </w:r>
      <w:r>
        <w:t xml:space="preserve"> </w:t>
      </w:r>
      <w:r>
        <w:t>β</w:t>
      </w:r>
      <w:r>
        <w:t xml:space="preserve"> </w:t>
      </w:r>
      <w:r>
        <w:t>‐hydride elimination. To address this, selective arylation of sp</w:t>
      </w:r>
      <w:r>
        <w:rPr>
          <w:vertAlign w:val="subscript"/>
        </w:rPr>
        <w:t>3</w:t>
      </w:r>
      <w:r>
        <w:t>C−H bonds in amides and alcohols has been achieved using divalent palladium as an excited‐state transition metal (TM) species at room temperature. Our approach unveils a non‐redox‐neutral pathway to achieve C(sp</w:t>
      </w:r>
      <w:r>
        <w:rPr>
          <w:vertAlign w:val="subscript"/>
        </w:rPr>
        <w:t>3</w:t>
      </w:r>
      <w:r>
        <w:t>)–C(sp</w:t>
      </w:r>
      <w:r>
        <w:rPr>
          <w:vertAlign w:val="subscript"/>
        </w:rPr>
        <w:t>2</w:t>
      </w:r>
      <w:r>
        <w:t>) cross‐couplings, utilizing aryl iodides as both hydrogen atom transfer (HAT) and arylating agents for the first time under Pd‐photochemical conditions. The mechanism involves photo‐induced Pd(II)‐catalyzed aryl radical generation, HAT, and aryl migration, effectively bypassing the common</w:t>
      </w:r>
      <w:r>
        <w:t xml:space="preserve"> </w:t>
      </w:r>
      <w:r>
        <w:t>β</w:t>
      </w:r>
      <w:r>
        <w:t xml:space="preserve"> </w:t>
      </w:r>
      <w:r>
        <w:t>‐hydride elimination and annulation pathways. Mechanistic investigations using isotope‐labeled compounds and density functional theory (DFT) studies support the mechanistic rationale, affirming both the feasibility and intricacies of this effective transformation.</w:t>
      </w:r>
    </w:p>
    <w:p>
      <w:pPr>
        <w:spacing w:before="120" w:after="120"/>
      </w:pPr>
      <w:r>
        <w:rPr>
          <w:sz w:val="18"/>
        </w:rPr>
        <w:t>——————————————————————————————————————————————————————————————————————</w:t>
      </w:r>
    </w:p>
    <w:p>
      <w:pPr>
        <w:spacing w:before="160" w:after="80" w:line="240" w:lineRule="auto"/>
      </w:pPr>
      <w:r>
        <w:rPr>
          <w:b/>
        </w:rPr>
        <w:t xml:space="preserve">[536] </w:t>
      </w:r>
      <w:hyperlink r:id="rId943">
        <w:r>
          <w:rPr>
            <w:color w:val="1155CC"/>
            <w:u w:val="single"/>
          </w:rPr>
          <w:t>Three Conformations, Four Stimuli: Balancing Bond Order and Aromaticity in a Dual‐BN Dihydrophenazine Switch</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4">
        <w:r>
          <w:rPr>
            <w:color w:val="1155CC"/>
            <w:u w:val="single"/>
          </w:rPr>
          <w:t>10.1002/anie.202522719</w:t>
        </w:r>
      </w:hyperlink>
    </w:p>
    <w:p>
      <w:pPr>
        <w:spacing w:before="0" w:after="120"/>
      </w:pPr>
      <w:r>
        <w:rPr>
          <w:b/>
        </w:rPr>
        <w:t xml:space="preserve">Notes: </w:t>
      </w:r>
      <w:r>
        <w:t>abstract_source=crossref</w:t>
      </w:r>
    </w:p>
    <w:p>
      <w:pPr>
        <w:spacing w:before="0" w:after="200" w:lineRule="auto" w:line="276"/>
      </w:pPr>
      <w:r>
        <w:rPr>
          <w:b/>
        </w:rPr>
        <w:t xml:space="preserve">Abstract: </w:t>
      </w:r>
      <w:r>
        <w:t>Designing π systems that respond to several stimuli or switch among multiple conformations remains challenging. A diborylated dihydrophenazine, in which aromaticity changes are coupled to internal B─N rotations, operates as a multistate optical switch addressable by heat, force, light, or redox inputs. The system exemplifies a new route to π‐conjugated multimodal switches, as reported by Tian et al. (</w:t>
      </w:r>
      <w:r>
        <w:t xml:space="preserve"> </w:t>
      </w:r>
      <w:r>
        <w:t>https://doi.org/10.1002/anov.70012</w:t>
      </w:r>
      <w:r>
        <w:t xml:space="preserve"> </w:t>
      </w:r>
      <w:r>
        <w:t>).</w:t>
      </w:r>
    </w:p>
    <w:p>
      <w:pPr>
        <w:spacing w:before="120" w:after="120"/>
      </w:pPr>
      <w:r>
        <w:rPr>
          <w:sz w:val="18"/>
        </w:rPr>
        <w:t>——————————————————————————————————————————————————————————————————————</w:t>
      </w:r>
    </w:p>
    <w:p>
      <w:pPr>
        <w:spacing w:before="160" w:after="80" w:line="240" w:lineRule="auto"/>
      </w:pPr>
      <w:r>
        <w:rPr>
          <w:b/>
        </w:rPr>
        <w:t xml:space="preserve">[537] </w:t>
      </w:r>
      <w:hyperlink r:id="rId945">
        <w:r>
          <w:rPr>
            <w:color w:val="1155CC"/>
            <w:u w:val="single"/>
          </w:rPr>
          <w:t>Photoinduced Proton‐Cation Cascade Boosting Ion Intercalation Dynamics in Photo‐Assisted Zinc‐Ion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6">
        <w:r>
          <w:rPr>
            <w:color w:val="1155CC"/>
            <w:u w:val="single"/>
          </w:rPr>
          <w:t>10.1002/anie.202522461</w:t>
        </w:r>
      </w:hyperlink>
    </w:p>
    <w:p>
      <w:pPr>
        <w:spacing w:before="0" w:after="120"/>
      </w:pPr>
      <w:r>
        <w:rPr>
          <w:b/>
        </w:rPr>
        <w:t xml:space="preserve">Notes: </w:t>
      </w:r>
      <w:r>
        <w:t>abstract_source=crossref</w:t>
      </w:r>
    </w:p>
    <w:p>
      <w:pPr>
        <w:spacing w:before="0" w:after="200" w:lineRule="auto" w:line="276"/>
      </w:pPr>
      <w:r>
        <w:rPr>
          <w:b/>
        </w:rPr>
        <w:t xml:space="preserve">Abstract: </w:t>
      </w:r>
      <w:r>
        <w:t>While photo‐assisted ion batteries represent a promising energy storage frontier—with light irradiation significantly improving performance—their development remains hindered by a fundamental knowledge gap, as existing theories struggle to fully account for improved light‐driven ion intercalation. This work discovers the photoinduced proton‐zinc ion intercalation cascade mechanism, establishing a theoretical framework that explains the synergistic proton‐cation interplay and its role in capacity enhancement under illumination. Through light‐induced charge transfer, photogenerated electrons drive proton intercalation, which induces the deprotonation of Zn</w:t>
      </w:r>
      <w:r>
        <w:t xml:space="preserve"> </w:t>
      </w:r>
      <w:r>
        <w:t>2+</w:t>
      </w:r>
      <w:r>
        <w:t xml:space="preserve"> </w:t>
      </w:r>
      <w:r>
        <w:t>‐coordinated water molecules due to the limited availability of free protons in the electrolyte. This deprotonation is energetically favored because of the lower deprotonation barrier of Zn</w:t>
      </w:r>
      <w:r>
        <w:t xml:space="preserve"> </w:t>
      </w:r>
      <w:r>
        <w:t>2+</w:t>
      </w:r>
      <w:r>
        <w:t xml:space="preserve"> </w:t>
      </w:r>
      <w:r>
        <w:t>‐coordinated water compared to uncoordinated water, thereby accelerating zinc‐ion desolvation and promoting Zn</w:t>
      </w:r>
      <w:r>
        <w:t xml:space="preserve"> </w:t>
      </w:r>
      <w:r>
        <w:t>2+</w:t>
      </w:r>
      <w:r>
        <w:t xml:space="preserve"> </w:t>
      </w:r>
      <w:r>
        <w:t>intercalation. Consequently, the synergistic H</w:t>
      </w:r>
      <w:r>
        <w:t xml:space="preserve"> </w:t>
      </w:r>
      <w:r>
        <w:t>+</w:t>
      </w:r>
      <w:r>
        <w:t xml:space="preserve"> </w:t>
      </w:r>
      <w:r>
        <w:t>/Zn</w:t>
      </w:r>
      <w:r>
        <w:t xml:space="preserve"> </w:t>
      </w:r>
      <w:r>
        <w:t>2+</w:t>
      </w:r>
      <w:r>
        <w:t xml:space="preserve"> </w:t>
      </w:r>
      <w:r>
        <w:t>co‐intercalation enables an exceptional areal capacity of 12.86 mA h cm</w:t>
      </w:r>
      <w:r>
        <w:t xml:space="preserve"> </w:t>
      </w:r>
      <w:r>
        <w:t>−2</w:t>
      </w:r>
      <w:r>
        <w:t xml:space="preserve"> </w:t>
      </w:r>
      <w:r>
        <w:t>under illumination in a photo‐assisted zinc‐ion battery with a high mass‐loading of 30 mg cm</w:t>
      </w:r>
      <w:r>
        <w:t xml:space="preserve"> </w:t>
      </w:r>
      <w:r>
        <w:t>−2</w:t>
      </w:r>
      <w:r>
        <w:t xml:space="preserve"> </w:t>
      </w:r>
      <w:r>
        <w:t>. This work elucidates a proton‐cation cascade mechanism that governs light‐driven intercalation dynamics, providing the missing link between photo‐excitation and enhanced battery performance.</w:t>
      </w:r>
    </w:p>
    <w:p>
      <w:pPr>
        <w:spacing w:before="120" w:after="120"/>
      </w:pPr>
      <w:r>
        <w:rPr>
          <w:sz w:val="18"/>
        </w:rPr>
        <w:t>——————————————————————————————————————————————————————————————————————</w:t>
      </w:r>
    </w:p>
    <w:p>
      <w:pPr>
        <w:spacing w:before="160" w:after="80" w:line="240" w:lineRule="auto"/>
      </w:pPr>
      <w:r>
        <w:rPr>
          <w:b/>
        </w:rPr>
        <w:t xml:space="preserve">[538] </w:t>
      </w:r>
      <w:hyperlink r:id="rId947">
        <w:r>
          <w:rPr>
            <w:color w:val="1155CC"/>
            <w:u w:val="single"/>
          </w:rPr>
          <w:t>Pollutant‐Powered Oxygen Activation by Enzyme‐Inspired Self‐Sustaining Catalytic Membranes for Water Purification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8">
        <w:r>
          <w:rPr>
            <w:color w:val="1155CC"/>
            <w:u w:val="single"/>
          </w:rPr>
          <w:t>10.1002/anie.202521747</w:t>
        </w:r>
      </w:hyperlink>
    </w:p>
    <w:p>
      <w:pPr>
        <w:spacing w:before="0" w:after="120"/>
      </w:pPr>
      <w:r>
        <w:rPr>
          <w:b/>
        </w:rPr>
        <w:t xml:space="preserve">Notes: </w:t>
      </w:r>
      <w:r>
        <w:t>abstract_source=crossref</w:t>
      </w:r>
    </w:p>
    <w:p>
      <w:pPr>
        <w:spacing w:before="0" w:after="200" w:lineRule="auto" w:line="276"/>
      </w:pPr>
      <w:r>
        <w:rPr>
          <w:b/>
        </w:rPr>
        <w:t xml:space="preserve">Abstract: </w:t>
      </w:r>
      <w:r>
        <w:t>Conventional catalytic water purification remains energy‐ and chemical‐intensive due to reliance on external stimuli for oxidant activation. Here, we present a self‐sustaining catalytic membrane (TMF‐CM) incorporating Ti‐doped Mn</w:t>
      </w:r>
      <w:r>
        <w:rPr>
          <w:vertAlign w:val="subscript"/>
        </w:rPr>
        <w:t>3</w:t>
      </w:r>
      <w:r>
        <w:t>O</w:t>
      </w:r>
      <w:r>
        <w:rPr>
          <w:vertAlign w:val="subscript"/>
        </w:rPr>
        <w:t>4</w:t>
      </w:r>
      <w:r>
        <w:t>/Fe</w:t>
      </w:r>
      <w:r>
        <w:rPr>
          <w:vertAlign w:val="subscript"/>
        </w:rPr>
        <w:t>3</w:t>
      </w:r>
      <w:r>
        <w:t>O</w:t>
      </w:r>
      <w:r>
        <w:rPr>
          <w:vertAlign w:val="subscript"/>
        </w:rPr>
        <w:t>4</w:t>
      </w:r>
      <w:r>
        <w:t>catalysts with engineered oxygen vacancies, which harness pollutants as electron donors to drive enzyme‐mimetic redox cycles. Through nanoconfinement within ceramic membrane pores, dissolved oxygen is autonomously activated by electrons derived from contaminants, enabling continuous regeneration of active sites without chemical additives. Mechanistic investigations, supported by spectroscopic and computational evidence, reveal that high‐valent metal–oxo intermediates mediate contaminant oxidation while concurrently restoring oxygen vacancies, thereby sustaining catalytic cycles. During 10‐day continuous testing in real wastewater, the TMF‐CM system achieved over 90.1% contaminant removal and exhibited self‐cleaning capability. This autonomous catalytic paradigm leverages the inherent chemical energy of wastewater, eliminating chemical additives and cutting energy consumption by 70%–98% compared to UV‐ or electrochemical‐based systems. By integrating molecular oxygen activation with circular electron transfer, we establish a sustainable oxidation strategy that extends beyond conventional water treatment paradigms.</w:t>
      </w:r>
    </w:p>
    <w:p>
      <w:pPr>
        <w:spacing w:before="120" w:after="120"/>
      </w:pPr>
      <w:r>
        <w:rPr>
          <w:sz w:val="18"/>
        </w:rPr>
        <w:t>——————————————————————————————————————————————————————————————————————</w:t>
      </w:r>
    </w:p>
    <w:p>
      <w:pPr>
        <w:spacing w:before="160" w:after="80" w:line="240" w:lineRule="auto"/>
      </w:pPr>
      <w:r>
        <w:rPr>
          <w:b/>
        </w:rPr>
        <w:t xml:space="preserve">[539] </w:t>
      </w:r>
      <w:hyperlink r:id="rId949">
        <w:r>
          <w:rPr>
            <w:color w:val="1155CC"/>
            <w:u w:val="single"/>
          </w:rPr>
          <w:t>Transferring Porosity Across Physical States Using Metal–Organic Cages: Porous Liquids, Glasses, Rubbers, and More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50">
        <w:r>
          <w:rPr>
            <w:color w:val="1155CC"/>
            <w:u w:val="single"/>
          </w:rPr>
          <w:t>10.1002/anie.202521455</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porous materials that retain tailored porosity across different physical states beyond crystalline solids (</w:t>
      </w:r>
      <w:r>
        <w:t xml:space="preserve"> </w:t>
      </w:r>
      <w:r>
        <w:t>e.g</w:t>
      </w:r>
      <w:r>
        <w:t xml:space="preserve"> </w:t>
      </w:r>
      <w:r>
        <w:t>., liquid or glassy) could yield new functional materials for diverse applications, yet it remains challenging. To address this, researchers have turned to discrete porous cages such as metal–organic cages (MOCs) and metal–organic polyhedra (MOPs). The organization and physical state of these materials are governed by inter‐cage interactions that can be modulated without altering the intrinsic porosity of the individual cages. In this minireview, we highlight how the peripheral functionality of such cages governs their interactions and physical state and explain how it can be harnessed to preserve and transfer porosity across distinct physical states, including liquids, glasses, and rubbers. We conclude by outlining emerging properties and potential applications for the resultant unique porous states.</w:t>
      </w:r>
    </w:p>
    <w:p>
      <w:pPr>
        <w:spacing w:before="120" w:after="120"/>
      </w:pPr>
      <w:r>
        <w:rPr>
          <w:sz w:val="18"/>
        </w:rPr>
        <w:t>——————————————————————————————————————————————————————————————————————</w:t>
      </w:r>
    </w:p>
    <w:p>
      <w:pPr>
        <w:spacing w:before="160" w:after="80" w:line="240" w:lineRule="auto"/>
      </w:pPr>
      <w:r>
        <w:rPr>
          <w:b/>
        </w:rPr>
        <w:t xml:space="preserve">[540] </w:t>
      </w:r>
      <w:hyperlink r:id="rId951">
        <w:r>
          <w:rPr>
            <w:color w:val="1155CC"/>
            <w:u w:val="single"/>
          </w:rPr>
          <w:t>Simultaneously Enhancing NIR‐II Emission, Type‐I, and Type‐II Photosensitization Through Acceleration of Charge‐Separated‐State Formation for Tumor Phototheranostics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52">
        <w:r>
          <w:rPr>
            <w:color w:val="1155CC"/>
            <w:u w:val="single"/>
          </w:rPr>
          <w:t>10.1002/anie.202521182</w:t>
        </w:r>
      </w:hyperlink>
    </w:p>
    <w:p>
      <w:pPr>
        <w:spacing w:before="0" w:after="120"/>
      </w:pPr>
      <w:r>
        <w:rPr>
          <w:b/>
        </w:rPr>
        <w:t xml:space="preserve">Notes: </w:t>
      </w:r>
      <w:r>
        <w:t>abstract_source=crossref</w:t>
      </w:r>
    </w:p>
    <w:p>
      <w:pPr>
        <w:spacing w:before="0" w:after="200" w:lineRule="auto" w:line="276"/>
      </w:pPr>
      <w:r>
        <w:rPr>
          <w:b/>
        </w:rPr>
        <w:t xml:space="preserve">Abstract: </w:t>
      </w:r>
      <w:r>
        <w:t>Phototheranostic agents with near‐infrared (NIR) excitation wavelengths offer significant promise for tumor imaging and therapy. However, due to the limitations imposed by the energy gap law, such agents tend to generate heat while exhibiting limited photosensitization effects and fluorescence intensity, which hampers their combination therapy efficacy. Herein, we present an effective strategy of “acceleration of charge‐separated‐state formation” to simultaneously enhance NIR‐II emission, type‐I and type‐II photosensitization efficiencies of NIR excitable phototheranostic agents. Specifically, following the optimization of the chemical structure and aggregated architecture, the rate of transition from localized excited (LE) state to charge‐separated (CS) state is improved from 1.19 × 10</w:t>
      </w:r>
      <w:r>
        <w:rPr>
          <w:vertAlign w:val="subscript"/>
        </w:rPr>
        <w:t>9</w:t>
      </w:r>
      <w:r>
        <w:t>s</w:t>
      </w:r>
      <w:r>
        <w:t xml:space="preserve"> </w:t>
      </w:r>
      <w:r>
        <w:t>−1</w:t>
      </w:r>
      <w:r>
        <w:t xml:space="preserve"> </w:t>
      </w:r>
      <w:r>
        <w:t>(in toluene) and 2.65 × 10</w:t>
      </w:r>
      <w:r>
        <w:rPr>
          <w:vertAlign w:val="subscript"/>
        </w:rPr>
        <w:t>11</w:t>
      </w:r>
      <w:r>
        <w:t>s</w:t>
      </w:r>
      <w:r>
        <w:t xml:space="preserve"> </w:t>
      </w:r>
      <w:r>
        <w:t>−1</w:t>
      </w:r>
      <w:r>
        <w:t xml:space="preserve"> </w:t>
      </w:r>
      <w:r>
        <w:t>(in water) for 8TP‐IF to 4.69 × 10</w:t>
      </w:r>
      <w:r>
        <w:rPr>
          <w:vertAlign w:val="subscript"/>
        </w:rPr>
        <w:t>9</w:t>
      </w:r>
      <w:r>
        <w:t>s</w:t>
      </w:r>
      <w:r>
        <w:t xml:space="preserve"> </w:t>
      </w:r>
      <w:r>
        <w:t>−1</w:t>
      </w:r>
      <w:r>
        <w:t xml:space="preserve"> </w:t>
      </w:r>
      <w:r>
        <w:t>(in toluene) and 1.45 × 10</w:t>
      </w:r>
      <w:r>
        <w:rPr>
          <w:vertAlign w:val="subscript"/>
        </w:rPr>
        <w:t>12</w:t>
      </w:r>
      <w:r>
        <w:t>s</w:t>
      </w:r>
      <w:r>
        <w:t xml:space="preserve"> </w:t>
      </w:r>
      <w:r>
        <w:t>−1</w:t>
      </w:r>
      <w:r>
        <w:t xml:space="preserve"> </w:t>
      </w:r>
      <w:r>
        <w:t>(in water) for 6TP‐IH. As a consequence, upon NIR 808 nm excitation, the fluorescence, •OH and</w:t>
      </w:r>
      <w:r>
        <w:rPr>
          <w:vertAlign w:val="subscript"/>
        </w:rPr>
        <w:t>1</w:t>
      </w:r>
      <w:r>
        <w:t>O</w:t>
      </w:r>
      <w:r>
        <w:rPr>
          <w:vertAlign w:val="subscript"/>
        </w:rPr>
        <w:t>2</w:t>
      </w:r>
      <w:r>
        <w:t>generation efficiencies of 6TP‐IH are improved to 15.6, 2.21, and 3.38 times to those of 8TP‐IF. Encapsulation of 6TP‐IH into nanoparticles (NPs) enables their application in NIR‐II fluorescence image‐guided tumor combination therapy. Both in vitro and in vivo studies confirm the precise tumor imaging capability of 6TP‐IH NPs, along with robust tumor ablation and effective activation of tumor immunogenic cell death (ICD) through synergistic photodynamic and photothermal therapy. These effects collectively yield an impressive tumor inhibition rate of 99.1% in a 4T1 tumor‐bearing mouse model.</w:t>
      </w:r>
    </w:p>
    <w:p>
      <w:pPr>
        <w:spacing w:before="120" w:after="120"/>
      </w:pPr>
      <w:r>
        <w:rPr>
          <w:sz w:val="18"/>
        </w:rPr>
        <w:t>——————————————————————————————————————————————————————————————————————</w:t>
      </w:r>
    </w:p>
    <w:p>
      <w:pPr>
        <w:spacing w:before="160" w:after="80" w:line="240" w:lineRule="auto"/>
      </w:pPr>
      <w:r>
        <w:rPr>
          <w:b/>
        </w:rPr>
        <w:t xml:space="preserve">[541] </w:t>
      </w:r>
      <w:hyperlink r:id="rId953">
        <w:r>
          <w:rPr>
            <w:color w:val="1155CC"/>
            <w:u w:val="single"/>
          </w:rPr>
          <w:t>Weakly‐Solvated and Co‐Intercalation‐Free Ether‐Based Electrolytes Enhance the Low‐ Temperature and Fast‐Charging Performance of LiFePO4||Graphite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54">
        <w:r>
          <w:rPr>
            <w:color w:val="1155CC"/>
            <w:u w:val="single"/>
          </w:rPr>
          <w:t>10.1002/anie.202521171</w:t>
        </w:r>
      </w:hyperlink>
    </w:p>
    <w:p>
      <w:pPr>
        <w:spacing w:before="0" w:after="120"/>
      </w:pPr>
      <w:r>
        <w:rPr>
          <w:b/>
        </w:rPr>
        <w:t xml:space="preserve">Notes: </w:t>
      </w:r>
      <w:r>
        <w:t>abstract_source=crossref</w:t>
      </w:r>
    </w:p>
    <w:p>
      <w:pPr>
        <w:spacing w:before="0" w:after="200" w:lineRule="auto" w:line="276"/>
      </w:pPr>
      <w:r>
        <w:rPr>
          <w:b/>
        </w:rPr>
        <w:t xml:space="preserve">Abstract: </w:t>
      </w:r>
      <w:r>
        <w:t>Lithium‐ion batteries (LIBs) employing lithium iron phosphate (LiFePO</w:t>
      </w:r>
      <w:r>
        <w:rPr>
          <w:vertAlign w:val="subscript"/>
        </w:rPr>
        <w:t>4</w:t>
      </w:r>
      <w:r>
        <w:t>, LFP) cathodes and graphite (Gr) anodes are extensively utilized for energy storage applications because of their exceptional cycle life and inherent safety characteristics. However, sluggish desolvation kinetics and interfacial Li⁺ transport hinder their fast‐charging capability and low‐temperature performance, limiting broader applications. In this work, we propose a weakly solvating ether (WSE) electrolyte based on 2‐methyl‐tetrahydrofuran (2MT) as the main solvent. This electrolyte results in considerable steric hindrance, effectively preventing co‐intercalation with Gr, while also providing a weak solvation capability for Li⁺ ions and facilitating rapid interfacial Li⁺ transport. WSE, formulated with 2MT and fluoroethylene carbonate (FEC) as a co‐solvent, combines fast desolvation kinetics with an extremely low freezing point of −117.67 °C. This electrolyte induces the formation of a LiF‐, Li</w:t>
      </w:r>
      <w:r>
        <w:rPr>
          <w:vertAlign w:val="subscript"/>
        </w:rPr>
        <w:t>3</w:t>
      </w:r>
      <w:r>
        <w:t>N‐, Li</w:t>
      </w:r>
      <w:r>
        <w:rPr>
          <w:vertAlign w:val="subscript"/>
        </w:rPr>
        <w:t>2</w:t>
      </w:r>
      <w:r>
        <w:t>CO</w:t>
      </w:r>
      <w:r>
        <w:rPr>
          <w:vertAlign w:val="subscript"/>
        </w:rPr>
        <w:t>3</w:t>
      </w:r>
      <w:r>
        <w:t>‐, and Li</w:t>
      </w:r>
      <w:r>
        <w:rPr>
          <w:vertAlign w:val="subscript"/>
        </w:rPr>
        <w:t>2</w:t>
      </w:r>
      <w:r>
        <w:t>O‐rich solid electrolyte interphase (SEI) on the Gr anode, thereby enhancing low‐temperature interfacial transport. Consequently, the Gr||Li half‐cell and the LFP||Gr full cell with this WSE demonstrates excellent rate performance, stable cycling stability, and a high specific capacity at −30 °C while also delivering reliable power even at −60 °C. These results underscore the electrolyte's efficient desolvation process, stable SEI layer, and excellent compatibility with graphite, rendering it ideal for extreme‐temperature applications.</w:t>
      </w:r>
    </w:p>
    <w:p>
      <w:pPr>
        <w:spacing w:before="120" w:after="120"/>
      </w:pPr>
      <w:r>
        <w:rPr>
          <w:sz w:val="18"/>
        </w:rPr>
        <w:t>——————————————————————————————————————————————————————————————————————</w:t>
      </w:r>
    </w:p>
    <w:p>
      <w:pPr>
        <w:spacing w:before="160" w:after="80" w:line="240" w:lineRule="auto"/>
      </w:pPr>
      <w:r>
        <w:rPr>
          <w:b/>
        </w:rPr>
        <w:t xml:space="preserve">[542] </w:t>
      </w:r>
      <w:hyperlink r:id="rId955">
        <w:r>
          <w:rPr>
            <w:color w:val="1155CC"/>
            <w:u w:val="single"/>
          </w:rPr>
          <w:t>Natural Resin Nanofilms through Flexible Coordination for Molecular Separation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56">
        <w:r>
          <w:rPr>
            <w:color w:val="1155CC"/>
            <w:u w:val="single"/>
          </w:rPr>
          <w:t>10.1002/anie.202513921</w:t>
        </w:r>
      </w:hyperlink>
    </w:p>
    <w:p>
      <w:pPr>
        <w:spacing w:before="0" w:after="120"/>
      </w:pPr>
      <w:r>
        <w:rPr>
          <w:b/>
        </w:rPr>
        <w:t xml:space="preserve">Notes: </w:t>
      </w:r>
      <w:r>
        <w:t>abstract_source=crossref</w:t>
      </w:r>
    </w:p>
    <w:p>
      <w:pPr>
        <w:spacing w:before="0" w:after="200" w:lineRule="auto" w:line="276"/>
      </w:pPr>
      <w:r>
        <w:rPr>
          <w:b/>
        </w:rPr>
        <w:t xml:space="preserve">Abstract: </w:t>
      </w:r>
      <w:r>
        <w:t>Forestry biomass, with its diverse functionalities and abundant resources, holds great potential for the sustainable development of thin‐film technologies. However, high brittleness arising from the rigid structural units of most forestry biomass materials significantly hinders thin‐film processing. We demonstrate the transformation of rosin, a typical brittle forestry resin, into mechanically robust nanofilms with flexible chemical linkages. Carboxylic rosin derivatives solubilized in turpentine, a natural oleoresin solvent, were chemically assembled into nanofilms via interfacial coordination with aqueous metal ions. Tunable metal‐rosin coordination enables precise structural modulation of nanofilms to achieve exceptional stiffness (Young's modulus&amp;gt;120 GPa) while its dynamic nature renders nanofilms high elasticity for pliable integration. The resulting nanofilm composite membranes exhibit durable and efficient molecular sieving during nanofiltration, with pressure resistance up to 20 bar and superior permselectivity. As an emerging form of natural resin, these nanofilms may revolutionize the paradigm of biomass‐based thin films by overcoming brittleness through flexibility.</w:t>
      </w:r>
    </w:p>
    <w:p>
      <w:pPr>
        <w:spacing w:before="120" w:after="120"/>
      </w:pPr>
      <w:r>
        <w:rPr>
          <w:sz w:val="18"/>
        </w:rPr>
        <w:t>——————————————————————————————————————————————————————————————————————</w:t>
      </w:r>
    </w:p>
    <w:p>
      <w:pPr>
        <w:spacing w:before="160" w:after="80" w:line="240" w:lineRule="auto"/>
      </w:pPr>
      <w:r>
        <w:rPr>
          <w:b/>
        </w:rPr>
        <w:t xml:space="preserve">[543] </w:t>
      </w:r>
      <w:hyperlink r:id="rId957">
        <w:r>
          <w:rPr>
            <w:color w:val="1155CC"/>
            <w:u w:val="single"/>
          </w:rPr>
          <w:t>Precise Regulation of Zn, S Dual Vacancies in Zn3In2S6 Inducing Local Orientated Electrical Field for Photocatalytic H2O2 Generation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58">
        <w:r>
          <w:rPr>
            <w:color w:val="1155CC"/>
            <w:u w:val="single"/>
          </w:rPr>
          <w:t>10.1002/anie.202521029</w:t>
        </w:r>
      </w:hyperlink>
    </w:p>
    <w:p>
      <w:pPr>
        <w:spacing w:before="0" w:after="120"/>
      </w:pPr>
      <w:r>
        <w:rPr>
          <w:b/>
        </w:rPr>
        <w:t xml:space="preserve">Notes: </w:t>
      </w:r>
      <w:r>
        <w:t>abstract_source=crossref</w:t>
      </w:r>
    </w:p>
    <w:p>
      <w:pPr>
        <w:spacing w:before="0" w:after="200" w:lineRule="auto" w:line="276"/>
      </w:pPr>
      <w:r>
        <w:rPr>
          <w:b/>
        </w:rPr>
        <w:t xml:space="preserve">Abstract: </w:t>
      </w:r>
      <w:r>
        <w:t>Photocatalytic H</w:t>
      </w:r>
      <w:r>
        <w:rPr>
          <w:vertAlign w:val="subscript"/>
        </w:rPr>
        <w:t>2</w:t>
      </w:r>
      <w:r>
        <w:t>O</w:t>
      </w:r>
      <w:r>
        <w:rPr>
          <w:vertAlign w:val="subscript"/>
        </w:rPr>
        <w:t>2</w:t>
      </w:r>
      <w:r>
        <w:t>synthesis attracts interest for solar‐to‐fuel conversion but suffers from low carrier utilization and sluggish kinetics. Herein, we present a confinement strategy to precisely regulate Zn and S vacancies (V</w:t>
      </w:r>
      <w:r>
        <w:t xml:space="preserve"> </w:t>
      </w:r>
      <w:r>
        <w:t>Zn</w:t>
      </w:r>
      <w:r>
        <w:t xml:space="preserve"> </w:t>
      </w:r>
      <w:r>
        <w:t>, V</w:t>
      </w:r>
      <w:r>
        <w:t xml:space="preserve"> </w:t>
      </w:r>
      <w:r>
        <w:t>S</w:t>
      </w:r>
      <w:r>
        <w:t xml:space="preserve"> </w:t>
      </w:r>
      <w:r>
        <w:t>) in Zn</w:t>
      </w:r>
      <w:r>
        <w:rPr>
          <w:vertAlign w:val="subscript"/>
        </w:rPr>
        <w:t>3</w:t>
      </w:r>
      <w:r>
        <w:t>In</w:t>
      </w:r>
      <w:r>
        <w:rPr>
          <w:vertAlign w:val="subscript"/>
        </w:rPr>
        <w:t>2</w:t>
      </w:r>
      <w:r>
        <w:t>S</w:t>
      </w:r>
      <w:r>
        <w:rPr>
          <w:vertAlign w:val="subscript"/>
        </w:rPr>
        <w:t>6</w:t>
      </w:r>
      <w:r>
        <w:t>for photocatalytic H</w:t>
      </w:r>
      <w:r>
        <w:rPr>
          <w:vertAlign w:val="subscript"/>
        </w:rPr>
        <w:t>2</w:t>
      </w:r>
      <w:r>
        <w:t>O</w:t>
      </w:r>
      <w:r>
        <w:rPr>
          <w:vertAlign w:val="subscript"/>
        </w:rPr>
        <w:t>2</w:t>
      </w:r>
      <w:r>
        <w:t>generation. ZnSO</w:t>
      </w:r>
      <w:r>
        <w:rPr>
          <w:vertAlign w:val="subscript"/>
        </w:rPr>
        <w:t>4</w:t>
      </w:r>
      <w:r>
        <w:t>, InCl</w:t>
      </w:r>
      <w:r>
        <w:rPr>
          <w:vertAlign w:val="subscript"/>
        </w:rPr>
        <w:t>3</w:t>
      </w:r>
      <w:r>
        <w:t>, thioacetamide, and cetyltrimethylammonium bromide (CTAB) were utilized to synthesize Zn</w:t>
      </w:r>
      <w:r>
        <w:rPr>
          <w:vertAlign w:val="subscript"/>
        </w:rPr>
        <w:t>3</w:t>
      </w:r>
      <w:r>
        <w:t>In</w:t>
      </w:r>
      <w:r>
        <w:rPr>
          <w:vertAlign w:val="subscript"/>
        </w:rPr>
        <w:t>2</w:t>
      </w:r>
      <w:r>
        <w:t>S</w:t>
      </w:r>
      <w:r>
        <w:rPr>
          <w:vertAlign w:val="subscript"/>
        </w:rPr>
        <w:t>6</w:t>
      </w:r>
      <w:r>
        <w:t>via a hydrothermal process, in which CTAB inserts into anionic layers and forms covalent bonds with Zn</w:t>
      </w:r>
      <w:r>
        <w:t xml:space="preserve"> </w:t>
      </w:r>
      <w:r>
        <w:t>2+</w:t>
      </w:r>
      <w:r>
        <w:t xml:space="preserve"> </w:t>
      </w:r>
      <w:r>
        <w:t>ions, then pyrolyzes and removes Zn</w:t>
      </w:r>
      <w:r>
        <w:t xml:space="preserve"> </w:t>
      </w:r>
      <w:r>
        <w:t>2+</w:t>
      </w:r>
      <w:r>
        <w:t xml:space="preserve"> </w:t>
      </w:r>
      <w:r>
        <w:t>ions during the annealing process, inducing V</w:t>
      </w:r>
      <w:r>
        <w:t xml:space="preserve"> </w:t>
      </w:r>
      <w:r>
        <w:t>Zn</w:t>
      </w:r>
      <w:r>
        <w:t xml:space="preserve"> </w:t>
      </w:r>
      <w:r>
        <w:t>formation. H</w:t>
      </w:r>
      <w:r>
        <w:rPr>
          <w:vertAlign w:val="subscript"/>
        </w:rPr>
        <w:t>2</w:t>
      </w:r>
      <w:r>
        <w:t>‐mediated desulfurization generates V</w:t>
      </w:r>
      <w:r>
        <w:t xml:space="preserve"> </w:t>
      </w:r>
      <w:r>
        <w:t>S</w:t>
      </w:r>
      <w:r>
        <w:t xml:space="preserve"> </w:t>
      </w:r>
      <w:r>
        <w:t>. The contents of V</w:t>
      </w:r>
      <w:r>
        <w:t xml:space="preserve"> </w:t>
      </w:r>
      <w:r>
        <w:t>Zn</w:t>
      </w:r>
      <w:r>
        <w:t xml:space="preserve"> </w:t>
      </w:r>
      <w:r>
        <w:t>and V</w:t>
      </w:r>
      <w:r>
        <w:t xml:space="preserve"> </w:t>
      </w:r>
      <w:r>
        <w:t>S</w:t>
      </w:r>
      <w:r>
        <w:t xml:space="preserve"> </w:t>
      </w:r>
      <w:r>
        <w:t>in Zn</w:t>
      </w:r>
      <w:r>
        <w:rPr>
          <w:vertAlign w:val="subscript"/>
        </w:rPr>
        <w:t>3</w:t>
      </w:r>
      <w:r>
        <w:t>In</w:t>
      </w:r>
      <w:r>
        <w:rPr>
          <w:vertAlign w:val="subscript"/>
        </w:rPr>
        <w:t>2</w:t>
      </w:r>
      <w:r>
        <w:t>S</w:t>
      </w:r>
      <w:r>
        <w:rPr>
          <w:vertAlign w:val="subscript"/>
        </w:rPr>
        <w:t>6</w:t>
      </w:r>
      <w:r>
        <w:t>of 1.9:1.0, 1.1:1.0, 1.0:1.9, and 1.0:3.3 were obtained by adjusting the temperature. V</w:t>
      </w:r>
      <w:r>
        <w:t xml:space="preserve"> </w:t>
      </w:r>
      <w:r>
        <w:t>S</w:t>
      </w:r>
      <w:r>
        <w:t xml:space="preserve"> </w:t>
      </w:r>
      <w:r>
        <w:t>&amp;amp;V</w:t>
      </w:r>
      <w:r>
        <w:t xml:space="preserve"> </w:t>
      </w:r>
      <w:r>
        <w:t>Zn</w:t>
      </w:r>
      <w:r>
        <w:t xml:space="preserve"> </w:t>
      </w:r>
      <w:r>
        <w:t>‐Zn</w:t>
      </w:r>
      <w:r>
        <w:rPr>
          <w:vertAlign w:val="subscript"/>
        </w:rPr>
        <w:t>3</w:t>
      </w:r>
      <w:r>
        <w:t>In</w:t>
      </w:r>
      <w:r>
        <w:rPr>
          <w:vertAlign w:val="subscript"/>
        </w:rPr>
        <w:t>2</w:t>
      </w:r>
      <w:r>
        <w:t>S</w:t>
      </w:r>
      <w:r>
        <w:rPr>
          <w:vertAlign w:val="subscript"/>
        </w:rPr>
        <w:t>6</w:t>
      </w:r>
      <w:r>
        <w:t>(1.0:1.9) exhibits a fantastic photocatalytic generation rate of 11580.74 µmol g</w:t>
      </w:r>
      <w:r>
        <w:t xml:space="preserve"> </w:t>
      </w:r>
      <w:r>
        <w:t>−1</w:t>
      </w:r>
      <w:r>
        <w:t xml:space="preserve"> </w:t>
      </w:r>
      <w:r>
        <w:t>h</w:t>
      </w:r>
      <w:r>
        <w:t xml:space="preserve"> </w:t>
      </w:r>
      <w:r>
        <w:t>−1</w:t>
      </w:r>
      <w:r>
        <w:t xml:space="preserve"> </w:t>
      </w:r>
      <w:r>
        <w:t>for H</w:t>
      </w:r>
      <w:r>
        <w:rPr>
          <w:vertAlign w:val="subscript"/>
        </w:rPr>
        <w:t>2</w:t>
      </w:r>
      <w:r>
        <w:t>O</w:t>
      </w:r>
      <w:r>
        <w:rPr>
          <w:vertAlign w:val="subscript"/>
        </w:rPr>
        <w:t>2</w:t>
      </w:r>
      <w:r>
        <w:t>which increased 2.4 times compared with V</w:t>
      </w:r>
      <w:r>
        <w:t xml:space="preserve"> </w:t>
      </w:r>
      <w:r>
        <w:t>S</w:t>
      </w:r>
      <w:r>
        <w:t xml:space="preserve"> </w:t>
      </w:r>
      <w:r>
        <w:t>‐Zn</w:t>
      </w:r>
      <w:r>
        <w:rPr>
          <w:vertAlign w:val="subscript"/>
        </w:rPr>
        <w:t>3</w:t>
      </w:r>
      <w:r>
        <w:t>In</w:t>
      </w:r>
      <w:r>
        <w:rPr>
          <w:vertAlign w:val="subscript"/>
        </w:rPr>
        <w:t>2</w:t>
      </w:r>
      <w:r>
        <w:t>S</w:t>
      </w:r>
      <w:r>
        <w:rPr>
          <w:vertAlign w:val="subscript"/>
        </w:rPr>
        <w:t>6</w:t>
      </w:r>
      <w:r>
        <w:t>, attributing to that dual vacancies promote the local orientated electrical field (LOEF) formation and increase photogenerated‐electron transfer from V</w:t>
      </w:r>
      <w:r>
        <w:t xml:space="preserve"> </w:t>
      </w:r>
      <w:r>
        <w:t>S</w:t>
      </w:r>
      <w:r>
        <w:t xml:space="preserve"> </w:t>
      </w:r>
      <w:r>
        <w:t>to V</w:t>
      </w:r>
      <w:r>
        <w:t xml:space="preserve"> </w:t>
      </w:r>
      <w:r>
        <w:t>Zn</w:t>
      </w:r>
      <w:r>
        <w:t xml:space="preserve"> </w:t>
      </w:r>
      <w:r>
        <w:t>. Electrons delocalize onto adjacent Zn sites, promoting the two‐electron oxygen reduction reaction (ORR) pathway. Simultaneously, V</w:t>
      </w:r>
      <w:r>
        <w:t xml:space="preserve"> </w:t>
      </w:r>
      <w:r>
        <w:t>Zn</w:t>
      </w:r>
      <w:r>
        <w:t xml:space="preserve"> </w:t>
      </w:r>
      <w:r>
        <w:t>facilitates the migration of h⁺ to the catalyst surface, thereby increasing h⁺ utilization efficiency and accelerating the water oxidation reaction (WOR) process toward H</w:t>
      </w:r>
      <w:r>
        <w:rPr>
          <w:vertAlign w:val="subscript"/>
        </w:rPr>
        <w:t>2</w:t>
      </w:r>
      <w:r>
        <w:t>O</w:t>
      </w:r>
      <w:r>
        <w:rPr>
          <w:vertAlign w:val="subscript"/>
        </w:rPr>
        <w:t>2</w:t>
      </w:r>
      <w:r>
        <w:t>production. V</w:t>
      </w:r>
      <w:r>
        <w:t xml:space="preserve"> </w:t>
      </w:r>
      <w:r>
        <w:t>S</w:t>
      </w:r>
      <w:r>
        <w:t xml:space="preserve"> </w:t>
      </w:r>
      <w:r>
        <w:t>&amp;amp;V</w:t>
      </w:r>
      <w:r>
        <w:t xml:space="preserve"> </w:t>
      </w:r>
      <w:r>
        <w:t>Cu</w:t>
      </w:r>
      <w:r>
        <w:t xml:space="preserve"> </w:t>
      </w:r>
      <w:r>
        <w:t>‐CuIn</w:t>
      </w:r>
      <w:r>
        <w:rPr>
          <w:vertAlign w:val="subscript"/>
        </w:rPr>
        <w:t>2</w:t>
      </w:r>
      <w:r>
        <w:t>S</w:t>
      </w:r>
      <w:r>
        <w:rPr>
          <w:vertAlign w:val="subscript"/>
        </w:rPr>
        <w:t>4</w:t>
      </w:r>
      <w:r>
        <w:t>and V</w:t>
      </w:r>
      <w:r>
        <w:t xml:space="preserve"> </w:t>
      </w:r>
      <w:r>
        <w:t>S</w:t>
      </w:r>
      <w:r>
        <w:t xml:space="preserve"> </w:t>
      </w:r>
      <w:r>
        <w:t>&amp;amp;V</w:t>
      </w:r>
      <w:r>
        <w:t xml:space="preserve"> </w:t>
      </w:r>
      <w:r>
        <w:t>Ni</w:t>
      </w:r>
      <w:r>
        <w:t xml:space="preserve"> </w:t>
      </w:r>
      <w:r>
        <w:t>‐NiIn</w:t>
      </w:r>
      <w:r>
        <w:rPr>
          <w:vertAlign w:val="subscript"/>
        </w:rPr>
        <w:t>2</w:t>
      </w:r>
      <w:r>
        <w:t>S</w:t>
      </w:r>
      <w:r>
        <w:rPr>
          <w:vertAlign w:val="subscript"/>
        </w:rPr>
        <w:t>4</w:t>
      </w:r>
      <w:r>
        <w:t>were successfully synthesized, highlighting its broad applicability as a general approach.</w:t>
      </w:r>
    </w:p>
    <w:p>
      <w:pPr>
        <w:spacing w:before="120" w:after="120"/>
      </w:pPr>
      <w:r>
        <w:rPr>
          <w:sz w:val="18"/>
        </w:rPr>
        <w:t>——————————————————————————————————————————————————————————————————————</w:t>
      </w:r>
    </w:p>
    <w:p>
      <w:pPr>
        <w:spacing w:before="160" w:after="80" w:line="240" w:lineRule="auto"/>
      </w:pPr>
      <w:r>
        <w:rPr>
          <w:b/>
        </w:rPr>
        <w:t xml:space="preserve">[544] </w:t>
      </w:r>
      <w:hyperlink r:id="rId959">
        <w:r>
          <w:rPr>
            <w:color w:val="1155CC"/>
            <w:u w:val="single"/>
          </w:rPr>
          <w:t>The Highest Oxidation States of the Rare‐Earth Elements and the Challenge of Praseodymium(+5) Compounds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0">
        <w:r>
          <w:rPr>
            <w:color w:val="1155CC"/>
            <w:u w:val="single"/>
          </w:rPr>
          <w:t>10.1002/anie.202520932</w:t>
        </w:r>
      </w:hyperlink>
    </w:p>
    <w:p>
      <w:pPr>
        <w:spacing w:before="0" w:after="120"/>
      </w:pPr>
      <w:r>
        <w:rPr>
          <w:b/>
        </w:rPr>
        <w:t xml:space="preserve">Notes: </w:t>
      </w:r>
      <w:r>
        <w:t>abstract_source=crossref</w:t>
      </w:r>
    </w:p>
    <w:p>
      <w:pPr>
        <w:spacing w:before="0" w:after="200" w:lineRule="auto" w:line="276"/>
      </w:pPr>
      <w:r>
        <w:rPr>
          <w:b/>
        </w:rPr>
        <w:t xml:space="preserve">Abstract: </w:t>
      </w:r>
      <w:r>
        <w:t>Oxidation‐State is one of the most important heuristic concepts in modern practical and theoretical chemistry. Its exploration deepens our understanding of both this concept as well as some fundamental properties of the element families. However, the well‐defined oxidation state of the IUPAC leads to discussions in borderline cases, where conceptual clarity and detailed knowledge of the electronic structure are required. Our review focuses on the high oxidation states of the intriguing case of the 17 rare‐earth elements (REEs: Sc, Y, La─Lu), with particular attention to the + 5 oxidation state in some new praseodymium compounds. We provide a comprehensive overview from early speculation to the first identification of Pr(+5) in the gas phase to its recent molecular and solid compounds. We explain why high‐valent REE compounds are so difficult to synthesize, from the perspective of atomic 4f valence orbital radii and energies. The predicted and synthesized Pr(+5) compounds with F, O, or N ligands pave the way for the development of new complexes and extended periodic networks in the field of highly‐oxidized rare‐earth chemistry. Our aim is to summarize current knowledge, distill emerging insights, and offer a roadmap for future investigations into the higher oxidation states of these elements.</w:t>
      </w:r>
    </w:p>
    <w:p>
      <w:pPr>
        <w:spacing w:before="120" w:after="120"/>
      </w:pPr>
      <w:r>
        <w:rPr>
          <w:sz w:val="18"/>
        </w:rPr>
        <w:t>——————————————————————————————————————————————————————————————————————</w:t>
      </w:r>
    </w:p>
    <w:p>
      <w:pPr>
        <w:spacing w:before="160" w:after="80" w:line="240" w:lineRule="auto"/>
      </w:pPr>
      <w:r>
        <w:rPr>
          <w:b/>
        </w:rPr>
        <w:t xml:space="preserve">[545] </w:t>
      </w:r>
      <w:hyperlink r:id="rId961">
        <w:r>
          <w:rPr>
            <w:color w:val="1155CC"/>
            <w:u w:val="single"/>
          </w:rPr>
          <w:t>Synthesis of Enantiopure [3]Cyclorubicenes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2">
        <w:r>
          <w:rPr>
            <w:color w:val="1155CC"/>
            <w:u w:val="single"/>
          </w:rPr>
          <w:t>10.1002/anie.202520880</w:t>
        </w:r>
      </w:hyperlink>
    </w:p>
    <w:p>
      <w:pPr>
        <w:spacing w:before="0" w:after="120"/>
      </w:pPr>
      <w:r>
        <w:rPr>
          <w:b/>
        </w:rPr>
        <w:t xml:space="preserve">Notes: </w:t>
      </w:r>
      <w:r>
        <w:t>abstract_source=crossref</w:t>
      </w:r>
    </w:p>
    <w:p>
      <w:pPr>
        <w:spacing w:before="0" w:after="200" w:lineRule="auto" w:line="276"/>
      </w:pPr>
      <w:r>
        <w:rPr>
          <w:b/>
        </w:rPr>
        <w:t xml:space="preserve">Abstract: </w:t>
      </w:r>
      <w:r>
        <w:t>The interest in chiral nanohoops and nanotubes as well as their chiroptical properties has steadily increased in recent years. The synthesis of pentagon containing enantiopure [3]cyclorubicenes, which are cutouts and potential precursors of chiral Haeckelite nanotubes is presented, based on enantiopure “corner units”. The resulting enantiopure nanohoops were studied for their electronic and chiroptical properties with one of the highest dissymmetry values reported for CPPs of up to 2.3 × 10</w:t>
      </w:r>
      <w:r>
        <w:t xml:space="preserve"> </w:t>
      </w:r>
      <w:r>
        <w:t>−2</w:t>
      </w:r>
      <w:r>
        <w:t xml:space="preserve"> </w:t>
      </w:r>
      <w:r>
        <w:t>.</w:t>
      </w:r>
    </w:p>
    <w:p>
      <w:pPr>
        <w:spacing w:before="120" w:after="120"/>
      </w:pPr>
      <w:r>
        <w:rPr>
          <w:sz w:val="18"/>
        </w:rPr>
        <w:t>——————————————————————————————————————————————————————————————————————</w:t>
      </w:r>
    </w:p>
    <w:p>
      <w:pPr>
        <w:spacing w:before="160" w:after="80" w:line="240" w:lineRule="auto"/>
      </w:pPr>
      <w:r>
        <w:rPr>
          <w:b/>
        </w:rPr>
        <w:t xml:space="preserve">[546] </w:t>
      </w:r>
      <w:hyperlink r:id="rId963">
        <w:r>
          <w:rPr>
            <w:color w:val="1155CC"/>
            <w:u w:val="single"/>
          </w:rPr>
          <w:t>Strong Metal‐Support Interactions on TiO2‐Supported Metal Catalysts for Fine‐Tuning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4">
        <w:r>
          <w:rPr>
            <w:color w:val="1155CC"/>
            <w:u w:val="single"/>
          </w:rPr>
          <w:t>10.1002/anie.202502611</w:t>
        </w:r>
      </w:hyperlink>
    </w:p>
    <w:p>
      <w:pPr>
        <w:spacing w:before="0" w:after="120"/>
      </w:pPr>
      <w:r>
        <w:rPr>
          <w:b/>
        </w:rPr>
        <w:t xml:space="preserve">Notes: </w:t>
      </w:r>
      <w:r>
        <w:t>abstract_source=crossref</w:t>
      </w:r>
    </w:p>
    <w:p>
      <w:pPr>
        <w:spacing w:before="0" w:after="200" w:lineRule="auto" w:line="276"/>
      </w:pPr>
      <w:r>
        <w:rPr>
          <w:b/>
        </w:rPr>
        <w:t xml:space="preserve">Abstract: </w:t>
      </w:r>
      <w:r>
        <w:t>The concept of strong metal‐support interaction (SMSI), a topic of investigation for over four decades, remains an important area of research in heterogeneous catalysis. While substantial progress has been made in understanding SMSI across various metal/support systems, its complexity continues to evolve. TiO</w:t>
      </w:r>
      <w:r>
        <w:rPr>
          <w:vertAlign w:val="subscript"/>
        </w:rPr>
        <w:t>2</w:t>
      </w:r>
      <w:r>
        <w:t>, recognized as the first support material to exhibit SMSI, has been instrumental in advancing this understanding. However, the lack of a comprehensive guide on how various factors influence SMSI on TiO</w:t>
      </w:r>
      <w:r>
        <w:rPr>
          <w:vertAlign w:val="subscript"/>
        </w:rPr>
        <w:t>2</w:t>
      </w:r>
      <w:r>
        <w:t>has limited the ability to systematically control these interactions. This review seeks to provide a consolidated view of the current understanding of SMSI in TiO</w:t>
      </w:r>
      <w:r>
        <w:rPr>
          <w:vertAlign w:val="subscript"/>
        </w:rPr>
        <w:t>2</w:t>
      </w:r>
      <w:r>
        <w:t>‐supported metal catalysts. It highlights the sensitivity of SMSI on TiO</w:t>
      </w:r>
      <w:r>
        <w:rPr>
          <w:vertAlign w:val="subscript"/>
        </w:rPr>
        <w:t>2</w:t>
      </w:r>
      <w:r>
        <w:t>to a range of parameters, including pretreatment conditions and reaction environments. The dynamic nature of SMSI under reaction conditions is also explored, underscoring its complexity and potential for fine‐tuning catalyst performance. Additionally, practical insights into innovative chemical methods for controlling SMSI on TiO</w:t>
      </w:r>
      <w:r>
        <w:rPr>
          <w:vertAlign w:val="subscript"/>
        </w:rPr>
        <w:t>2</w:t>
      </w:r>
      <w:r>
        <w:t>are discussed, offering strategies for modulating SMSI to meet specific catalytic requirements. By addressing these aspects, this review aims to offer a valuable guide for the rational design of metal/TiO</w:t>
      </w:r>
      <w:r>
        <w:rPr>
          <w:vertAlign w:val="subscript"/>
        </w:rPr>
        <w:t>2</w:t>
      </w:r>
      <w:r>
        <w:t>catalysts, ultimately contributing to a more refined and controllable approach to SMSI on TiO</w:t>
      </w:r>
      <w:r>
        <w:rPr>
          <w:vertAlign w:val="subscript"/>
        </w:rPr>
        <w:t>2</w:t>
      </w:r>
      <w:r>
        <w:t>.</w:t>
      </w:r>
    </w:p>
    <w:p>
      <w:pPr>
        <w:spacing w:before="120" w:after="120"/>
      </w:pPr>
      <w:r>
        <w:rPr>
          <w:sz w:val="18"/>
        </w:rPr>
        <w:t>——————————————————————————————————————————————————————————————————————</w:t>
      </w:r>
    </w:p>
    <w:p>
      <w:pPr>
        <w:spacing w:before="160" w:after="80" w:line="240" w:lineRule="auto"/>
      </w:pPr>
      <w:r>
        <w:rPr>
          <w:b/>
        </w:rPr>
        <w:t xml:space="preserve">[547] </w:t>
      </w:r>
      <w:hyperlink r:id="rId965">
        <w:r>
          <w:rPr>
            <w:color w:val="1155CC"/>
            <w:u w:val="single"/>
          </w:rPr>
          <w:t>Microcondensate‐Mediated Intracellular Infusion of mRNA Across the Plasma Membrane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6">
        <w:r>
          <w:rPr>
            <w:color w:val="1155CC"/>
            <w:u w:val="single"/>
          </w:rPr>
          <w:t>10.1002/anie.202512139</w:t>
        </w:r>
      </w:hyperlink>
    </w:p>
    <w:p>
      <w:pPr>
        <w:spacing w:before="0" w:after="120"/>
      </w:pPr>
      <w:r>
        <w:rPr>
          <w:b/>
        </w:rPr>
        <w:t xml:space="preserve">Notes: </w:t>
      </w:r>
      <w:r>
        <w:t>abstract_source=crossref</w:t>
      </w:r>
    </w:p>
    <w:p>
      <w:pPr>
        <w:spacing w:before="0" w:after="200" w:lineRule="auto" w:line="276"/>
      </w:pPr>
      <w:r>
        <w:rPr>
          <w:b/>
        </w:rPr>
        <w:t xml:space="preserve">Abstract: </w:t>
      </w:r>
      <w:r>
        <w:t>This study presents a strategy for developing micrometer‐sized coacervates comprised of cationic intracellular delivery peptide FcB(L17E)</w:t>
      </w:r>
      <w:r>
        <w:rPr>
          <w:vertAlign w:val="subscript"/>
        </w:rPr>
        <w:t>3</w:t>
      </w:r>
      <w:r>
        <w:t>and nucleic acids (termed “microcondensates”) as a lipid nanoparticle (LNP)‐free platform for intracellular messenger RNA (mRNA) delivery. The feasibility of this approach is demonstrated both in vitro and in vivo. This approach is based on our previous finding that FcB(L17E)</w:t>
      </w:r>
      <w:r>
        <w:rPr>
          <w:vertAlign w:val="subscript"/>
        </w:rPr>
        <w:t>3</w:t>
      </w:r>
      <w:r>
        <w:t>forms a microcondensate through interactions with IgG labeled with a negatively charged fluorescent dye. Similarly, the negative charge of nucleic acids causes siRNAs to form microcondensates with FcB(L17E)</w:t>
      </w:r>
      <w:r>
        <w:rPr>
          <w:vertAlign w:val="subscript"/>
        </w:rPr>
        <w:t>3</w:t>
      </w:r>
      <w:r>
        <w:t>, resulting in the facile infusion of the siRNAs through the plasma membrane with 40% gene knockdown efficiency. mRNAs form aggregates with FcB(L17E)</w:t>
      </w:r>
      <w:r>
        <w:rPr>
          <w:vertAlign w:val="subscript"/>
        </w:rPr>
        <w:t>3</w:t>
      </w:r>
      <w:r>
        <w:t>due to their longer chains, which prevents efficient delivery. Remarkably, adding short single‐stranded DNA (ssDNA) to mRNA enables microcondensate formation with FcB(L17E)</w:t>
      </w:r>
      <w:r>
        <w:rPr>
          <w:vertAlign w:val="subscript"/>
        </w:rPr>
        <w:t>3</w:t>
      </w:r>
      <w:r>
        <w:t>, facilitating protein expression. Additionally, this microcondensate system successfully facilitated the intracellular delivery of plasmid DNA (pDNA) by optimizing the charge ratio between FcB(L17E)</w:t>
      </w:r>
      <w:r>
        <w:rPr>
          <w:vertAlign w:val="subscript"/>
        </w:rPr>
        <w:t>3</w:t>
      </w:r>
      <w:r>
        <w:t>and nucleic acids. Finally, the subcutaneous injection of microcondensates into mice successfully induced protein expression in vivo. The achievement of in vivo mRNA delivery and protein expression using microcondensates may offer a strategy for nucleic acid delivery with potential applicability in cancer immunotherapy and mRNA‐based vaccination.</w:t>
      </w:r>
    </w:p>
    <w:p>
      <w:pPr>
        <w:spacing w:before="120" w:after="120"/>
      </w:pPr>
      <w:r>
        <w:rPr>
          <w:sz w:val="18"/>
        </w:rPr>
        <w:t>——————————————————————————————————————————————————————————————————————</w:t>
      </w:r>
    </w:p>
    <w:p>
      <w:pPr>
        <w:spacing w:before="160" w:after="80" w:line="240" w:lineRule="auto"/>
      </w:pPr>
      <w:r>
        <w:rPr>
          <w:b/>
        </w:rPr>
        <w:t xml:space="preserve">[548] </w:t>
      </w:r>
      <w:hyperlink r:id="rId967">
        <w:r>
          <w:rPr>
            <w:color w:val="1155CC"/>
            <w:u w:val="single"/>
          </w:rPr>
          <w:t>Fully Aromatic Fluorinated Polyamide Nanofilms with Molecular Gating for Ultrafast Crude Oil Fractionation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8">
        <w:r>
          <w:rPr>
            <w:color w:val="1155CC"/>
            <w:u w:val="single"/>
          </w:rPr>
          <w:t>10.1002/anie.202512620</w:t>
        </w:r>
      </w:hyperlink>
    </w:p>
    <w:p>
      <w:pPr>
        <w:spacing w:before="0" w:after="120"/>
      </w:pPr>
      <w:r>
        <w:rPr>
          <w:b/>
        </w:rPr>
        <w:t xml:space="preserve">Notes: </w:t>
      </w:r>
      <w:r>
        <w:t>abstract_source=crossref</w:t>
      </w:r>
    </w:p>
    <w:p>
      <w:pPr>
        <w:spacing w:before="0" w:after="200" w:lineRule="auto" w:line="276"/>
      </w:pPr>
      <w:r>
        <w:rPr>
          <w:b/>
        </w:rPr>
        <w:t xml:space="preserve">Abstract: </w:t>
      </w:r>
      <w:r>
        <w:t>Crude oil is the “black gold” of the world and its fractionation by thermal distillation is a highly energy‐consuming process. Polymer membranes are manifesting the potential in revolutionizing crude oil fractionation for developing energy‐efficient, low‐footprint petrochemical engineering. Nevertheless, conventional polymer membranes suffer from inferior fractionation performance with unsatisfied permeance and selectivity owing to their polar channel chemistry as well as low‐connective and vulnerable channel architecture. We report a kind of robust, fully aromatic fluorinated polyamide (FAFPA) nanofilm that features a switchable molecular gating‐on/gating‐off state to activate and reconstruct sub‐nanochannels for the permselectivity of hydrocarbon liquids, enabling ultrafast and stable crude oil fractionation. We demonstrate the gating‐on state is launched by the interplay of FAFPA networks and polar‐matched trigger molecules bearing α‐H such as alcohols and ketones, redefining the sub‐nanochannel chemistry and improving the spatial connectivity of sub‐nanochannels to accelerate the selective transport of hydrocarbons. The gating‐on FAFPA nanofilms show a record‐high separation factor of 33 for 1,3,5‐triisopropylbenzene with a molecular weight of 204 Da as well as a profound</w:t>
      </w:r>
      <w:r>
        <w:t xml:space="preserve"> </w:t>
      </w:r>
      <w:r>
        <w:t>n</w:t>
      </w:r>
      <w:r>
        <w:t xml:space="preserve"> </w:t>
      </w:r>
      <w:r>
        <w:t>‐hexane permeance, 24‐fold higher than that of the gating‐off state. Moreover, these gating‐on FAFPA nanofilms can stably handle typical black crude oil at an elevated temperature of 80 °C for garnering a 32‐fold increased permeance while sustaining nearly constant selectivity toward hydrocarbons.</w:t>
      </w:r>
    </w:p>
    <w:p>
      <w:pPr>
        <w:spacing w:before="120" w:after="120"/>
      </w:pPr>
      <w:r>
        <w:rPr>
          <w:sz w:val="18"/>
        </w:rPr>
        <w:t>——————————————————————————————————————————————————————————————————————</w:t>
      </w:r>
    </w:p>
    <w:p>
      <w:pPr>
        <w:spacing w:before="160" w:after="80" w:line="240" w:lineRule="auto"/>
      </w:pPr>
      <w:r>
        <w:rPr>
          <w:b/>
        </w:rPr>
        <w:t xml:space="preserve">[549] </w:t>
      </w:r>
      <w:hyperlink r:id="rId969">
        <w:r>
          <w:rPr>
            <w:color w:val="1155CC"/>
            <w:u w:val="single"/>
          </w:rPr>
          <w:t>Integrating Sorbents in CO2 Electroreduction: A Model System to Disentangle Layer Contributions in Membrane Electrode Assemblies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70">
        <w:r>
          <w:rPr>
            <w:color w:val="1155CC"/>
            <w:u w:val="single"/>
          </w:rPr>
          <w:t>10.1002/anie.202513104</w:t>
        </w:r>
      </w:hyperlink>
    </w:p>
    <w:p>
      <w:pPr>
        <w:spacing w:before="0" w:after="120"/>
      </w:pPr>
      <w:r>
        <w:rPr>
          <w:b/>
        </w:rPr>
        <w:t xml:space="preserve">Notes: </w:t>
      </w:r>
      <w:r>
        <w:t>abstract_source=crossref</w:t>
      </w:r>
    </w:p>
    <w:p>
      <w:pPr>
        <w:spacing w:before="0" w:after="200" w:lineRule="auto" w:line="276"/>
      </w:pPr>
      <w:r>
        <w:rPr>
          <w:b/>
        </w:rPr>
        <w:t xml:space="preserve">Abstract: </w:t>
      </w:r>
      <w:r>
        <w:t>Membrane electrode assemblies (MEAs) are crucial in high‐performance CO</w:t>
      </w:r>
      <w:r>
        <w:rPr>
          <w:vertAlign w:val="subscript"/>
        </w:rPr>
        <w:t>2</w:t>
      </w:r>
      <w:r>
        <w:t>electrolysis, reducing</w:t>
      </w:r>
      <w:r>
        <w:t xml:space="preserve"> </w:t>
      </w:r>
      <w:r>
        <w:t>iR</w:t>
      </w:r>
      <w:r>
        <w:t xml:space="preserve"> </w:t>
      </w:r>
      <w:r>
        <w:t>losses and overcoming low solubility issues by supplying CO</w:t>
      </w:r>
      <w:r>
        <w:rPr>
          <w:vertAlign w:val="subscript"/>
        </w:rPr>
        <w:t>2</w:t>
      </w:r>
      <w:r>
        <w:t>in the gas form. However, liquid anolyte permeation to the cathode causes salt precipitation, stability issues, and parasitic H</w:t>
      </w:r>
      <w:r>
        <w:rPr>
          <w:vertAlign w:val="subscript"/>
        </w:rPr>
        <w:t>2</w:t>
      </w:r>
      <w:r>
        <w:t>evolution, hindering industrial implementation. Full gas‐phase operation could mitigate these problems, but a model system to study gas‐phase concepts is lacking.</w:t>
      </w:r>
      <w:r>
        <w:t xml:space="preserve"> </w:t>
      </w:r>
      <w:r>
        <w:t>This study presents a planar bimetallic interdigitated electrode array (BIDEA) as a model system, using a sorbent electrolyte for CO</w:t>
      </w:r>
      <w:r>
        <w:rPr>
          <w:vertAlign w:val="subscript"/>
        </w:rPr>
        <w:t>2</w:t>
      </w:r>
      <w:r>
        <w:t>electroreduction as a case study. The simplified system, combined with numerical models, reveals key process limitations, such as diffusion over the material and the role of sorption kinetics in limiting CO</w:t>
      </w:r>
      <w:r>
        <w:rPr>
          <w:vertAlign w:val="subscript"/>
        </w:rPr>
        <w:t>2</w:t>
      </w:r>
      <w:r>
        <w:t>supply to the cathode. Spectroscopic analysis provided mechanistic insights, demonstrating the model system's applicability to disentangle layer effects in integrated systems.</w:t>
      </w:r>
    </w:p>
    <w:p>
      <w:pPr>
        <w:spacing w:before="120" w:after="120"/>
      </w:pPr>
      <w:r>
        <w:rPr>
          <w:sz w:val="18"/>
        </w:rPr>
        <w:t>——————————————————————————————————————————————————————————————————————</w:t>
      </w:r>
    </w:p>
    <w:p>
      <w:pPr>
        <w:spacing w:before="160" w:after="80" w:line="240" w:lineRule="auto"/>
      </w:pPr>
      <w:r>
        <w:rPr>
          <w:b/>
        </w:rPr>
        <w:t xml:space="preserve">[550] </w:t>
      </w:r>
      <w:hyperlink r:id="rId971">
        <w:r>
          <w:rPr>
            <w:color w:val="1155CC"/>
            <w:u w:val="single"/>
          </w:rPr>
          <w:t>Electrochemical pH‐Swing CO2 Capture Facilitated by Suppressed Bubble Accumulation at Electrode/Electrolyte Interfaces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72">
        <w:r>
          <w:rPr>
            <w:color w:val="1155CC"/>
            <w:u w:val="single"/>
          </w:rPr>
          <w:t>10.1002/anie.202513456</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w:t>
      </w:r>
      <w:r>
        <w:rPr>
          <w:vertAlign w:val="subscript"/>
        </w:rPr>
        <w:t>2</w:t>
      </w:r>
      <w:r>
        <w:t>capture features high modularity and low system complexity. When the pH swing produced by electrolysis reactions acts as the driving force of CO</w:t>
      </w:r>
      <w:r>
        <w:rPr>
          <w:vertAlign w:val="subscript"/>
        </w:rPr>
        <w:t>2</w:t>
      </w:r>
      <w:r>
        <w:t>capture, the entire process is further endowed with enhanced tolerance to poisoning. Nevertheless, the correlation between the type of electrolysis reaction and electrochemical CO</w:t>
      </w:r>
      <w:r>
        <w:rPr>
          <w:vertAlign w:val="subscript"/>
        </w:rPr>
        <w:t>2</w:t>
      </w:r>
      <w:r>
        <w:t>capture efficiency remains poorly understood, rendering the reactor inefficient. Here, we show that the behavior of gas bubbles exerts a strong influence on CO</w:t>
      </w:r>
      <w:r>
        <w:rPr>
          <w:vertAlign w:val="subscript"/>
        </w:rPr>
        <w:t>2</w:t>
      </w:r>
      <w:r>
        <w:t>capture rates and Faradaic efficiencies. We demonstrate that eliminating bubble accumulation by suppressing H</w:t>
      </w:r>
      <w:r>
        <w:rPr>
          <w:vertAlign w:val="subscript"/>
        </w:rPr>
        <w:t>2</w:t>
      </w:r>
      <w:r>
        <w:t>evolution at the cathode/electrolyte interface facilitates CO</w:t>
      </w:r>
      <w:r>
        <w:rPr>
          <w:vertAlign w:val="subscript"/>
        </w:rPr>
        <w:t>2</w:t>
      </w:r>
      <w:r>
        <w:t>capture, which ensures the access of CO</w:t>
      </w:r>
      <w:r>
        <w:rPr>
          <w:vertAlign w:val="subscript"/>
        </w:rPr>
        <w:t>2</w:t>
      </w:r>
      <w:r>
        <w:t>to the alkaline electrode surfaces. We devise a polymer‐electrolyte CO</w:t>
      </w:r>
      <w:r>
        <w:rPr>
          <w:vertAlign w:val="subscript"/>
        </w:rPr>
        <w:t>2</w:t>
      </w:r>
      <w:r>
        <w:t>capture reactor utilizing oxygen reduction as the driving force and the cation effect to reduce the activity of H</w:t>
      </w:r>
      <w:r>
        <w:rPr>
          <w:vertAlign w:val="subscript"/>
        </w:rPr>
        <w:t>2</w:t>
      </w:r>
      <w:r>
        <w:t>formation. The system offers a capture rate of 1.40 ± 0.03 mL</w:t>
      </w:r>
      <w:r>
        <w:t xml:space="preserve"> </w:t>
      </w:r>
      <w:r>
        <w:t>CO2</w:t>
      </w:r>
      <w:r>
        <w:t xml:space="preserve"> </w:t>
      </w:r>
      <w:r>
        <w:t>min</w:t>
      </w:r>
      <w:r>
        <w:t xml:space="preserve"> </w:t>
      </w:r>
      <w:r>
        <w:t>−1</w:t>
      </w:r>
      <w:r>
        <w:t xml:space="preserve"> </w:t>
      </w:r>
      <w:r>
        <w:t>cm</w:t>
      </w:r>
      <w:r>
        <w:t xml:space="preserve"> </w:t>
      </w:r>
      <w:r>
        <w:t>−2</w:t>
      </w:r>
      <w:r>
        <w:t xml:space="preserve"> </w:t>
      </w:r>
      <w:r>
        <w:t>at 220 mA cm</w:t>
      </w:r>
      <w:r>
        <w:t xml:space="preserve"> </w:t>
      </w:r>
      <w:r>
        <w:t>−2</w:t>
      </w:r>
      <w:r>
        <w:t xml:space="preserve"> </w:t>
      </w:r>
      <w:r>
        <w:t>with a Faradaic efficiency of 83.7 ± 1.9% and poisoning resistance to O</w:t>
      </w:r>
      <w:r>
        <w:rPr>
          <w:vertAlign w:val="subscript"/>
        </w:rPr>
        <w:t>2</w:t>
      </w:r>
      <w:r>
        <w:t>and impurities in simulated flue gases. In direct air capture (DAC) mode, the reactor achieves a capture rate of about 0.029 mL</w:t>
      </w:r>
      <w:r>
        <w:t xml:space="preserve"> </w:t>
      </w:r>
      <w:r>
        <w:t>CO2</w:t>
      </w:r>
      <w:r>
        <w:t xml:space="preserve"> </w:t>
      </w:r>
      <w:r>
        <w:t>min</w:t>
      </w:r>
      <w:r>
        <w:t xml:space="preserve"> </w:t>
      </w:r>
      <w:r>
        <w:t>−1</w:t>
      </w:r>
      <w:r>
        <w:t xml:space="preserve"> </w:t>
      </w:r>
      <w:r>
        <w:t>cm</w:t>
      </w:r>
      <w:r>
        <w:t xml:space="preserve"> </w:t>
      </w:r>
      <w:r>
        <w:t>−2</w:t>
      </w:r>
      <w:r>
        <w:t xml:space="preserve"> </w:t>
      </w:r>
      <w:r>
        <w:t>and a stable 200‐h operation at approximately 0.019 mL</w:t>
      </w:r>
      <w:r>
        <w:t xml:space="preserve"> </w:t>
      </w:r>
      <w:r>
        <w:t>CO2</w:t>
      </w:r>
      <w:r>
        <w:t xml:space="preserve"> </w:t>
      </w:r>
      <w:r>
        <w:t>min</w:t>
      </w:r>
      <w:r>
        <w:t xml:space="preserve"> </w:t>
      </w:r>
      <w:r>
        <w:t>−1</w:t>
      </w:r>
      <w:r>
        <w:t xml:space="preserve"> </w:t>
      </w:r>
      <w:r>
        <w:t>cm</w:t>
      </w:r>
      <w:r>
        <w:t xml:space="preserve"> </w:t>
      </w:r>
      <w:r>
        <w:t>−2</w:t>
      </w:r>
      <w:r>
        <w:t xml:space="preserve"> </w:t>
      </w:r>
      <w:r>
        <w:t>and 0.95 V, outperforming existing electrochemical DAC devices.</w:t>
      </w:r>
    </w:p>
    <w:p>
      <w:pPr>
        <w:spacing w:before="120" w:after="120"/>
      </w:pPr>
      <w:r>
        <w:rPr>
          <w:sz w:val="18"/>
        </w:rPr>
        <w:t>——————————————————————————————————————————————————————————————————————</w:t>
      </w:r>
    </w:p>
    <w:p>
      <w:pPr>
        <w:spacing w:before="160" w:after="80" w:line="240" w:lineRule="auto"/>
      </w:pPr>
      <w:r>
        <w:rPr>
          <w:b/>
        </w:rPr>
        <w:t xml:space="preserve">[551] </w:t>
      </w:r>
      <w:hyperlink r:id="rId973">
        <w:r>
          <w:rPr>
            <w:color w:val="1155CC"/>
            <w:u w:val="single"/>
          </w:rPr>
          <w:t>In situ Crystal Structure Growth and Control for Enhancing Comprehensive Performance in Ultra‐High Nickel‐Layered Lithium Cathodes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74">
        <w:r>
          <w:rPr>
            <w:color w:val="1155CC"/>
            <w:u w:val="single"/>
          </w:rPr>
          <w:t>10.1002/anie.202513466</w:t>
        </w:r>
      </w:hyperlink>
    </w:p>
    <w:p>
      <w:pPr>
        <w:spacing w:before="0" w:after="120"/>
      </w:pPr>
      <w:r>
        <w:rPr>
          <w:b/>
        </w:rPr>
        <w:t xml:space="preserve">Notes: </w:t>
      </w:r>
      <w:r>
        <w:t>abstract_source=crossref</w:t>
      </w:r>
    </w:p>
    <w:p>
      <w:pPr>
        <w:spacing w:before="0" w:after="200" w:lineRule="auto" w:line="276"/>
      </w:pPr>
      <w:r>
        <w:rPr>
          <w:b/>
        </w:rPr>
        <w:t xml:space="preserve">Abstract: </w:t>
      </w:r>
      <w:r>
        <w:t>The ultra‐high nickel‐layered cathodes, LiNi</w:t>
      </w:r>
      <w:r>
        <w:t xml:space="preserve"> </w:t>
      </w:r>
      <w:r>
        <w:t>x</w:t>
      </w:r>
      <w:r>
        <w:t xml:space="preserve"> </w:t>
      </w:r>
      <w:r>
        <w:t>Co</w:t>
      </w:r>
      <w:r>
        <w:t xml:space="preserve"> </w:t>
      </w:r>
      <w:r>
        <w:t>y</w:t>
      </w:r>
      <w:r>
        <w:t xml:space="preserve"> </w:t>
      </w:r>
      <w:r>
        <w:t>Mn</w:t>
      </w:r>
      <w:r>
        <w:t xml:space="preserve"> </w:t>
      </w:r>
      <w:r>
        <w:t>1‐</w:t>
      </w:r>
      <w:r>
        <w:t xml:space="preserve"> </w:t>
      </w:r>
      <w:r>
        <w:t>x</w:t>
      </w:r>
      <w:r>
        <w:t xml:space="preserve"> </w:t>
      </w:r>
      <w:r>
        <w:t>‐</w:t>
      </w:r>
      <w:r>
        <w:t xml:space="preserve"> </w:t>
      </w:r>
      <w:r>
        <w:t>y</w:t>
      </w:r>
      <w:r>
        <w:t xml:space="preserve"> </w:t>
      </w:r>
      <w:r>
        <w:t>O</w:t>
      </w:r>
      <w:r>
        <w:rPr>
          <w:vertAlign w:val="subscript"/>
        </w:rPr>
        <w:t>2</w:t>
      </w:r>
      <w:r>
        <w:t>(</w:t>
      </w:r>
      <w:r>
        <w:t xml:space="preserve"> </w:t>
      </w:r>
      <w:r>
        <w:t>x</w:t>
      </w:r>
      <w:r>
        <w:t xml:space="preserve"> </w:t>
      </w:r>
      <w:r>
        <w:t>≥ 0.9), featuring high energy density and low cost, have been the exploration and application targets for the next‐generation batteries. Current ultra‐high nickel cathodes fail to meet the commercial demands, owing to the structure degradation during cycle. Additionally, the dense structure of traditional secondary particles restricts the migration of Li</w:t>
      </w:r>
      <w:r>
        <w:t xml:space="preserve"> </w:t>
      </w:r>
      <w:r>
        <w:t>+</w:t>
      </w:r>
      <w:r>
        <w:t xml:space="preserve"> </w:t>
      </w:r>
      <w:r>
        <w:t>and further limits the capacity and rate performance. In this work, we focus on modulating intrinsic structure and morphology of cathodes originating from in situ growth method and have further controllably synthesized a special ultra‐high nickel cathode with gapped structure and thin surface rock‐salt phase (G‐Ni91). Compared to the traditional dense‐structure cathode (D‐Ni91), G‐Ni91 delivers better performance in all aspects, whether it is initial capacity, cycle stability, rate performance, high‐voltage operation, and high‐temperature condition. Multiscale characterizations manifests that smaller primary particle size, gapped interspace and less Li</w:t>
      </w:r>
      <w:r>
        <w:t xml:space="preserve"> </w:t>
      </w:r>
      <w:r>
        <w:t>+</w:t>
      </w:r>
      <w:r>
        <w:t xml:space="preserve"> </w:t>
      </w:r>
      <w:r>
        <w:t>/Ni</w:t>
      </w:r>
      <w:r>
        <w:t xml:space="preserve"> </w:t>
      </w:r>
      <w:r>
        <w:t>2+</w:t>
      </w:r>
      <w:r>
        <w:t xml:space="preserve"> </w:t>
      </w:r>
      <w:r>
        <w:t>antisite in G‐Ni91 supply enhanced Li</w:t>
      </w:r>
      <w:r>
        <w:t xml:space="preserve"> </w:t>
      </w:r>
      <w:r>
        <w:t>+</w:t>
      </w:r>
      <w:r>
        <w:t xml:space="preserve"> </w:t>
      </w:r>
      <w:r>
        <w:t>transport dynamics. Moreover, the thin surface rock‐salt phase and more uniform primary particles are regarded as contributions to the improved cycling stability. This work provides a feasible original intrinsic structural design and modification from precursor to cathodes, ultimately facilitating substantial improvements in electrochemical performance of ultra‐high nickel‐layered cathodes.</w:t>
      </w:r>
    </w:p>
    <w:p>
      <w:pPr>
        <w:spacing w:before="120" w:after="120"/>
      </w:pPr>
      <w:r>
        <w:rPr>
          <w:sz w:val="18"/>
        </w:rPr>
        <w:t>——————————————————————————————————————————————————————————————————————</w:t>
      </w:r>
    </w:p>
    <w:p>
      <w:pPr>
        <w:spacing w:before="160" w:after="80" w:line="240" w:lineRule="auto"/>
      </w:pPr>
      <w:r>
        <w:rPr>
          <w:b/>
        </w:rPr>
        <w:t xml:space="preserve">[552] </w:t>
      </w:r>
      <w:hyperlink r:id="rId975">
        <w:r>
          <w:rPr>
            <w:color w:val="1155CC"/>
            <w:u w:val="single"/>
          </w:rPr>
          <w:t>Distinctive Coordination Configuration and Interfacial Water Balance Induced by Anti‐Kirkendall Effect Attain Exceptional Catalytic Activity and Selectivity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76">
        <w:r>
          <w:rPr>
            <w:color w:val="1155CC"/>
            <w:u w:val="single"/>
          </w:rPr>
          <w:t>10.1002/anie.202513687</w:t>
        </w:r>
      </w:hyperlink>
    </w:p>
    <w:p>
      <w:pPr>
        <w:spacing w:before="0" w:after="120"/>
      </w:pPr>
      <w:r>
        <w:rPr>
          <w:b/>
        </w:rPr>
        <w:t xml:space="preserve">Notes: </w:t>
      </w:r>
      <w:r>
        <w:t>abstract_source=crossref</w:t>
      </w:r>
    </w:p>
    <w:p>
      <w:pPr>
        <w:spacing w:before="0" w:after="200" w:lineRule="auto" w:line="276"/>
      </w:pPr>
      <w:r>
        <w:rPr>
          <w:b/>
        </w:rPr>
        <w:t xml:space="preserve">Abstract: </w:t>
      </w:r>
      <w:r>
        <w:t>A critical challenge for the application of direct ethanol fuel cells (DEFCs) lies in the sluggish kinetics of C─C cleavage. Herein, a significant portion of Ni is retained in the interior of nitric acid etched PtFeCoNi pod‐like nanowires (PtFeCoNi‐N) with incomplete voids/cavities due to anti‐Kirkendall effect. The efficient electronic tuning toward surface Pt gives rise to the superior ethanol oxidation reaction (EOR) activity of 1.82 A mg</w:t>
      </w:r>
      <w:r>
        <w:t xml:space="preserve"> </w:t>
      </w:r>
      <w:r>
        <w:t>Pt</w:t>
      </w:r>
      <w:r>
        <w:t xml:space="preserve"> </w:t>
      </w:r>
      <w:r>
        <w:t>−1</w:t>
      </w:r>
      <w:r>
        <w:t xml:space="preserve"> </w:t>
      </w:r>
      <w:r>
        <w:t>and 3.21 mA cm</w:t>
      </w:r>
      <w:r>
        <w:t xml:space="preserve"> </w:t>
      </w:r>
      <w:r>
        <w:t>−2</w:t>
      </w:r>
      <w:r>
        <w:t xml:space="preserve"> </w:t>
      </w:r>
      <w:r>
        <w:t>, 4.80‐fold and 5.10‐fold improved relative to Pt/C, respectively. Strikingly, after chronoamperometric test of 50 000 s and 1500 consecutive potential cycles, 86.81% and 82.42% of the initial activity of PtFeCoNi‐N are retained. Multiple spectroscopic characterizations reveal that the PtFeCoNi‐N shows excellent selectivity toward C1 pathway even above 1.0 V. The lowered Pt coordination related to less occupancy of antibonding states plays a crucial role for enhancement in activity and selectivity. The interfacial microenvironment balance between hydrogen‐bonded H</w:t>
      </w:r>
      <w:r>
        <w:rPr>
          <w:vertAlign w:val="subscript"/>
        </w:rPr>
        <w:t>2</w:t>
      </w:r>
      <w:r>
        <w:t>O and free H</w:t>
      </w:r>
      <w:r>
        <w:rPr>
          <w:vertAlign w:val="subscript"/>
        </w:rPr>
        <w:t>2</w:t>
      </w:r>
      <w:r>
        <w:t>O contributes to H</w:t>
      </w:r>
      <w:r>
        <w:rPr>
          <w:vertAlign w:val="subscript"/>
        </w:rPr>
        <w:t>2</w:t>
      </w:r>
      <w:r>
        <w:t>O dissociation for CO* oxidation. Density functional theory elucidates the origin of anti‐Kirkendall effect and the intimate electronic interaction with surface Pt that endows PtFeCoNi‐N with superior inclination toward C1 pathway. This work presents a novel catalyst design strategy of reversing the dissolution of transition metals.</w:t>
      </w:r>
    </w:p>
    <w:p>
      <w:pPr>
        <w:spacing w:before="120" w:after="120"/>
      </w:pPr>
      <w:r>
        <w:rPr>
          <w:sz w:val="18"/>
        </w:rPr>
        <w:t>——————————————————————————————————————————————————————————————————————</w:t>
      </w:r>
    </w:p>
    <w:p>
      <w:pPr>
        <w:spacing w:before="160" w:after="80" w:line="240" w:lineRule="auto"/>
      </w:pPr>
      <w:r>
        <w:rPr>
          <w:b/>
        </w:rPr>
        <w:t xml:space="preserve">[553] </w:t>
      </w:r>
      <w:hyperlink r:id="rId977">
        <w:r>
          <w:rPr>
            <w:color w:val="1155CC"/>
            <w:u w:val="single"/>
          </w:rPr>
          <w:t>Electrostatic Landscape Design for Ionomer Adhesion and Poison‐Resistant Platinum Catalysis in Fuel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78">
        <w:r>
          <w:rPr>
            <w:color w:val="1155CC"/>
            <w:u w:val="single"/>
          </w:rPr>
          <w:t>10.1002/anie.202520955</w:t>
        </w:r>
      </w:hyperlink>
    </w:p>
    <w:p>
      <w:pPr>
        <w:spacing w:before="0" w:after="120"/>
      </w:pPr>
      <w:r>
        <w:rPr>
          <w:b/>
        </w:rPr>
        <w:t xml:space="preserve">Notes: </w:t>
      </w:r>
      <w:r>
        <w:t>abstract_source=crossref</w:t>
      </w:r>
    </w:p>
    <w:p>
      <w:pPr>
        <w:spacing w:before="0" w:after="200" w:lineRule="auto" w:line="276"/>
      </w:pPr>
      <w:r>
        <w:rPr>
          <w:b/>
        </w:rPr>
        <w:t xml:space="preserve">Abstract: </w:t>
      </w:r>
      <w:r>
        <w:t>Uneven ionomer distribution and sulfonate groups (–SO</w:t>
      </w:r>
      <w:r>
        <w:rPr>
          <w:vertAlign w:val="subscript"/>
        </w:rPr>
        <w:t>3</w:t>
      </w:r>
      <w:r>
        <w:t>–</w:t>
      </w:r>
      <w:r>
        <w:t xml:space="preserve"> </w:t>
      </w:r>
      <w:r>
        <w:t>) poisoning at platinum (Pt) sites significantly impede Pt utilization and local mass transport in proton exchange membrane fuel cells (PEMFCs). Herein, we report an electrostatic landscape design on nanocarbon supports that harnesses strong and uniform ionomer adhesion to create a poison‐resistant Pt interface, effectively mitigating direct poisoning of Pt sites by –SO</w:t>
      </w:r>
      <w:r>
        <w:rPr>
          <w:vertAlign w:val="subscript"/>
        </w:rPr>
        <w:t>3</w:t>
      </w:r>
      <w:r>
        <w:t>–</w:t>
      </w:r>
      <w:r>
        <w:t xml:space="preserve"> </w:t>
      </w:r>
      <w:r>
        <w:t>groups and enhancing active sites accessibility and local mass transport. The resulting PtFe/FN‐C catalyst exhibits an exceptionally low ionomer coverage of only 6.4%, enabling a peak power density of 1.39 W cm</w:t>
      </w:r>
      <w:r>
        <w:t xml:space="preserve"> </w:t>
      </w:r>
      <w:r>
        <w:t>−2</w:t>
      </w:r>
      <w:r>
        <w:t xml:space="preserve"> </w:t>
      </w:r>
      <w:r>
        <w:t>and an oxygen transport resistance of only 44.5 s m</w:t>
      </w:r>
      <w:r>
        <w:t xml:space="preserve"> </w:t>
      </w:r>
      <w:r>
        <w:t>−1</w:t>
      </w:r>
      <w:r>
        <w:t xml:space="preserve"> </w:t>
      </w:r>
      <w:r>
        <w:t>in PEMFC testing. Furthermore, it demonstrates impressive durability, with only a 2 mV voltage loss after 30 000 cycles at 0.8 A cm</w:t>
      </w:r>
      <w:r>
        <w:t xml:space="preserve"> </w:t>
      </w:r>
      <w:r>
        <w:t>−2</w:t>
      </w:r>
      <w:r>
        <w:t xml:space="preserve"> </w:t>
      </w:r>
      <w:r>
        <w:t>. This work establishes a new principle for interface engineering where overall polymer‐support adhesion governs local catalyst‐functional group interactions, offering a general strategy for designing high‐performance, poison‐resistant electrocatalysts for energy conversion technologies.</w:t>
      </w:r>
    </w:p>
    <w:p>
      <w:pPr>
        <w:spacing w:before="120" w:after="120"/>
      </w:pPr>
      <w:r>
        <w:rPr>
          <w:sz w:val="18"/>
        </w:rPr>
        <w:t>——————————————————————————————————————————————————————————————————————</w:t>
      </w:r>
    </w:p>
    <w:p>
      <w:pPr>
        <w:spacing w:before="160" w:after="80" w:line="240" w:lineRule="auto"/>
      </w:pPr>
      <w:r>
        <w:rPr>
          <w:b/>
        </w:rPr>
        <w:t xml:space="preserve">[554] </w:t>
      </w:r>
      <w:hyperlink r:id="rId979">
        <w:r>
          <w:rPr>
            <w:color w:val="1155CC"/>
            <w:u w:val="single"/>
          </w:rPr>
          <w:t>DNA Glass: Encasing Diffraction‐Quality, Mesoporous DNA Crystals in Architected Silica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0">
        <w:r>
          <w:rPr>
            <w:color w:val="1155CC"/>
            <w:u w:val="single"/>
          </w:rPr>
          <w:t>10.1002/anie.202516745</w:t>
        </w:r>
      </w:hyperlink>
    </w:p>
    <w:p>
      <w:pPr>
        <w:spacing w:before="0" w:after="120"/>
      </w:pPr>
      <w:r>
        <w:rPr>
          <w:b/>
        </w:rPr>
        <w:t xml:space="preserve">Notes: </w:t>
      </w:r>
      <w:r>
        <w:t>abstract_source=crossref</w:t>
      </w:r>
    </w:p>
    <w:p>
      <w:pPr>
        <w:spacing w:before="0" w:after="200" w:lineRule="auto" w:line="276"/>
      </w:pPr>
      <w:r>
        <w:rPr>
          <w:b/>
        </w:rPr>
        <w:t xml:space="preserve">Abstract: </w:t>
      </w:r>
      <w:r>
        <w:t>Self‐assembling DNA crystals have emerged over the last two decades as an efficient and effective means of organizing matter at the nanoscale, but functionalization of these lattices has proved challenging as physiological buffer conditions are required to maintain structural integrity. In this manuscript, we demonstrate the silicification of mesoporous DNA crystals using sol–gel chemistry. We identify reaction conditions that produce the minimum coating thickness to confer environmental protection, and we subsequently measure this protective ability to various stressors, including heat, low ionic strength solution, organic solvents, and unprotected freezing. By soaking metal ions and dyes into the lattice after silica coating, we demonstrate that the crystals maintain their pores and that the major groove of the DNA can still be used as a sequence‐specific template for chemical reactions. We image a library of different crystal motifs by electron microscopy, and we perform X‐ray diffraction on these crystals, both with and without cryoprotection, to determine the structure of the DNA frame, underscoring the conserved molecular order after coating. We anticipate these mesoporous silica composites will find use in applications involving extreme, nonphysiological conditions and in experiments which utilize the DNA glass described here as a template for chemical reactions on the internal surface of architected materials.</w:t>
      </w:r>
    </w:p>
    <w:p>
      <w:pPr>
        <w:spacing w:before="120" w:after="120"/>
      </w:pPr>
      <w:r>
        <w:rPr>
          <w:sz w:val="18"/>
        </w:rPr>
        <w:t>——————————————————————————————————————————————————————————————————————</w:t>
      </w:r>
    </w:p>
    <w:p>
      <w:pPr>
        <w:spacing w:before="160" w:after="80" w:line="240" w:lineRule="auto"/>
      </w:pPr>
      <w:r>
        <w:rPr>
          <w:b/>
        </w:rPr>
        <w:t xml:space="preserve">[555] </w:t>
      </w:r>
      <w:hyperlink r:id="rId981">
        <w:r>
          <w:rPr>
            <w:color w:val="1155CC"/>
            <w:u w:val="single"/>
          </w:rPr>
          <w:t>Conformation‐Matched Symbiotic Noncovalent Sites Facilitated Supramolecular Nanotwists Featuring both P and M Sub‐Helical Domains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2">
        <w:r>
          <w:rPr>
            <w:color w:val="1155CC"/>
            <w:u w:val="single"/>
          </w:rPr>
          <w:t>10.1002/anie.202516712</w:t>
        </w:r>
      </w:hyperlink>
    </w:p>
    <w:p>
      <w:pPr>
        <w:spacing w:before="0" w:after="120"/>
      </w:pPr>
      <w:r>
        <w:rPr>
          <w:b/>
        </w:rPr>
        <w:t xml:space="preserve">Notes: </w:t>
      </w:r>
      <w:r>
        <w:t>abstract_source=crossref</w:t>
      </w:r>
    </w:p>
    <w:p>
      <w:pPr>
        <w:spacing w:before="0" w:after="200" w:lineRule="auto" w:line="276"/>
      </w:pPr>
      <w:r>
        <w:rPr>
          <w:b/>
        </w:rPr>
        <w:t xml:space="preserve">Abstract: </w:t>
      </w:r>
      <w:r>
        <w:t>Living system can use homochiral blocks to simultaneously fabricate diverse structures with opposite chirality (e.g., right‐handed α‐helices and left‐handed polyproline‐II helices) for maintaining three‐dimensional conformations and functions of biostructures, but realizing this process in artificial systems remains exceptional challenge due to difficulty in constructing precise noncovalent pattern for diverse chirality transfer. Herein, we report a strategy to fabricate helical nanofibers featuring P and M sub‐domains by delicately introducing symbiotic noncovalent sites in the terminal of</w:t>
      </w:r>
      <w:r>
        <w:t xml:space="preserve"> </w:t>
      </w:r>
      <w:r>
        <w:t>l</w:t>
      </w:r>
      <w:r>
        <w:t xml:space="preserve"> </w:t>
      </w:r>
      <w:r>
        <w:t>‐phenylalanine derivatives (LCN). Benefiting from the conformation match of LCN, two symbiotic sites (C≡N, Ar─H</w:t>
      </w:r>
      <w:r>
        <w:t xml:space="preserve"> </w:t>
      </w:r>
      <w:r>
        <w:t>ortho</w:t>
      </w:r>
      <w:r>
        <w:t xml:space="preserve"> </w:t>
      </w:r>
      <w:r>
        <w:t>) in terminal cyanophenyl group can synergistically form noncovalent with different sites (C≡N⋯H</w:t>
      </w:r>
      <w:r>
        <w:t xml:space="preserve"> </w:t>
      </w:r>
      <w:r>
        <w:t>meta</w:t>
      </w:r>
      <w:r>
        <w:t xml:space="preserve"> </w:t>
      </w:r>
      <w:r>
        <w:t>─Ar; Ar─H</w:t>
      </w:r>
      <w:r>
        <w:t xml:space="preserve"> </w:t>
      </w:r>
      <w:r>
        <w:t>ortho</w:t>
      </w:r>
      <w:r>
        <w:t xml:space="preserve"> </w:t>
      </w:r>
      <w:r>
        <w:t>⋯N≡C), resulting in a precise noncovalent network. Furthermore, these two noncovalent facilitate the simultaneous formation of M‐type and P‐type domains due to their opposite spatial direction. Similar phenomenon is also observed from symbiotic sites in another terminal hydroxy group (O, H), further confirming an unusual chirality transfer where molecular homochirality propagates to supramolecular domains with opposite handedness. Besides, these helical domains can further cooperatively organize into higher‐order P‐type helices, in which fiber longitudinal axes aligns with the screw axes of noncovalent‐defined helices. This study accelerates the understanding of diverse chirality transfer based on homochirality in nature and takes into a realm of constructing helical nanostructures with diverse sub‐helices by homochiral blocks.</w:t>
      </w:r>
    </w:p>
    <w:p>
      <w:pPr>
        <w:spacing w:before="120" w:after="120"/>
      </w:pPr>
      <w:r>
        <w:rPr>
          <w:sz w:val="18"/>
        </w:rPr>
        <w:t>——————————————————————————————————————————————————————————————————————</w:t>
      </w:r>
    </w:p>
    <w:p>
      <w:pPr>
        <w:spacing w:before="160" w:after="80" w:line="240" w:lineRule="auto"/>
      </w:pPr>
      <w:r>
        <w:rPr>
          <w:b/>
        </w:rPr>
        <w:t xml:space="preserve">[556] </w:t>
      </w:r>
      <w:hyperlink r:id="rId983">
        <w:r>
          <w:rPr>
            <w:color w:val="1155CC"/>
            <w:u w:val="single"/>
          </w:rPr>
          <w:t>Direct Access to Acylboranes via Formal Condensation of Carboxylic Acids with Ligated Boranes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4">
        <w:r>
          <w:rPr>
            <w:color w:val="1155CC"/>
            <w:u w:val="single"/>
          </w:rPr>
          <w:t>10.1002/anie.202516826</w:t>
        </w:r>
      </w:hyperlink>
    </w:p>
    <w:p>
      <w:pPr>
        <w:spacing w:before="0" w:after="120"/>
      </w:pPr>
      <w:r>
        <w:rPr>
          <w:b/>
        </w:rPr>
        <w:t xml:space="preserve">Notes: </w:t>
      </w:r>
      <w:r>
        <w:t>abstract_source=crossref</w:t>
      </w:r>
    </w:p>
    <w:p>
      <w:pPr>
        <w:spacing w:before="0" w:after="200" w:lineRule="auto" w:line="276"/>
      </w:pPr>
      <w:r>
        <w:rPr>
          <w:b/>
        </w:rPr>
        <w:t xml:space="preserve">Abstract: </w:t>
      </w:r>
      <w:r>
        <w:t>The unique synthetic potential of acylboron species has long attracted attention from the synthetic chemistry community, but their broader application has been limited by challenges associated with their preparation. In this work, we report a mechanistically distinct radical‐based C(acyl)–B cross‐coupling strategy that enables a “formal condensation” between readily available carboxylic acids and easily accessible ligated boranes. The success of this transformation relies on the distinctive use of a phosphonite ligand, which achieves an optimal balance between the stability and reactivity of the borane moiety. This method demonstrates a broad substrate scope with high practical utility, and its strategic value has been further highlighted through diverse downstream derivatizations of the resulting acylborane compounds.</w:t>
      </w:r>
    </w:p>
    <w:p>
      <w:pPr>
        <w:spacing w:before="120" w:after="120"/>
      </w:pPr>
      <w:r>
        <w:rPr>
          <w:sz w:val="18"/>
        </w:rPr>
        <w:t>——————————————————————————————————————————————————————————————————————</w:t>
      </w:r>
    </w:p>
    <w:p>
      <w:pPr>
        <w:spacing w:before="160" w:after="80" w:line="240" w:lineRule="auto"/>
      </w:pPr>
      <w:r>
        <w:rPr>
          <w:b/>
        </w:rPr>
        <w:t xml:space="preserve">[557] </w:t>
      </w:r>
      <w:hyperlink r:id="rId985">
        <w:r>
          <w:rPr>
            <w:color w:val="1155CC"/>
            <w:u w:val="single"/>
          </w:rPr>
          <w:t>Quaternary Carbon Centers via Electrochemical Direct Dehydroxylative Alkylation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6">
        <w:r>
          <w:rPr>
            <w:color w:val="1155CC"/>
            <w:u w:val="single"/>
          </w:rPr>
          <w:t>10.1002/anie.202520816</w:t>
        </w:r>
      </w:hyperlink>
    </w:p>
    <w:p>
      <w:pPr>
        <w:spacing w:before="0" w:after="120"/>
      </w:pPr>
      <w:r>
        <w:rPr>
          <w:b/>
        </w:rPr>
        <w:t xml:space="preserve">Notes: </w:t>
      </w:r>
      <w:r>
        <w:t>abstract_source=crossref</w:t>
      </w:r>
    </w:p>
    <w:p>
      <w:pPr>
        <w:spacing w:before="0" w:after="200" w:lineRule="auto" w:line="276"/>
      </w:pPr>
      <w:r>
        <w:rPr>
          <w:b/>
        </w:rPr>
        <w:t xml:space="preserve">Abstract: </w:t>
      </w:r>
      <w:r>
        <w:t>The construction of all‐carbon quaternary centers remains a formidable challenge in organic synthesis due to the steric congestion and limited accessibility of suitable precursors. Herein, we report a modular electrochemical strategy for the direct dehydroxylative alkylation of tertiary alcohols via a polar‐to‐radical transduction mechanism. This unified activation platform enables C(sp</w:t>
      </w:r>
      <w:r>
        <w:rPr>
          <w:vertAlign w:val="subscript"/>
        </w:rPr>
        <w:t>3</w:t>
      </w:r>
      <w:r>
        <w:t>)─C(sp</w:t>
      </w:r>
      <w:r>
        <w:rPr>
          <w:vertAlign w:val="subscript"/>
        </w:rPr>
        <w:t>3</w:t>
      </w:r>
      <w:r>
        <w:t>) bond formation with electron‐deficient alkenes and benzyl chlorides, employing readily available reagents under mild, operationally simple conditions. Key to this transformation is the use of halide‐based reagents that mediate Lewis acid‐promoted C─OH bond cleavage while enabling subsequent radical generation via cathodic reduction. The method exhibits broad substrate scope, including complex and functionalized tertiary alcohols, diverse Michael acceptors, and sterically hindered coupling partners. It is further applicable to the late‐stage modification of bioactive molecules and scalable synthesis. Mechanistic studies support the involvement of both carbocation and carbon radical intermediates, validating the effectiveness of this dual‐mode strategy. This work provides a general and practical approach to quaternary carbon construction from unactivated tertiary alcohols, expanding the synthetic toolbox for C(sp</w:t>
      </w:r>
      <w:r>
        <w:rPr>
          <w:vertAlign w:val="subscript"/>
        </w:rPr>
        <w:t>3</w:t>
      </w:r>
      <w:r>
        <w:t>)─C(sp</w:t>
      </w:r>
      <w:r>
        <w:rPr>
          <w:vertAlign w:val="subscript"/>
        </w:rPr>
        <w:t>3</w:t>
      </w:r>
      <w:r>
        <w:t>) bond formation.</w:t>
      </w:r>
    </w:p>
    <w:p>
      <w:pPr>
        <w:spacing w:before="120" w:after="120"/>
      </w:pPr>
      <w:r>
        <w:rPr>
          <w:sz w:val="18"/>
        </w:rPr>
        <w:t>——————————————————————————————————————————————————————————————————————</w:t>
      </w:r>
    </w:p>
    <w:p>
      <w:pPr>
        <w:spacing w:before="160" w:after="80" w:line="240" w:lineRule="auto"/>
      </w:pPr>
      <w:r>
        <w:rPr>
          <w:b/>
        </w:rPr>
        <w:t xml:space="preserve">[558] </w:t>
      </w:r>
      <w:hyperlink r:id="rId987">
        <w:r>
          <w:rPr>
            <w:color w:val="1155CC"/>
            <w:u w:val="single"/>
          </w:rPr>
          <w:t>Spatially Selective Substitution for Structural Stabilization of Sodium Layered Oxide Cathodes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8">
        <w:r>
          <w:rPr>
            <w:color w:val="1155CC"/>
            <w:u w:val="single"/>
          </w:rPr>
          <w:t>10.1002/anie.202519108</w:t>
        </w:r>
      </w:hyperlink>
    </w:p>
    <w:p>
      <w:pPr>
        <w:spacing w:before="0" w:after="120"/>
      </w:pPr>
      <w:r>
        <w:rPr>
          <w:b/>
        </w:rPr>
        <w:t xml:space="preserve">Notes: </w:t>
      </w:r>
      <w:r>
        <w:t>abstract_source=crossref</w:t>
      </w:r>
    </w:p>
    <w:p>
      <w:pPr>
        <w:spacing w:before="0" w:after="200" w:lineRule="auto" w:line="276"/>
      </w:pPr>
      <w:r>
        <w:rPr>
          <w:b/>
        </w:rPr>
        <w:t xml:space="preserve">Abstract: </w:t>
      </w:r>
      <w:r>
        <w:t>O3‐type layered transition metal oxides are considered promising cathode materials for sodium‐ion batteries (SIBs) due to their high capacity and favorable Na</w:t>
      </w:r>
      <w:r>
        <w:t xml:space="preserve"> </w:t>
      </w:r>
      <w:r>
        <w:t>+</w:t>
      </w:r>
      <w:r>
        <w:t xml:space="preserve"> </w:t>
      </w:r>
      <w:r>
        <w:t>storage characteristics. However, their practical application is severely hindered by structural instability associated with multiphase transitions during electrochemical cycling. Herein, we propose a spatially selective multi‐element substitution strategy that induces spatially differentiated distributions of Mg, Cu, Ti, and B, thereby enhancing structural robustness. This spatially differentiated substitution architecture synergistically improves structural stability by concurrently inhibiting interfacial degradation and strengthening the lattice framework. The optimized composition (NaNi</w:t>
      </w:r>
      <w:r>
        <w:t xml:space="preserve"> </w:t>
      </w:r>
      <w:r>
        <w:t>0.4</w:t>
      </w:r>
      <w:r>
        <w:t xml:space="preserve"> </w:t>
      </w:r>
      <w:r>
        <w:t>Mg</w:t>
      </w:r>
      <w:r>
        <w:t xml:space="preserve"> </w:t>
      </w:r>
      <w:r>
        <w:t>0.05</w:t>
      </w:r>
      <w:r>
        <w:t xml:space="preserve"> </w:t>
      </w:r>
      <w:r>
        <w:t>Cu</w:t>
      </w:r>
      <w:r>
        <w:t xml:space="preserve"> </w:t>
      </w:r>
      <w:r>
        <w:t>0.05</w:t>
      </w:r>
      <w:r>
        <w:t xml:space="preserve"> </w:t>
      </w:r>
      <w:r>
        <w:t>Mn</w:t>
      </w:r>
      <w:r>
        <w:t xml:space="preserve"> </w:t>
      </w:r>
      <w:r>
        <w:t>0.3</w:t>
      </w:r>
      <w:r>
        <w:t xml:space="preserve"> </w:t>
      </w:r>
      <w:r>
        <w:t>Ti</w:t>
      </w:r>
      <w:r>
        <w:t xml:space="preserve"> </w:t>
      </w:r>
      <w:r>
        <w:t>0.2</w:t>
      </w:r>
      <w:r>
        <w:t xml:space="preserve"> </w:t>
      </w:r>
      <w:r>
        <w:t>B</w:t>
      </w:r>
      <w:r>
        <w:t xml:space="preserve"> </w:t>
      </w:r>
      <w:r>
        <w:t>0.05</w:t>
      </w:r>
      <w:r>
        <w:t xml:space="preserve"> </w:t>
      </w:r>
      <w:r>
        <w:t>O</w:t>
      </w:r>
      <w:r>
        <w:rPr>
          <w:vertAlign w:val="subscript"/>
        </w:rPr>
        <w:t>2</w:t>
      </w:r>
      <w:r>
        <w:t>) enables a stabilized O3 → P3 phase transition, which relieves lattice distortion and suppresses structural collapse upon cycling. Density functional theory (DFT) analysis reveals that the strong covalency of B─O bonds is crucial for anchoring the P3 framework. Hence, it delivers superior high‐temperature performance in half cells and durable cycling in full cells (85% capacity retention after 300 cycles at 0.5 C within 1.9–3.9 V). By elucidating the role of spatially selective substitution in structural stabilization, this work provides fundamental insights and paves the way for the design of advanced SIB cathodes.</w:t>
      </w:r>
    </w:p>
    <w:p>
      <w:pPr>
        <w:spacing w:before="120" w:after="120"/>
      </w:pPr>
      <w:r>
        <w:rPr>
          <w:sz w:val="18"/>
        </w:rPr>
        <w:t>——————————————————————————————————————————————————————————————————————</w:t>
      </w:r>
    </w:p>
    <w:p>
      <w:pPr>
        <w:spacing w:before="160" w:after="80" w:line="240" w:lineRule="auto"/>
      </w:pPr>
      <w:r>
        <w:rPr>
          <w:b/>
        </w:rPr>
        <w:t xml:space="preserve">[559] </w:t>
      </w:r>
      <w:hyperlink r:id="rId989">
        <w:r>
          <w:rPr>
            <w:color w:val="1155CC"/>
            <w:u w:val="single"/>
          </w:rPr>
          <w:t>Atroposelective Palladium‐Catalyzed γ‐C–H Olefination of BODIPYs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90">
        <w:r>
          <w:rPr>
            <w:color w:val="1155CC"/>
            <w:u w:val="single"/>
          </w:rPr>
          <w:t>10.1002/anie.202519324</w:t>
        </w:r>
      </w:hyperlink>
    </w:p>
    <w:p>
      <w:pPr>
        <w:spacing w:before="0" w:after="120"/>
      </w:pPr>
      <w:r>
        <w:rPr>
          <w:b/>
        </w:rPr>
        <w:t xml:space="preserve">Notes: </w:t>
      </w:r>
      <w:r>
        <w:t>abstract_source=crossref</w:t>
      </w:r>
    </w:p>
    <w:p>
      <w:pPr>
        <w:spacing w:before="0" w:after="200" w:lineRule="auto" w:line="276"/>
      </w:pPr>
      <w:r>
        <w:rPr>
          <w:b/>
        </w:rPr>
        <w:t xml:space="preserve">Abstract: </w:t>
      </w:r>
      <w:r>
        <w:t>Enantioenriched BODIPYs have emerged as a class of exceptionally valuable fluorophores, distinguished by their remarkable chiroptical properties and versatile applications in bioimaging, molecular sensing, and optoelectronic materials. The development of asymmetric catalytic methodologies for their synthesis represents a significant advancement in this field. Herein, we present a robust and efficient strategy for the Pd(II)‐catalyzed atroposelective C–H olefination and desymmetrization at the γ‐position of BODIPYs, facilitated by a thioether directing group and a chiral amino acid‐derived ligand. This oxidative Heck‐type reaction enables the direct synthesis of a wide array of axially chiral BODIPY derivatives with exceptional E‐selectivity and outstanding enantioselectivities. The resultant chiral fluorophores exhibit tunable photophysical properties, including near‐infrared emission and robust circularly polarized luminescence, and demonstrate excellent biocompatibility in live‐cell imaging. This method establishes a comprehensive platform for the streamlined synthesis of axially chiral BODIPYs, thereby advancing their potential applications in cutting‐edge photonic, biological, and optoelectronic technologies.</w:t>
      </w:r>
    </w:p>
    <w:p>
      <w:pPr>
        <w:spacing w:before="120" w:after="120"/>
      </w:pPr>
      <w:r>
        <w:rPr>
          <w:sz w:val="18"/>
        </w:rPr>
        <w:t>——————————————————————————————————————————————————————————————————————</w:t>
      </w:r>
    </w:p>
    <w:p>
      <w:pPr>
        <w:spacing w:before="160" w:after="80" w:line="240" w:lineRule="auto"/>
      </w:pPr>
      <w:r>
        <w:rPr>
          <w:b/>
        </w:rPr>
        <w:t xml:space="preserve">[560] </w:t>
      </w:r>
      <w:hyperlink r:id="rId991">
        <w:r>
          <w:rPr>
            <w:color w:val="1155CC"/>
            <w:u w:val="single"/>
          </w:rPr>
          <w:t>Generality‐Driven Optimization of Enantio‐ and Regioselective Mono‐Reduction of 1,2‐Dicarbonyls by High‐Throughput Experimentation and Machine Learning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92">
        <w:r>
          <w:rPr>
            <w:color w:val="1155CC"/>
            <w:u w:val="single"/>
          </w:rPr>
          <w:t>10.1002/anie.202519425</w:t>
        </w:r>
      </w:hyperlink>
    </w:p>
    <w:p>
      <w:pPr>
        <w:spacing w:before="0" w:after="120"/>
      </w:pPr>
      <w:r>
        <w:rPr>
          <w:b/>
        </w:rPr>
        <w:t xml:space="preserve">Notes: </w:t>
      </w:r>
      <w:r>
        <w:t>abstract_source=crossref</w:t>
      </w:r>
    </w:p>
    <w:p>
      <w:pPr>
        <w:spacing w:before="0" w:after="200" w:lineRule="auto" w:line="276"/>
      </w:pPr>
      <w:r>
        <w:rPr>
          <w:b/>
        </w:rPr>
        <w:t xml:space="preserve">Abstract: </w:t>
      </w:r>
      <w:r>
        <w:t>The longstanding quest for substrate generality stems from the unpredictability of single‐model optimization. Leveraging high‐throughput experimentation (HTE), we present a practical multi‐substrate screening strategy for the general asymmetric mono‐reduction of 1,2‐dicarbonyls. Quantitative</w:t>
      </w:r>
      <w:r>
        <w:rPr>
          <w:vertAlign w:val="subscript"/>
        </w:rPr>
        <w:t>1</w:t>
      </w:r>
      <w:r>
        <w:t>H NMR spectroscopy combined with simultaneous chiral analysis by</w:t>
      </w:r>
      <w:r>
        <w:rPr>
          <w:vertAlign w:val="subscript"/>
        </w:rPr>
        <w:t>19</w:t>
      </w:r>
      <w:r>
        <w:t>F NMR for pooled crude mixtures accelerated the workflow eightfold. Robust screening of 31 chiral oxazaborolidinium ion (COBI) variants across eight substrates tackled even ethyl/methyl differentiation. HTE data were utilized in a machine learning (ML) model with CGR (Condensed Graphs of Reaction)‐based descriptors, identifying catalysts for target substrates without quantum chemical calculations. The ARMS (Automated Reaction Mapping for various Substituents) system was introduced to streamline SMILES (Simplified Molecular Input Line Entry System) preprocessing for multi‐substrate datasets. The resulting chiral</w:t>
      </w:r>
      <w:r>
        <w:t xml:space="preserve"> </w:t>
      </w:r>
      <w:r>
        <w:t>α</w:t>
      </w:r>
      <w:r>
        <w:t xml:space="preserve"> </w:t>
      </w:r>
      <w:r>
        <w:t>‐silyloxy ketones, obtained in excellent yields (up to &amp;gt;99%) and selectivities (up to &amp;gt;99% ee, &amp;gt;20:1 r.r.), could be readily transformed into high‐value compounds, such as (</w:t>
      </w:r>
      <w:r>
        <w:t xml:space="preserve"> </w:t>
      </w:r>
      <w:r>
        <w:t>S</w:t>
      </w:r>
      <w:r>
        <w:t xml:space="preserve"> </w:t>
      </w:r>
      <w:r>
        <w:t>)‐bupropion.</w:t>
      </w:r>
    </w:p>
    <w:p>
      <w:pPr>
        <w:spacing w:before="120" w:after="120"/>
      </w:pPr>
      <w:r>
        <w:rPr>
          <w:sz w:val="18"/>
        </w:rPr>
        <w:t>——————————————————————————————————————————————————————————————————————</w:t>
      </w:r>
    </w:p>
    <w:p>
      <w:pPr>
        <w:spacing w:before="160" w:after="80" w:line="240" w:lineRule="auto"/>
      </w:pPr>
      <w:r>
        <w:rPr>
          <w:b/>
        </w:rPr>
        <w:t xml:space="preserve">[561] </w:t>
      </w:r>
      <w:hyperlink r:id="rId993">
        <w:r>
          <w:rPr>
            <w:color w:val="1155CC"/>
            <w:u w:val="single"/>
          </w:rPr>
          <w:t>Charge‐Spin‐Orbit Modulated Carbon‐Encapsulated FeP/Fe3O4 Heterojunctions for Ultrafast and Stable Conversion of Low‐Concentration Nitrate to Ammonia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94">
        <w:r>
          <w:rPr>
            <w:color w:val="1155CC"/>
            <w:u w:val="single"/>
          </w:rPr>
          <w:t>10.1002/anie.202519571</w:t>
        </w:r>
      </w:hyperlink>
    </w:p>
    <w:p>
      <w:pPr>
        <w:spacing w:before="0" w:after="120"/>
      </w:pPr>
      <w:r>
        <w:rPr>
          <w:b/>
        </w:rPr>
        <w:t xml:space="preserve">Notes: </w:t>
      </w:r>
      <w:r>
        <w:t>abstract_source=crossref</w:t>
      </w:r>
    </w:p>
    <w:p>
      <w:pPr>
        <w:spacing w:before="0" w:after="200" w:lineRule="auto" w:line="276"/>
      </w:pPr>
      <w:r>
        <w:rPr>
          <w:b/>
        </w:rPr>
        <w:t xml:space="preserve">Abstract: </w:t>
      </w:r>
      <w:r>
        <w:t>Electrocatalytic nitrate reduction reaction offers an effective route for ammonia synthesis and actual wastewater treatment. Despite some important achievements, the progress is still low than expected, especially in low‐concentration nitrate, mostly because of slow hydrogenation kinetics and interfering substances. In this work, we presented that, by engineering spin orbital orientation, a carbon‐encapsulated FeP/Fe</w:t>
      </w:r>
      <w:r>
        <w:rPr>
          <w:vertAlign w:val="subscript"/>
        </w:rPr>
        <w:t>3</w:t>
      </w:r>
      <w:r>
        <w:t>O</w:t>
      </w:r>
      <w:r>
        <w:rPr>
          <w:vertAlign w:val="subscript"/>
        </w:rPr>
        <w:t>4</w:t>
      </w:r>
      <w:r>
        <w:t>heterojunctions (FeP/Fe</w:t>
      </w:r>
      <w:r>
        <w:rPr>
          <w:vertAlign w:val="subscript"/>
        </w:rPr>
        <w:t>3</w:t>
      </w:r>
      <w:r>
        <w:t>O</w:t>
      </w:r>
      <w:r>
        <w:rPr>
          <w:vertAlign w:val="subscript"/>
        </w:rPr>
        <w:t>4</w:t>
      </w:r>
      <w:r>
        <w:t>@C) enabled ultrafast and stable NH</w:t>
      </w:r>
      <w:r>
        <w:rPr>
          <w:vertAlign w:val="subscript"/>
        </w:rPr>
        <w:t>3</w:t>
      </w:r>
      <w:r>
        <w:t>electrosynthesis from low‐concentration nitrate. In‐situ characterization and theoretical calculation confirmed that FeP/Fe</w:t>
      </w:r>
      <w:r>
        <w:rPr>
          <w:vertAlign w:val="subscript"/>
        </w:rPr>
        <w:t>3</w:t>
      </w:r>
      <w:r>
        <w:t>O</w:t>
      </w:r>
      <w:r>
        <w:rPr>
          <w:vertAlign w:val="subscript"/>
        </w:rPr>
        <w:t>4</w:t>
      </w:r>
      <w:r>
        <w:t>heterojunctions induced spin orbit splitting of Fe, resulting in electron transition from low spin to high spin. The resulted non‐degenerate orbitals caused the energy levels shift up and guided the electron migration from FeP to Fe</w:t>
      </w:r>
      <w:r>
        <w:rPr>
          <w:vertAlign w:val="subscript"/>
        </w:rPr>
        <w:t>3</w:t>
      </w:r>
      <w:r>
        <w:t>O</w:t>
      </w:r>
      <w:r>
        <w:rPr>
          <w:vertAlign w:val="subscript"/>
        </w:rPr>
        <w:t>4</w:t>
      </w:r>
      <w:r>
        <w:t>, which thus activated additional 3d orbital electron states. This spin orbital orientation further optimized the chemisorption properties of nitrogen‐oxygen intermediates and H* spillover, thus accelerating hydrogenation kinetics for ultrafast NH</w:t>
      </w:r>
      <w:r>
        <w:rPr>
          <w:vertAlign w:val="subscript"/>
        </w:rPr>
        <w:t>3</w:t>
      </w:r>
      <w:r>
        <w:t>electrosynthesis. Meanwhile, FeP/Fe</w:t>
      </w:r>
      <w:r>
        <w:rPr>
          <w:vertAlign w:val="subscript"/>
        </w:rPr>
        <w:t>3</w:t>
      </w:r>
      <w:r>
        <w:t>O</w:t>
      </w:r>
      <w:r>
        <w:rPr>
          <w:vertAlign w:val="subscript"/>
        </w:rPr>
        <w:t>4</w:t>
      </w:r>
      <w:r>
        <w:t>@C electrocatalyst alleviated the phosphate poisoning of active metal sites during industrial wastewater treatment, demonstrating excellent anti‐interference capability and environmental sustainability for real application. This work by modulating the “charge‐spin‐orbit” structure of active sites provided a new strategy for rational design of high‐performance electrocatalysts for various electrocatalytic reactions.</w:t>
      </w:r>
    </w:p>
    <w:p>
      <w:pPr>
        <w:spacing w:before="120" w:after="120"/>
      </w:pPr>
      <w:r>
        <w:rPr>
          <w:sz w:val="18"/>
        </w:rPr>
        <w:t>——————————————————————————————————————————————————————————————————————</w:t>
      </w:r>
    </w:p>
    <w:p>
      <w:pPr>
        <w:spacing w:before="160" w:after="80" w:line="240" w:lineRule="auto"/>
      </w:pPr>
      <w:r>
        <w:rPr>
          <w:b/>
        </w:rPr>
        <w:t xml:space="preserve">[562] </w:t>
      </w:r>
      <w:hyperlink r:id="rId995">
        <w:r>
          <w:rPr>
            <w:color w:val="1155CC"/>
            <w:u w:val="single"/>
          </w:rPr>
          <w:t>Chiral Boron–Formazanates as a Multifunctional NIR Chiroptical Platform: Modular Synthesis, Photothermal Conversion, and Reversible Acid–Base Chiroptical Switching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96">
        <w:r>
          <w:rPr>
            <w:color w:val="1155CC"/>
            <w:u w:val="single"/>
          </w:rPr>
          <w:t>10.1002/anie.202519577</w:t>
        </w:r>
      </w:hyperlink>
    </w:p>
    <w:p>
      <w:pPr>
        <w:spacing w:before="0" w:after="120"/>
      </w:pPr>
      <w:r>
        <w:rPr>
          <w:b/>
        </w:rPr>
        <w:t xml:space="preserve">Notes: </w:t>
      </w:r>
      <w:r>
        <w:t>abstract_source=crossref</w:t>
      </w:r>
    </w:p>
    <w:p>
      <w:pPr>
        <w:spacing w:before="0" w:after="200" w:lineRule="auto" w:line="276"/>
      </w:pPr>
      <w:r>
        <w:rPr>
          <w:b/>
        </w:rPr>
        <w:t xml:space="preserve">Abstract: </w:t>
      </w:r>
      <w:r>
        <w:t>Chiral organic materials with near‐infrared (NIR) optical activity are highly sought after for advanced photonic and optoelectronic applications but remain rare. Here, we report two complementary types of chiral boron–formazanates: 1) mono‐formazanates bearing 1,1′‐bi‐2‐naphthol (BINOL)‐derived chiral ligands at boron, and 2) bis‐formazanates with embedded chiral backbones, both prepared in enantiopure form (</w:t>
      </w:r>
      <w:r>
        <w:t xml:space="preserve"> </w:t>
      </w:r>
      <w:r>
        <w:t>ee</w:t>
      </w:r>
      <w:r>
        <w:t xml:space="preserve"> </w:t>
      </w:r>
      <w:r>
        <w:t>&amp;gt; 95%) via modular synthetic routes without chiral resolution. To our knowledge, these represent the first reported examples of optically pure formazanates. This enables direct evaluation of their intrinsic optical and chiroptical properties, which include broadband NIR circular dichroism (CD) activity and, in selected cases, NIR‐II fluorescence, aggregation‐induced emission (AIE), NIR circularly polarized luminescence (CPL) activity beyond 800 nm, and fully reversible acid–base chiroptical switching. Mono‐formazanates show high light‐to‐heat conversion and serve as efficient photothermal catalysts for red‐light‐mediated polymerization, while bis‐formazanates exhibit amplified chiroptical responses via exciton‐like coupling. TD‐DFT calculations unveiled the mechanistic aspects of broadband Cotton effects in mono‐formazanates, exciton‐like coupling in bis‐formazanates, and protonation‐induced inversion of chiroptical signals. This work establishes chiral formazanates as a versatile molecular platform for next‐generation NIR‐active chiroptical materials with potential utility in bioimaging, sensing, photothermal therapy, and responsive chiroptical devices.</w:t>
      </w:r>
    </w:p>
    <w:p>
      <w:pPr>
        <w:spacing w:before="120" w:after="120"/>
      </w:pPr>
      <w:r>
        <w:rPr>
          <w:sz w:val="18"/>
        </w:rPr>
        <w:t>——————————————————————————————————————————————————————————————————————</w:t>
      </w:r>
    </w:p>
    <w:p>
      <w:pPr>
        <w:spacing w:before="160" w:after="80" w:line="240" w:lineRule="auto"/>
      </w:pPr>
      <w:r>
        <w:rPr>
          <w:b/>
        </w:rPr>
        <w:t xml:space="preserve">[563] </w:t>
      </w:r>
      <w:hyperlink r:id="rId997">
        <w:r>
          <w:rPr>
            <w:color w:val="1155CC"/>
            <w:u w:val="single"/>
          </w:rPr>
          <w:t>Modulating Adsorption Orientation of Multi‐Site Ligand Enables Perovskite/Silicon Tandem Solar Cells with Voltage Exceeding 2 V</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98">
        <w:r>
          <w:rPr>
            <w:color w:val="1155CC"/>
            <w:u w:val="single"/>
          </w:rPr>
          <w:t>10.1002/anie.202519659</w:t>
        </w:r>
      </w:hyperlink>
    </w:p>
    <w:p>
      <w:pPr>
        <w:spacing w:before="0" w:after="120"/>
      </w:pPr>
      <w:r>
        <w:rPr>
          <w:b/>
        </w:rPr>
        <w:t xml:space="preserve">Notes: </w:t>
      </w:r>
      <w:r>
        <w:t>abstract_source=crossref</w:t>
      </w:r>
    </w:p>
    <w:p>
      <w:pPr>
        <w:spacing w:before="0" w:after="200" w:lineRule="auto" w:line="276"/>
      </w:pPr>
      <w:r>
        <w:rPr>
          <w:b/>
        </w:rPr>
        <w:t xml:space="preserve">Abstract: </w:t>
      </w:r>
      <w:r>
        <w:t>Rational molecular design at the perovskite/charge transport layer interface offers an effective approach for suppressing non‐radiative recombination in perovskite/silicon tandem solar cells (TSC). However, the design involves a tradeoff between defect passivation and charge transport, as multi‐site passivation molecules always introduce a resistive barrier. Herein, we employ a triple‐site planar molecule, 3‐amino‐4‐chlorobenzenesulfonic acid (3A4Cl‐BZS), as a multifunctional modifier that can concurrently suppress non‐radiative recombination and enhance electron transfer. Specifically, functionalizing the benzene ring with sulfonic acid (‐SO</w:t>
      </w:r>
      <w:r>
        <w:rPr>
          <w:vertAlign w:val="subscript"/>
        </w:rPr>
        <w:t>3</w:t>
      </w:r>
      <w:r>
        <w:t>H) and amino (‐NH</w:t>
      </w:r>
      <w:r>
        <w:rPr>
          <w:vertAlign w:val="subscript"/>
        </w:rPr>
        <w:t>2</w:t>
      </w:r>
      <w:r>
        <w:t>) groups enhances the passivation of undercoordinated Pb</w:t>
      </w:r>
      <w:r>
        <w:t xml:space="preserve"> </w:t>
      </w:r>
      <w:r>
        <w:t>2+</w:t>
      </w:r>
      <w:r>
        <w:t xml:space="preserve"> </w:t>
      </w:r>
      <w:r>
        <w:t>and I</w:t>
      </w:r>
      <w:r>
        <w:t xml:space="preserve"> </w:t>
      </w:r>
      <w:r>
        <w:t>−</w:t>
      </w:r>
      <w:r>
        <w:t>defects via coordination and hydrogen bonding, respectively, and incorporating a chlorine group promotes the parallel adsorption on the perovskite surface. The parallel configuration, rather than vertical orientation, minimizes the distance between the active site and the perovskite defects, significantly boosting passivation efficacy and mitigating the resistive barrier. Consequently, 1.67 eV bandgap perovskite solar cells achieve a power conversion efficiency (PCE) of 23.55%. Furthermore, integrating this cell into perovskite/silicon TSC yields a high voltage of over 2 volts and a PCE of 31.42% adopting a planar silicon sub‐cell. Remarkably, encapsulated tandem devices retain over 80% of their initial PCE after 1960 h of maximum power point tracking under 1‐sun illumination at 25 °C.</w:t>
      </w:r>
    </w:p>
    <w:p>
      <w:pPr>
        <w:spacing w:before="120" w:after="120"/>
      </w:pPr>
      <w:r>
        <w:rPr>
          <w:sz w:val="18"/>
        </w:rPr>
        <w:t>——————————————————————————————————————————————————————————————————————</w:t>
      </w:r>
    </w:p>
    <w:p>
      <w:pPr>
        <w:spacing w:before="160" w:after="80" w:line="240" w:lineRule="auto"/>
      </w:pPr>
      <w:r>
        <w:rPr>
          <w:b/>
        </w:rPr>
        <w:t xml:space="preserve">[564] </w:t>
      </w:r>
      <w:hyperlink r:id="rId999">
        <w:r>
          <w:rPr>
            <w:color w:val="1155CC"/>
            <w:u w:val="single"/>
          </w:rPr>
          <w:t>Symmetry‐Breaking in Carbon Nanohoops Enables Room‐Temperature Ternary Single‐Molecule Switching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0">
        <w:r>
          <w:rPr>
            <w:color w:val="1155CC"/>
            <w:u w:val="single"/>
          </w:rPr>
          <w:t>10.1002/anie.202519695</w:t>
        </w:r>
      </w:hyperlink>
    </w:p>
    <w:p>
      <w:pPr>
        <w:spacing w:before="0" w:after="120"/>
      </w:pPr>
      <w:r>
        <w:rPr>
          <w:b/>
        </w:rPr>
        <w:t xml:space="preserve">Notes: </w:t>
      </w:r>
      <w:r>
        <w:t>abstract_source=crossref</w:t>
      </w:r>
    </w:p>
    <w:p>
      <w:pPr>
        <w:spacing w:before="0" w:after="200" w:lineRule="auto" w:line="276"/>
      </w:pPr>
      <w:r>
        <w:rPr>
          <w:b/>
        </w:rPr>
        <w:t xml:space="preserve">Abstract: </w:t>
      </w:r>
      <w:r>
        <w:t>Single‐molecule electronics offers chemically encoded routes to ultra‐dense information processing, yet room‐temperature operation is often limited to binary conductance states due to thermal broadening and electronic averaging. Here we demonstrate robust ternary switching at room temperature using symmetry‐engineered carbon nanohoops. Embedding a pyrene unit into the [12]cycloparaphenylene backbone via a symmetry‐breaking 1,6‐linkage disrupts the electronic equivalence of</w:t>
      </w:r>
      <w:r>
        <w:t xml:space="preserve"> </w:t>
      </w:r>
      <w:r>
        <w:t>π</w:t>
      </w:r>
      <w:r>
        <w:t xml:space="preserve"> </w:t>
      </w:r>
      <w:r>
        <w:t>–segments and localizes frontier orbitals. Under controlled mechanical elongation in single–molecule junctions, the molecule exhibits three well‐resolved conductance plateaus, each separated by ∼one order of magnitude, affording unambiguous and reproducible readout. First‐principles transport calculations reveal that symmetry‐breaking–induced orbital localization discretizes coherent tunneling pathways, accounting for the observed plateaus. These findings establish molecular symmetry control as a general design principle for room‐temperature multistate charge transport in conjugated macrocycles, opening a pathway to high‐density single‐molecule logic architectures.</w:t>
      </w:r>
    </w:p>
    <w:p>
      <w:pPr>
        <w:spacing w:before="120" w:after="120"/>
      </w:pPr>
      <w:r>
        <w:rPr>
          <w:sz w:val="18"/>
        </w:rPr>
        <w:t>——————————————————————————————————————————————————————————————————————</w:t>
      </w:r>
    </w:p>
    <w:p>
      <w:pPr>
        <w:spacing w:before="160" w:after="80" w:line="240" w:lineRule="auto"/>
      </w:pPr>
      <w:r>
        <w:rPr>
          <w:b/>
        </w:rPr>
        <w:t xml:space="preserve">[565] </w:t>
      </w:r>
      <w:hyperlink r:id="rId1001">
        <w:r>
          <w:rPr>
            <w:color w:val="1155CC"/>
            <w:u w:val="single"/>
          </w:rPr>
          <w:t>Beyond Local Coordination: How Global Structure Engineers the Selectivity of Single Atom Catalysts for CO2 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2">
        <w:r>
          <w:rPr>
            <w:color w:val="1155CC"/>
            <w:u w:val="single"/>
          </w:rPr>
          <w:t>10.1002/anie.202519826</w:t>
        </w:r>
      </w:hyperlink>
    </w:p>
    <w:p>
      <w:pPr>
        <w:spacing w:before="0" w:after="120"/>
      </w:pPr>
      <w:r>
        <w:rPr>
          <w:b/>
        </w:rPr>
        <w:t xml:space="preserve">Notes: </w:t>
      </w:r>
      <w:r>
        <w:t>abstract_source=crossref</w:t>
      </w:r>
    </w:p>
    <w:p>
      <w:pPr>
        <w:spacing w:before="0" w:after="200" w:lineRule="auto" w:line="276"/>
      </w:pPr>
      <w:r>
        <w:rPr>
          <w:b/>
        </w:rPr>
        <w:t xml:space="preserve">Abstract: </w:t>
      </w:r>
      <w:r>
        <w:t>The local structure of the active center is generally believed to determine the catalytic performance, but this rule fails in many situations. One of the representative cases is carbon‐based single‐atom catalysts (SACs), where Ndoped carbon (NC) and phthalocyanine (Pc) substrates usually endow the same active center (MN</w:t>
      </w:r>
      <w:r>
        <w:rPr>
          <w:vertAlign w:val="subscript"/>
        </w:rPr>
        <w:t>4</w:t>
      </w:r>
      <w:r>
        <w:t>) with different performance. Herein, we unveiled an intrinsic global–local interplay mechanism, in which global structural engineering, coupled with local‐site sensitivity, determines the catalytic performance of SACs. Specifically, the similar local active sites yield comparable</w:t>
      </w:r>
      <w:r>
        <w:t xml:space="preserve"> </w:t>
      </w:r>
      <w:r>
        <w:t>d</w:t>
      </w:r>
      <w:r>
        <w:t xml:space="preserve"> </w:t>
      </w:r>
      <w:r>
        <w:t>‐band centers and reaction thermodynamics, while the distinct global structures induce markedly different potentials of zero charge (PZC). This disparity leads to the varying electron accommodation capacity and interfacial water orientation, altering the reaction energetics. Moreover, the degree of this global effect critically depends on the sensitivity of the local charge of the active site to the global structural variation. As a result, Co SACs, with greater sensitivity than Fe and Ni SACs, exhibit completely opposite selectivity between CoNC and CoPc. Our work transcends the conventional local‐site paradigm and highlights the important role of global structure, in concert with local sensitivity, in governing catalytic performance.</w:t>
      </w:r>
    </w:p>
    <w:p>
      <w:pPr>
        <w:spacing w:before="120" w:after="120"/>
      </w:pPr>
      <w:r>
        <w:rPr>
          <w:sz w:val="18"/>
        </w:rPr>
        <w:t>——————————————————————————————————————————————————————————————————————</w:t>
      </w:r>
    </w:p>
    <w:p>
      <w:pPr>
        <w:spacing w:before="160" w:after="80" w:line="240" w:lineRule="auto"/>
      </w:pPr>
      <w:r>
        <w:rPr>
          <w:b/>
        </w:rPr>
        <w:t xml:space="preserve">[566] </w:t>
      </w:r>
      <w:hyperlink r:id="rId1003">
        <w:r>
          <w:rPr>
            <w:color w:val="1155CC"/>
            <w:u w:val="single"/>
          </w:rPr>
          <w:t>Square‐Planar Ruthenium Alkylidyne Complexes Undergo Stepwise Rather Than Concerted [2 + 2] Cycloadditions with Alkynes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4">
        <w:r>
          <w:rPr>
            <w:color w:val="1155CC"/>
            <w:u w:val="single"/>
          </w:rPr>
          <w:t>10.1002/anie.202519905</w:t>
        </w:r>
      </w:hyperlink>
    </w:p>
    <w:p>
      <w:pPr>
        <w:spacing w:before="0" w:after="120"/>
      </w:pPr>
      <w:r>
        <w:rPr>
          <w:b/>
        </w:rPr>
        <w:t xml:space="preserve">Notes: </w:t>
      </w:r>
      <w:r>
        <w:t>abstract_source=crossref</w:t>
      </w:r>
    </w:p>
    <w:p>
      <w:pPr>
        <w:spacing w:before="0" w:after="200" w:lineRule="auto" w:line="276"/>
      </w:pPr>
      <w:r>
        <w:rPr>
          <w:b/>
        </w:rPr>
        <w:t xml:space="preserve">Abstract: </w:t>
      </w:r>
      <w:r>
        <w:t>A new entry into square‐planar, formally d</w:t>
      </w:r>
      <w:r>
        <w:rPr>
          <w:vertAlign w:val="subscript"/>
        </w:rPr>
        <w:t>4</w:t>
      </w:r>
      <w:r>
        <w:t>‐configured ruthenium alkylidyne complexes is disclosed, using</w:t>
      </w:r>
      <w:r>
        <w:t xml:space="preserve"> </w:t>
      </w:r>
      <w:r>
        <w:t>p</w:t>
      </w:r>
      <w:r>
        <w:t xml:space="preserve"> </w:t>
      </w:r>
      <w:r>
        <w:t>‐tolyl(trimethylsilyl)diazomethane as a convenient and safe alkylidyne synthon. The method furnished complex</w:t>
      </w:r>
      <w:r>
        <w:rPr>
          <w:vertAlign w:val="subscript"/>
        </w:rPr>
        <w:t>12</w:t>
      </w:r>
      <w:r>
        <w:t>supported by an electron‐rich PNP‐pincer ligand, which undergoes remarkably facile [2 + 2] cycloaddition with electron‐rich, electron‐deficient, and strained alkynes; these reactions represent the first examples of metallacyclobutadiene formation by a d</w:t>
      </w:r>
      <w:r>
        <w:rPr>
          <w:vertAlign w:val="subscript"/>
        </w:rPr>
        <w:t>4</w:t>
      </w:r>
      <w:r>
        <w:t>‐configured transition metal alkylidyne complex. Strikingly, however, the cycloadditions proceed by a stepwise mechanism, which stands in marked contrast to the concerted pathway entertained by all prototypical d</w:t>
      </w:r>
      <w:r>
        <w:rPr>
          <w:vertAlign w:val="subscript"/>
        </w:rPr>
        <w:t>0</w:t>
      </w:r>
      <w:r>
        <w:t>and d</w:t>
      </w:r>
      <w:r>
        <w:rPr>
          <w:vertAlign w:val="subscript"/>
        </w:rPr>
        <w:t>2</w:t>
      </w:r>
      <w:r>
        <w:t>Schrock‐type alkylidynes, including the molybdenum, tungsten, and rhenium complexes that currently dominate the field of alkyne metathesis. In essence, it is the non‐bonding lone pair forming the largely metal‐centered HOMO of significant d</w:t>
      </w:r>
      <w:r>
        <w:t xml:space="preserve"> </w:t>
      </w:r>
      <w:r>
        <w:t>z2</w:t>
      </w:r>
      <w:r>
        <w:t xml:space="preserve"> </w:t>
      </w:r>
      <w:r>
        <w:t>character that accounts for this unorthodox behavior. The newly gained insight into this key reactivity determinant also allows the few other known reactions of formally d</w:t>
      </w:r>
      <w:r>
        <w:rPr>
          <w:vertAlign w:val="subscript"/>
        </w:rPr>
        <w:t>4</w:t>
      </w:r>
      <w:r>
        <w:t>‐configured alkylidene complexes previously described in the literature to be explained and will empower further explorations of their chemistry.</w:t>
      </w:r>
    </w:p>
    <w:p>
      <w:pPr>
        <w:spacing w:before="120" w:after="120"/>
      </w:pPr>
      <w:r>
        <w:rPr>
          <w:sz w:val="18"/>
        </w:rPr>
        <w:t>——————————————————————————————————————————————————————————————————————</w:t>
      </w:r>
    </w:p>
    <w:p>
      <w:pPr>
        <w:spacing w:before="160" w:after="80" w:line="240" w:lineRule="auto"/>
      </w:pPr>
      <w:r>
        <w:rPr>
          <w:b/>
        </w:rPr>
        <w:t xml:space="preserve">[567] </w:t>
      </w:r>
      <w:hyperlink r:id="rId1005">
        <w:r>
          <w:rPr>
            <w:color w:val="1155CC"/>
            <w:u w:val="single"/>
          </w:rPr>
          <w:t>Phase Engineering of Mg–Pt Intermetallic Hydrogenation Catalysts for CO Poisoning Resistance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6">
        <w:r>
          <w:rPr>
            <w:color w:val="1155CC"/>
            <w:u w:val="single"/>
          </w:rPr>
          <w:t>10.1002/anie.202516790</w:t>
        </w:r>
      </w:hyperlink>
    </w:p>
    <w:p>
      <w:pPr>
        <w:spacing w:before="0" w:after="120"/>
      </w:pPr>
      <w:r>
        <w:rPr>
          <w:b/>
        </w:rPr>
        <w:t xml:space="preserve">Notes: </w:t>
      </w:r>
      <w:r>
        <w:t>abstract_source=crossref</w:t>
      </w:r>
    </w:p>
    <w:p>
      <w:pPr>
        <w:spacing w:before="0" w:after="200" w:lineRule="auto" w:line="276"/>
      </w:pPr>
      <w:r>
        <w:rPr>
          <w:b/>
        </w:rPr>
        <w:t xml:space="preserve">Abstract: </w:t>
      </w:r>
      <w:r>
        <w:t>Platinum group metals (PGMs) are efficient catalysts for industrial hydrogenation reactions but are extremely sensitive to CO (ppm levels), making the direct utilization of industrial crude hydrogen containing CO infeasible. Herein, we report the phase engineering of Mg–Pt intermetallic catalysts achieved through the precise control of reactive metal–support interactions (RMSIs) between Pt nanoparticles (NPs) and Mg supports. By manipulating Pt crystallinity, we synthesized two distinct phases, Mg</w:t>
      </w:r>
      <w:r>
        <w:rPr>
          <w:vertAlign w:val="subscript"/>
        </w:rPr>
        <w:t>29</w:t>
      </w:r>
      <w:r>
        <w:t>Pt</w:t>
      </w:r>
      <w:r>
        <w:rPr>
          <w:vertAlign w:val="subscript"/>
        </w:rPr>
        <w:t>4</w:t>
      </w:r>
      <w:r>
        <w:t>and Mg</w:t>
      </w:r>
      <w:r>
        <w:rPr>
          <w:vertAlign w:val="subscript"/>
        </w:rPr>
        <w:t>3</w:t>
      </w:r>
      <w:r>
        <w:t>Pt. In the presence of CO, Mg</w:t>
      </w:r>
      <w:r>
        <w:rPr>
          <w:vertAlign w:val="subscript"/>
        </w:rPr>
        <w:t>29</w:t>
      </w:r>
      <w:r>
        <w:t>Pt</w:t>
      </w:r>
      <w:r>
        <w:rPr>
          <w:vertAlign w:val="subscript"/>
        </w:rPr>
        <w:t>4</w:t>
      </w:r>
      <w:r>
        <w:t>demonstrates remarkable activity for selective hydrogenation reactions, contrasting sharply with the almost complete deactivation of metallic Pt. Notably, Mg</w:t>
      </w:r>
      <w:r>
        <w:rPr>
          <w:vertAlign w:val="subscript"/>
        </w:rPr>
        <w:t>29</w:t>
      </w:r>
      <w:r>
        <w:t>Pt</w:t>
      </w:r>
      <w:r>
        <w:rPr>
          <w:vertAlign w:val="subscript"/>
        </w:rPr>
        <w:t>4</w:t>
      </w:r>
      <w:r>
        <w:t>retains ∼88% of its original activity when exposed to 0.2 vol% CO, a typical industrial crude hydrogen concentration, outperforming state‐of‐the‐art Pt catalysts. This superior CO tolerance arises from its electron‐rich Pt sites and low d‐band center, which suppress electron donation from CO 5σ orbitals to Pt 5d orbitals while hindering electron back‐donation from Pt d orbitals to CO 2π* antibonding orbitals. Moreover, Mg</w:t>
      </w:r>
      <w:r>
        <w:rPr>
          <w:vertAlign w:val="subscript"/>
        </w:rPr>
        <w:t>29</w:t>
      </w:r>
      <w:r>
        <w:t>Pt</w:t>
      </w:r>
      <w:r>
        <w:rPr>
          <w:vertAlign w:val="subscript"/>
        </w:rPr>
        <w:t>4</w:t>
      </w:r>
      <w:r>
        <w:t>also facilitates the hydrogenation of diverse functional groups, including alkynes, aldehydes, and nitroarenes, while maintaining excellent CO tolerance. This work demonstrates that manipulating the electronic properties of Pt single‐atom sites can alter CO adsorption behavior, enabling the design of efficient Pt catalysts for anti‐CO poisoning.</w:t>
      </w:r>
    </w:p>
    <w:p>
      <w:pPr>
        <w:spacing w:before="120" w:after="120"/>
      </w:pPr>
      <w:r>
        <w:rPr>
          <w:sz w:val="18"/>
        </w:rPr>
        <w:t>——————————————————————————————————————————————————————————————————————</w:t>
      </w:r>
    </w:p>
    <w:p>
      <w:pPr>
        <w:spacing w:before="160" w:after="80" w:line="240" w:lineRule="auto"/>
      </w:pPr>
      <w:r>
        <w:rPr>
          <w:b/>
        </w:rPr>
        <w:t xml:space="preserve">[568] </w:t>
      </w:r>
      <w:hyperlink r:id="rId1007">
        <w:r>
          <w:rPr>
            <w:color w:val="1155CC"/>
            <w:u w:val="single"/>
          </w:rPr>
          <w:t>Reaction of Blatter and Verdazyl Radicals with Arynes: Synthesis and Investigation of N‐Chiral, Antiaromatic Triazines, and Tetrazinones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8">
        <w:r>
          <w:rPr>
            <w:color w:val="1155CC"/>
            <w:u w:val="single"/>
          </w:rPr>
          <w:t>10.1002/anie.202520021</w:t>
        </w:r>
      </w:hyperlink>
    </w:p>
    <w:p>
      <w:pPr>
        <w:spacing w:before="0" w:after="120"/>
      </w:pPr>
      <w:r>
        <w:rPr>
          <w:b/>
        </w:rPr>
        <w:t xml:space="preserve">Notes: </w:t>
      </w:r>
      <w:r>
        <w:t>abstract_source=crossref</w:t>
      </w:r>
    </w:p>
    <w:p>
      <w:pPr>
        <w:spacing w:before="0" w:after="200" w:lineRule="auto" w:line="276"/>
      </w:pPr>
      <w:r>
        <w:rPr>
          <w:b/>
        </w:rPr>
        <w:t xml:space="preserve">Abstract: </w:t>
      </w:r>
      <w:r>
        <w:t>Arynes are versatile building blocks in organic chemistry. In contrast to their extensively examined ionic reactivity, radical reactions with arynes remain scarcely explored. In this study, we present a novel radical annulation reaction of stable Blatter and verdazyl radicals with arynes, which offers access to polycyclic triazines and tetrazinones. The N2‐ and N4‐annulated triazines derived from Blatter radicals exhibit distinct bending modes of the 8π‐electron triazine ring, yet retain a certain degree of antiaromaticity despite their nonplanar geometries, as revealed by NICS and ACID calculations. Notably, the N2‐annulated triazines feature a strongly pyramidalized nitrogen atom with N‐chirality. Optical resolution yielded pure enantiomers, from which the configurational stability was assessed to determine the N‐inversion barrier. Furthermore, one of the N2‐annulated triazine derivatives displayed intense fluorescence, highlighting its potential as a scaffold for light‐emitting materials, whereas H‐cell cycling studies of the N4‐annulated triazine derivatives demonstrated long‐term stability of the redox process underscoring their utility for battery applications.</w:t>
      </w:r>
    </w:p>
    <w:p>
      <w:pPr>
        <w:spacing w:before="120" w:after="120"/>
      </w:pPr>
      <w:r>
        <w:rPr>
          <w:sz w:val="18"/>
        </w:rPr>
        <w:t>——————————————————————————————————————————————————————————————————————</w:t>
      </w:r>
    </w:p>
    <w:p>
      <w:pPr>
        <w:spacing w:before="160" w:after="80" w:line="240" w:lineRule="auto"/>
      </w:pPr>
      <w:r>
        <w:rPr>
          <w:b/>
        </w:rPr>
        <w:t xml:space="preserve">[569] </w:t>
      </w:r>
      <w:hyperlink r:id="rId1009">
        <w:r>
          <w:rPr>
            <w:color w:val="1155CC"/>
            <w:u w:val="single"/>
          </w:rPr>
          <w:t>A Molecular Machine Directs the Synthesis of a Rotaxane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10">
        <w:r>
          <w:rPr>
            <w:color w:val="1155CC"/>
            <w:u w:val="single"/>
          </w:rPr>
          <w:t>10.1002/anie.202520085</w:t>
        </w:r>
      </w:hyperlink>
    </w:p>
    <w:p>
      <w:pPr>
        <w:spacing w:before="0" w:after="120"/>
      </w:pPr>
      <w:r>
        <w:rPr>
          <w:b/>
        </w:rPr>
        <w:t xml:space="preserve">Notes: </w:t>
      </w:r>
      <w:r>
        <w:t>abstract_source=crossref</w:t>
      </w:r>
    </w:p>
    <w:p>
      <w:pPr>
        <w:spacing w:before="0" w:after="200" w:lineRule="auto" w:line="276"/>
      </w:pPr>
      <w:r>
        <w:rPr>
          <w:b/>
        </w:rPr>
        <w:t xml:space="preserve">Abstract: </w:t>
      </w:r>
      <w:r>
        <w:t>Preorganization by assembly or templating strategies is frequently used in the synthesis of rotaxanes. While these approaches have led to complex interlocked molecules, they are often limited by strict compositional requirements of templates and starting materials. Here, we use a molecular machine to direct the synthesis of a rotaxane by active shaping of starting materials through mechanical winding. Light induced rotation of a molecular motor actively winds a molecular strand around an axle, forming discrete, thermodynamically disfavored crossings between these two parts. Covalent capture preserves the kinetically stable entanglements, transforming the strand into a macrocycle that is subsequently released and mechanically trapped on the axle, yielding a rotaxane. Our machine‐directed strategy pioneers a new way of synthesizing rotaxanes by active mechanical shaping of molecular building blocks, enabling access to interlocked architectures beyond the reach of traditional assembly and templating approaches.</w:t>
      </w:r>
    </w:p>
    <w:p>
      <w:pPr>
        <w:spacing w:before="120" w:after="120"/>
      </w:pPr>
      <w:r>
        <w:rPr>
          <w:sz w:val="18"/>
        </w:rPr>
        <w:t>——————————————————————————————————————————————————————————————————————</w:t>
      </w:r>
    </w:p>
    <w:p>
      <w:pPr>
        <w:spacing w:before="160" w:after="80" w:line="240" w:lineRule="auto"/>
      </w:pPr>
      <w:r>
        <w:rPr>
          <w:b/>
        </w:rPr>
        <w:t xml:space="preserve">[570] </w:t>
      </w:r>
      <w:hyperlink r:id="rId1011">
        <w:r>
          <w:rPr>
            <w:color w:val="1155CC"/>
            <w:u w:val="single"/>
          </w:rPr>
          <w:t>Nickel‐Catalyzed Asymmetric Three‐Component Reaction of Unactivated Alkyl Halides, 1,3‐Enynes and Aldehydes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12">
        <w:r>
          <w:rPr>
            <w:color w:val="1155CC"/>
            <w:u w:val="single"/>
          </w:rPr>
          <w:t>10.1002/anie.202520212</w:t>
        </w:r>
      </w:hyperlink>
    </w:p>
    <w:p>
      <w:pPr>
        <w:spacing w:before="0" w:after="120"/>
      </w:pPr>
      <w:r>
        <w:rPr>
          <w:b/>
        </w:rPr>
        <w:t xml:space="preserve">Notes: </w:t>
      </w:r>
      <w:r>
        <w:t>abstract_source=crossref</w:t>
      </w:r>
    </w:p>
    <w:p>
      <w:pPr>
        <w:spacing w:before="0" w:after="200" w:lineRule="auto" w:line="276"/>
      </w:pPr>
      <w:r>
        <w:rPr>
          <w:b/>
        </w:rPr>
        <w:t xml:space="preserve">Abstract: </w:t>
      </w:r>
      <w:r>
        <w:t>The π‐propargylnickel(II) complexes, or their resonances, the η</w:t>
      </w:r>
      <w:r>
        <w:rPr>
          <w:vertAlign w:val="subscript"/>
        </w:rPr>
        <w:t>1</w:t>
      </w:r>
      <w:r>
        <w:t>‐allenylnickel(II) ones, are typically generated from propargylic derivatives under Ni</w:t>
      </w:r>
      <w:r>
        <w:rPr>
          <w:vertAlign w:val="subscript"/>
        </w:rPr>
        <w:t>0</w:t>
      </w:r>
      <w:r>
        <w:t>catalysis, and act as versatile electrophilic partners in diverse transformations. Here, we demonstrate that η</w:t>
      </w:r>
      <w:r>
        <w:rPr>
          <w:vertAlign w:val="subscript"/>
        </w:rPr>
        <w:t>1</w:t>
      </w:r>
      <w:r>
        <w:t>‐propargylnickel(II) species can alternatively be generated from unactivated alkyl halides and 1,3‐enynes via a Ni</w:t>
      </w:r>
      <w:r>
        <w:rPr>
          <w:vertAlign w:val="subscript"/>
        </w:rPr>
        <w:t>0</w:t>
      </w:r>
      <w:r>
        <w:t>‐mediated radical alkylation of the alkene. Subsequent isomerization to η</w:t>
      </w:r>
      <w:r>
        <w:rPr>
          <w:vertAlign w:val="subscript"/>
        </w:rPr>
        <w:t>1</w:t>
      </w:r>
      <w:r>
        <w:t>‐allenylnickel(II), followed by reduction, affords η</w:t>
      </w:r>
      <w:r>
        <w:rPr>
          <w:vertAlign w:val="subscript"/>
        </w:rPr>
        <w:t>1</w:t>
      </w:r>
      <w:r>
        <w:t>‐allenylnickel(I) intermediates, which serve as reliable nucleophilic species for the stereoselective addition to aldehydes in the presence of benzoic acid. This protocol features broad substrate scope and good functional group tolerance, and nickel plays multiple roles in accomplishing a complicated Ni</w:t>
      </w:r>
      <w:r>
        <w:rPr>
          <w:vertAlign w:val="subscript"/>
        </w:rPr>
        <w:t>0</w:t>
      </w:r>
      <w:r>
        <w:t>/Ni</w:t>
      </w:r>
      <w:r>
        <w:t xml:space="preserve"> </w:t>
      </w:r>
      <w:r>
        <w:t>I</w:t>
      </w:r>
      <w:r>
        <w:t xml:space="preserve"> </w:t>
      </w:r>
      <w:r>
        <w:t>/Ni</w:t>
      </w:r>
      <w:r>
        <w:t xml:space="preserve"> </w:t>
      </w:r>
      <w:r>
        <w:t>II</w:t>
      </w:r>
      <w:r>
        <w:t xml:space="preserve"> </w:t>
      </w:r>
      <w:r>
        <w:t>/Ni</w:t>
      </w:r>
      <w:r>
        <w:t xml:space="preserve"> </w:t>
      </w:r>
      <w:r>
        <w:t>I</w:t>
      </w:r>
      <w:r>
        <w:t xml:space="preserve"> </w:t>
      </w:r>
      <w:r>
        <w:t>/Ni</w:t>
      </w:r>
      <w:r>
        <w:rPr>
          <w:vertAlign w:val="subscript"/>
        </w:rPr>
        <w:t>0</w:t>
      </w:r>
      <w:r>
        <w:t>catalytic cycle. A wide range of chiral homopropargylic alcohols, even the ones having a medium‐sized ring, are modularly furnished in fair to good yields with moderate to excellent diastereo‐ and enantioselectivity. A series of control experiments and density functional theory (DFT) calculations are conducted to illuminate the catalytic pathways and the origin of regio‐ and stereoselectivity.</w:t>
      </w:r>
    </w:p>
    <w:p>
      <w:pPr>
        <w:spacing w:before="120" w:after="120"/>
      </w:pPr>
      <w:r>
        <w:rPr>
          <w:sz w:val="18"/>
        </w:rPr>
        <w:t>——————————————————————————————————————————————————————————————————————</w:t>
      </w:r>
    </w:p>
    <w:p>
      <w:pPr>
        <w:spacing w:before="160" w:after="80" w:line="240" w:lineRule="auto"/>
      </w:pPr>
      <w:r>
        <w:rPr>
          <w:b/>
        </w:rPr>
        <w:t xml:space="preserve">[571] </w:t>
      </w:r>
      <w:hyperlink r:id="rId1013">
        <w:r>
          <w:rPr>
            <w:color w:val="1155CC"/>
            <w:u w:val="single"/>
          </w:rPr>
          <w:t>Graphitic C6N6‐Supported Dual Cu/Zn Single‐Atom Nanozyme Mimicking Allosteric Regulation for Intelligent Switching Biosensing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14">
        <w:r>
          <w:rPr>
            <w:color w:val="1155CC"/>
            <w:u w:val="single"/>
          </w:rPr>
          <w:t>10.1002/anie.202520253</w:t>
        </w:r>
      </w:hyperlink>
    </w:p>
    <w:p>
      <w:pPr>
        <w:spacing w:before="0" w:after="120"/>
      </w:pPr>
      <w:r>
        <w:rPr>
          <w:b/>
        </w:rPr>
        <w:t xml:space="preserve">Notes: </w:t>
      </w:r>
      <w:r>
        <w:t>abstract_source=crossref</w:t>
      </w:r>
    </w:p>
    <w:p>
      <w:pPr>
        <w:spacing w:before="0" w:after="200" w:lineRule="auto" w:line="276"/>
      </w:pPr>
      <w:r>
        <w:rPr>
          <w:b/>
        </w:rPr>
        <w:t xml:space="preserve">Abstract: </w:t>
      </w:r>
      <w:r>
        <w:t>Self‐adaptability is highly envisioned for artificial devices such as robots with chemical noses. To this end, seeking catalysts with reversibly switchable functions is promising but generally hampered by mismatched specific valence state of active centers for a certain type of catalytic activity. Herein, we report a graphitic C</w:t>
      </w:r>
      <w:r>
        <w:rPr>
          <w:vertAlign w:val="subscript"/>
        </w:rPr>
        <w:t>6</w:t>
      </w:r>
      <w:r>
        <w:t>N</w:t>
      </w:r>
      <w:r>
        <w:rPr>
          <w:vertAlign w:val="subscript"/>
        </w:rPr>
        <w:t>6</w:t>
      </w:r>
      <w:r>
        <w:t>‐supported dual Cu/Zn single‐atom nanozyme (Cu/Zn‐C</w:t>
      </w:r>
      <w:r>
        <w:rPr>
          <w:vertAlign w:val="subscript"/>
        </w:rPr>
        <w:t>6</w:t>
      </w:r>
      <w:r>
        <w:t>N</w:t>
      </w:r>
      <w:r>
        <w:rPr>
          <w:vertAlign w:val="subscript"/>
        </w:rPr>
        <w:t>6</w:t>
      </w:r>
      <w:r>
        <w:t>) with switchable functions triggered by light irradiation. Cu/Zn‐C</w:t>
      </w:r>
      <w:r>
        <w:rPr>
          <w:vertAlign w:val="subscript"/>
        </w:rPr>
        <w:t>6</w:t>
      </w:r>
      <w:r>
        <w:t>N</w:t>
      </w:r>
      <w:r>
        <w:rPr>
          <w:vertAlign w:val="subscript"/>
        </w:rPr>
        <w:t>6</w:t>
      </w:r>
      <w:r>
        <w:t>exhibited highly efficient distinctive superoxide dismutase (SOD)‐ and peroxidase‐like (POD) activity under dark and light, respectively. Moreover, such switch between SOD‐ and POD‐like activities were reversible by alternating dark and light irradiation with an efficiency more than 90%. The comprehensive experimental and TD‐DFT calculations disclosed that both illumination and the Cu/Zn doping ratio modulate the reduction potential (φ</w:t>
      </w:r>
      <w:r>
        <w:t xml:space="preserve"> </w:t>
      </w:r>
      <w:r>
        <w:t>red</w:t>
      </w:r>
      <w:r>
        <w:t xml:space="preserve"> </w:t>
      </w:r>
      <w:r>
        <w:t>) by altering the potential energy surface and frontier orbital energies, thereby fine‐tuning the SOD activity, making distinctive SOD‐ and POD‐like activities originated from the same active center (Cu‐N</w:t>
      </w:r>
      <w:r>
        <w:t xml:space="preserve"> </w:t>
      </w:r>
      <w:r>
        <w:t>x</w:t>
      </w:r>
      <w:r>
        <w:t xml:space="preserve"> </w:t>
      </w:r>
      <w:r>
        <w:t>) but with different valence states, triggered by photoreduction. As a proof‐of‐concept application, Cu/Zn‐C</w:t>
      </w:r>
      <w:r>
        <w:rPr>
          <w:vertAlign w:val="subscript"/>
        </w:rPr>
        <w:t>6</w:t>
      </w:r>
      <w:r>
        <w:t>N</w:t>
      </w:r>
      <w:r>
        <w:rPr>
          <w:vertAlign w:val="subscript"/>
        </w:rPr>
        <w:t>6</w:t>
      </w:r>
      <w:r>
        <w:t>was further confined to a microfluidic chip and applied to an intelligent single‐interface biosensor with reversibly switched ability in detecting xanthine and glucose in vitro.</w:t>
      </w:r>
    </w:p>
    <w:p>
      <w:pPr>
        <w:spacing w:before="120" w:after="120"/>
      </w:pPr>
      <w:r>
        <w:rPr>
          <w:sz w:val="18"/>
        </w:rPr>
        <w:t>——————————————————————————————————————————————————————————————————————</w:t>
      </w:r>
    </w:p>
    <w:p>
      <w:pPr>
        <w:spacing w:before="160" w:after="80" w:line="240" w:lineRule="auto"/>
      </w:pPr>
      <w:r>
        <w:rPr>
          <w:b/>
        </w:rPr>
        <w:t xml:space="preserve">[572] </w:t>
      </w:r>
      <w:hyperlink r:id="rId1015">
        <w:r>
          <w:rPr>
            <w:color w:val="1155CC"/>
            <w:u w:val="single"/>
          </w:rPr>
          <w:t>Aquatic Environment Breaks the Size Confinement of the TiO2 Anodes in Aqueous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16">
        <w:r>
          <w:rPr>
            <w:color w:val="1155CC"/>
            <w:u w:val="single"/>
          </w:rPr>
          <w:t>10.1002/anie.202520365</w:t>
        </w:r>
      </w:hyperlink>
    </w:p>
    <w:p>
      <w:pPr>
        <w:spacing w:before="0" w:after="120"/>
      </w:pPr>
      <w:r>
        <w:rPr>
          <w:b/>
        </w:rPr>
        <w:t xml:space="preserve">Notes: </w:t>
      </w:r>
      <w:r>
        <w:t>abstract_source=crossref</w:t>
      </w:r>
    </w:p>
    <w:p>
      <w:pPr>
        <w:spacing w:before="0" w:after="200" w:lineRule="auto" w:line="276"/>
      </w:pPr>
      <w:r>
        <w:rPr>
          <w:b/>
        </w:rPr>
        <w:t xml:space="preserve">Abstract: </w:t>
      </w:r>
      <w:r>
        <w:t>The particle size of TiO</w:t>
      </w:r>
      <w:r>
        <w:rPr>
          <w:vertAlign w:val="subscript"/>
        </w:rPr>
        <w:t>2</w:t>
      </w:r>
      <w:r>
        <w:t>anodes is commonly believed to have a negative impact on their mechanical properties. As submicron‐sized TiO</w:t>
      </w:r>
      <w:r>
        <w:rPr>
          <w:vertAlign w:val="subscript"/>
        </w:rPr>
        <w:t>2</w:t>
      </w:r>
      <w:r>
        <w:t>exhibits low surface energy, which reduces yield strength and leads to mechanical fracture during the two‐phase lithium storage mechanism, it is excluded from traditional nonaqueous lithium‐ion batteries. In this study, we discovered that TiO</w:t>
      </w:r>
      <w:r>
        <w:rPr>
          <w:vertAlign w:val="subscript"/>
        </w:rPr>
        <w:t>2</w:t>
      </w:r>
      <w:r>
        <w:t>demonstrates an independent size effect in an aqueous environment, mitigating the mechanical fracture associated with submicron‐sized TiO</w:t>
      </w:r>
      <w:r>
        <w:rPr>
          <w:vertAlign w:val="subscript"/>
        </w:rPr>
        <w:t>2</w:t>
      </w:r>
      <w:r>
        <w:t>. Our studies reveal that water molecules strongly interact with submicron TiO</w:t>
      </w:r>
      <w:r>
        <w:rPr>
          <w:vertAlign w:val="subscript"/>
        </w:rPr>
        <w:t>2</w:t>
      </w:r>
      <w:r>
        <w:t>materials, increasing the surface energy in aqueous electrolytes in a unique manner. This enhancement makes submicron TiO</w:t>
      </w:r>
      <w:r>
        <w:rPr>
          <w:vertAlign w:val="subscript"/>
        </w:rPr>
        <w:t>2</w:t>
      </w:r>
      <w:r>
        <w:t>more resilient during the lithiation and de‐lithiation reactions. Additionally, the transition from nano to submicron TiO</w:t>
      </w:r>
      <w:r>
        <w:rPr>
          <w:vertAlign w:val="subscript"/>
        </w:rPr>
        <w:t>2</w:t>
      </w:r>
      <w:r>
        <w:t>facilitates the inhibition of hydrogen evolution reactions (HER) in aqueous batteries and enhances the performance of electrode coatings. Consequently, submicron TiO</w:t>
      </w:r>
      <w:r>
        <w:rPr>
          <w:vertAlign w:val="subscript"/>
        </w:rPr>
        <w:t>2</w:t>
      </w:r>
      <w:r>
        <w:t>exhibits superior electrochemical performance in aqueous batteries, with an Ah‐level pouch battery achieving an energy density of 66 Wh kg</w:t>
      </w:r>
      <w:r>
        <w:t xml:space="preserve"> </w:t>
      </w:r>
      <w:r>
        <w:t>−1</w:t>
      </w:r>
      <w:r>
        <w:t xml:space="preserve"> </w:t>
      </w:r>
      <w:r>
        <w:t>(217 Wh L</w:t>
      </w:r>
      <w:r>
        <w:t xml:space="preserve"> </w:t>
      </w:r>
      <w:r>
        <w:t>−1</w:t>
      </w:r>
      <w:r>
        <w:t xml:space="preserve"> </w:t>
      </w:r>
      <w:r>
        <w:t>) and demonstrating excellent cycling stability of over 1200 cycles. Our work has successfully addressed the size limitations of the TiO</w:t>
      </w:r>
      <w:r>
        <w:rPr>
          <w:vertAlign w:val="subscript"/>
        </w:rPr>
        <w:t>2</w:t>
      </w:r>
      <w:r>
        <w:t>anodes, offering an innovative perspective on micro‐sized electrode materials previously considered unsuitable for battery use.</w:t>
      </w:r>
    </w:p>
    <w:p>
      <w:pPr>
        <w:spacing w:before="120" w:after="120"/>
      </w:pPr>
      <w:r>
        <w:rPr>
          <w:sz w:val="18"/>
        </w:rPr>
        <w:t>——————————————————————————————————————————————————————————————————————</w:t>
      </w:r>
    </w:p>
    <w:p>
      <w:pPr>
        <w:spacing w:before="160" w:after="80" w:line="240" w:lineRule="auto"/>
      </w:pPr>
      <w:r>
        <w:rPr>
          <w:b/>
        </w:rPr>
        <w:t xml:space="preserve">[573] </w:t>
      </w:r>
      <w:hyperlink r:id="rId1017">
        <w:r>
          <w:rPr>
            <w:color w:val="1155CC"/>
            <w:u w:val="single"/>
          </w:rPr>
          <w:t>Bright and Color‐Tunable Circularly Polarized Excimer Emission from Pre‐Organized, Naphthalene Diimide Molecular Designs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18">
        <w:r>
          <w:rPr>
            <w:color w:val="1155CC"/>
            <w:u w:val="single"/>
          </w:rPr>
          <w:t>10.1002/anie.202520385</w:t>
        </w:r>
      </w:hyperlink>
    </w:p>
    <w:p>
      <w:pPr>
        <w:spacing w:before="0" w:after="120"/>
      </w:pPr>
      <w:r>
        <w:rPr>
          <w:b/>
        </w:rPr>
        <w:t xml:space="preserve">Notes: </w:t>
      </w:r>
      <w:r>
        <w:t>abstract_source=crossref</w:t>
      </w:r>
    </w:p>
    <w:p>
      <w:pPr>
        <w:spacing w:before="0" w:after="200" w:lineRule="auto" w:line="276"/>
      </w:pPr>
      <w:r>
        <w:rPr>
          <w:b/>
        </w:rPr>
        <w:t xml:space="preserve">Abstract: </w:t>
      </w:r>
      <w:r>
        <w:t>Within the realm of organic materials, excimer emission has emerged as an efficient strategy for developing circularly polarized luminescence (CPL)‐active systems, owing to its intrinsic combination of high brightness and large dissymmetry factors (g</w:t>
      </w:r>
      <w:r>
        <w:t xml:space="preserve"> </w:t>
      </w:r>
      <w:r>
        <w:t>lum</w:t>
      </w:r>
      <w:r>
        <w:t xml:space="preserve"> </w:t>
      </w:r>
      <w:r>
        <w:t>). Nevertheless, progress with this approach has been constrained by limited color tunability and substrate scope, with red‐emissive circularly polarized excimer emission remaining essentially unexplored. Herein, we demonstrate that core‐substitution chemistry of naphthalenediimide (NDI) derivatives offers a versatile platform to achieve tunable excimeric CPL spanning the visible range, from 500 nm (green) to 650 nm (red), reported here for the first time. By employing cyclophane and clip‐like pre‐organized molecular architectures, excited‐state chirality was effectively introduced, affording bright circularly polarized excimer emission with impressively high g</w:t>
      </w:r>
      <w:r>
        <w:t xml:space="preserve"> </w:t>
      </w:r>
      <w:r>
        <w:t>lum</w:t>
      </w:r>
      <w:r>
        <w:t xml:space="preserve"> </w:t>
      </w:r>
      <w:r>
        <w:t>values of up to 4.0 × 10</w:t>
      </w:r>
      <w:r>
        <w:t xml:space="preserve"> </w:t>
      </w:r>
      <w:r>
        <w:t>−2</w:t>
      </w:r>
      <w:r>
        <w:t xml:space="preserve"> </w:t>
      </w:r>
      <w:r>
        <w:t>(green) and 1.5 × 10</w:t>
      </w:r>
      <w:r>
        <w:t xml:space="preserve"> </w:t>
      </w:r>
      <w:r>
        <w:t>−2</w:t>
      </w:r>
      <w:r>
        <w:t xml:space="preserve"> </w:t>
      </w:r>
      <w:r>
        <w:t>(red), along with remarkable CPL brightness. These results, combining outstanding brightness with the rare realization of red‐emissive excimeric CPL, place these systems among the highest‐performing small molecule CPL emitters to date.</w:t>
      </w:r>
    </w:p>
    <w:p>
      <w:pPr>
        <w:spacing w:before="120" w:after="120"/>
      </w:pPr>
      <w:r>
        <w:rPr>
          <w:sz w:val="18"/>
        </w:rPr>
        <w:t>——————————————————————————————————————————————————————————————————————</w:t>
      </w:r>
    </w:p>
    <w:p>
      <w:pPr>
        <w:spacing w:before="160" w:after="80" w:line="240" w:lineRule="auto"/>
      </w:pPr>
      <w:r>
        <w:rPr>
          <w:b/>
        </w:rPr>
        <w:t xml:space="preserve">[574] </w:t>
      </w:r>
      <w:hyperlink r:id="rId1019">
        <w:r>
          <w:rPr>
            <w:color w:val="1155CC"/>
            <w:u w:val="single"/>
          </w:rPr>
          <w:t>Stereoselective Synthesis of 2‐Deoxy‐β‐O‐Aryl Glycosides by a One‐Pot Strategy Involving C─O Coupling and Catecholborane 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0">
        <w:r>
          <w:rPr>
            <w:color w:val="1155CC"/>
            <w:u w:val="single"/>
          </w:rPr>
          <w:t>10.1002/anie.202520547</w:t>
        </w:r>
      </w:hyperlink>
    </w:p>
    <w:p>
      <w:pPr>
        <w:spacing w:before="0" w:after="120"/>
      </w:pPr>
      <w:r>
        <w:rPr>
          <w:b/>
        </w:rPr>
        <w:t xml:space="preserve">Notes: </w:t>
      </w:r>
      <w:r>
        <w:t>abstract_source=crossref</w:t>
      </w:r>
    </w:p>
    <w:p>
      <w:pPr>
        <w:spacing w:before="0" w:after="200" w:lineRule="auto" w:line="276"/>
      </w:pPr>
      <w:r>
        <w:rPr>
          <w:b/>
        </w:rPr>
        <w:t xml:space="preserve">Abstract: </w:t>
      </w:r>
      <w:r>
        <w:t>Naturally occurring 2‐deoxy‐β‐</w:t>
      </w:r>
      <w:r>
        <w:t xml:space="preserve"> </w:t>
      </w:r>
      <w:r>
        <w:t>O</w:t>
      </w:r>
      <w:r>
        <w:t xml:space="preserve"> </w:t>
      </w:r>
      <w:r>
        <w:t>‐aryl glycosides are an important class of anticancer and antibacterial compounds. The direct glycosylation of phenols inevitably produces 2‐deoxy‐α‐</w:t>
      </w:r>
      <w:r>
        <w:t xml:space="preserve"> </w:t>
      </w:r>
      <w:r>
        <w:t>O</w:t>
      </w:r>
      <w:r>
        <w:t xml:space="preserve"> </w:t>
      </w:r>
      <w:r>
        <w:t>‐aryl glycosides, decreasing the efficiency of the synthesis of 2‐deoxy‐β‐</w:t>
      </w:r>
      <w:r>
        <w:t xml:space="preserve"> </w:t>
      </w:r>
      <w:r>
        <w:t>O</w:t>
      </w:r>
      <w:r>
        <w:t xml:space="preserve"> </w:t>
      </w:r>
      <w:r>
        <w:t>‐aryl glycosides. Herein we report a novel one‐pot approach for the synthesis of 2‐deoxy‐β‐</w:t>
      </w:r>
      <w:r>
        <w:t xml:space="preserve"> </w:t>
      </w:r>
      <w:r>
        <w:t>O</w:t>
      </w:r>
      <w:r>
        <w:t xml:space="preserve"> </w:t>
      </w:r>
      <w:r>
        <w:t>‐aryl glycosides by the Cu(I)‐catalyzed C─O cross‐coupling reaction of 1‐iodoglycals and phenols, followed by in situ reduction of the obtained ketene acetals with catecholborane. Starting from readily available materials, this protocol is applicable to a wide range of substrates, affording the corresponding 2‐deoxy‐β‐</w:t>
      </w:r>
      <w:r>
        <w:t xml:space="preserve"> </w:t>
      </w:r>
      <w:r>
        <w:t>O</w:t>
      </w:r>
      <w:r>
        <w:t xml:space="preserve"> </w:t>
      </w:r>
      <w:r>
        <w:t>‐aryl glycosides in high yields and with exclusive β‐stereoselectivity. This strategy was further applied to the late‐stage modification of various bioactive natural products or drugs. The remarkable stereoselectivity was rationalized by the experimental and theoretical studies.</w:t>
      </w:r>
    </w:p>
    <w:p>
      <w:pPr>
        <w:spacing w:before="120" w:after="120"/>
      </w:pPr>
      <w:r>
        <w:rPr>
          <w:sz w:val="18"/>
        </w:rPr>
        <w:t>——————————————————————————————————————————————————————————————————————</w:t>
      </w:r>
    </w:p>
    <w:p>
      <w:pPr>
        <w:spacing w:before="160" w:after="80" w:line="240" w:lineRule="auto"/>
      </w:pPr>
      <w:r>
        <w:rPr>
          <w:b/>
        </w:rPr>
        <w:t xml:space="preserve">[575] </w:t>
      </w:r>
      <w:hyperlink r:id="rId1021">
        <w:r>
          <w:rPr>
            <w:color w:val="1155CC"/>
            <w:u w:val="single"/>
          </w:rPr>
          <w:t>Competitive Coordination Constructed Heteronuclear Pt1‐Fe1 Dual Single‐Atom Sites for Selective Oxidation of Allylic Alcohol</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2">
        <w:r>
          <w:rPr>
            <w:color w:val="1155CC"/>
            <w:u w:val="single"/>
          </w:rPr>
          <w:t>10.1002/anie.202520549</w:t>
        </w:r>
      </w:hyperlink>
    </w:p>
    <w:p>
      <w:pPr>
        <w:spacing w:before="0" w:after="120"/>
      </w:pPr>
      <w:r>
        <w:rPr>
          <w:b/>
        </w:rPr>
        <w:t xml:space="preserve">Notes: </w:t>
      </w:r>
      <w:r>
        <w:t>abstract_source=crossref</w:t>
      </w:r>
    </w:p>
    <w:p>
      <w:pPr>
        <w:spacing w:before="0" w:after="200" w:lineRule="auto" w:line="276"/>
      </w:pPr>
      <w:r>
        <w:rPr>
          <w:b/>
        </w:rPr>
        <w:t xml:space="preserve">Abstract: </w:t>
      </w:r>
      <w:r>
        <w:t>Dual single‐atom catalysts (DSACs) have attracted considerable attention owing to their exceptional atom efficiency and synergistic catalytic effects. Nevertheless, establishing precise synthetic methodologies for DSACs and exploring its application in complex reaction systems still present significant challenges. Here, we have fabricated a hydroxyapatite (HAP)‐supported heteronuclear Pt</w:t>
      </w:r>
      <w:r>
        <w:rPr>
          <w:vertAlign w:val="subscript"/>
        </w:rPr>
        <w:t>1</w:t>
      </w:r>
      <w:r>
        <w:t>‐Fe</w:t>
      </w:r>
      <w:r>
        <w:rPr>
          <w:vertAlign w:val="subscript"/>
        </w:rPr>
        <w:t>1</w:t>
      </w:r>
      <w:r>
        <w:t>dual single‐atom catalyst (Pt</w:t>
      </w:r>
      <w:r>
        <w:rPr>
          <w:vertAlign w:val="subscript"/>
        </w:rPr>
        <w:t>1</w:t>
      </w:r>
      <w:r>
        <w:t>‐Fe</w:t>
      </w:r>
      <w:r>
        <w:rPr>
          <w:vertAlign w:val="subscript"/>
        </w:rPr>
        <w:t>1</w:t>
      </w:r>
      <w:r>
        <w:t>/HAP) via a competitive coordination strategy for selective oxidation of allylic alcohols. Through a thermodynamically driven competitive coordination process, heteronuclear Pt</w:t>
      </w:r>
      <w:r>
        <w:rPr>
          <w:vertAlign w:val="subscript"/>
        </w:rPr>
        <w:t>1</w:t>
      </w:r>
      <w:r>
        <w:t>‐Fe</w:t>
      </w:r>
      <w:r>
        <w:rPr>
          <w:vertAlign w:val="subscript"/>
        </w:rPr>
        <w:t>1</w:t>
      </w:r>
      <w:r>
        <w:t>with distinct charge densities is co‐anchored within adjacent periodic Ca</w:t>
      </w:r>
      <w:r>
        <w:t xml:space="preserve"> </w:t>
      </w:r>
      <w:r>
        <w:t>2+</w:t>
      </w:r>
      <w:r>
        <w:t xml:space="preserve"> </w:t>
      </w:r>
      <w:r>
        <w:t>vacancies of HAP lattice via PO</w:t>
      </w:r>
      <w:r>
        <w:rPr>
          <w:vertAlign w:val="subscript"/>
        </w:rPr>
        <w:t>4</w:t>
      </w:r>
      <w:r>
        <w:t>3−</w:t>
      </w:r>
      <w:r>
        <w:t>bridges, achieving a controlled atomic separation of ∼2.7 Å for electronic synergy. Unexpectedly, orbital hybridization between heteronuclear Pt</w:t>
      </w:r>
      <w:r>
        <w:rPr>
          <w:vertAlign w:val="subscript"/>
        </w:rPr>
        <w:t>1</w:t>
      </w:r>
      <w:r>
        <w:t>‐Fe</w:t>
      </w:r>
      <w:r>
        <w:rPr>
          <w:vertAlign w:val="subscript"/>
        </w:rPr>
        <w:t>1</w:t>
      </w:r>
      <w:r>
        <w:t>induces a spin‐state transition of Fe from low‐spin to medium‐spin, facilitating activation of O</w:t>
      </w:r>
      <w:r>
        <w:rPr>
          <w:vertAlign w:val="subscript"/>
        </w:rPr>
        <w:t>2</w:t>
      </w:r>
      <w:r>
        <w:t>and following cascade oxidation of allylic alcohol. Benefiting from the modification of spin state, Pt</w:t>
      </w:r>
      <w:r>
        <w:rPr>
          <w:vertAlign w:val="subscript"/>
        </w:rPr>
        <w:t>1</w:t>
      </w:r>
      <w:r>
        <w:t>‐Fe</w:t>
      </w:r>
      <w:r>
        <w:rPr>
          <w:vertAlign w:val="subscript"/>
        </w:rPr>
        <w:t>1</w:t>
      </w:r>
      <w:r>
        <w:t>/HAP exhibits ultrahigh aldehyde selectivity (92%) and a high turnover frequency (12 090.8 h</w:t>
      </w:r>
      <w:r>
        <w:t xml:space="preserve"> </w:t>
      </w:r>
      <w:r>
        <w:t>−1</w:t>
      </w:r>
      <w:r>
        <w:t xml:space="preserve"> </w:t>
      </w:r>
      <w:r>
        <w:t>) in oxidation of various allylic alcohol substrates, 20‐fold higher than that of Pt</w:t>
      </w:r>
      <w:r>
        <w:rPr>
          <w:vertAlign w:val="subscript"/>
        </w:rPr>
        <w:t>1</w:t>
      </w:r>
      <w:r>
        <w:t>/HAP single‐atom catalyst (543.8 h</w:t>
      </w:r>
      <w:r>
        <w:t xml:space="preserve"> </w:t>
      </w:r>
      <w:r>
        <w:t>−1</w:t>
      </w:r>
      <w:r>
        <w:t xml:space="preserve"> </w:t>
      </w:r>
      <w:r>
        <w:t>). This work establishes the thermodynamically driven competitive coordination strategy as a universal approach for constructing high‐performance heteronuclear dual‐atom catalysts with precisely engineered electronic synergy in demanding industrial processes.</w:t>
      </w:r>
    </w:p>
    <w:p>
      <w:pPr>
        <w:spacing w:before="120" w:after="120"/>
      </w:pPr>
      <w:r>
        <w:rPr>
          <w:sz w:val="18"/>
        </w:rPr>
        <w:t>——————————————————————————————————————————————————————————————————————</w:t>
      </w:r>
    </w:p>
    <w:p>
      <w:pPr>
        <w:spacing w:before="160" w:after="80" w:line="240" w:lineRule="auto"/>
      </w:pPr>
      <w:r>
        <w:rPr>
          <w:b/>
        </w:rPr>
        <w:t xml:space="preserve">[576] </w:t>
      </w:r>
      <w:hyperlink r:id="rId1023">
        <w:r>
          <w:rPr>
            <w:color w:val="1155CC"/>
            <w:u w:val="single"/>
          </w:rPr>
          <w:t>Switching the Reaction Pathway to the Oxide Path for High‐Efficiency Acidic Oxygen Evolution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4">
        <w:r>
          <w:rPr>
            <w:color w:val="1155CC"/>
            <w:u w:val="single"/>
          </w:rPr>
          <w:t>10.1002/anie.202520553</w:t>
        </w:r>
      </w:hyperlink>
    </w:p>
    <w:p>
      <w:pPr>
        <w:spacing w:before="0" w:after="120"/>
      </w:pPr>
      <w:r>
        <w:rPr>
          <w:b/>
        </w:rPr>
        <w:t xml:space="preserve">Notes: </w:t>
      </w:r>
      <w:r>
        <w:t>abstract_source=crossref</w:t>
      </w:r>
    </w:p>
    <w:p>
      <w:pPr>
        <w:spacing w:before="0" w:after="200" w:lineRule="auto" w:line="276"/>
      </w:pPr>
      <w:r>
        <w:rPr>
          <w:b/>
        </w:rPr>
        <w:t xml:space="preserve">Abstract: </w:t>
      </w:r>
      <w:r>
        <w:t>Understanding dynamic structure–activity relationships in the oxygen evolution reaction (OER) remains challenging due to electrocatalysts’ structural complexity. Here, we employ Ca</w:t>
      </w:r>
      <w:r>
        <w:rPr>
          <w:vertAlign w:val="subscript"/>
        </w:rPr>
        <w:t>2</w:t>
      </w:r>
      <w:r>
        <w:t>IrO</w:t>
      </w:r>
      <w:r>
        <w:rPr>
          <w:vertAlign w:val="subscript"/>
        </w:rPr>
        <w:t>4</w:t>
      </w:r>
      <w:r>
        <w:t>—a model catalyst with exclusively edge‐sharing IrO</w:t>
      </w:r>
      <w:r>
        <w:rPr>
          <w:vertAlign w:val="subscript"/>
        </w:rPr>
        <w:t>6</w:t>
      </w:r>
      <w:r>
        <w:t>octahedra forming 1D chains—to decode mechanistic evolution through synergistic interplay between corrosion‐resistant (110) and electrochemically activable (001) facets. With low (110) and (001) facet ratios, Ca</w:t>
      </w:r>
      <w:r>
        <w:rPr>
          <w:vertAlign w:val="subscript"/>
        </w:rPr>
        <w:t>2</w:t>
      </w:r>
      <w:r>
        <w:t>IrO</w:t>
      </w:r>
      <w:r>
        <w:rPr>
          <w:vertAlign w:val="subscript"/>
        </w:rPr>
        <w:t>4</w:t>
      </w:r>
      <w:r>
        <w:t>(L‐H‐CIO) undergoes electrochemical activation to form an adaptively reconstructed structure, ultimately achieving exceptional OER performance—demonstrating a low overpotential of 279 mV at 10 mA cm</w:t>
      </w:r>
      <w:r>
        <w:t xml:space="preserve"> </w:t>
      </w:r>
      <w:r>
        <w:t>−2</w:t>
      </w:r>
      <w:r>
        <w:t xml:space="preserve"> </w:t>
      </w:r>
      <w:r>
        <w:t>and 200‐h stability without decay. The L‐H‐CIO‐based PEMWE exhibits high electrocatalytic activity (1.78 V @ 2.0 A cm</w:t>
      </w:r>
      <w:r>
        <w:t xml:space="preserve"> </w:t>
      </w:r>
      <w:r>
        <w:t>−2</w:t>
      </w:r>
      <w:r>
        <w:t xml:space="preserve"> </w:t>
      </w:r>
      <w:r>
        <w:t>, 80 °C, 0.11 mg</w:t>
      </w:r>
      <w:r>
        <w:t xml:space="preserve"> </w:t>
      </w:r>
      <w:r>
        <w:t>Ir</w:t>
      </w:r>
      <w:r>
        <w:t xml:space="preserve"> </w:t>
      </w:r>
      <w:r>
        <w:t>cm</w:t>
      </w:r>
      <w:r>
        <w:t xml:space="preserve"> </w:t>
      </w:r>
      <w:r>
        <w:t>−2</w:t>
      </w:r>
      <w:r>
        <w:t xml:space="preserve"> </w:t>
      </w:r>
      <w:r>
        <w:t>) at ampere‐level current densities while demonstrating sustained stability beyond 500 h at 1.0 A cm</w:t>
      </w:r>
      <w:r>
        <w:t xml:space="preserve"> </w:t>
      </w:r>
      <w:r>
        <w:t>−2</w:t>
      </w:r>
      <w:r>
        <w:t xml:space="preserve"> </w:t>
      </w:r>
      <w:r>
        <w:t>. In situ characterization and theoretical calculations reveal that adaptive surface reconstruction drives a mechanistic transition from the adsorbate evolution mechanism (AEM) to the oxide path mechanism (OPM). This shift is structurally anchored by edge‐sharing IrO</w:t>
      </w:r>
      <w:r>
        <w:rPr>
          <w:vertAlign w:val="subscript"/>
        </w:rPr>
        <w:t>6</w:t>
      </w:r>
      <w:r>
        <w:t>octahedra reconstruction (Ir–Ir 2.8 Å) of the (001) surface, which simultaneously downshifts the Ir d‐band center away from the Fermi level. The resultant weakened metal‐intermediate covalency optimizes the adsorption–desorption equilibrium, conferring thermodynamic and kinetic advantages to OPM. Our work establishes adaptive coordination reconstruction as a universal strategy to engineer pre‐catalysts that evolve into high‐efficiency OER phases, providing a roadmap for next‐generation catalyst design.</w:t>
      </w:r>
    </w:p>
    <w:p>
      <w:pPr>
        <w:spacing w:before="120" w:after="120"/>
      </w:pPr>
      <w:r>
        <w:rPr>
          <w:sz w:val="18"/>
        </w:rPr>
        <w:t>——————————————————————————————————————————————————————————————————————</w:t>
      </w:r>
    </w:p>
    <w:p>
      <w:pPr>
        <w:spacing w:before="160" w:after="80" w:line="240" w:lineRule="auto"/>
      </w:pPr>
      <w:r>
        <w:rPr>
          <w:b/>
        </w:rPr>
        <w:t xml:space="preserve">[577] </w:t>
      </w:r>
      <w:hyperlink r:id="rId1025">
        <w:r>
          <w:rPr>
            <w:color w:val="1155CC"/>
            <w:u w:val="single"/>
          </w:rPr>
          <w:t>Successive Sulfur Oxidation Directs Topological Transformation From 41 Knot to 632$6_3^2$ Link</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6">
        <w:r>
          <w:rPr>
            <w:color w:val="1155CC"/>
            <w:u w:val="single"/>
          </w:rPr>
          <w:t>10.1002/anie.202520663</w:t>
        </w:r>
      </w:hyperlink>
    </w:p>
    <w:p>
      <w:pPr>
        <w:spacing w:before="0" w:after="120"/>
      </w:pPr>
      <w:r>
        <w:rPr>
          <w:b/>
        </w:rPr>
        <w:t xml:space="preserve">Notes: </w:t>
      </w:r>
      <w:r>
        <w:t>abstract_source=crossref</w:t>
      </w:r>
    </w:p>
    <w:p>
      <w:pPr>
        <w:spacing w:before="0" w:after="200" w:lineRule="auto" w:line="276"/>
      </w:pPr>
      <w:r>
        <w:rPr>
          <w:b/>
        </w:rPr>
        <w:t xml:space="preserve">Abstract: </w:t>
      </w:r>
      <w:r>
        <w:t>Achieving transformation between different types of topologies remains a challenge in supramolecular chemistry. Herein, sulfur oxidation was utilized as the stimuli to trigger topological transformations from knots to links. The process began with a thioether‐type precursor,</w:t>
      </w:r>
      <w:r>
        <w:t xml:space="preserve"> </w:t>
      </w:r>
      <w:r>
        <w:t>M</w:t>
      </w:r>
      <w:r>
        <w:t xml:space="preserve"> </w:t>
      </w:r>
      <w:r>
        <w:t>(4</w:t>
      </w:r>
      <w:r>
        <w:rPr>
          <w:vertAlign w:val="subscript"/>
        </w:rPr>
        <w:t>1</w:t>
      </w:r>
      <w:r>
        <w:t>metallic knot), which was synthesized by self‐assembling the sulfur‐bridged ligand</w:t>
      </w:r>
      <w:r>
        <w:t xml:space="preserve"> </w:t>
      </w:r>
      <w:r>
        <w:t>L</w:t>
      </w:r>
      <w:r>
        <w:t xml:space="preserve"> </w:t>
      </w:r>
      <w:r>
        <w:t>with building block</w:t>
      </w:r>
      <w:r>
        <w:t xml:space="preserve"> </w:t>
      </w:r>
      <w:r>
        <w:t>B</w:t>
      </w:r>
      <w:r>
        <w:t xml:space="preserve"> </w:t>
      </w:r>
      <w:r>
        <w:t>in high yield. Following oxidation reactions, we successfully transformed the octanuclear 4</w:t>
      </w:r>
      <w:r>
        <w:rPr>
          <w:vertAlign w:val="subscript"/>
        </w:rPr>
        <w:t>1</w:t>
      </w:r>
      <w:r>
        <w:t>metallic knot (</w:t>
      </w:r>
      <w:r>
        <w:t xml:space="preserve"> </w:t>
      </w:r>
      <w:r>
        <w:t>M</w:t>
      </w:r>
      <w:r>
        <w:t xml:space="preserve"> </w:t>
      </w:r>
      <w:r>
        <w:t>) with four crossing points into a sulfoxide‐type dodecanuclear  metallic link (</w:t>
      </w:r>
      <w:r>
        <w:t xml:space="preserve"> </w:t>
      </w:r>
      <w:r>
        <w:t>M‐O</w:t>
      </w:r>
      <w:r>
        <w:t xml:space="preserve"> </w:t>
      </w:r>
      <w:r>
        <w:t>) with six crossing points as an intermediate product, and then to a sulfone‐type dodecanuclear  metallic link (</w:t>
      </w:r>
      <w:r>
        <w:t xml:space="preserve"> </w:t>
      </w:r>
      <w:r>
        <w:t>M‐2O</w:t>
      </w:r>
      <w:r>
        <w:t xml:space="preserve"> </w:t>
      </w:r>
      <w:r>
        <w:t>) with six crossing points, which achieves a dual leap in both metal nuclearity and crossing complexity. Remarkably, the key to the transformation lies in using the embedded S‐centres of</w:t>
      </w:r>
      <w:r>
        <w:t xml:space="preserve"> </w:t>
      </w:r>
      <w:r>
        <w:t>M</w:t>
      </w:r>
      <w:r>
        <w:t xml:space="preserve"> </w:t>
      </w:r>
      <w:r>
        <w:t>as molecular triggers and stepwise oxidation (‐S‐→‐S(O)‐→‐S(O)</w:t>
      </w:r>
      <w:r>
        <w:rPr>
          <w:vertAlign w:val="subscript"/>
        </w:rPr>
        <w:t>2</w:t>
      </w:r>
      <w:r>
        <w:t>‐) enabled precise modulation of the geometric configuration of the</w:t>
      </w:r>
      <w:r>
        <w:t xml:space="preserve"> </w:t>
      </w:r>
      <w:r>
        <w:t>sp</w:t>
      </w:r>
      <w:r>
        <w:rPr>
          <w:vertAlign w:val="subscript"/>
        </w:rPr>
        <w:t>3</w:t>
      </w:r>
      <w:r>
        <w:t xml:space="preserve"> </w:t>
      </w:r>
      <w:r>
        <w:t>S‐centres, drastically altering the range of accessible coordination vectors and inducing conformational self‐adaptation among components. This strategy establishes a novel oxidation‐mediated interconversion paradigm among complex topologies, offering new insights for designing dynamic molecular triggers in intelligent material systems.</w:t>
      </w:r>
    </w:p>
    <w:p>
      <w:pPr>
        <w:spacing w:before="120" w:after="120"/>
      </w:pPr>
      <w:r>
        <w:rPr>
          <w:sz w:val="18"/>
        </w:rPr>
        <w:t>——————————————————————————————————————————————————————————————————————</w:t>
      </w:r>
    </w:p>
    <w:p>
      <w:pPr>
        <w:spacing w:before="160" w:after="80" w:line="240" w:lineRule="auto"/>
      </w:pPr>
      <w:r>
        <w:rPr>
          <w:b/>
        </w:rPr>
        <w:t xml:space="preserve">[578] </w:t>
      </w:r>
      <w:hyperlink r:id="rId1027">
        <w:r>
          <w:rPr>
            <w:color w:val="1155CC"/>
            <w:u w:val="single"/>
          </w:rPr>
          <w:t>Molecular Solar Thermal (MOST) Energy Storage—Definitions and Requirements Revisited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8">
        <w:r>
          <w:rPr>
            <w:color w:val="1155CC"/>
            <w:u w:val="single"/>
          </w:rPr>
          <w:t>10.1002/anie.202520673</w:t>
        </w:r>
      </w:hyperlink>
    </w:p>
    <w:p>
      <w:pPr>
        <w:spacing w:before="0" w:after="120"/>
      </w:pPr>
      <w:r>
        <w:rPr>
          <w:b/>
        </w:rPr>
        <w:t xml:space="preserve">Notes: </w:t>
      </w:r>
      <w:r>
        <w:t>abstract_source=crossref</w:t>
      </w:r>
    </w:p>
    <w:p>
      <w:pPr>
        <w:spacing w:before="0" w:after="200" w:lineRule="auto" w:line="276"/>
      </w:pPr>
      <w:r>
        <w:rPr>
          <w:b/>
        </w:rPr>
        <w:t xml:space="preserve">Abstract: </w:t>
      </w:r>
      <w:r>
        <w:t>Molecular solar thermal storage (MOST) systems have gained increasing attention in the past years after an intense initial exploration phase around five decades ago. Over time multiple terms have been circulating in the literature, such as solar thermal fuels or solar thermal batteries. Besides clarifying the nomenclature, we introduce the term “mostophore” as a molecular entity able to harvest and store light energy in the form of heat. Furthermore, we revisit the requirements for practical systems and put the concept in a historic perspective with a future outlook.</w:t>
      </w:r>
    </w:p>
    <w:p>
      <w:pPr>
        <w:spacing w:before="120" w:after="120"/>
      </w:pPr>
      <w:r>
        <w:rPr>
          <w:sz w:val="18"/>
        </w:rPr>
        <w:t>——————————————————————————————————————————————————————————————————————</w:t>
      </w:r>
    </w:p>
    <w:p>
      <w:pPr>
        <w:spacing w:before="160" w:after="80" w:line="240" w:lineRule="auto"/>
      </w:pPr>
      <w:r>
        <w:rPr>
          <w:b/>
        </w:rPr>
        <w:t xml:space="preserve">[579] </w:t>
      </w:r>
      <w:hyperlink r:id="rId1029">
        <w:r>
          <w:rPr>
            <w:color w:val="1155CC"/>
            <w:u w:val="single"/>
          </w:rPr>
          <w:t>Decarboxylative Arene Ring‐Opening of Benzoic Acids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30">
        <w:r>
          <w:rPr>
            <w:color w:val="1155CC"/>
            <w:u w:val="single"/>
          </w:rPr>
          <w:t>10.1002/anie.202520084</w:t>
        </w:r>
      </w:hyperlink>
    </w:p>
    <w:p>
      <w:pPr>
        <w:spacing w:before="0" w:after="120"/>
      </w:pPr>
      <w:r>
        <w:rPr>
          <w:b/>
        </w:rPr>
        <w:t xml:space="preserve">Notes: </w:t>
      </w:r>
      <w:r>
        <w:t>abstract_source=crossref</w:t>
      </w:r>
    </w:p>
    <w:p>
      <w:pPr>
        <w:spacing w:before="0" w:after="200" w:lineRule="auto" w:line="276"/>
      </w:pPr>
      <w:r>
        <w:rPr>
          <w:b/>
        </w:rPr>
        <w:t xml:space="preserve">Abstract: </w:t>
      </w:r>
      <w:r>
        <w:t>Benzoic acids are widely utilized in synthetic chemistry, pharmaceuticals, and materials science, yet their potential as precursors for linear synthons is severely constrained by the challenge of cleaving their highly stable aromatic C─C bonds. Here, we report that a PDPP (4‐(piperidin‐1‐yl)pyridine) and copper synergistically catalyzed nitrogenation of benzoic acids with a tailored nitrogenation reagent. This protocol efficiently enables the selective decarboxylation and benzene ring opening processes leading to acyclic dinitrile products. The designed new azide reagent plays an essential role in the PDPP‐catalyzed initial step to trigger the selective carboxyl and aromatic C─C bond cleavage process. This synergistic strategy greatly expands the synthetic utility of benzoic acids, providing a direct and practical route to acyclic scaffolds. The aromatic ring‐opening products could be further used in cyclization reactions to realize phenyl ring scaffold hopping.</w:t>
      </w:r>
    </w:p>
    <w:p>
      <w:pPr>
        <w:spacing w:before="120" w:after="120"/>
      </w:pPr>
      <w:r>
        <w:rPr>
          <w:sz w:val="18"/>
        </w:rPr>
        <w:t>——————————————————————————————————————————————————————————————————————</w:t>
      </w:r>
    </w:p>
    <w:p>
      <w:pPr>
        <w:spacing w:before="160" w:after="80" w:line="240" w:lineRule="auto"/>
      </w:pPr>
      <w:r>
        <w:rPr>
          <w:b/>
        </w:rPr>
        <w:t xml:space="preserve">[580] </w:t>
      </w:r>
      <w:hyperlink r:id="rId1031">
        <w:r>
          <w:rPr>
            <w:color w:val="1155CC"/>
            <w:u w:val="single"/>
          </w:rPr>
          <w:t>Temperature‐Induced Morphological Transitions for On‐Demand Detachment in Worm‐Based Polymer Hydrogels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32">
        <w:r>
          <w:rPr>
            <w:color w:val="1155CC"/>
            <w:u w:val="single"/>
          </w:rPr>
          <w:t>10.1002/anie.202519031</w:t>
        </w:r>
      </w:hyperlink>
    </w:p>
    <w:p>
      <w:pPr>
        <w:spacing w:before="0" w:after="120"/>
      </w:pPr>
      <w:r>
        <w:rPr>
          <w:b/>
        </w:rPr>
        <w:t xml:space="preserve">Notes: </w:t>
      </w:r>
      <w:r>
        <w:t>abstract_source=crossref</w:t>
      </w:r>
    </w:p>
    <w:p>
      <w:pPr>
        <w:spacing w:before="0" w:after="200" w:lineRule="auto" w:line="276"/>
      </w:pPr>
      <w:r>
        <w:rPr>
          <w:b/>
        </w:rPr>
        <w:t xml:space="preserve">Abstract: </w:t>
      </w:r>
      <w:r>
        <w:t>Temperature‐responsive materials are vital for applications relating to on‐demand detachable adhesives, as they enable rapid, damage‐free detachment. However, low‐temperature responsive systems often lack pronounced phase change, which can lead to undesirable mechanical interlocking with complicated substrate interfaces. Polymerisation‐induced self‐assembly (PISA) has been effectively employed to fabricate worm‐like hydrogels exhibiting temperature‐induced phase transitions; however, its application in on‐demand detachment remains underexplored. Building on this, we leverage precise morphological tuning across a broad temperature range (1 to 70 °C) to modulate the hydrogel phase. Our hydrogel exhibits a reversible transition from a robust adhesive state at room temperature to a non‐adhesive liquid phase upon both cooling and heating. This approach overcomes the limitations associated with low‐ and high‐temperature responsive detachment on complex surfaces, thereby broadening its utility.</w:t>
      </w:r>
    </w:p>
    <w:p>
      <w:pPr>
        <w:spacing w:before="120" w:after="120"/>
      </w:pPr>
      <w:r>
        <w:rPr>
          <w:sz w:val="18"/>
        </w:rPr>
        <w:t>——————————————————————————————————————————————————————————————————————</w:t>
      </w:r>
    </w:p>
    <w:p>
      <w:pPr>
        <w:spacing w:before="160" w:after="80" w:line="240" w:lineRule="auto"/>
      </w:pPr>
      <w:r>
        <w:rPr>
          <w:b/>
        </w:rPr>
        <w:t xml:space="preserve">[581] </w:t>
      </w:r>
      <w:hyperlink r:id="rId1033">
        <w:r>
          <w:rPr>
            <w:color w:val="1155CC"/>
            <w:u w:val="single"/>
          </w:rPr>
          <w:t>Deciphering the Novel Photoreactivity of β‐Enaminones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34">
        <w:r>
          <w:rPr>
            <w:color w:val="1155CC"/>
            <w:u w:val="single"/>
          </w:rPr>
          <w:t>10.1002/anie.202519037</w:t>
        </w:r>
      </w:hyperlink>
    </w:p>
    <w:p>
      <w:pPr>
        <w:spacing w:before="0" w:after="120"/>
      </w:pPr>
      <w:r>
        <w:rPr>
          <w:b/>
        </w:rPr>
        <w:t xml:space="preserve">Notes: </w:t>
      </w:r>
      <w:r>
        <w:t>abstract_source=crossref</w:t>
      </w:r>
    </w:p>
    <w:p>
      <w:pPr>
        <w:spacing w:before="0" w:after="200" w:lineRule="auto" w:line="276"/>
      </w:pPr>
      <w:r>
        <w:rPr>
          <w:b/>
        </w:rPr>
        <w:t xml:space="preserve">Abstract: </w:t>
      </w:r>
      <w:r>
        <w:t>The mechanism of a newly discovered photochemical reaction of β‐enaminones is examined by femtosecond transient absorption spectroscopy and multistate multiconfigurational quantum chemical calculations. Our study reveals that this photochemical reaction features a previously undocumented excited‐state‐proton‐transfer (ESIPT) process. We show that this process is structurally and dynamically gated, occurring in ultrafast time domain with complex progression of β‐enaminone along three potential energy surfaces featuring two conical intersections and a singlet‐triplet crossing.</w:t>
      </w:r>
    </w:p>
    <w:p>
      <w:pPr>
        <w:spacing w:before="120" w:after="120"/>
      </w:pPr>
      <w:r>
        <w:rPr>
          <w:sz w:val="18"/>
        </w:rPr>
        <w:t>——————————————————————————————————————————————————————————————————————</w:t>
      </w:r>
    </w:p>
    <w:p>
      <w:pPr>
        <w:spacing w:before="160" w:after="80" w:line="240" w:lineRule="auto"/>
      </w:pPr>
      <w:r>
        <w:rPr>
          <w:b/>
        </w:rPr>
        <w:t xml:space="preserve">[582] </w:t>
      </w:r>
      <w:hyperlink r:id="rId1035">
        <w:r>
          <w:rPr>
            <w:color w:val="1155CC"/>
            <w:u w:val="single"/>
          </w:rPr>
          <w:t>An All‐Solid‐State Li–Cu Battery via Cuprous/Lithium‐Ion Halide Solid Electrolyte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36">
        <w:r>
          <w:rPr>
            <w:color w:val="1155CC"/>
            <w:u w:val="single"/>
          </w:rPr>
          <w:t>10.1002/anie.202518966</w:t>
        </w:r>
      </w:hyperlink>
    </w:p>
    <w:p>
      <w:pPr>
        <w:spacing w:before="0" w:after="120"/>
      </w:pPr>
      <w:r>
        <w:rPr>
          <w:b/>
        </w:rPr>
        <w:t xml:space="preserve">Notes: </w:t>
      </w:r>
      <w:r>
        <w:t>abstract_source=crossref</w:t>
      </w:r>
    </w:p>
    <w:p>
      <w:pPr>
        <w:spacing w:before="0" w:after="200" w:lineRule="auto" w:line="276"/>
      </w:pPr>
      <w:r>
        <w:rPr>
          <w:b/>
        </w:rPr>
        <w:t xml:space="preserve">Abstract: </w:t>
      </w:r>
      <w:r>
        <w:t>The Cu cathode has great potential due to its low cost and high capacity. However, the limited ionic conductivity of the electrolyte for Cu ions and poor solubility of Cu species severely hinder the rapid development of Li–Cu batteries. Herein, we synthesized a Cu</w:t>
      </w:r>
      <w:r>
        <w:t xml:space="preserve"> </w:t>
      </w:r>
      <w:r>
        <w:t>+</w:t>
      </w:r>
      <w:r>
        <w:t xml:space="preserve"> </w:t>
      </w:r>
      <w:r>
        <w:t>halide solid electrolyte (Cu</w:t>
      </w:r>
      <w:r>
        <w:rPr>
          <w:vertAlign w:val="subscript"/>
        </w:rPr>
        <w:t>2</w:t>
      </w:r>
      <w:r>
        <w:t>ZrCl</w:t>
      </w:r>
      <w:r>
        <w:rPr>
          <w:vertAlign w:val="subscript"/>
        </w:rPr>
        <w:t>6</w:t>
      </w:r>
      <w:r>
        <w:t>, CZC) by mechanochemical method, which exhibited a high room‐temperature Cu</w:t>
      </w:r>
      <w:r>
        <w:t xml:space="preserve"> </w:t>
      </w:r>
      <w:r>
        <w:t>+</w:t>
      </w:r>
      <w:r>
        <w:t xml:space="preserve"> </w:t>
      </w:r>
      <w:r>
        <w:t>conductivity (about 14 mS cm</w:t>
      </w:r>
      <w:r>
        <w:t xml:space="preserve"> </w:t>
      </w:r>
      <w:r>
        <w:t>−1</w:t>
      </w:r>
      <w:r>
        <w:t xml:space="preserve"> </w:t>
      </w:r>
      <w:r>
        <w:t>) and high solubility of Cu species. The Cu||CZC||Cu symmetric battery demonstrated the ability to maintain stable Cu</w:t>
      </w:r>
      <w:r>
        <w:t xml:space="preserve"> </w:t>
      </w:r>
      <w:r>
        <w:t>+</w:t>
      </w:r>
      <w:r>
        <w:t xml:space="preserve"> </w:t>
      </w:r>
      <w:r>
        <w:t>plating/stripping over 1000 h at 0.1 mA cm</w:t>
      </w:r>
      <w:r>
        <w:t xml:space="preserve"> </w:t>
      </w:r>
      <w:r>
        <w:t>−2</w:t>
      </w:r>
      <w:r>
        <w:t xml:space="preserve"> </w:t>
      </w:r>
      <w:r>
        <w:t>. We further constructed a model of the synergistic migration and ion exchange of Cu</w:t>
      </w:r>
      <w:r>
        <w:t xml:space="preserve"> </w:t>
      </w:r>
      <w:r>
        <w:t>+</w:t>
      </w:r>
      <w:r>
        <w:t xml:space="preserve"> </w:t>
      </w:r>
      <w:r>
        <w:t>and Li</w:t>
      </w:r>
      <w:r>
        <w:t xml:space="preserve"> </w:t>
      </w:r>
      <w:r>
        <w:t>+</w:t>
      </w:r>
      <w:r>
        <w:t xml:space="preserve"> </w:t>
      </w:r>
      <w:r>
        <w:t>in CZC and Li</w:t>
      </w:r>
      <w:r>
        <w:rPr>
          <w:vertAlign w:val="subscript"/>
        </w:rPr>
        <w:t>2</w:t>
      </w:r>
      <w:r>
        <w:t>ZrCl</w:t>
      </w:r>
      <w:r>
        <w:rPr>
          <w:vertAlign w:val="subscript"/>
        </w:rPr>
        <w:t>6</w:t>
      </w:r>
      <w:r>
        <w:t>electrolytes. Based on this, we assembled the first all‐solid‐state lithium–copper battery (ASSLCB), which delivered a high reversible specific capacity of 360 mAh g</w:t>
      </w:r>
      <w:r>
        <w:t xml:space="preserve"> </w:t>
      </w:r>
      <w:r>
        <w:t>−1</w:t>
      </w:r>
      <w:r>
        <w:t xml:space="preserve"> </w:t>
      </w:r>
      <w:r>
        <w:t>(1.7–3.8 V versus Li⁺/Li, at 37 mA g</w:t>
      </w:r>
      <w:r>
        <w:t xml:space="preserve"> </w:t>
      </w:r>
      <w:r>
        <w:t>−1</w:t>
      </w:r>
      <w:r>
        <w:t xml:space="preserve"> </w:t>
      </w:r>
      <w:r>
        <w:t>) and exhibited outstanding cycling performance across 50 cycles at a current of 62.5 mA g</w:t>
      </w:r>
      <w:r>
        <w:t xml:space="preserve"> </w:t>
      </w:r>
      <w:r>
        <w:t>−1</w:t>
      </w:r>
      <w:r>
        <w:t xml:space="preserve"> </w:t>
      </w:r>
      <w:r>
        <w:t>. Additionally, we designed a cathode‐free ASSLCB, utilizing aluminum foil as the current collector to demonstrate the deposition and dissolution of pure copper metal. This study provides a new design concept for Cu</w:t>
      </w:r>
      <w:r>
        <w:t xml:space="preserve"> </w:t>
      </w:r>
      <w:r>
        <w:t>+</w:t>
      </w:r>
      <w:r>
        <w:t xml:space="preserve"> </w:t>
      </w:r>
      <w:r>
        <w:t>conductors and lays a foundation for the future research of ASSLCBs.</w:t>
      </w:r>
    </w:p>
    <w:p>
      <w:pPr>
        <w:spacing w:before="120" w:after="120"/>
      </w:pPr>
      <w:r>
        <w:rPr>
          <w:sz w:val="18"/>
        </w:rPr>
        <w:t>——————————————————————————————————————————————————————————————————————</w:t>
      </w:r>
    </w:p>
    <w:p>
      <w:pPr>
        <w:spacing w:before="160" w:after="80" w:line="240" w:lineRule="auto"/>
      </w:pPr>
      <w:r>
        <w:rPr>
          <w:b/>
        </w:rPr>
        <w:t xml:space="preserve">[583] </w:t>
      </w:r>
      <w:hyperlink r:id="rId1037">
        <w:r>
          <w:rPr>
            <w:color w:val="1155CC"/>
            <w:u w:val="single"/>
          </w:rPr>
          <w:t>Cluster Formation and Phase Transitions Induced by Vibrational Strong Coupling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38">
        <w:r>
          <w:rPr>
            <w:color w:val="1155CC"/>
            <w:u w:val="single"/>
          </w:rPr>
          <w:t>10.1002/anie.202516917</w:t>
        </w:r>
      </w:hyperlink>
    </w:p>
    <w:p>
      <w:pPr>
        <w:spacing w:before="0" w:after="120"/>
      </w:pPr>
      <w:r>
        <w:rPr>
          <w:b/>
        </w:rPr>
        <w:t xml:space="preserve">Notes: </w:t>
      </w:r>
      <w:r>
        <w:t>abstract_source=crossref</w:t>
      </w:r>
    </w:p>
    <w:p>
      <w:pPr>
        <w:spacing w:before="0" w:after="200" w:lineRule="auto" w:line="276"/>
      </w:pPr>
      <w:r>
        <w:rPr>
          <w:b/>
        </w:rPr>
        <w:t xml:space="preserve">Abstract: </w:t>
      </w:r>
      <w:r>
        <w:t>Vibrational strong coupling (VSC) has been shown to significantly modify the chemical and physical properties of molecules and materials. Here we report the non‐resonant Rayleigh scattering of various molecules in liquid phase, such as toluene and water, and find that it is enhanced by ca. two orders of magnitude in the visible upon VSC of vibrational bands of the solvent in the infrared (IR). The results show that the enhanced scattering is due to the formation of new phase possibly consisting of clusters. The VSC phase undergoes a well‐defined transition with temperature and solvent composition. This finding has significant consequences for understanding how VSC influences molecular processes such as chemical reactivity and self‐assembly.</w:t>
      </w:r>
    </w:p>
    <w:p>
      <w:pPr>
        <w:spacing w:before="120" w:after="120"/>
      </w:pPr>
      <w:r>
        <w:rPr>
          <w:sz w:val="18"/>
        </w:rPr>
        <w:t>——————————————————————————————————————————————————————————————————————</w:t>
      </w:r>
    </w:p>
    <w:p>
      <w:pPr>
        <w:spacing w:before="160" w:after="80" w:line="240" w:lineRule="auto"/>
      </w:pPr>
      <w:r>
        <w:rPr>
          <w:b/>
        </w:rPr>
        <w:t xml:space="preserve">[584] </w:t>
      </w:r>
      <w:hyperlink r:id="rId1039">
        <w:r>
          <w:rPr>
            <w:color w:val="1155CC"/>
            <w:u w:val="single"/>
          </w:rPr>
          <w:t>Spatial Decoupling of Adsorption and Transformation Sites on Ag‐Cu Dual‐Single‐Atom Catalysts for Highly Selective Photocatalytic Nitrate‐to‐Ammonia 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0">
        <w:r>
          <w:rPr>
            <w:color w:val="1155CC"/>
            <w:u w:val="single"/>
          </w:rPr>
          <w:t>10.1002/anie.202516964</w:t>
        </w:r>
      </w:hyperlink>
    </w:p>
    <w:p>
      <w:pPr>
        <w:spacing w:before="0" w:after="120"/>
      </w:pPr>
      <w:r>
        <w:rPr>
          <w:b/>
        </w:rPr>
        <w:t xml:space="preserve">Notes: </w:t>
      </w:r>
      <w:r>
        <w:t>abstract_source=crossref</w:t>
      </w:r>
    </w:p>
    <w:p>
      <w:pPr>
        <w:spacing w:before="0" w:after="200" w:lineRule="auto" w:line="276"/>
      </w:pPr>
      <w:r>
        <w:rPr>
          <w:b/>
        </w:rPr>
        <w:t xml:space="preserve">Abstract: </w:t>
      </w:r>
      <w:r>
        <w:t>Photocatalytic nitrate (NO</w:t>
      </w:r>
      <w:r>
        <w:rPr>
          <w:vertAlign w:val="subscript"/>
        </w:rPr>
        <w:t>3</w:t>
      </w:r>
      <w:r>
        <w:t>–</w:t>
      </w:r>
      <w:r>
        <w:t xml:space="preserve"> </w:t>
      </w:r>
      <w:r>
        <w:t>) reduction to ammonia (NH</w:t>
      </w:r>
      <w:r>
        <w:rPr>
          <w:vertAlign w:val="subscript"/>
        </w:rPr>
        <w:t>3</w:t>
      </w:r>
      <w:r>
        <w:t>) presents a sustainable solution for simultaneous NH</w:t>
      </w:r>
      <w:r>
        <w:rPr>
          <w:vertAlign w:val="subscript"/>
        </w:rPr>
        <w:t>3</w:t>
      </w:r>
      <w:r>
        <w:t>synthesis and wastewater remediation. However, achieving high selectivity is challenging, plagued by sluggish kinetics and parasitic side reactions. In this study, we rationally design a synergistic Ag‐Cu dual‐atom catalyst on g‐C</w:t>
      </w:r>
      <w:r>
        <w:rPr>
          <w:vertAlign w:val="subscript"/>
        </w:rPr>
        <w:t>3</w:t>
      </w:r>
      <w:r>
        <w:t>N</w:t>
      </w:r>
      <w:r>
        <w:rPr>
          <w:vertAlign w:val="subscript"/>
        </w:rPr>
        <w:t>4</w:t>
      </w:r>
      <w:r>
        <w:t>(AgCu‐CN) that embodies a spatially decoupled tandem scheme. We demonstrate that the oxophilic Cu</w:t>
      </w:r>
      <w:r>
        <w:rPr>
          <w:vertAlign w:val="subscript"/>
        </w:rPr>
        <w:t>1</w:t>
      </w:r>
      <w:r>
        <w:t>site serve as Lewis acid centers to efficiently capture and activate NO</w:t>
      </w:r>
      <w:r>
        <w:rPr>
          <w:vertAlign w:val="subscript"/>
        </w:rPr>
        <w:t>3</w:t>
      </w:r>
      <w:r>
        <w:t>–</w:t>
      </w:r>
      <w:r>
        <w:t xml:space="preserve"> </w:t>
      </w:r>
      <w:r>
        <w:t>, before the crucial *NO intermediate is shuttled to adjacent Ag</w:t>
      </w:r>
      <w:r>
        <w:rPr>
          <w:vertAlign w:val="subscript"/>
        </w:rPr>
        <w:t>1</w:t>
      </w:r>
      <w:r>
        <w:t>site, which is intrinsically inert toward the hydrogen evolution reaction, act as dedicated hydrogenation center for rapid and deep *NO reduction. This atomic‐level synergy manifests in a state‐of‐the‐art performance, with AgCu‐CN delivering an impressive 98% NH</w:t>
      </w:r>
      <w:r>
        <w:rPr>
          <w:vertAlign w:val="subscript"/>
        </w:rPr>
        <w:t>3</w:t>
      </w:r>
      <w:r>
        <w:t>selectivity and a production rate of 630.5 µmol h</w:t>
      </w:r>
      <w:r>
        <w:t xml:space="preserve"> </w:t>
      </w:r>
      <w:r>
        <w:t>−1</w:t>
      </w:r>
      <w:r>
        <w:t xml:space="preserve"> </w:t>
      </w:r>
      <w:r>
        <w:t>g</w:t>
      </w:r>
      <w:r>
        <w:t xml:space="preserve"> </w:t>
      </w:r>
      <w:r>
        <w:t>−1</w:t>
      </w:r>
      <w:r>
        <w:t xml:space="preserve"> </w:t>
      </w:r>
      <w:r>
        <w:t>under visible light. In situ spectroscopic studies and theoretical calculations corroborate the tandem mechanism and the critical role of the Ag‐Cu dual sites in steering reaction selectivity. This study establishes a powerful tandem catalytic design principle to manage the selectivity challenges in complex multi‐proton/electron reactions.</w:t>
      </w:r>
    </w:p>
    <w:p>
      <w:pPr>
        <w:spacing w:before="120" w:after="120"/>
      </w:pPr>
      <w:r>
        <w:rPr>
          <w:sz w:val="18"/>
        </w:rPr>
        <w:t>——————————————————————————————————————————————————————————————————————</w:t>
      </w:r>
    </w:p>
    <w:p>
      <w:pPr>
        <w:spacing w:before="160" w:after="80" w:line="240" w:lineRule="auto"/>
      </w:pPr>
      <w:r>
        <w:rPr>
          <w:b/>
        </w:rPr>
        <w:t xml:space="preserve">[585] </w:t>
      </w:r>
      <w:hyperlink r:id="rId1041">
        <w:r>
          <w:rPr>
            <w:color w:val="1155CC"/>
            <w:u w:val="single"/>
          </w:rPr>
          <w:t>Chlorinated‐Solvent‐Based Electrolyte for Safe and Stable Lithium Battery Chemistry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2">
        <w:r>
          <w:rPr>
            <w:color w:val="1155CC"/>
            <w:u w:val="single"/>
          </w:rPr>
          <w:t>10.1002/anie.202516987</w:t>
        </w:r>
      </w:hyperlink>
    </w:p>
    <w:p>
      <w:pPr>
        <w:spacing w:before="0" w:after="120"/>
      </w:pPr>
      <w:r>
        <w:rPr>
          <w:b/>
        </w:rPr>
        <w:t xml:space="preserve">Notes: </w:t>
      </w:r>
      <w:r>
        <w:t>abstract_source=crossref</w:t>
      </w:r>
    </w:p>
    <w:p>
      <w:pPr>
        <w:spacing w:before="0" w:after="200" w:lineRule="auto" w:line="276"/>
      </w:pPr>
      <w:r>
        <w:rPr>
          <w:b/>
        </w:rPr>
        <w:t xml:space="preserve">Abstract: </w:t>
      </w:r>
      <w:r>
        <w:t>The current lithium battery technology is greatly limited by safety concerns. Fluorinated and organophosphorus solvents can reduce the electrolyte flammability. However, these solvents are not fire‐retardant efficiently for lithiated anodes. Here, for the first time, we report an all‐chlorinated‐solvent design strategy to enable electrolytes with durability, non‐flammability and fire‐proof. We demonstrate that the premature battery failure in chlorinated ether electrolytes is mainly caused by the low anode compatibility and aluminum current collector corrosion originating from the dissolution of LiCl‐rich solid electrolyte interphase, which can be efficiently overcome by interphase regulation via film‐forming chlorinated carbonate and promoted anion reduction. These insights were applied to graphite||LiFePO</w:t>
      </w:r>
      <w:r>
        <w:rPr>
          <w:vertAlign w:val="subscript"/>
        </w:rPr>
        <w:t>4</w:t>
      </w:r>
      <w:r>
        <w:t>full cells, which presented high capacity retention together with promising safety assurance under thermal, electrical and mechanical abuse conditions, outperforming traditional electrolytes. We also applied the as‐developed fire‐proof electrolytes to 4.4 V high‐loading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cells and attained durable cycling features without current collector corrosion. This work provides the design criteria for developing fire‐retardant electrolytes for highly safe lithium batteries.</w:t>
      </w:r>
    </w:p>
    <w:p>
      <w:pPr>
        <w:spacing w:before="120" w:after="120"/>
      </w:pPr>
      <w:r>
        <w:rPr>
          <w:sz w:val="18"/>
        </w:rPr>
        <w:t>——————————————————————————————————————————————————————————————————————</w:t>
      </w:r>
    </w:p>
    <w:p>
      <w:pPr>
        <w:spacing w:before="160" w:after="80" w:line="240" w:lineRule="auto"/>
      </w:pPr>
      <w:r>
        <w:rPr>
          <w:b/>
        </w:rPr>
        <w:t xml:space="preserve">[586] </w:t>
      </w:r>
      <w:hyperlink r:id="rId1043">
        <w:r>
          <w:rPr>
            <w:color w:val="1155CC"/>
            <w:u w:val="single"/>
          </w:rPr>
          <w:t>High‐Entropy Topologically Close‐Packed Ir Alloys Enable Interatomic Hydrogen Spillover for Hydrogen Evolution toward High‐Performing Anion Exchange Membrane Water Electrolyzers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4">
        <w:r>
          <w:rPr>
            <w:color w:val="1155CC"/>
            <w:u w:val="single"/>
          </w:rPr>
          <w:t>10.1002/anie.202517120</w:t>
        </w:r>
      </w:hyperlink>
    </w:p>
    <w:p>
      <w:pPr>
        <w:spacing w:before="0" w:after="120"/>
      </w:pPr>
      <w:r>
        <w:rPr>
          <w:b/>
        </w:rPr>
        <w:t xml:space="preserve">Notes: </w:t>
      </w:r>
      <w:r>
        <w:t>abstract_source=crossref</w:t>
      </w:r>
    </w:p>
    <w:p>
      <w:pPr>
        <w:spacing w:before="0" w:after="200" w:lineRule="auto" w:line="276"/>
      </w:pPr>
      <w:r>
        <w:rPr>
          <w:b/>
        </w:rPr>
        <w:t xml:space="preserve">Abstract: </w:t>
      </w:r>
      <w:r>
        <w:t>The efficiency of alkaline hydrogen evolution reaction (HER) is strictly restricted by the insufficient active hydrogen supply. Here, we develop high‐entropy topologically close‐packed C15‐(IrRh)</w:t>
      </w:r>
      <w:r>
        <w:rPr>
          <w:vertAlign w:val="subscript"/>
        </w:rPr>
        <w:t>2</w:t>
      </w:r>
      <w:r>
        <w:t>PrNdTb nanocrystals with enhanced interatomic hydrogen spillover from oxophilic sites (Pr/Nd/Tb) to nucleophilic sites (Ir/Rh) as efficient HER electrocatalysts for anion exchange membrane water electrolyzers (AEMWEs). Compared to the disordered (A1) counterpart, intermetallic C15‐(IrRh)</w:t>
      </w:r>
      <w:r>
        <w:rPr>
          <w:vertAlign w:val="subscript"/>
        </w:rPr>
        <w:t>2</w:t>
      </w:r>
      <w:r>
        <w:t>PrNdTb features a higher coordination number for Pr/Nd/Tb and a more electron‐rich environment for Ir/Rh with compressed Ir–Ir(Rh) bonds. In 1.0 M KOH, C15‐(IrRh)</w:t>
      </w:r>
      <w:r>
        <w:rPr>
          <w:vertAlign w:val="subscript"/>
        </w:rPr>
        <w:t>2</w:t>
      </w:r>
      <w:r>
        <w:t>PrNdTb reveals an ultralow HER overpotential of only 8 and 34 mV to reach 10 and 100 mA cm</w:t>
      </w:r>
      <w:r>
        <w:t xml:space="preserve"> </w:t>
      </w:r>
      <w:r>
        <w:t>−2</w:t>
      </w:r>
      <w:r>
        <w:t xml:space="preserve"> </w:t>
      </w:r>
      <w:r>
        <w:t>, respectively. The AEMWE with C15‐(IrRh)</w:t>
      </w:r>
      <w:r>
        <w:rPr>
          <w:vertAlign w:val="subscript"/>
        </w:rPr>
        <w:t>2</w:t>
      </w:r>
      <w:r>
        <w:t>PrNdTb cathode delivers an industrial‐level current density of 1 A cm</w:t>
      </w:r>
      <w:r>
        <w:t xml:space="preserve"> </w:t>
      </w:r>
      <w:r>
        <w:t>−2</w:t>
      </w:r>
      <w:r>
        <w:t xml:space="preserve"> </w:t>
      </w:r>
      <w:r>
        <w:t>at only 1.69 V, and could be operated stably for over 2000 h (64 µV h</w:t>
      </w:r>
      <w:r>
        <w:t xml:space="preserve"> </w:t>
      </w:r>
      <w:r>
        <w:t>−1</w:t>
      </w:r>
      <w:r>
        <w:t xml:space="preserve"> </w:t>
      </w:r>
      <w:r>
        <w:t>loss), representing one of the best alkaline HER catalysts ever reported. The markedly enhanced hydrogen adsorption/desorption kinetics on C15‐(IrRh)</w:t>
      </w:r>
      <w:r>
        <w:rPr>
          <w:vertAlign w:val="subscript"/>
        </w:rPr>
        <w:t>2</w:t>
      </w:r>
      <w:r>
        <w:t>PrNdTb demonstrates an additional active hydrogen migration step via hydrogen spillover during HER. Density functional theory (DFT) calculations indicate that the strong</w:t>
      </w:r>
      <w:r>
        <w:t xml:space="preserve"> </w:t>
      </w:r>
      <w:r>
        <w:t>d</w:t>
      </w:r>
      <w:r>
        <w:t xml:space="preserve"> </w:t>
      </w:r>
      <w:r>
        <w:t>‐</w:t>
      </w:r>
      <w:r>
        <w:t xml:space="preserve"> </w:t>
      </w:r>
      <w:r>
        <w:t>f</w:t>
      </w:r>
      <w:r>
        <w:t xml:space="preserve"> </w:t>
      </w:r>
      <w:r>
        <w:t>orbital coupling in C15‐(IrRh)</w:t>
      </w:r>
      <w:r>
        <w:rPr>
          <w:vertAlign w:val="subscript"/>
        </w:rPr>
        <w:t>2</w:t>
      </w:r>
      <w:r>
        <w:t>PrNdTb establishes efficient interatomic hydrogen spillover pathways through Pr(Nd/Tb)–Ir(Rh) hollow site to Ir(Rh)–Ir(Rh) bridge site to Ir(Rh)–Ir(Rh) hollow site, thereby accelerating HER kinetics.</w:t>
      </w:r>
    </w:p>
    <w:p>
      <w:pPr>
        <w:spacing w:before="120" w:after="120"/>
      </w:pPr>
      <w:r>
        <w:rPr>
          <w:sz w:val="18"/>
        </w:rPr>
        <w:t>——————————————————————————————————————————————————————————————————————</w:t>
      </w:r>
    </w:p>
    <w:p>
      <w:pPr>
        <w:spacing w:before="160" w:after="80" w:line="240" w:lineRule="auto"/>
      </w:pPr>
      <w:r>
        <w:rPr>
          <w:b/>
        </w:rPr>
        <w:t xml:space="preserve">[587] </w:t>
      </w:r>
      <w:hyperlink r:id="rId1045">
        <w:r>
          <w:rPr>
            <w:color w:val="1155CC"/>
            <w:u w:val="single"/>
          </w:rPr>
          <w:t>Crystal Facet Engineering of BiOCl Fillers in Solid Polymer Electrolytes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6">
        <w:r>
          <w:rPr>
            <w:color w:val="1155CC"/>
            <w:u w:val="single"/>
          </w:rPr>
          <w:t>10.1002/anie.202517142</w:t>
        </w:r>
      </w:hyperlink>
    </w:p>
    <w:p>
      <w:pPr>
        <w:spacing w:before="0" w:after="120"/>
      </w:pPr>
      <w:r>
        <w:rPr>
          <w:b/>
        </w:rPr>
        <w:t xml:space="preserve">Notes: </w:t>
      </w:r>
      <w:r>
        <w:t>abstract_source=crossref</w:t>
      </w:r>
    </w:p>
    <w:p>
      <w:pPr>
        <w:spacing w:before="0" w:after="200" w:lineRule="auto" w:line="276"/>
      </w:pPr>
      <w:r>
        <w:rPr>
          <w:b/>
        </w:rPr>
        <w:t xml:space="preserve">Abstract: </w:t>
      </w:r>
      <w:r>
        <w:t>Solid polymer electrolytes (SPEs) have attracted much attention due to their high flexibility and good interfacial contact with electrodes. Incorporating appropriate inorganic fillers into the polymer matrix is a normal and effective method to improve its performance. Despite extensive research on novel fillers, the role of filler crystal facets in SPEs remains unexplored. In this work, BiOCl nanosheets with exposed {001} and {010} facets (BOC‐001 and BOC‐010) are selectively applied as fillers to form composite solid polymer electrolytes (CSPE‐BOC). Both calculations and experimental measurements reveal that filler of BOC‐010 promote the dissociation of LiTFSI more effectively and facilitate faster Li</w:t>
      </w:r>
      <w:r>
        <w:t xml:space="preserve"> </w:t>
      </w:r>
      <w:r>
        <w:t>+</w:t>
      </w:r>
      <w:r>
        <w:t xml:space="preserve"> </w:t>
      </w:r>
      <w:r>
        <w:t>migration on its surface, compared to BOC‐001. As a result, CSPE‐10BOC‐010 exhibits an enhanced Li</w:t>
      </w:r>
      <w:r>
        <w:t xml:space="preserve"> </w:t>
      </w:r>
      <w:r>
        <w:t>+</w:t>
      </w:r>
      <w:r>
        <w:t xml:space="preserve"> </w:t>
      </w:r>
      <w:r>
        <w:t>ionic conductivity (0.83 mS cm</w:t>
      </w:r>
      <w:r>
        <w:t xml:space="preserve"> </w:t>
      </w:r>
      <w:r>
        <w:t>−1</w:t>
      </w:r>
      <w:r>
        <w:t xml:space="preserve"> </w:t>
      </w:r>
      <w:r>
        <w:t>at 60 °C) and Li</w:t>
      </w:r>
      <w:r>
        <w:t xml:space="preserve"> </w:t>
      </w:r>
      <w:r>
        <w:t>+</w:t>
      </w:r>
      <w:r>
        <w:t xml:space="preserve"> </w:t>
      </w:r>
      <w:r>
        <w:t>transference number (0.38). The Li symmetric cells with the CSPE‐BOC‐010 exhibit an ultra‐long lifespan, with more than 2,000 hours of stable cycling at 0.2 mA cm</w:t>
      </w:r>
      <w:r>
        <w:t xml:space="preserve"> </w:t>
      </w:r>
      <w:r>
        <w:t>−2</w:t>
      </w:r>
      <w:r>
        <w:t xml:space="preserve"> </w:t>
      </w:r>
      <w:r>
        <w:t>. The Li/CSPE‐10BOC‐010/LFP battery also has an excellent cycling performance at 60 °C, retaining140 mA h g</w:t>
      </w:r>
      <w:r>
        <w:t xml:space="preserve"> </w:t>
      </w:r>
      <w:r>
        <w:t>−1</w:t>
      </w:r>
      <w:r>
        <w:t xml:space="preserve"> </w:t>
      </w:r>
      <w:r>
        <w:t>at 1 C after 390 cycles. This work deepens the understanding of the crystal plane characteristics of fillers in SPEs and offers a novel, promising strategy to enhance SPE performance.</w:t>
      </w:r>
    </w:p>
    <w:p>
      <w:pPr>
        <w:spacing w:before="120" w:after="120"/>
      </w:pPr>
      <w:r>
        <w:rPr>
          <w:sz w:val="18"/>
        </w:rPr>
        <w:t>——————————————————————————————————————————————————————————————————————</w:t>
      </w:r>
    </w:p>
    <w:p>
      <w:pPr>
        <w:spacing w:before="160" w:after="80" w:line="240" w:lineRule="auto"/>
      </w:pPr>
      <w:r>
        <w:rPr>
          <w:b/>
        </w:rPr>
        <w:t xml:space="preserve">[588] </w:t>
      </w:r>
      <w:hyperlink r:id="rId1047">
        <w:r>
          <w:rPr>
            <w:color w:val="1155CC"/>
            <w:u w:val="single"/>
          </w:rPr>
          <w:t>Synergistic SuFEx‐Driven Covalent Cancer Therapy Using a HER2/EGFR Bivalent Affinity Protein Drug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8">
        <w:r>
          <w:rPr>
            <w:color w:val="1155CC"/>
            <w:u w:val="single"/>
          </w:rPr>
          <w:t>10.1002/anie.202517155</w:t>
        </w:r>
      </w:hyperlink>
    </w:p>
    <w:p>
      <w:pPr>
        <w:spacing w:before="0" w:after="120"/>
      </w:pPr>
      <w:r>
        <w:rPr>
          <w:b/>
        </w:rPr>
        <w:t xml:space="preserve">Notes: </w:t>
      </w:r>
      <w:r>
        <w:t>abstract_source=crossref</w:t>
      </w:r>
    </w:p>
    <w:p>
      <w:pPr>
        <w:spacing w:before="0" w:after="200" w:lineRule="auto" w:line="276"/>
      </w:pPr>
      <w:r>
        <w:rPr>
          <w:b/>
        </w:rPr>
        <w:t xml:space="preserve">Abstract: </w:t>
      </w:r>
      <w:r>
        <w:t>The integration of sulfur fluoride exchange (SuFEx) chemistry into proteins is significantly advancing their applications in biological fields. However, its suboptimal reaction rates in proteins limit the effectiveness of covalent crosslinking. In this study, we develop a bivalent affinity protein drug by chemically coupling maleimide‐substituted aryl fluorosulfate (MFS) linkers to a dual‐targeting affinity protein drug that can covalently target both HER2 and EGFR. Benefiting from the HER2/EGFR ligand‐assisted multivalent interactions, the obtained bivalent affinity protein drug with two MFS warheads exhibits an enhancement of covalent cross‐link performance, which is 440% and 630% higher than that of monovalent ones. Generally, the bivalent affinity protein drug achieves over 80% covalent binding efficiency to its targets within 12 h and ultimately achieves 290% to 340% higher intracellular uptake and 360% to 460% longer tumor retention compared with that of monovalent or non‐covalent control. Consequently, this bivalent affinity protein drug showed extraordinary antitumor efficacy in HER2/EGFR‐positive pancreatic tumor models with a tumor inhibition rate (TIR) of 90.4%, which was significantly higher than that of monovalent or non‐covalent ones (28.4% to 66.9%). In brief, this SuFEx‐engineered, bivalent targeted strategy provides a promising platform for the design of covalent protein drugs in the future.</w:t>
      </w:r>
    </w:p>
    <w:p>
      <w:pPr>
        <w:spacing w:before="120" w:after="120"/>
      </w:pPr>
      <w:r>
        <w:rPr>
          <w:sz w:val="18"/>
        </w:rPr>
        <w:t>——————————————————————————————————————————————————————————————————————</w:t>
      </w:r>
    </w:p>
    <w:p>
      <w:pPr>
        <w:spacing w:before="160" w:after="80" w:line="240" w:lineRule="auto"/>
      </w:pPr>
      <w:r>
        <w:rPr>
          <w:b/>
        </w:rPr>
        <w:t xml:space="preserve">[589] </w:t>
      </w:r>
      <w:hyperlink r:id="rId1049">
        <w:r>
          <w:rPr>
            <w:color w:val="1155CC"/>
            <w:u w:val="single"/>
          </w:rPr>
          <w:t>Cation‐π Mediated Weak Solvation Chemistry Enables Dendrite‐Suppressed Gel Polymer Electrolytes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50">
        <w:r>
          <w:rPr>
            <w:color w:val="1155CC"/>
            <w:u w:val="single"/>
          </w:rPr>
          <w:t>10.1002/anie.202517516</w:t>
        </w:r>
      </w:hyperlink>
    </w:p>
    <w:p>
      <w:pPr>
        <w:spacing w:before="0" w:after="120"/>
      </w:pPr>
      <w:r>
        <w:rPr>
          <w:b/>
        </w:rPr>
        <w:t xml:space="preserve">Notes: </w:t>
      </w:r>
      <w:r>
        <w:t>abstract_source=crossref</w:t>
      </w:r>
    </w:p>
    <w:p>
      <w:pPr>
        <w:spacing w:before="0" w:after="200" w:lineRule="auto" w:line="276"/>
      </w:pPr>
      <w:r>
        <w:rPr>
          <w:b/>
        </w:rPr>
        <w:t xml:space="preserve">Abstract: </w:t>
      </w:r>
      <w:r>
        <w:t>Gel polymer electrolytes (GPEs), despite their flexibility, non‐leakage, and processability as promising candidates of electrolytes for high‐energy‐density lithium batteries, persistently face the challenge of high desolvation energy caused by robust solvation interactions. Such high desolvation energy compromises interfacial kinetics, resulting in uneven lithium deposition and uncontrollable lithium dendrite growth. In this study, we reveal that the off‐domain π‐electron cloud of the aromatic ring in the side chains can introduce cation−π interactions to engineer weakly solvated structures, substantially reducing desolvation barriers. In addition, it is demonstrated that cation−π interactions competitively disrupt Li</w:t>
      </w:r>
      <w:r>
        <w:t xml:space="preserve"> </w:t>
      </w:r>
      <w:r>
        <w:t>+</w:t>
      </w:r>
      <w:r>
        <w:t xml:space="preserve"> </w:t>
      </w:r>
      <w:r>
        <w:t>−solvent coordination, attenuating binding forces between Li</w:t>
      </w:r>
      <w:r>
        <w:t xml:space="preserve"> </w:t>
      </w:r>
      <w:r>
        <w:t>+</w:t>
      </w:r>
      <w:r>
        <w:t xml:space="preserve"> </w:t>
      </w:r>
      <w:r>
        <w:t>and solvent molecules to promote rapid interfacial kinetics, thereby suppressing the lithium dendrite growth and enhancing interfacial stability. As a result, the cation−π chemistry enables Li||Li symmetric cell to achieve stable lithium plating/stripping over 2000 h, whereas Li||LFP full cell retains 91.6% capacity after 900 cycles at 1 C. Remarkably, 1.0 Ah pouch cell preserves 94.6% capacity after 300 cycles, and the 4.5 Ah pouch cell delivers a stable energy density of 321 Wh kg</w:t>
      </w:r>
      <w:r>
        <w:t xml:space="preserve"> </w:t>
      </w:r>
      <w:r>
        <w:t>−1</w:t>
      </w:r>
      <w:r>
        <w:t xml:space="preserve"> </w:t>
      </w:r>
      <w:r>
        <w:t>. This cation−π mediated weak solvation chemistry provides valuable guidance for developing high‐performance gel polymer lithium batteries.</w:t>
      </w:r>
    </w:p>
    <w:p>
      <w:pPr>
        <w:spacing w:before="120" w:after="120"/>
      </w:pPr>
      <w:r>
        <w:rPr>
          <w:sz w:val="18"/>
        </w:rPr>
        <w:t>——————————————————————————————————————————————————————————————————————</w:t>
      </w:r>
    </w:p>
    <w:p>
      <w:pPr>
        <w:spacing w:before="160" w:after="80" w:line="240" w:lineRule="auto"/>
      </w:pPr>
      <w:r>
        <w:rPr>
          <w:b/>
        </w:rPr>
        <w:t xml:space="preserve">[590] </w:t>
      </w:r>
      <w:hyperlink r:id="rId1051">
        <w:r>
          <w:rPr>
            <w:color w:val="1155CC"/>
            <w:u w:val="single"/>
          </w:rPr>
          <w:t>A Universal Principle of Lithium Bond Characteristics in Lithium Battery Electrolytes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52">
        <w:r>
          <w:rPr>
            <w:color w:val="1155CC"/>
            <w:u w:val="single"/>
          </w:rPr>
          <w:t>10.1002/anie.202517523</w:t>
        </w:r>
      </w:hyperlink>
    </w:p>
    <w:p>
      <w:pPr>
        <w:spacing w:before="0" w:after="120"/>
      </w:pPr>
      <w:r>
        <w:rPr>
          <w:b/>
        </w:rPr>
        <w:t xml:space="preserve">Notes: </w:t>
      </w:r>
      <w:r>
        <w:t>abstract_source=crossref</w:t>
      </w:r>
    </w:p>
    <w:p>
      <w:pPr>
        <w:spacing w:before="0" w:after="200" w:lineRule="auto" w:line="276"/>
      </w:pPr>
      <w:r>
        <w:rPr>
          <w:b/>
        </w:rPr>
        <w:t xml:space="preserve">Abstract: </w:t>
      </w:r>
      <w:r>
        <w:t>Understanding the interactions between lithium (Li) and coordinated compounds is fundamental to elucidating the working mechanisms of Li batteries and informing the design principles of emerging battery materials. Li bonds, analogous to hydrogen bonds, play a central role in these interactions. However, the characteristics of Li bonds in working Li batteries are not fully explored due to the complexity of battery systems, hindering the advancement of Li bond theory in working batteries. In this work, a universal principle of Li bonds is established by combining theoretical calculations and machine learning techniques. Using organic electrolytes as modeling systems, the universal existence of Li bonds was first verified, particularly under high‐salt‐concentration conditions. A distinct characteristic of a coordination number of four was also demonstrated, distinguishing Li bonds from ionic bonds, consistent with electron localization region deviations around Li‐ions. The influence of electrolyte components on Li bond characteristics was further revealed by</w:t>
      </w:r>
      <w:r>
        <w:rPr>
          <w:vertAlign w:val="subscript"/>
        </w:rPr>
        <w:t>7</w:t>
      </w:r>
      <w:r>
        <w:t>Li nuclear magnetic resonance (NMR) chemical shifts, and an ensemble machine learning model was constructed that quantitatively predicts</w:t>
      </w:r>
      <w:r>
        <w:rPr>
          <w:vertAlign w:val="subscript"/>
        </w:rPr>
        <w:t>7</w:t>
      </w:r>
      <w:r>
        <w:t>Li NMR chemical shifts with high accuracy. This work establishes a universal principle of Li bond characteristics in batteries, advancing fundamental Li chemistry, and guiding rational design for next‐generation Li batteries.</w:t>
      </w:r>
    </w:p>
    <w:p>
      <w:pPr>
        <w:spacing w:before="120" w:after="120"/>
      </w:pPr>
      <w:r>
        <w:rPr>
          <w:sz w:val="18"/>
        </w:rPr>
        <w:t>——————————————————————————————————————————————————————————————————————</w:t>
      </w:r>
    </w:p>
    <w:p>
      <w:pPr>
        <w:spacing w:before="160" w:after="80" w:line="240" w:lineRule="auto"/>
      </w:pPr>
      <w:r>
        <w:rPr>
          <w:b/>
        </w:rPr>
        <w:t xml:space="preserve">[591] </w:t>
      </w:r>
      <w:hyperlink r:id="rId1053">
        <w:r>
          <w:rPr>
            <w:color w:val="1155CC"/>
            <w:u w:val="single"/>
          </w:rPr>
          <w:t>One Collision – Two Heteroatoms: Gas‐Phase Preparation of Azasilabenzenes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54">
        <w:r>
          <w:rPr>
            <w:color w:val="1155CC"/>
            <w:u w:val="single"/>
          </w:rPr>
          <w:t>10.1002/anie.202517656</w:t>
        </w:r>
      </w:hyperlink>
    </w:p>
    <w:p>
      <w:pPr>
        <w:spacing w:before="0" w:after="120"/>
      </w:pPr>
      <w:r>
        <w:rPr>
          <w:b/>
        </w:rPr>
        <w:t xml:space="preserve">Notes: </w:t>
      </w:r>
      <w:r>
        <w:t>abstract_source=crossref</w:t>
      </w:r>
    </w:p>
    <w:p>
      <w:pPr>
        <w:spacing w:before="0" w:after="200" w:lineRule="auto" w:line="276"/>
      </w:pPr>
      <w:r>
        <w:rPr>
          <w:b/>
        </w:rPr>
        <w:t xml:space="preserve">Abstract: </w:t>
      </w:r>
      <w:r>
        <w:t>Nature has long favored cyclic, particularly heterocyclic, molecules in the synthesis of key biomolecules. Silicon‐substituted hydrocarbons have gained increasing attention due to their unique chemical bonding and electronic structure compared to their iso‐valent carbon counterparts. However, the synthesis of silicon‐containing heterocyclic molecules remains a significant challenge. In this work, we investigate the reaction mechanism leading to a sparsely explored class of silicon‐ and nitrogen‐containing aromatic heterocycles, in which silicon and nitrogen atoms are positioned adjacently within an aromatic, six‐membered ring: azasilabenzenes. This is achieved through the reaction of the silicon nitride (SiN) radical with 1,3‐butadiene (C</w:t>
      </w:r>
      <w:r>
        <w:rPr>
          <w:vertAlign w:val="subscript"/>
        </w:rPr>
        <w:t>4</w:t>
      </w:r>
      <w:r>
        <w:t>H</w:t>
      </w:r>
      <w:r>
        <w:rPr>
          <w:vertAlign w:val="subscript"/>
        </w:rPr>
        <w:t>6</w:t>
      </w:r>
      <w:r>
        <w:t>) via single collision conditions, exploiting a crossed molecular beam experiment combined with electronic structure calculations and statistical analysis. Our results reveal the formation of two novel cyclic products: 1‐aza‐2‐silacyclohexa‐3,5‐dien‐2‐ylidene and 1‐aza‐2‐silabenzene. Interestingly, this reaction contrasts with the iso‐valent system involving the cyano radical (CN) and 1,3‐butadiene (C</w:t>
      </w:r>
      <w:r>
        <w:rPr>
          <w:vertAlign w:val="subscript"/>
        </w:rPr>
        <w:t>4</w:t>
      </w:r>
      <w:r>
        <w:t>H</w:t>
      </w:r>
      <w:r>
        <w:rPr>
          <w:vertAlign w:val="subscript"/>
        </w:rPr>
        <w:t>6</w:t>
      </w:r>
      <w:r>
        <w:t>), which predominantly yields an acyclic product (1‐cyano‐1,3‐butadiene) via a simple addition–elimination pathway. In addition to elucidating the reaction pathways, this study also provides insights into the nature of bonding and atomic interactions in the resulting products, offering a deeper understanding of structure–stability relationships in silicon–nitrogen heterocycles and the counterintuitive concept of iso‐valency.</w:t>
      </w:r>
    </w:p>
    <w:p>
      <w:pPr>
        <w:spacing w:before="120" w:after="120"/>
      </w:pPr>
      <w:r>
        <w:rPr>
          <w:sz w:val="18"/>
        </w:rPr>
        <w:t>——————————————————————————————————————————————————————————————————————</w:t>
      </w:r>
    </w:p>
    <w:p>
      <w:pPr>
        <w:spacing w:before="160" w:after="80" w:line="240" w:lineRule="auto"/>
      </w:pPr>
      <w:r>
        <w:rPr>
          <w:b/>
        </w:rPr>
        <w:t xml:space="preserve">[592] </w:t>
      </w:r>
      <w:hyperlink r:id="rId1055">
        <w:r>
          <w:rPr>
            <w:color w:val="1155CC"/>
            <w:u w:val="single"/>
          </w:rPr>
          <w:t>Crystal Packing–Trajectory Correlation in Topochemical Photoisomerization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56">
        <w:r>
          <w:rPr>
            <w:color w:val="1155CC"/>
            <w:u w:val="single"/>
          </w:rPr>
          <w:t>10.1002/anie.202518997</w:t>
        </w:r>
      </w:hyperlink>
    </w:p>
    <w:p>
      <w:pPr>
        <w:spacing w:before="0" w:after="120"/>
      </w:pPr>
      <w:r>
        <w:rPr>
          <w:b/>
        </w:rPr>
        <w:t xml:space="preserve">Notes: </w:t>
      </w:r>
      <w:r>
        <w:t>abstract_source=crossref</w:t>
      </w:r>
    </w:p>
    <w:p>
      <w:pPr>
        <w:spacing w:before="0" w:after="200" w:lineRule="auto" w:line="276"/>
      </w:pPr>
      <w:r>
        <w:rPr>
          <w:b/>
        </w:rPr>
        <w:t xml:space="preserve">Abstract: </w:t>
      </w:r>
      <w:r>
        <w:t>Solid‐state photoisomerization is often associated with loosely packed molecular arrangements that allow conformational flexibility. In this study, we explore this premise by synthesizing a library of salicylhydrazone derivatives, 16 of which were successfully crystallized and analyzed. Notably, several planarly close‐packed crystals exhibited clear photochromic responses when their local environments provided sufficient steric freedom near the reactive bonds. By systematically examining π–π stacking motifs and quantifying accessible volume along the isomerization trajectory, we reveal a robust correlation between local free volume and photoresponse. From these insights, we develop a crystal‐structure based molecular descriptor that condenses the steric environment into a single‐parameter, the “pedal space” and identify a critical threshold for solid‐state photoreactivity. We term this phenomenon</w:t>
      </w:r>
      <w:r>
        <w:t xml:space="preserve"> </w:t>
      </w:r>
      <w:r>
        <w:t>topochemical photoisomerization</w:t>
      </w:r>
      <w:r>
        <w:t xml:space="preserve"> </w:t>
      </w:r>
      <w:r>
        <w:t>, highlighting how subtle variations in molecular packing, such as slipped versus co‐facial stacking in</w:t>
      </w:r>
      <w:r>
        <w:t xml:space="preserve"> </w:t>
      </w:r>
      <w:r>
        <w:t>N</w:t>
      </w:r>
      <w:r>
        <w:t xml:space="preserve"> </w:t>
      </w:r>
      <w:r>
        <w:t>‐salicylideneaniline derivatives, dictate the resulting photochemical pathways. This study establishes a structural framework for the rational design of solid‐state photoswitchable materials through crystal‐engineering principles in silico, offering a route toward rapid, and cost‐effective development of responsive optoelectronic systems.</w:t>
      </w:r>
    </w:p>
    <w:p>
      <w:pPr>
        <w:spacing w:before="120" w:after="120"/>
      </w:pPr>
      <w:r>
        <w:rPr>
          <w:sz w:val="18"/>
        </w:rPr>
        <w:t>——————————————————————————————————————————————————————————————————————</w:t>
      </w:r>
    </w:p>
    <w:p>
      <w:pPr>
        <w:spacing w:before="160" w:after="80" w:line="240" w:lineRule="auto"/>
      </w:pPr>
      <w:r>
        <w:rPr>
          <w:b/>
        </w:rPr>
        <w:t xml:space="preserve">[593] </w:t>
      </w:r>
      <w:hyperlink r:id="rId1057">
        <w:r>
          <w:rPr>
            <w:color w:val="1155CC"/>
            <w:u w:val="single"/>
          </w:rPr>
          <w:t>Transient‐Promoter‐Stabilized NiFe Oxyhydroxide Enables Durable kW‐Scale Water Splitting Under Fluctuating Power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58">
        <w:r>
          <w:rPr>
            <w:color w:val="1155CC"/>
            <w:u w:val="single"/>
          </w:rPr>
          <w:t>10.1002/anie.202520825</w:t>
        </w:r>
      </w:hyperlink>
    </w:p>
    <w:p>
      <w:pPr>
        <w:spacing w:before="0" w:after="120"/>
      </w:pPr>
      <w:r>
        <w:rPr>
          <w:b/>
        </w:rPr>
        <w:t xml:space="preserve">Notes: </w:t>
      </w:r>
      <w:r>
        <w:t>abstract_source=crossref</w:t>
      </w:r>
    </w:p>
    <w:p>
      <w:pPr>
        <w:spacing w:before="0" w:after="200" w:lineRule="auto" w:line="276"/>
      </w:pPr>
      <w:r>
        <w:rPr>
          <w:b/>
        </w:rPr>
        <w:t xml:space="preserve">Abstract: </w:t>
      </w:r>
      <w:r>
        <w:t>Renewable‐powered water electrolysis provides a carbon‐neutral route to hydrogen, yet large‐scale deployment is constrained by reliance on stable but carbon‐intensive grid electricity. Direct integration with fluctuating renewable power requires catalysts and devices that can endure dynamic operating conditions. Here we present a transient‐promoter strategy for NiFe oxyhydroxide oxygen evolution reaction (OER) catalysts, realized from Ni</w:t>
      </w:r>
      <w:r>
        <w:rPr>
          <w:vertAlign w:val="subscript"/>
        </w:rPr>
        <w:t>3</w:t>
      </w:r>
      <w:r>
        <w:t>Fe</w:t>
      </w:r>
      <w:r>
        <w:t xml:space="preserve"> </w:t>
      </w:r>
      <w:r>
        <w:t>1.2</w:t>
      </w:r>
      <w:r>
        <w:t xml:space="preserve"> </w:t>
      </w:r>
      <w:r>
        <w:t>Cr</w:t>
      </w:r>
      <w:r>
        <w:t xml:space="preserve"> </w:t>
      </w:r>
      <w:r>
        <w:t>0.8</w:t>
      </w:r>
      <w:r>
        <w:t xml:space="preserve"> </w:t>
      </w:r>
      <w:r>
        <w:t>O</w:t>
      </w:r>
      <w:r>
        <w:t xml:space="preserve"> </w:t>
      </w:r>
      <w:r>
        <w:t>x</w:t>
      </w:r>
      <w:r>
        <w:t xml:space="preserve"> </w:t>
      </w:r>
      <w:r>
        <w:t>precursor, for kilowatt‐scale anion exchange membrane water electrolyzers (AEMWEs). Ex situ and</w:t>
      </w:r>
      <w:r>
        <w:t xml:space="preserve"> </w:t>
      </w:r>
      <w:r>
        <w:t>operando</w:t>
      </w:r>
      <w:r>
        <w:t xml:space="preserve"> </w:t>
      </w:r>
      <w:r>
        <w:t>spectroscopy establish that Cr (i) modulates Ni/Fe oxidation states to enrich positive charge and facilitate oxyhydroxide formation, (ii) induces porosity that enhances electrolyte penetration and OH</w:t>
      </w:r>
      <w:r>
        <w:t xml:space="preserve"> </w:t>
      </w:r>
      <w:r>
        <w:t>−</w:t>
      </w:r>
      <w:r>
        <w:t>adsorption, and (iii) leaches sacrificially to protect Ni/Fe active sites. Lab‐scale AEMWE device achieves an industrially relevant current density of 1 A cm</w:t>
      </w:r>
      <w:r>
        <w:t xml:space="preserve"> </w:t>
      </w:r>
      <w:r>
        <w:t>−</w:t>
      </w:r>
      <w:r>
        <w:rPr>
          <w:vertAlign w:val="subscript"/>
        </w:rPr>
        <w:t>2</w:t>
      </w:r>
      <w:r>
        <w:t>at a cell voltage of 1.68 V and sustains continuous operation for over 30 days under both constant and fluctuating loads. Scaling from 1 cm</w:t>
      </w:r>
      <w:r>
        <w:rPr>
          <w:vertAlign w:val="subscript"/>
        </w:rPr>
        <w:t>2</w:t>
      </w:r>
      <w:r>
        <w:t>AEMWE to an 8‐cell, 512 cm</w:t>
      </w:r>
      <w:r>
        <w:rPr>
          <w:vertAlign w:val="subscript"/>
        </w:rPr>
        <w:t>2</w:t>
      </w:r>
      <w:r>
        <w:t>stack, the system can handle an electrical power of 2.5 kW at peak, and delivers 1 A cm</w:t>
      </w:r>
      <w:r>
        <w:t xml:space="preserve"> </w:t>
      </w:r>
      <w:r>
        <w:t>−</w:t>
      </w:r>
      <w:r>
        <w:rPr>
          <w:vertAlign w:val="subscript"/>
        </w:rPr>
        <w:t>2</w:t>
      </w:r>
      <w:r>
        <w:t>at 1.78 V per cell at 60 °C. The stack remains resilient over 13 simulated solar cycles (&amp;gt;50 h), underscoring the feasibility of integrating renewable electricity with durable, NiFe oxyhydroxide OER catalyst based AEMWEs.</w:t>
      </w:r>
    </w:p>
    <w:p>
      <w:pPr>
        <w:spacing w:before="120" w:after="120"/>
      </w:pPr>
      <w:r>
        <w:rPr>
          <w:sz w:val="18"/>
        </w:rPr>
        <w:t>——————————————————————————————————————————————————————————————————————</w:t>
      </w:r>
    </w:p>
    <w:p>
      <w:pPr>
        <w:spacing w:before="160" w:after="80" w:line="240" w:lineRule="auto"/>
      </w:pPr>
      <w:r>
        <w:rPr>
          <w:b/>
        </w:rPr>
        <w:t xml:space="preserve">[594] </w:t>
      </w:r>
      <w:hyperlink r:id="rId1059">
        <w:r>
          <w:rPr>
            <w:color w:val="1155CC"/>
            <w:u w:val="single"/>
          </w:rPr>
          <w:t>Picosecond Stabilization of Transferred Charge Carriers at Plasmonic Metal–Molecule Interfaces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0">
        <w:r>
          <w:rPr>
            <w:color w:val="1155CC"/>
            <w:u w:val="single"/>
          </w:rPr>
          <w:t>10.1002/anie.202517934</w:t>
        </w:r>
      </w:hyperlink>
    </w:p>
    <w:p>
      <w:pPr>
        <w:spacing w:before="0" w:after="120"/>
      </w:pPr>
      <w:r>
        <w:rPr>
          <w:b/>
        </w:rPr>
        <w:t xml:space="preserve">Notes: </w:t>
      </w:r>
      <w:r>
        <w:t>abstract_source=crossref</w:t>
      </w:r>
    </w:p>
    <w:p>
      <w:pPr>
        <w:spacing w:before="0" w:after="200" w:lineRule="auto" w:line="276"/>
      </w:pPr>
      <w:r>
        <w:rPr>
          <w:b/>
        </w:rPr>
        <w:t xml:space="preserve">Abstract: </w:t>
      </w:r>
      <w:r>
        <w:t>Plasmonic nanoparticles efficiently absorb light across a broad spectral range, enabling energy transfer to adjacent molecules or semiconductors for photocatalytic applications. However, the nature and timescale of charge carrier involvement in these transfer processes remain a subject of ongoing debate. In this study, we employ broad‐band femtosecond time‐resolved infrared spectroscopy (1100–3000 cm</w:t>
      </w:r>
      <w:r>
        <w:t xml:space="preserve"> </w:t>
      </w:r>
      <w:r>
        <w:t>−1</w:t>
      </w:r>
      <w:r>
        <w:t xml:space="preserve"> </w:t>
      </w:r>
      <w:r>
        <w:t>) as a sensitive probe of free charge carriers to investigate charge transfer dynamics in selected molecules adsorbed on silver nanoparticles. Charge transfer is observed exclusively under resonant excitation of the plasmon and in the presence of adsorbed molecules. Notably, the dynamics of the resulting infrared absorption vary significantly with probe frequency and molecular identity. By applying both Drude and Polaron models, we present compelling evidence that the transferred charge carriers undergo stabilization through solvation and polaron formation. As a consequence, the molecule‐specific time constants for charge back‐transfer extend well beyond the commonly assumed sub‐picosecond regime, indicating a more complex relaxation landscape. Furthermore, the temporal evolution of light‐induced changes in molecular IR modes closely parallels that of the free carrier signal, reinforcing the presence of strong charge carrier–adsorbate interactions.</w:t>
      </w:r>
    </w:p>
    <w:p>
      <w:pPr>
        <w:spacing w:before="120" w:after="120"/>
      </w:pPr>
      <w:r>
        <w:rPr>
          <w:sz w:val="18"/>
        </w:rPr>
        <w:t>——————————————————————————————————————————————————————————————————————</w:t>
      </w:r>
    </w:p>
    <w:p>
      <w:pPr>
        <w:spacing w:before="160" w:after="80" w:line="240" w:lineRule="auto"/>
      </w:pPr>
      <w:r>
        <w:rPr>
          <w:b/>
        </w:rPr>
        <w:t xml:space="preserve">[595] </w:t>
      </w:r>
      <w:hyperlink r:id="rId1061">
        <w:r>
          <w:rPr>
            <w:color w:val="1155CC"/>
            <w:u w:val="single"/>
          </w:rPr>
          <w:t>Structural Effects in Polyoxometalate‐Based Supramolecular Assemblies for Enhanced Proton Conduction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2">
        <w:r>
          <w:rPr>
            <w:color w:val="1155CC"/>
            <w:u w:val="single"/>
          </w:rPr>
          <w:t>10.1002/anie.202517958</w:t>
        </w:r>
      </w:hyperlink>
    </w:p>
    <w:p>
      <w:pPr>
        <w:spacing w:before="0" w:after="120"/>
      </w:pPr>
      <w:r>
        <w:rPr>
          <w:b/>
        </w:rPr>
        <w:t xml:space="preserve">Notes: </w:t>
      </w:r>
      <w:r>
        <w:t>abstract_source=crossref</w:t>
      </w:r>
    </w:p>
    <w:p>
      <w:pPr>
        <w:spacing w:before="0" w:after="200" w:lineRule="auto" w:line="276"/>
      </w:pPr>
      <w:r>
        <w:rPr>
          <w:b/>
        </w:rPr>
        <w:t xml:space="preserve">Abstract: </w:t>
      </w:r>
      <w:r>
        <w:t>Proton conductors with engineered charge‐assisted hydrogen‐bonding networks are pivotal for advancing proton exchange membrane fuel cells (PEMFCs). Herein, a novel proton‐conducting supramolecular clusters, ([Bi</w:t>
      </w:r>
      <w:r>
        <w:rPr>
          <w:vertAlign w:val="subscript"/>
        </w:rPr>
        <w:t>6</w:t>
      </w:r>
      <w:r>
        <w:t>O</w:t>
      </w:r>
      <w:r>
        <w:rPr>
          <w:vertAlign w:val="subscript"/>
        </w:rPr>
        <w:t>5</w:t>
      </w:r>
      <w:r>
        <w:t>(OH)</w:t>
      </w:r>
      <w:r>
        <w:rPr>
          <w:vertAlign w:val="subscript"/>
        </w:rPr>
        <w:t>3</w:t>
      </w:r>
      <w:r>
        <w:t>]</w:t>
      </w:r>
      <w:r>
        <w:t xml:space="preserve"> </w:t>
      </w:r>
      <w:r>
        <w:t>2.24</w:t>
      </w:r>
      <w:r>
        <w:t xml:space="preserve"> </w:t>
      </w:r>
      <w:r>
        <w:t>[PW</w:t>
      </w:r>
      <w:r>
        <w:rPr>
          <w:vertAlign w:val="subscript"/>
        </w:rPr>
        <w:t>12</w:t>
      </w:r>
      <w:r>
        <w:t>O</w:t>
      </w:r>
      <w:r>
        <w:rPr>
          <w:vertAlign w:val="subscript"/>
        </w:rPr>
        <w:t>40</w:t>
      </w:r>
      <w:r>
        <w:t>]</w:t>
      </w:r>
      <w:r>
        <w:rPr>
          <w:vertAlign w:val="subscript"/>
        </w:rPr>
        <w:t>1</w:t>
      </w:r>
      <w:r>
        <w:t>[NO</w:t>
      </w:r>
      <w:r>
        <w:rPr>
          <w:vertAlign w:val="subscript"/>
        </w:rPr>
        <w:t>3</w:t>
      </w:r>
      <w:r>
        <w:t>]</w:t>
      </w:r>
      <w:r>
        <w:t xml:space="preserve"> </w:t>
      </w:r>
      <w:r>
        <w:t>2.4</w:t>
      </w:r>
      <w:r>
        <w:t xml:space="preserve"> </w:t>
      </w:r>
      <w:r>
        <w:t>[H</w:t>
      </w:r>
      <w:r>
        <w:rPr>
          <w:vertAlign w:val="subscript"/>
        </w:rPr>
        <w:t>3</w:t>
      </w:r>
      <w:r>
        <w:t>O]</w:t>
      </w:r>
      <w:r>
        <w:t xml:space="preserve"> </w:t>
      </w:r>
      <w:r>
        <w:t>5.8</w:t>
      </w:r>
      <w:r>
        <w:t xml:space="preserve"> </w:t>
      </w:r>
      <w:r>
        <w:t>, BPN) has been synthesized and characterized. Molecular dynamics (MD) simulations reveal that charge‐assisted dynamic O─H⋯O hydrogen bonds mediate the supramolecular assembly, while water molecules facilitate proton transport pathways. The material exhibits a maximum proton conductivity of 0.12 S cm</w:t>
      </w:r>
      <w:r>
        <w:t xml:space="preserve"> </w:t>
      </w:r>
      <w:r>
        <w:t>−1</w:t>
      </w:r>
      <w:r>
        <w:t xml:space="preserve"> </w:t>
      </w:r>
      <w:r>
        <w:t>at 90 °C and 97% (RH) relative humidity, which is comparable to that of Nafion. The spin‐lattice relaxation time (</w:t>
      </w:r>
      <w:r>
        <w:t xml:space="preserve"> </w:t>
      </w:r>
      <w:r>
        <w:t>T</w:t>
      </w:r>
      <w:r>
        <w:rPr>
          <w:vertAlign w:val="subscript"/>
        </w:rPr>
        <w:t>1</w:t>
      </w:r>
      <w:r>
        <w:t>) of the Bi–O adsorbed protons is significantly shorter than that of the W‐O adsorbed protons, indicating that the protons at the Bi–O sites have a higher migration rate.</w:t>
      </w:r>
      <w:r>
        <w:rPr>
          <w:vertAlign w:val="subscript"/>
        </w:rPr>
        <w:t>1</w:t>
      </w:r>
      <w:r>
        <w:t>H magic‐angle spinning NMR (</w:t>
      </w:r>
      <w:r>
        <w:rPr>
          <w:vertAlign w:val="subscript"/>
        </w:rPr>
        <w:t>1</w:t>
      </w:r>
      <w:r>
        <w:t>H MAS NMR) and density functional theory (DFT) calculations reveal [Bi</w:t>
      </w:r>
      <w:r>
        <w:rPr>
          <w:vertAlign w:val="subscript"/>
        </w:rPr>
        <w:t>6</w:t>
      </w:r>
      <w:r>
        <w:t>O</w:t>
      </w:r>
      <w:r>
        <w:rPr>
          <w:vertAlign w:val="subscript"/>
        </w:rPr>
        <w:t>8</w:t>
      </w:r>
      <w:r>
        <w:t>] enhances proton mobility, while [PW</w:t>
      </w:r>
      <w:r>
        <w:rPr>
          <w:vertAlign w:val="subscript"/>
        </w:rPr>
        <w:t>12</w:t>
      </w:r>
      <w:r>
        <w:t>O</w:t>
      </w:r>
      <w:r>
        <w:rPr>
          <w:vertAlign w:val="subscript"/>
        </w:rPr>
        <w:t>40</w:t>
      </w:r>
      <w:r>
        <w:t>] stabilizes transition states, lowering the activation barrier to 0.14 eV. The BPN‐Nafion hybrid membrane enhances direct methanol fuel cell performance with an open‐circuit voltage of 0.82 V and power density of 86 mW cm</w:t>
      </w:r>
      <w:r>
        <w:t xml:space="preserve"> </w:t>
      </w:r>
      <w:r>
        <w:t>−2</w:t>
      </w:r>
      <w:r>
        <w:t xml:space="preserve"> </w:t>
      </w:r>
      <w:r>
        <w:t>. This integrative design strategy—synergizing inorganic cluster units with dynamic hydrogen‐bonding networks—establishes a scalable platform for developing PEMFC materials with programmable proton transport pathways and improved operational stability.</w:t>
      </w:r>
    </w:p>
    <w:p>
      <w:pPr>
        <w:spacing w:before="120" w:after="120"/>
      </w:pPr>
      <w:r>
        <w:rPr>
          <w:sz w:val="18"/>
        </w:rPr>
        <w:t>——————————————————————————————————————————————————————————————————————</w:t>
      </w:r>
    </w:p>
    <w:p>
      <w:pPr>
        <w:spacing w:before="160" w:after="80" w:line="240" w:lineRule="auto"/>
      </w:pPr>
      <w:r>
        <w:rPr>
          <w:b/>
        </w:rPr>
        <w:t xml:space="preserve">[596] </w:t>
      </w:r>
      <w:hyperlink r:id="rId1063">
        <w:r>
          <w:rPr>
            <w:color w:val="1155CC"/>
            <w:u w:val="single"/>
          </w:rPr>
          <w:t>Solvation‐Shell Engineering Enables Additive‐Dominated Coordination for Stable Silicon Anodes Under Minimal Salt Conditions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4">
        <w:r>
          <w:rPr>
            <w:color w:val="1155CC"/>
            <w:u w:val="single"/>
          </w:rPr>
          <w:t>10.1002/anie.202518092</w:t>
        </w:r>
      </w:hyperlink>
    </w:p>
    <w:p>
      <w:pPr>
        <w:spacing w:before="0" w:after="120"/>
      </w:pPr>
      <w:r>
        <w:rPr>
          <w:b/>
        </w:rPr>
        <w:t xml:space="preserve">Notes: </w:t>
      </w:r>
      <w:r>
        <w:t>abstract_source=crossref</w:t>
      </w:r>
    </w:p>
    <w:p>
      <w:pPr>
        <w:spacing w:before="0" w:after="200" w:lineRule="auto" w:line="276"/>
      </w:pPr>
      <w:r>
        <w:rPr>
          <w:b/>
        </w:rPr>
        <w:t xml:space="preserve">Abstract: </w:t>
      </w:r>
      <w:r>
        <w:t>Constructing a stable solid electrolyte interphase (SEI) is essential for enabling high‐capacity alloying anodes in next‐generation lithium‐ion batteries (LIBs). However, conventional strategies based on high salt concentrations or expensive additives are limited by high cost, viscosity, and poor compatibility. Herein, we develop a solvation engineering strategy to increase the coordination number of additive molecules in the Li⁺ solvation shell by minimizing anion participation. A low‐salt electrolyte composed of 0.2 M LiFSI (LiPF</w:t>
      </w:r>
      <w:r>
        <w:rPr>
          <w:vertAlign w:val="subscript"/>
        </w:rPr>
        <w:t>6</w:t>
      </w:r>
      <w:r>
        <w:t>) in DMM/THF/FEC (4:3:3 by vol%) enables additive‐dominated coordination and facilitates the formation of a uniform, fluorine‐rich SEI. Characterizations including molecular dynamics simulations, spectroscopy, and 3D electrode reconstruction confirm this tailored solvation environment stabilizes the Si interface and mitigates volume‐induced degradation. As a result, silicon anode exhibits a specific capacity of ∼2000 mAh g</w:t>
      </w:r>
      <w:r>
        <w:t xml:space="preserve"> </w:t>
      </w:r>
      <w:r>
        <w:t>−1</w:t>
      </w:r>
      <w:r>
        <w:t xml:space="preserve"> </w:t>
      </w:r>
      <w:r>
        <w:t>over 200 cycles, while graphite anodes retain 96% capacity after 500 cycles. Stable cycling performances can also be achieved in different pouch cells. This work underscores the critical importance of additive coordination control in electrolyte design and provides a broadly applicable, cost‐effective strategy for advancing alloy‐type anodes in practical LIB systems.</w:t>
      </w:r>
    </w:p>
    <w:p>
      <w:pPr>
        <w:spacing w:before="120" w:after="120"/>
      </w:pPr>
      <w:r>
        <w:rPr>
          <w:sz w:val="18"/>
        </w:rPr>
        <w:t>——————————————————————————————————————————————————————————————————————</w:t>
      </w:r>
    </w:p>
    <w:p>
      <w:pPr>
        <w:spacing w:before="160" w:after="80" w:line="240" w:lineRule="auto"/>
      </w:pPr>
      <w:r>
        <w:rPr>
          <w:b/>
        </w:rPr>
        <w:t xml:space="preserve">[597] </w:t>
      </w:r>
      <w:hyperlink r:id="rId1065">
        <w:r>
          <w:rPr>
            <w:color w:val="1155CC"/>
            <w:u w:val="single"/>
          </w:rPr>
          <w:t>Ultrasmall Nickel Nanoclusters Accelerating Protonation for Efficient CO2 Electroreduction towards CO</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6">
        <w:r>
          <w:rPr>
            <w:color w:val="1155CC"/>
            <w:u w:val="single"/>
          </w:rPr>
          <w:t>10.1002/anie.202518107</w:t>
        </w:r>
      </w:hyperlink>
    </w:p>
    <w:p>
      <w:pPr>
        <w:spacing w:before="0" w:after="120"/>
      </w:pPr>
      <w:r>
        <w:rPr>
          <w:b/>
        </w:rPr>
        <w:t xml:space="preserve">Notes: </w:t>
      </w:r>
      <w:r>
        <w:t>abstract_source=crossref</w:t>
      </w:r>
    </w:p>
    <w:p>
      <w:pPr>
        <w:spacing w:before="0" w:after="200" w:lineRule="auto" w:line="276"/>
      </w:pPr>
      <w:r>
        <w:rPr>
          <w:b/>
        </w:rPr>
        <w:t xml:space="preserve">Abstract: </w:t>
      </w:r>
      <w:r>
        <w:t>Proton‐coupled electron transfer (PCET), particularly the protonation step is widely recognized as the kinetic bottleneck in electrochemical CO</w:t>
      </w:r>
      <w:r>
        <w:rPr>
          <w:vertAlign w:val="subscript"/>
        </w:rPr>
        <w:t>2</w:t>
      </w:r>
      <w:r>
        <w:t>reduction (CO</w:t>
      </w:r>
      <w:r>
        <w:rPr>
          <w:vertAlign w:val="subscript"/>
        </w:rPr>
        <w:t>2</w:t>
      </w:r>
      <w:r>
        <w:t>RR). Modulating catalyst microstructures to accelerate protonation has thus emerged as a promising strategy to boost from CO</w:t>
      </w:r>
      <w:r>
        <w:rPr>
          <w:vertAlign w:val="subscript"/>
        </w:rPr>
        <w:t>2</w:t>
      </w:r>
      <w:r>
        <w:t>to CO selectivity. Here, we report ultrasmall Ni nanocluster catalysts (denoted as Ni</w:t>
      </w:r>
      <w:r>
        <w:rPr>
          <w:vertAlign w:val="subscript"/>
        </w:rPr>
        <w:t>3</w:t>
      </w:r>
      <w:r>
        <w:t>─N─C) prepared via one‐step pyrolysis of Ni‐containing precursors under H</w:t>
      </w:r>
      <w:r>
        <w:rPr>
          <w:vertAlign w:val="subscript"/>
        </w:rPr>
        <w:t>2</w:t>
      </w:r>
      <w:r>
        <w:t>atmosphere. Compared to conventional Ni─N─C with symmetric Ni─N</w:t>
      </w:r>
      <w:r>
        <w:rPr>
          <w:vertAlign w:val="subscript"/>
        </w:rPr>
        <w:t>4</w:t>
      </w:r>
      <w:r>
        <w:t>motifs, Ni</w:t>
      </w:r>
      <w:r>
        <w:rPr>
          <w:vertAlign w:val="subscript"/>
        </w:rPr>
        <w:t>3</w:t>
      </w:r>
      <w:r>
        <w:t>─N─C displays similar physicochemical characteristics—Ni loading, defect density, surface area—yet exhibits distinct local Ni coordination environments. These sub‐nanoclusters markedly enhance CO</w:t>
      </w:r>
      <w:r>
        <w:rPr>
          <w:vertAlign w:val="subscript"/>
        </w:rPr>
        <w:t>2</w:t>
      </w:r>
      <w:r>
        <w:t>RR performance, delivering &amp;gt; 90% CO Faradaic efficiency (FE</w:t>
      </w:r>
      <w:r>
        <w:t xml:space="preserve"> </w:t>
      </w:r>
      <w:r>
        <w:t>CO</w:t>
      </w:r>
      <w:r>
        <w:t xml:space="preserve"> </w:t>
      </w:r>
      <w:r>
        <w:t>) across −0.6 to −1.0 V versus RHE, with a peak FE</w:t>
      </w:r>
      <w:r>
        <w:t xml:space="preserve"> </w:t>
      </w:r>
      <w:r>
        <w:t>CO</w:t>
      </w:r>
      <w:r>
        <w:t xml:space="preserve"> </w:t>
      </w:r>
      <w:r>
        <w:t>of ∼95% at −0.8 V. Density functional theory calculations reveal that Ni</w:t>
      </w:r>
      <w:r>
        <w:rPr>
          <w:vertAlign w:val="subscript"/>
        </w:rPr>
        <w:t>3</w:t>
      </w:r>
      <w:r>
        <w:t>─N─C substantially lowers the energy barrier for *COOH formation owing to altered adsorption configurations, thereby facilitating the rate‐limiting protonation step. In situ FTIR measurements further confirm the accelerated *COOH formation on Ni</w:t>
      </w:r>
      <w:r>
        <w:rPr>
          <w:vertAlign w:val="subscript"/>
        </w:rPr>
        <w:t>3</w:t>
      </w:r>
      <w:r>
        <w:t>─N─C surfaces. This work highlights the critical role of Ni sub‐nanoclusters in PCET modulation and establishes a rational design principle for nanocluster‐based catalysts in CO</w:t>
      </w:r>
      <w:r>
        <w:rPr>
          <w:vertAlign w:val="subscript"/>
        </w:rPr>
        <w:t>2</w:t>
      </w:r>
      <w:r>
        <w:t>RR.</w:t>
      </w:r>
    </w:p>
    <w:p>
      <w:pPr>
        <w:spacing w:before="120" w:after="120"/>
      </w:pPr>
      <w:r>
        <w:rPr>
          <w:sz w:val="18"/>
        </w:rPr>
        <w:t>——————————————————————————————————————————————————————————————————————</w:t>
      </w:r>
    </w:p>
    <w:p>
      <w:pPr>
        <w:spacing w:before="160" w:after="80" w:line="240" w:lineRule="auto"/>
      </w:pPr>
      <w:r>
        <w:rPr>
          <w:b/>
        </w:rPr>
        <w:t xml:space="preserve">[598] </w:t>
      </w:r>
      <w:hyperlink r:id="rId1067">
        <w:r>
          <w:rPr>
            <w:color w:val="1155CC"/>
            <w:u w:val="single"/>
          </w:rPr>
          <w:t>Pseudohalide‐Guided Redox Control Enables Electrochemical Auto‐Tandem Nickel Catalysis for Butafulvene 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8">
        <w:r>
          <w:rPr>
            <w:color w:val="1155CC"/>
            <w:u w:val="single"/>
          </w:rPr>
          <w:t>10.1002/anie.202518341</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nickel catalysis offers a unique platform for redox‐controlled reactivity, yet its application to tandem catalysis remains underexplored. We report the development, mechanistic elucidation, and synthetic application of a conceptually novel electrochemical strategy that enables auto‐tandem nickel‐catalyzed (e‐ATC) conversion of propargyl carbonates into butafulvenes, highly strained, antiaromatic scaffolds with limited synthetic accessibility. Comprehensive mechanistic investigations reveal that this transformation merges a reductive coupling with a mechanistically distinct cycloisomerization, both mediated by a single nickel catalyst under electroreductive conditions. Crucially, pseudohalide ligands play a central role in steering a controlled Ni(0)/Ni(II) redox manifold by suppressing one‐electron Ni(I) pathways, thereby favoring a polar two‐electron mechanism. The method enables broad access to butafulvenes, including fused‐ring variants that are inaccessible by previous catalytic routes. Further derivatizations demonstrate the synthetic utility of these butafulvenes as precursors to strained dendralenes and complex polycyclic frameworks.</w:t>
      </w:r>
    </w:p>
    <w:p>
      <w:pPr>
        <w:spacing w:before="120" w:after="120"/>
      </w:pPr>
      <w:r>
        <w:rPr>
          <w:sz w:val="18"/>
        </w:rPr>
        <w:t>——————————————————————————————————————————————————————————————————————</w:t>
      </w:r>
    </w:p>
    <w:p>
      <w:pPr>
        <w:spacing w:before="160" w:after="80" w:line="240" w:lineRule="auto"/>
      </w:pPr>
      <w:r>
        <w:rPr>
          <w:b/>
        </w:rPr>
        <w:t xml:space="preserve">[599] </w:t>
      </w:r>
      <w:hyperlink r:id="rId1069">
        <w:r>
          <w:rPr>
            <w:color w:val="1155CC"/>
            <w:u w:val="single"/>
          </w:rPr>
          <w:t>Steric Pruning Unlocks Hierarchical Structuring, Thermochromism, C‐H/O Activation, and 6‐electron Redox Transmetalation in Planar Bismuth Triamides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70">
        <w:r>
          <w:rPr>
            <w:color w:val="1155CC"/>
            <w:u w:val="single"/>
          </w:rPr>
          <w:t>10.1002/anie.202518367</w:t>
        </w:r>
      </w:hyperlink>
    </w:p>
    <w:p>
      <w:pPr>
        <w:spacing w:before="0" w:after="120"/>
      </w:pPr>
      <w:r>
        <w:rPr>
          <w:b/>
        </w:rPr>
        <w:t xml:space="preserve">Notes: </w:t>
      </w:r>
      <w:r>
        <w:t>abstract_source=crossref</w:t>
      </w:r>
    </w:p>
    <w:p>
      <w:pPr>
        <w:spacing w:before="0" w:after="200" w:lineRule="auto" w:line="276"/>
      </w:pPr>
      <w:r>
        <w:rPr>
          <w:b/>
        </w:rPr>
        <w:t xml:space="preserve">Abstract: </w:t>
      </w:r>
      <w:r>
        <w:t>Planar bismuth triamides with tunable stereoelectronics offer a versatile platform for studying the effects of geometric constraints in p‐block elements. Here we show that exploring the low steric bulk regime in these compounds unlocks categorically new phenomena such as epitaxial hierarchical ordering, thermochromism, C─H/O activation, and 6‐electron pincer‐to‐pincer redox transmetalation. These behaviors are not observed in sterically encumbered derivatives, emphasizing the role of steric modulation in unlocking new phenomena in geometrically‐constrained main group complexes.</w:t>
      </w:r>
    </w:p>
    <w:p>
      <w:pPr>
        <w:spacing w:before="120" w:after="120"/>
      </w:pPr>
      <w:r>
        <w:rPr>
          <w:sz w:val="18"/>
        </w:rPr>
        <w:t>——————————————————————————————————————————————————————————————————————</w:t>
      </w:r>
    </w:p>
    <w:p>
      <w:pPr>
        <w:spacing w:before="160" w:after="80" w:line="240" w:lineRule="auto"/>
      </w:pPr>
      <w:r>
        <w:rPr>
          <w:b/>
        </w:rPr>
        <w:t xml:space="preserve">[600] </w:t>
      </w:r>
      <w:hyperlink r:id="rId1071">
        <w:r>
          <w:rPr>
            <w:color w:val="1155CC"/>
            <w:u w:val="single"/>
          </w:rPr>
          <w:t>Modular Access to sp3‐Rich Bicyclo[1.1.1]pentane Bioisosteres via Energy‐Transfer‐Mediated Carbene Insertion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72">
        <w:r>
          <w:rPr>
            <w:color w:val="1155CC"/>
            <w:u w:val="single"/>
          </w:rPr>
          <w:t>10.1002/anie.202518508</w:t>
        </w:r>
      </w:hyperlink>
    </w:p>
    <w:p>
      <w:pPr>
        <w:spacing w:before="0" w:after="120"/>
      </w:pPr>
      <w:r>
        <w:rPr>
          <w:b/>
        </w:rPr>
        <w:t xml:space="preserve">Notes: </w:t>
      </w:r>
      <w:r>
        <w:t>abstract_source=crossref</w:t>
      </w:r>
    </w:p>
    <w:p>
      <w:pPr>
        <w:spacing w:before="0" w:after="200" w:lineRule="auto" w:line="276"/>
      </w:pPr>
      <w:r>
        <w:rPr>
          <w:b/>
        </w:rPr>
        <w:t xml:space="preserve">Abstract: </w:t>
      </w:r>
      <w:r>
        <w:t>Substituted bicyclo[1.1.1]pentanes (BCPs) are increasingly recognized as valuable</w:t>
      </w:r>
      <w:r>
        <w:t xml:space="preserve"> </w:t>
      </w:r>
      <w:r>
        <w:t>sp</w:t>
      </w:r>
      <w:r>
        <w:rPr>
          <w:vertAlign w:val="subscript"/>
        </w:rPr>
        <w:t>3</w:t>
      </w:r>
      <w:r>
        <w:t xml:space="preserve"> </w:t>
      </w:r>
      <w:r>
        <w:t>‐rich bioisosteres for ortho‐ or meta‐disubstituted benzene rings, offering improved pharmacokinetic properties and broad utility in drug discovery. Herein, we report an energy‐transfer‐enabled strategy for the synthesis of 2‐substituted BCPs via strain‐release triplet carbene addition to bicyclo[1.1.0]butanes (BCBs). This method employs readily accessible diazoacetates and a diverse set of BCBs under mild blue‐light irradiation, providing direct access to 1,2,3‐trisubstituted BCPs. Key advantages include the modular installation of versatile bridge ester substituents, enabling downstream diversification, while retaining the bridgehead substituents from the BCB precursor. The synthetic utility is further demonstrated through the preparation of BCP analogues of bioactive fragments. Combined experimental and DFT studies support a mechanism involving photoinduced energy transfer to generate a triplet carbene, followed by stepwise addition across the highly strained C─C σ bond of the BCB framework.</w:t>
      </w:r>
    </w:p>
    <w:p>
      <w:pPr>
        <w:spacing w:before="120" w:after="120"/>
      </w:pPr>
      <w:r>
        <w:rPr>
          <w:sz w:val="18"/>
        </w:rPr>
        <w:t>——————————————————————————————————————————————————————————————————————</w:t>
      </w:r>
    </w:p>
    <w:p>
      <w:pPr>
        <w:spacing w:before="160" w:after="80" w:line="240" w:lineRule="auto"/>
      </w:pPr>
      <w:r>
        <w:rPr>
          <w:b/>
        </w:rPr>
        <w:t xml:space="preserve">[601] </w:t>
      </w:r>
      <w:hyperlink r:id="rId1073">
        <w:r>
          <w:rPr>
            <w:color w:val="1155CC"/>
            <w:u w:val="single"/>
          </w:rPr>
          <w:t>Spirosilanes Activate Gold(I)‐Catalysts in Cycloisomerization and Intermolecular Reactions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74">
        <w:r>
          <w:rPr>
            <w:color w:val="1155CC"/>
            <w:u w:val="single"/>
          </w:rPr>
          <w:t>10.1002/anie.202518534</w:t>
        </w:r>
      </w:hyperlink>
    </w:p>
    <w:p>
      <w:pPr>
        <w:spacing w:before="0" w:after="120"/>
      </w:pPr>
      <w:r>
        <w:rPr>
          <w:b/>
        </w:rPr>
        <w:t xml:space="preserve">Notes: </w:t>
      </w:r>
      <w:r>
        <w:t>abstract_source=crossref</w:t>
      </w:r>
    </w:p>
    <w:p>
      <w:pPr>
        <w:spacing w:before="0" w:after="200" w:lineRule="auto" w:line="276"/>
      </w:pPr>
      <w:r>
        <w:rPr>
          <w:b/>
        </w:rPr>
        <w:t xml:space="preserve">Abstract: </w:t>
      </w:r>
      <w:r>
        <w:t>Gold‐catalyzed reactions have established as a powerful tool in organic synthesis, offering efficient pathways to construct diverse molecular structures and notably scaffolds with high complexity. Most processes rely on the use of LAuCl precatalysts, which are generally activated, i.e., cationized, by silver salts. In this work, we explore the role of silicon‐based Lewis acids based, such as spirosilane, derivatives as alternative activators in lieu of silver salts. It was found that Martin spirosilanes mediate the activation of gold precatalysts, facilitating diverse cyclization and cycloisomerization reactions as well as intermolecular reactions. NMR studies and computational investigations suggest that no real cationization, i.e., formation of an ionic pair, takes place, but rather activation through weak interaction between silicon and the chlorine atom of LAuCl. This preserves the Au─Cl bond and ultimately enables the LAuCl complex to be recovered. On the same line, the LAuCl–silane interaction has also proven to be beneficial for asymmetric catalysis. This work significantly contributes to the expansion of gold‐catalyzed transformations by opening up the prospect of a more sustainable gold catalysis. It also opens perspectives on the use of silicon‐based Lewis acids as versatile cooperative agents in organometallic chemistry.</w:t>
      </w:r>
    </w:p>
    <w:p>
      <w:pPr>
        <w:spacing w:before="120" w:after="120"/>
      </w:pPr>
      <w:r>
        <w:rPr>
          <w:sz w:val="18"/>
        </w:rPr>
        <w:t>——————————————————————————————————————————————————————————————————————</w:t>
      </w:r>
    </w:p>
    <w:p>
      <w:pPr>
        <w:spacing w:before="160" w:after="80" w:line="240" w:lineRule="auto"/>
      </w:pPr>
      <w:r>
        <w:rPr>
          <w:b/>
        </w:rPr>
        <w:t xml:space="preserve">[602] </w:t>
      </w:r>
      <w:hyperlink r:id="rId1075">
        <w:r>
          <w:rPr>
            <w:color w:val="1155CC"/>
            <w:u w:val="single"/>
          </w:rPr>
          <w:t>Stereodivergent Deacylative Mizoroki–Heck Reaction of Unstrained Ketones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76">
        <w:r>
          <w:rPr>
            <w:color w:val="1155CC"/>
            <w:u w:val="single"/>
          </w:rPr>
          <w:t>10.1002/anie.202518599</w:t>
        </w:r>
      </w:hyperlink>
    </w:p>
    <w:p>
      <w:pPr>
        <w:spacing w:before="0" w:after="120"/>
      </w:pPr>
      <w:r>
        <w:rPr>
          <w:b/>
        </w:rPr>
        <w:t xml:space="preserve">Notes: </w:t>
      </w:r>
      <w:r>
        <w:t>abstract_source=crossref</w:t>
      </w:r>
    </w:p>
    <w:p>
      <w:pPr>
        <w:spacing w:before="0" w:after="200" w:lineRule="auto" w:line="276"/>
      </w:pPr>
      <w:r>
        <w:rPr>
          <w:b/>
        </w:rPr>
        <w:t xml:space="preserve">Abstract: </w:t>
      </w:r>
      <w:r>
        <w:t>Alkene structures represent one of the most functional and widely used in organic synthesis, drug design, and material science. However, developing a practical strategy to produce such high‐valued chemicals from widely abundant materials, such as ketones, remains elusive. Herein, we present a stereodivergent deacylative Mizoroki–Heck reaction of methyl ketones and cyclic ketones to furnish both</w:t>
      </w:r>
      <w:r>
        <w:t xml:space="preserve"> </w:t>
      </w:r>
      <w:r>
        <w:t>E</w:t>
      </w:r>
      <w:r>
        <w:t xml:space="preserve"> </w:t>
      </w:r>
      <w:r>
        <w:t>‐ and</w:t>
      </w:r>
      <w:r>
        <w:t xml:space="preserve"> </w:t>
      </w:r>
      <w:r>
        <w:t>Z</w:t>
      </w:r>
      <w:r>
        <w:t xml:space="preserve"> </w:t>
      </w:r>
      <w:r>
        <w:t>‐configured alkenes via dual photoredox/cobalt catalysis. Interestingly, the tunable</w:t>
      </w:r>
      <w:r>
        <w:t xml:space="preserve"> </w:t>
      </w:r>
      <w:r>
        <w:t>E</w:t>
      </w:r>
      <w:r>
        <w:t xml:space="preserve"> </w:t>
      </w:r>
      <w:r>
        <w:t>/</w:t>
      </w:r>
      <w:r>
        <w:t>Z</w:t>
      </w:r>
      <w:r>
        <w:t xml:space="preserve"> </w:t>
      </w:r>
      <w:r>
        <w:t>‐selectivity is achieved by energy transfer catalysis via the judicious choice of photocatalyst. This versatile strategy features a broad substrate scope with excellent functional group tolerance and is suitable for late‐stage modification of complex molecules and the one‐pot operation. It also expands the reaction profiles of both deacylative transformation and photoredox/cobalt catalysis.</w:t>
      </w:r>
    </w:p>
    <w:p>
      <w:pPr>
        <w:spacing w:before="120" w:after="120"/>
      </w:pPr>
      <w:r>
        <w:rPr>
          <w:sz w:val="18"/>
        </w:rPr>
        <w:t>——————————————————————————————————————————————————————————————————————</w:t>
      </w:r>
    </w:p>
    <w:p>
      <w:pPr>
        <w:spacing w:before="160" w:after="80" w:line="240" w:lineRule="auto"/>
      </w:pPr>
      <w:r>
        <w:rPr>
          <w:b/>
        </w:rPr>
        <w:t xml:space="preserve">[603] </w:t>
      </w:r>
      <w:hyperlink r:id="rId1077">
        <w:r>
          <w:rPr>
            <w:color w:val="1155CC"/>
            <w:u w:val="single"/>
          </w:rPr>
          <w:t>Using Polymerization‐Induced Self‐Assembly in Orthogonally‐Reactive Dispersants to Design Tough Nanostructured Materials: Application to Epoxy Networks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78">
        <w:r>
          <w:rPr>
            <w:color w:val="1155CC"/>
            <w:u w:val="single"/>
          </w:rPr>
          <w:t>10.1002/anie.202518861</w:t>
        </w:r>
      </w:hyperlink>
    </w:p>
    <w:p>
      <w:pPr>
        <w:spacing w:before="0" w:after="120"/>
      </w:pPr>
      <w:r>
        <w:rPr>
          <w:b/>
        </w:rPr>
        <w:t xml:space="preserve">Notes: </w:t>
      </w:r>
      <w:r>
        <w:t>abstract_source=crossref</w:t>
      </w:r>
    </w:p>
    <w:p>
      <w:pPr>
        <w:spacing w:before="0" w:after="200" w:lineRule="auto" w:line="276"/>
      </w:pPr>
      <w:r>
        <w:rPr>
          <w:b/>
        </w:rPr>
        <w:t xml:space="preserve">Abstract: </w:t>
      </w:r>
      <w:r>
        <w:t>We report here how the polymerization‐induced self‐assembly approach can be implemented in orthogonally reactive dispersants to afford the preparation of nanostructured polymer networks. Precisely‐defined PMMA</w:t>
      </w:r>
      <w:r>
        <w:t xml:space="preserve"> </w:t>
      </w:r>
      <w:r>
        <w:t>‐b‐</w:t>
      </w:r>
      <w:r>
        <w:t xml:space="preserve"> </w:t>
      </w:r>
      <w:r>
        <w:t>PLMA block copolymers self‐assembling into different morphologies are first obtained in epoxy monomers through RAFT dispersion polymerization. The subsequent polymerization of the epoxide (through step growth or chain growth polymerization) affords the straightforward preparation of epoxy networks that integrate diverse BCP structures and exhibit significantly enhanced fracture toughness at extremely low block copolymer content (1% w/w).</w:t>
      </w:r>
    </w:p>
    <w:p>
      <w:pPr>
        <w:spacing w:before="120" w:after="120"/>
      </w:pPr>
      <w:r>
        <w:rPr>
          <w:sz w:val="18"/>
        </w:rPr>
        <w:t>——————————————————————————————————————————————————————————————————————</w:t>
      </w:r>
    </w:p>
    <w:p>
      <w:pPr>
        <w:spacing w:before="160" w:after="80" w:line="240" w:lineRule="auto"/>
      </w:pPr>
      <w:r>
        <w:rPr>
          <w:b/>
        </w:rPr>
        <w:t xml:space="preserve">[604] </w:t>
      </w:r>
      <w:hyperlink r:id="rId1079">
        <w:r>
          <w:rPr>
            <w:color w:val="1155CC"/>
            <w:u w:val="single"/>
          </w:rPr>
          <w:t>Surface Vacancy Engineering Re‐Routes First‐Cycle Redox for Stabilized Li‐Rich Layered Cathodes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80">
        <w:r>
          <w:rPr>
            <w:color w:val="1155CC"/>
            <w:u w:val="single"/>
          </w:rPr>
          <w:t>10.1002/anie.202517720</w:t>
        </w:r>
      </w:hyperlink>
    </w:p>
    <w:p>
      <w:pPr>
        <w:spacing w:before="0" w:after="120"/>
      </w:pPr>
      <w:r>
        <w:rPr>
          <w:b/>
        </w:rPr>
        <w:t xml:space="preserve">Notes: </w:t>
      </w:r>
      <w:r>
        <w:t>abstract_source=crossref</w:t>
      </w:r>
    </w:p>
    <w:p>
      <w:pPr>
        <w:spacing w:before="0" w:after="200" w:lineRule="auto" w:line="276"/>
      </w:pPr>
      <w:r>
        <w:rPr>
          <w:b/>
        </w:rPr>
        <w:t xml:space="preserve">Abstract: </w:t>
      </w:r>
      <w:r>
        <w:t>We demonstrate that atomic‐scale surface disorder can control the</w:t>
      </w:r>
      <w:r>
        <w:t xml:space="preserve"> </w:t>
      </w:r>
      <w:r>
        <w:t>first‐cycle redox sequence</w:t>
      </w:r>
      <w:r>
        <w:t xml:space="preserve"> </w:t>
      </w:r>
      <w:r>
        <w:t>of Li‐rich layered oxides, eliminating the detrimental process of oxygen release and lattice collapse that degrades performance. In Li</w:t>
      </w:r>
      <w:r>
        <w:t xml:space="preserve"> </w:t>
      </w:r>
      <w:r>
        <w:t>1.14</w:t>
      </w:r>
      <w:r>
        <w:t xml:space="preserve"> </w:t>
      </w:r>
      <w:r>
        <w:t>Ni</w:t>
      </w:r>
      <w:r>
        <w:t xml:space="preserve"> </w:t>
      </w:r>
      <w:r>
        <w:t>0.32</w:t>
      </w:r>
      <w:r>
        <w:t xml:space="preserve"> </w:t>
      </w:r>
      <w:r>
        <w:t>Mn</w:t>
      </w:r>
      <w:r>
        <w:t xml:space="preserve"> </w:t>
      </w:r>
      <w:r>
        <w:t>0.54</w:t>
      </w:r>
      <w:r>
        <w:t xml:space="preserve"> </w:t>
      </w:r>
      <w:r>
        <w:t>O</w:t>
      </w:r>
      <w:r>
        <w:rPr>
          <w:vertAlign w:val="subscript"/>
        </w:rPr>
        <w:t>2</w:t>
      </w:r>
      <w:r>
        <w:t>(LNMO), a simple chemical treatment introduces oxygen and transition metal (TM) vacancies confined to the particle surface while preserving the bulk layered framework. Multi‐modal synchrotron analyses reveal that these vacancies trigger an early oxygen oxidation below 4.4 V, delay nickel oxidation to higher potential, and suppress the formation of covalent Ni</w:t>
      </w:r>
      <w:r>
        <w:t xml:space="preserve"> </w:t>
      </w:r>
      <w:r>
        <w:t>4+</w:t>
      </w:r>
      <w:r>
        <w:t xml:space="preserve"> </w:t>
      </w:r>
      <w:r>
        <w:t>─O states. This modified pathway prevents irreversible oxygen release, suppresses manganese dissolution, and maintains metal‐oxygen coordination at high voltages. Consequently, the treated cathode delivers higher first‐cycle Coulombic efficiency (CE), mitigated voltage fade, and superior capacity retention. By directly linking engineered surface disorder to redox reactions and associated structural transformations, this work establishes a general design principle for durable, high‐energy‐density cathodes.</w:t>
      </w:r>
    </w:p>
    <w:p>
      <w:pPr>
        <w:spacing w:before="120" w:after="120"/>
      </w:pPr>
      <w:r>
        <w:rPr>
          <w:sz w:val="18"/>
        </w:rPr>
        <w:t>——————————————————————————————————————————————————————————————————————</w:t>
      </w:r>
    </w:p>
    <w:p>
      <w:pPr>
        <w:spacing w:before="160" w:after="80" w:line="240" w:lineRule="auto"/>
      </w:pPr>
      <w:r>
        <w:rPr>
          <w:b/>
        </w:rPr>
        <w:t xml:space="preserve">[605] </w:t>
      </w:r>
      <w:hyperlink r:id="rId1081">
        <w:r>
          <w:rPr>
            <w:color w:val="1155CC"/>
            <w:u w:val="single"/>
          </w:rPr>
          <w:t>DFT‐Guided Design and Synthesis of Bipyridine‐Anchored Copper Single‐Atom Catalysts for Efficient Nitrate‐to‐Ammonia Electroreduction Across a Broad pH Range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82">
        <w:r>
          <w:rPr>
            <w:color w:val="1155CC"/>
            <w:u w:val="single"/>
          </w:rPr>
          <w:t>10.1002/anie.202517715</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conversion of nitrate to ammonia represents an efficient approach to alleviate nitrate pollution, concurrently providing a sustainable strategy for ammonia synthesis. The development of cost‐effective electrocatalysts that exhibit both high activity and selectivity in nitrate reduction reaction (NO</w:t>
      </w:r>
      <w:r>
        <w:rPr>
          <w:vertAlign w:val="subscript"/>
        </w:rPr>
        <w:t>3</w:t>
      </w:r>
      <w:r>
        <w:t>RR) constitutes a substantial challenge. Herein, we demonstrate the rational design of single‐atom catalysts (SACs) for the NO</w:t>
      </w:r>
      <w:r>
        <w:rPr>
          <w:vertAlign w:val="subscript"/>
        </w:rPr>
        <w:t>3</w:t>
      </w:r>
      <w:r>
        <w:t>RR through theoretical screening and precise synthesis techniques. A series of bipyridine‐anchored 3</w:t>
      </w:r>
      <w:r>
        <w:t xml:space="preserve"> </w:t>
      </w:r>
      <w:r>
        <w:t>d</w:t>
      </w:r>
      <w:r>
        <w:t xml:space="preserve"> </w:t>
      </w:r>
      <w:r>
        <w:t>transition metal SACs has been computationally pre‐evaluated for their NO</w:t>
      </w:r>
      <w:r>
        <w:rPr>
          <w:vertAlign w:val="subscript"/>
        </w:rPr>
        <w:t>3</w:t>
      </w:r>
      <w:r>
        <w:t>RR activity and selectivity, and bipyridine‐Cu SAC stands out as the optimal candidate. Guided by the computational predictions, the bipyridine‐Cu encapsulated inside a zirconium‐containing metal–organic framework (namely Cu‐SA/UiO‐bpy) is synthesized and achieves an impressive ammonia yield rate of 7.4 mg</w:t>
      </w:r>
      <w:r>
        <w:t xml:space="preserve"> </w:t>
      </w:r>
      <w:r>
        <w:t>NH3</w:t>
      </w:r>
      <w:r>
        <w:t xml:space="preserve"> </w:t>
      </w:r>
      <w:r>
        <w:t>h</w:t>
      </w:r>
      <w:r>
        <w:t xml:space="preserve"> </w:t>
      </w:r>
      <w:r>
        <w:t>−1</w:t>
      </w:r>
      <w:r>
        <w:t xml:space="preserve"> </w:t>
      </w:r>
      <w:r>
        <w:t>cm</w:t>
      </w:r>
      <w:r>
        <w:t xml:space="preserve"> </w:t>
      </w:r>
      <w:r>
        <w:t>−2</w:t>
      </w:r>
      <w:r>
        <w:t xml:space="preserve"> </w:t>
      </w:r>
      <w:r>
        <w:t>and a faradaic efficiency of 98.1% in NO</w:t>
      </w:r>
      <w:r>
        <w:rPr>
          <w:vertAlign w:val="subscript"/>
        </w:rPr>
        <w:t>3</w:t>
      </w:r>
      <w:r>
        <w:t>RR under neutral conditions. Additionally, Cu‐SA/UiO‐bpy exhibits remarkable catalytic performance (FE &amp;gt; 90%) across a wide pH range. In situ characterizations and theoretical calculations further reveal that bipyridine‐Cu sites facilitate the interfacial dissociation of water and the efficient generation of reactive hydrogen species, enabling the selective hydrogenation of NO</w:t>
      </w:r>
      <w:r>
        <w:t xml:space="preserve"> </w:t>
      </w:r>
      <w:r>
        <w:t>x</w:t>
      </w:r>
      <w:r>
        <w:t xml:space="preserve"> </w:t>
      </w:r>
      <w:r>
        <w:t>intermediates into ammonia. This integration of a data‐driven approach with precise synthesis presents a novel paradigm for developing high‐performance catalysts toward NO</w:t>
      </w:r>
      <w:r>
        <w:rPr>
          <w:vertAlign w:val="subscript"/>
        </w:rPr>
        <w:t>3</w:t>
      </w:r>
      <w:r>
        <w:t>RR and other catalytic applications.</w:t>
      </w:r>
    </w:p>
    <w:p>
      <w:pPr>
        <w:spacing w:before="120" w:after="120"/>
      </w:pPr>
      <w:r>
        <w:rPr>
          <w:sz w:val="18"/>
        </w:rPr>
        <w:t>——————————————————————————————————————————————————————————————————————</w:t>
      </w:r>
    </w:p>
    <w:p>
      <w:pPr>
        <w:spacing w:before="160" w:after="80" w:line="240" w:lineRule="auto"/>
      </w:pPr>
      <w:r>
        <w:rPr>
          <w:b/>
        </w:rPr>
        <w:t xml:space="preserve">[606] </w:t>
      </w:r>
      <w:hyperlink r:id="rId1083">
        <w:r>
          <w:rPr>
            <w:color w:val="1155CC"/>
            <w:u w:val="single"/>
          </w:rPr>
          <w:t>Charge‐Driven Bioshield Remodels Diabetic Oral Microenvironment for Accelerated Wound Healing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06:18:28+00:00</w:t>
      </w:r>
      <w:r>
        <w:t xml:space="preserve">    </w:t>
      </w:r>
      <w:r>
        <w:rPr>
          <w:b/>
        </w:rPr>
        <w:t xml:space="preserve">DOI: </w:t>
      </w:r>
      <w:hyperlink r:id="rId1084">
        <w:r>
          <w:rPr>
            <w:color w:val="1155CC"/>
            <w:u w:val="single"/>
          </w:rPr>
          <w:t>10.1002/adma.202516778</w:t>
        </w:r>
      </w:hyperlink>
    </w:p>
    <w:p>
      <w:pPr>
        <w:spacing w:before="0" w:after="120"/>
      </w:pPr>
      <w:r>
        <w:rPr>
          <w:b/>
        </w:rPr>
        <w:t xml:space="preserve">Notes: </w:t>
      </w:r>
      <w:r>
        <w:t>abstract_source=crossref</w:t>
      </w:r>
    </w:p>
    <w:p>
      <w:pPr>
        <w:spacing w:before="0" w:after="200" w:lineRule="auto" w:line="276"/>
      </w:pPr>
      <w:r>
        <w:rPr>
          <w:b/>
        </w:rPr>
        <w:t xml:space="preserve">Abstract: </w:t>
      </w:r>
      <w:r>
        <w:t>Diabetic chronic wounds, especially in the moist and mechanically dynamic oral environment, pose a significant therapeutic challenge due to neutrophil extracellular traps (NETs)‐mediated inflammation, biofilm infections, and extracellular matrix remodeling defects. To address this challenge, we develop a protein‐based adhesive bioshield, functioning through the combined action of physical blocking and electrostatic interaction, that simultaneously acts as a bacterial barrier and NETs scavenger, thereby reactivating the focal adhesion signaling. The protein's high‐density lysine residues establish a robust adhesion network that resists the dynamic oral environment while creating a persistent antibacterial bioshield. Notably, the high net charge of adhesive bioshield enables rapid NETs neutralization by electrostatically binding cell‐free DNA (cfDNA), which reduces local NETs levels and inflammatory responses. This NETs clearance subsequently alleviates inflammation‐mediated suppression of focal adhesion signaling, which coordinately accelerates diabetic wound healing through enhanced epithelial migration, endothelial proliferation, and angiogenesis. Overall, this study presents a charge‐driven therapeutic strategy that targets NETs‐mediated inflammation, offering an alternative approach for managing diabetic wounds in dynamic and wet environments.</w:t>
      </w:r>
    </w:p>
    <w:p>
      <w:pPr>
        <w:spacing w:before="120" w:after="120"/>
      </w:pPr>
      <w:r>
        <w:rPr>
          <w:sz w:val="18"/>
        </w:rPr>
        <w:t>——————————————————————————————————————————————————————————————————————</w:t>
      </w:r>
    </w:p>
    <w:p>
      <w:pPr>
        <w:spacing w:before="160" w:after="80" w:line="240" w:lineRule="auto"/>
      </w:pPr>
      <w:r>
        <w:rPr>
          <w:b/>
        </w:rPr>
        <w:t xml:space="preserve">[607] </w:t>
      </w:r>
      <w:hyperlink r:id="rId1085">
        <w:r>
          <w:rPr>
            <w:color w:val="1155CC"/>
            <w:u w:val="single"/>
          </w:rPr>
          <w:t>Multidentate Chelation by Imine‐Linked Covalent Organic Framework Enables High‐Performance Tin‐Based Perovskite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06:19:18+00:00</w:t>
      </w:r>
      <w:r>
        <w:t xml:space="preserve">    </w:t>
      </w:r>
      <w:r>
        <w:rPr>
          <w:b/>
        </w:rPr>
        <w:t xml:space="preserve">DOI: </w:t>
      </w:r>
      <w:hyperlink r:id="rId1086">
        <w:r>
          <w:rPr>
            <w:color w:val="1155CC"/>
            <w:u w:val="single"/>
          </w:rPr>
          <w:t>10.1002/adma.202519934</w:t>
        </w:r>
      </w:hyperlink>
    </w:p>
    <w:p>
      <w:pPr>
        <w:spacing w:before="0" w:after="120"/>
      </w:pPr>
      <w:r>
        <w:rPr>
          <w:b/>
        </w:rPr>
        <w:t xml:space="preserve">Notes: </w:t>
      </w:r>
      <w:r>
        <w:t>abstract_source=crossref</w:t>
      </w:r>
    </w:p>
    <w:p>
      <w:pPr>
        <w:spacing w:before="0" w:after="200" w:lineRule="auto" w:line="276"/>
      </w:pPr>
      <w:r>
        <w:rPr>
          <w:b/>
        </w:rPr>
        <w:t xml:space="preserve">Abstract: </w:t>
      </w:r>
      <w:r>
        <w:t>Tin‐based perovskite solar cells (TPSCs) represent a highly promising photovoltaic technology owing to their eco‐friendliness and near‐ideal bandgap, which approaches the single‐junction efficiency limit. However, the rapid oxidation of Sn</w:t>
      </w:r>
      <w:r>
        <w:rPr>
          <w:vertAlign w:val="subscript"/>
        </w:rPr>
        <w:t>2</w:t>
      </w:r>
      <w:r>
        <w:t>+</w:t>
      </w:r>
      <w:r>
        <w:t xml:space="preserve"> </w:t>
      </w:r>
      <w:r>
        <w:t>ions in tin‐based perovskites induces high defect densities and hampers charge transport, significantly limiting device performance. In this study, we report the first use of two imine‐linked donor–acceptor covalent organic frameworks (COFs) featuring abundant surface binding groups, BCTB‐BTD‐COF and BCTB‐BSD‐COF, as precursor additives for TPSCs. Both COFs effectively suppress oxidation of Sn</w:t>
      </w:r>
      <w:r>
        <w:t xml:space="preserve"> </w:t>
      </w:r>
      <w:r>
        <w:t>2+</w:t>
      </w:r>
      <w:r>
        <w:t xml:space="preserve"> </w:t>
      </w:r>
      <w:r>
        <w:t>ions and passivate defects, while BCTB‐BSD‐COF exhibits superior performance through multidentate chelation, enabling defect passivation, reduced non‐radiative recombination, and optimized interfacial energy‐level alignment. Consequently, the addition of COFs significantly improved the performance of TPSCs, while BCTB‐BSD‐COF‐based TPSCs achieve a champion power conversion efficiency of 16.29% (certified 15.88%) with an open‐circuit voltage of 0.95 V and a fill factor of 79.47%. These devices also demonstrate exceptional stability, retaining 85% of its initial PCE after 35 days of continuous illumination. This work presents a novel strategy for passivating defects in TPSCs and offers a promising pathway toward high‐performance TPSCs.</w:t>
      </w:r>
    </w:p>
    <w:p>
      <w:pPr>
        <w:spacing w:before="120" w:after="120"/>
      </w:pPr>
      <w:r>
        <w:rPr>
          <w:sz w:val="18"/>
        </w:rPr>
        <w:t>——————————————————————————————————————————————————————————————————————</w:t>
      </w:r>
    </w:p>
    <w:p>
      <w:pPr>
        <w:spacing w:before="160" w:after="80" w:line="240" w:lineRule="auto"/>
      </w:pPr>
      <w:r>
        <w:rPr>
          <w:b/>
        </w:rPr>
        <w:t xml:space="preserve">[608] </w:t>
      </w:r>
      <w:hyperlink r:id="rId1087">
        <w:r>
          <w:rPr>
            <w:color w:val="1155CC"/>
            <w:u w:val="single"/>
          </w:rPr>
          <w:t>Engineering Heterocyclic Linkages to Expand the Structural and Functional Diversity of Covalent 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06:20:07+00:00</w:t>
      </w:r>
      <w:r>
        <w:t xml:space="preserve">    </w:t>
      </w:r>
      <w:r>
        <w:rPr>
          <w:b/>
        </w:rPr>
        <w:t xml:space="preserve">DOI: </w:t>
      </w:r>
      <w:hyperlink r:id="rId1088">
        <w:r>
          <w:rPr>
            <w:color w:val="1155CC"/>
            <w:u w:val="single"/>
          </w:rPr>
          <w:t>10.1002/anie.202516352</w:t>
        </w:r>
      </w:hyperlink>
    </w:p>
    <w:p>
      <w:pPr>
        <w:spacing w:before="0" w:after="120"/>
      </w:pPr>
      <w:r>
        <w:rPr>
          <w:b/>
        </w:rPr>
        <w:t xml:space="preserve">Notes: </w:t>
      </w:r>
      <w:r>
        <w:t>abstract_source=crossref</w:t>
      </w:r>
    </w:p>
    <w:p>
      <w:pPr>
        <w:spacing w:before="0" w:after="200" w:lineRule="auto" w:line="276"/>
      </w:pPr>
      <w:r>
        <w:rPr>
          <w:b/>
        </w:rPr>
        <w:t xml:space="preserve">Abstract: </w:t>
      </w:r>
      <w:r>
        <w:t>Heterocycle‐linked covalent organic frameworks (HC‐COFs) are a promising class of crystalline porous polymers constructed by linking organic modules into extended structures via heterocyclic moieties. HC‐COFs have received considerable attention due to their robust linkages, extended π‐conjugation and abundant heteroatomic sites. These intrinsic characteristics endow HC‐COFs with high chemical stability, enhanced light‐harvesting ability, and tunable redox activity, thus making them promising systems for widespread applications such as separation, catalysis, sensing, luminescence, biomedicine, energy storage, and environmental remediation. This review aims to provide a comprehensive overview of de novo synthesis and post‐synthetic modification strategies employed for the production of HC‐COFs, along with their physicochemical properties and representative applications. Finally, we highlight the future opportunities and challenges of HC‐COFs for next generation functional materials. This review would offer an insightful understanding of the subtle interplay between heterocyclic linkages and overall skeleton, thus providing a useful guidance on how to further solve the COF trilemma regarding crystallinity, stability and functionality.</w:t>
      </w:r>
    </w:p>
    <w:p>
      <w:pPr>
        <w:spacing w:before="120" w:after="120"/>
      </w:pPr>
      <w:r>
        <w:rPr>
          <w:sz w:val="18"/>
        </w:rPr>
        <w:t>——————————————————————————————————————————————————————————————————————</w:t>
      </w:r>
    </w:p>
    <w:p>
      <w:pPr>
        <w:spacing w:before="160" w:after="80" w:line="240" w:lineRule="auto"/>
      </w:pPr>
      <w:r>
        <w:rPr>
          <w:b/>
        </w:rPr>
        <w:t xml:space="preserve">[609] </w:t>
      </w:r>
      <w:hyperlink r:id="rId1089">
        <w:r>
          <w:rPr>
            <w:color w:val="1155CC"/>
            <w:u w:val="single"/>
          </w:rPr>
          <w:t>Thermal Phase Transition Electrolyte for High‐Temperature Aqueous Zinc‐Metal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090">
        <w:r>
          <w:rPr>
            <w:color w:val="1155CC"/>
            <w:u w:val="single"/>
          </w:rPr>
          <w:t>10.1002/adma.202514164</w:t>
        </w:r>
      </w:hyperlink>
    </w:p>
    <w:p>
      <w:pPr>
        <w:spacing w:before="0" w:after="120"/>
      </w:pPr>
      <w:r>
        <w:rPr>
          <w:b/>
        </w:rPr>
        <w:t xml:space="preserve">Notes: </w:t>
      </w:r>
      <w:r>
        <w:t>abstract_source=crossref</w:t>
      </w:r>
    </w:p>
    <w:p>
      <w:pPr>
        <w:spacing w:before="0" w:after="200" w:lineRule="auto" w:line="276"/>
      </w:pPr>
      <w:r>
        <w:rPr>
          <w:b/>
        </w:rPr>
        <w:t xml:space="preserve">Abstract: </w:t>
      </w:r>
      <w:r>
        <w:t>The operational stability of aqueous zinc‐metal batteries (AZMBs) under extreme temperatures is crucial for long‐term energy storage, yet remains hindered by intensified water activity and thermodynamic instability that exacerbate zinc dendrite growth and parasitic reactions. While incorporation of high‐boiling‐point organic solvents has shown effectiveness for high‐temperature operation by reducing water content and disrupting hydrogen‐bonding networks, it compromises the intrinsic safety of aqueous electrolyte especially in high‐temperature scenario. Here, a thermoresponsive electrolyte approach is reported leveraging phase transition of a synthesized polymer with upper critical solution temperature (UCST), which achieves temperature‐adaptive electrochemical performance in AZMBs. By modulating polymer‐water interactions and entropy‐enthalpy balance, the engineered aqueous electrolyte undergoes reversible phase transformation above 40 °C, forming a dynamically polymer‐water network that essentially suppresses water reactivity. Consequently, the optimized Zn–Zn symmetric cells exhibit stable Zn plating/stripping for 450 h at 60 °C and 210 h even under extreme 80 °C conditions. High‐loading Zn–I</w:t>
      </w:r>
      <w:r>
        <w:rPr>
          <w:vertAlign w:val="subscript"/>
        </w:rPr>
        <w:t>2</w:t>
      </w:r>
      <w:r>
        <w:t>full batteries with enhanced cycling stability further validate practical viability of the thermal phase transition electrolyte at elevated temperature. This work establishes a polymer phase transition paradigm for developing temperature‐resilient electrolytes, providing mechanistic insights into interfacial stabilization and advancing metal anode technologies for extreme‐condition energy storage systems.</w:t>
      </w:r>
    </w:p>
    <w:p>
      <w:pPr>
        <w:spacing w:before="120" w:after="120"/>
      </w:pPr>
      <w:r>
        <w:rPr>
          <w:sz w:val="18"/>
        </w:rPr>
        <w:t>——————————————————————————————————————————————————————————————————————</w:t>
      </w:r>
    </w:p>
    <w:p>
      <w:pPr>
        <w:spacing w:before="160" w:after="80" w:line="240" w:lineRule="auto"/>
      </w:pPr>
      <w:r>
        <w:rPr>
          <w:b/>
        </w:rPr>
        <w:t xml:space="preserve">[610] </w:t>
      </w:r>
      <w:hyperlink r:id="rId1091">
        <w:r>
          <w:rPr>
            <w:color w:val="1155CC"/>
            <w:u w:val="single"/>
          </w:rPr>
          <w:t>Hierarchically MOF‐Based Porous Monolith Composites for Atmospheric Water Harvesting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092">
        <w:r>
          <w:rPr>
            <w:color w:val="1155CC"/>
            <w:u w:val="single"/>
          </w:rPr>
          <w:t>10.1002/adma.202413353</w:t>
        </w:r>
      </w:hyperlink>
    </w:p>
    <w:p>
      <w:pPr>
        <w:spacing w:before="0" w:after="120"/>
      </w:pPr>
      <w:r>
        <w:rPr>
          <w:b/>
        </w:rPr>
        <w:t xml:space="preserve">Notes: </w:t>
      </w:r>
      <w:r>
        <w:t>abstract_source=crossref</w:t>
      </w:r>
    </w:p>
    <w:p>
      <w:pPr>
        <w:spacing w:before="0" w:after="200" w:lineRule="auto" w:line="276"/>
      </w:pPr>
      <w:r>
        <w:rPr>
          <w:b/>
        </w:rPr>
        <w:t xml:space="preserve">Abstract: </w:t>
      </w:r>
      <w:r>
        <w:t>Water scarcity, a critical global challenge, has intensified due to the adverse effects of climate change on ecosystems and its detrimental impact on human activities. Addressing this issue requires solutions capable of providing clean water in regions facing hydroclimatic challenges and limited infrastructure. Atmospheric water harvesting (AWH) offers a promising solution, particularly in arid regions, by extracting moisture from the air. This review explores AWH technologies that leverage material porosity and hygroscopicity, focusing on highly porous materials such as Metal‐Organic Frameworks (MOFs) and monolithic scaffolds. While MOFs exhibit exceptional water uptake due to their tunable chemistry and nanoscale porosity, their powdery nature poses stability and processability challenges. To overcome these limitations, integrating MOFs into multiscale porous monoliths—such as foams, aerogels, cryogels, and xerogels—enhances structural integrity and performance. The role of hierarchical porosity, engineered across nano‐scale in MOF (&amp;lt;2 nm) and micro‐scales (&amp;gt;2 nm) is emphasized in porous monoliths, in optimizing water capture efficiency. This review also highlights recent advancements in MOF‐based composite monoliths, their working mechanisms, and the potential for large‐scale implementation. By integrating nanotechnology with material chemistry, this work outlines strategies to enhance sorption capacity, desorption kinetics, and scalability, ultimately providing a roadmap for developing efficient, sustainable, and scalable AWH systems.</w:t>
      </w:r>
    </w:p>
    <w:p>
      <w:pPr>
        <w:spacing w:before="120" w:after="120"/>
      </w:pPr>
      <w:r>
        <w:rPr>
          <w:sz w:val="18"/>
        </w:rPr>
        <w:t>——————————————————————————————————————————————————————————————————————</w:t>
      </w:r>
    </w:p>
    <w:p>
      <w:pPr>
        <w:spacing w:before="160" w:after="80" w:line="240" w:lineRule="auto"/>
      </w:pPr>
      <w:r>
        <w:rPr>
          <w:b/>
        </w:rPr>
        <w:t xml:space="preserve">[611] </w:t>
      </w:r>
      <w:hyperlink r:id="rId1093">
        <w:r>
          <w:rPr>
            <w:color w:val="1155CC"/>
            <w:u w:val="single"/>
          </w:rPr>
          <w:t>Microstructure Optimization via Grain‐Boundary Segregation to Enhance DC Bias Dielectric Performance of BaTiO3 Multilayer Ceramic Capacitors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094">
        <w:r>
          <w:rPr>
            <w:color w:val="1155CC"/>
            <w:u w:val="single"/>
          </w:rPr>
          <w:t>10.1002/adma.71873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[612] </w:t>
      </w:r>
      <w:hyperlink r:id="rId1095">
        <w:r>
          <w:rPr>
            <w:color w:val="1155CC"/>
            <w:u w:val="single"/>
          </w:rPr>
          <w:t>Engineering Aging: Approaches to Model and Deconstruct Biological Complexity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096">
        <w:r>
          <w:rPr>
            <w:color w:val="1155CC"/>
            <w:u w:val="single"/>
          </w:rPr>
          <w:t>10.1002/adma.71874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[613] </w:t>
      </w:r>
      <w:hyperlink r:id="rId1097">
        <w:r>
          <w:rPr>
            <w:color w:val="1155CC"/>
            <w:u w:val="single"/>
          </w:rPr>
          <w:t>Universal Method for Covalent Attachment of Hydrogels to Diverse Polymeric Surfaces for Biomedical Applications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098">
        <w:r>
          <w:rPr>
            <w:color w:val="1155CC"/>
            <w:u w:val="single"/>
          </w:rPr>
          <w:t>10.1002/adma.71875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[614] </w:t>
      </w:r>
      <w:hyperlink r:id="rId1099">
        <w:r>
          <w:rPr>
            <w:color w:val="1155CC"/>
            <w:u w:val="single"/>
          </w:rPr>
          <w:t>Revisiting Ferroelectric‐Gated Phototransistors: A Tripartite Synapse‐Inspired Approach to In‐Sensor Image Processing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00">
        <w:r>
          <w:rPr>
            <w:color w:val="1155CC"/>
            <w:u w:val="single"/>
          </w:rPr>
          <w:t>10.1002/adma.71876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[615] </w:t>
      </w:r>
      <w:hyperlink r:id="rId1101">
        <w:r>
          <w:rPr>
            <w:color w:val="1155CC"/>
            <w:u w:val="single"/>
          </w:rPr>
          <w:t>Interface‐Induced Stability of Nontrivial Topological Spin Textures: Unveiling Room‐Temperature Hopfions and Skyrmions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02">
        <w:r>
          <w:rPr>
            <w:color w:val="1155CC"/>
            <w:u w:val="single"/>
          </w:rPr>
          <w:t>10.1002/adma.71878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[616] </w:t>
      </w:r>
      <w:hyperlink r:id="rId1103">
        <w:r>
          <w:rPr>
            <w:color w:val="1155CC"/>
            <w:u w:val="single"/>
          </w:rPr>
          <w:t>Spatiotemporally Engineered Protein Delivery via Integrated Covalent Coupling and Pathological Triggers for Precision Microenvironment Reprogramming in Tissue Injury Repair</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04">
        <w:r>
          <w:rPr>
            <w:color w:val="1155CC"/>
            <w:u w:val="single"/>
          </w:rPr>
          <w:t>10.1002/adma.202512554</w:t>
        </w:r>
      </w:hyperlink>
    </w:p>
    <w:p>
      <w:pPr>
        <w:spacing w:before="0" w:after="120"/>
      </w:pPr>
      <w:r>
        <w:rPr>
          <w:b/>
        </w:rPr>
        <w:t xml:space="preserve">Notes: </w:t>
      </w:r>
      <w:r>
        <w:t>abstract_source=crossref</w:t>
      </w:r>
    </w:p>
    <w:p>
      <w:pPr>
        <w:spacing w:before="0" w:after="200" w:lineRule="auto" w:line="276"/>
      </w:pPr>
      <w:r>
        <w:rPr>
          <w:b/>
        </w:rPr>
        <w:t xml:space="preserve">Abstract: </w:t>
      </w:r>
      <w:r>
        <w:t>Tissue injury presents a complex microenvironment with temporal pathological dynamics, necessitating precision therapeutic strategies. However, current interventions lack effective measures that precisely respond to and modulate the dynamic changes in the microenvironment. Herein, a biomaterial‐driven platform based on covalent conjugation and enzyme‐responsive release, enabling the spatiotemporally controlled delivery of regenerative and immunomodulatory factors, is developed. Following tissue injury, the early‐phase protease thrombin and the delayed‐phase matrix metalloproteinase‐2 (MMP2) serve as endogenous triggers that correspond to distinct stages of the microenvironmental evolution. By site‐specific covalent conjugation via Sortase A (SrtA)‐mediated transpeptidation to intraluminal aligned fibers, combined with outer encapsulation within T‐HA (thrombin‐responsive cleavable hyaluronic acid gel), it is discovered that sequential delivery (CNTF/FGF2 followed by IL‐4) significantly enhances spinal cord injury (SCI) recovery compared to reverse sequencing (IL‐4 followed by CNTF/FGF2). Likewise, SrtA‐mediated protein conjugation to HA demonstrates that FGF2 delivery preceding IL‐4 resulted in superior cardiac functional restoration in the myocardial infarction (MI) model. This spatiotemporally system optimizes the critical therapeutic window for inflammation and tissue remodeling after injury, offering a versatile paradigm for addressing the challenges posed by the dynamic nature of injured tissues.</w:t>
      </w:r>
    </w:p>
    <w:p>
      <w:pPr>
        <w:spacing w:before="120" w:after="120"/>
      </w:pPr>
      <w:r>
        <w:rPr>
          <w:sz w:val="18"/>
        </w:rPr>
        <w:t>——————————————————————————————————————————————————————————————————————</w:t>
      </w:r>
    </w:p>
    <w:p>
      <w:pPr>
        <w:spacing w:before="160" w:after="80" w:line="240" w:lineRule="auto"/>
      </w:pPr>
      <w:r>
        <w:rPr>
          <w:b/>
        </w:rPr>
        <w:t xml:space="preserve">[617] </w:t>
      </w:r>
      <w:hyperlink r:id="rId1105">
        <w:r>
          <w:rPr>
            <w:color w:val="1155CC"/>
            <w:u w:val="single"/>
          </w:rPr>
          <w:t>Engineering Aging: Approaches to Model and Deconstruct Biological Complexity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06">
        <w:r>
          <w:rPr>
            <w:color w:val="1155CC"/>
            <w:u w:val="single"/>
          </w:rPr>
          <w:t>10.1002/adma.202512523</w:t>
        </w:r>
      </w:hyperlink>
    </w:p>
    <w:p>
      <w:pPr>
        <w:spacing w:before="0" w:after="120"/>
      </w:pPr>
      <w:r>
        <w:rPr>
          <w:b/>
        </w:rPr>
        <w:t xml:space="preserve">Notes: </w:t>
      </w:r>
      <w:r>
        <w:t>abstract_source=crossref</w:t>
      </w:r>
    </w:p>
    <w:p>
      <w:pPr>
        <w:spacing w:before="0" w:after="200" w:lineRule="auto" w:line="276"/>
      </w:pPr>
      <w:r>
        <w:rPr>
          <w:b/>
        </w:rPr>
        <w:t xml:space="preserve">Abstract: </w:t>
      </w:r>
      <w:r>
        <w:t>The disparity between the global increase in life expectancy and the steady decline in health outcomes with age has been a major driver for developing new ways to research aging. Although this current tools for studying aging outside of the human body—such as animal models and cells in a dish—have improved this fundamental understanding of the markers and key mechanisms underlying this process, several limitations remain. Animal models are poor biological representations of humans and have a weak track record of translating pre‐clinical results into successful clinical applications. Similarly, current 2D cellular models do not recapitulate the dynamic 3D environment of human tissue. This gap between the need for accurate biological mimicry and the limitations of current aging models presents an exciting opportunity for the field of biofabrication. Over the past decade, the combination of biofabrication and advanced biomaterials has shown potential to engineer high‐resolution features that change over time or respond to specific stimuli. In this perspective, the current state of in vitro aging models is reflected, identify the key features that new models must emulate, discuss the technologies available to meet these complex specifications, and consider some of the potential challenges facing the field.</w:t>
      </w:r>
    </w:p>
    <w:p>
      <w:pPr>
        <w:spacing w:before="120" w:after="120"/>
      </w:pPr>
      <w:r>
        <w:rPr>
          <w:sz w:val="18"/>
        </w:rPr>
        <w:t>——————————————————————————————————————————————————————————————————————</w:t>
      </w:r>
    </w:p>
    <w:p>
      <w:pPr>
        <w:spacing w:before="160" w:after="80" w:line="240" w:lineRule="auto"/>
      </w:pPr>
      <w:r>
        <w:rPr>
          <w:b/>
        </w:rPr>
        <w:t xml:space="preserve">[618] </w:t>
      </w:r>
      <w:hyperlink r:id="rId1107">
        <w:r>
          <w:rPr>
            <w:color w:val="1155CC"/>
            <w:u w:val="single"/>
          </w:rPr>
          <w:t>Pyroelectric Enhanced Catalytic Oxidation: A Universal Strategy for Low‐Temperature Gas Phase 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08">
        <w:r>
          <w:rPr>
            <w:color w:val="1155CC"/>
            <w:u w:val="single"/>
          </w:rPr>
          <w:t>10.1002/adma.202512417</w:t>
        </w:r>
      </w:hyperlink>
    </w:p>
    <w:p>
      <w:pPr>
        <w:spacing w:before="0" w:after="120"/>
      </w:pPr>
      <w:r>
        <w:rPr>
          <w:b/>
        </w:rPr>
        <w:t xml:space="preserve">Notes: </w:t>
      </w:r>
      <w:r>
        <w:t>abstract_source=crossref</w:t>
      </w:r>
    </w:p>
    <w:p>
      <w:pPr>
        <w:spacing w:before="0" w:after="200" w:lineRule="auto" w:line="276"/>
      </w:pPr>
      <w:r>
        <w:rPr>
          <w:b/>
        </w:rPr>
        <w:t xml:space="preserve">Abstract: </w:t>
      </w:r>
      <w:r>
        <w:t>In the field of gas phase catalysis, reactive oxygen species (ROS) play a crucial role, but how to improve catalytic efficiency and lifetime by forming ROS efficiently and sustainably during the catalytic process is a challenge for high‐performance catalysts. Here, a pyroelectric enhanced catalytic oxidation (PECO) strategy is reported that can effectively enhance the catalytic oxidation efficiency and life of the catalyst by constantly generation of ROS. When gaseous pollutants of formaldehyde (HCHO) are catalytically degraded by conductive aerogel catalysts of MnO</w:t>
      </w:r>
      <w:r>
        <w:t xml:space="preserve"> </w:t>
      </w:r>
      <w:r>
        <w:t>x</w:t>
      </w:r>
      <w:r>
        <w:t xml:space="preserve"> </w:t>
      </w:r>
      <w:r>
        <w:t>, the HCHO to CO</w:t>
      </w:r>
      <w:r>
        <w:rPr>
          <w:vertAlign w:val="subscript"/>
        </w:rPr>
        <w:t>2</w:t>
      </w:r>
      <w:r>
        <w:t>conversion efficiency is increased by ≈300% to 95.33% at a high gas hourly space velocity (GHSV: 600 L g</w:t>
      </w:r>
      <w:r>
        <w:t xml:space="preserve"> </w:t>
      </w:r>
      <w:r>
        <w:t>cat.</w:t>
      </w:r>
      <w:r>
        <w:t xml:space="preserve"> </w:t>
      </w:r>
      <w:r>
        <w:t>−1</w:t>
      </w:r>
      <w:r>
        <w:t xml:space="preserve"> </w:t>
      </w:r>
      <w:r>
        <w:t>·h</w:t>
      </w:r>
      <w:r>
        <w:t xml:space="preserve"> </w:t>
      </w:r>
      <w:r>
        <w:t>−1</w:t>
      </w:r>
      <w:r>
        <w:t xml:space="preserve"> </w:t>
      </w:r>
      <w:r>
        <w:t>) using the pyroelectric effect of BaTiO</w:t>
      </w:r>
      <w:r>
        <w:rPr>
          <w:vertAlign w:val="subscript"/>
        </w:rPr>
        <w:t>3</w:t>
      </w:r>
      <w:r>
        <w:t>, and the efficiency attenuation is less than 3% during the continuous catalytic process of 1200 h. The experimental and theoretical analysis confirm that the pyroelectric effect contributes to improving valence transition of Mn</w:t>
      </w:r>
      <w:r>
        <w:t xml:space="preserve"> </w:t>
      </w:r>
      <w:r>
        <w:t>3+</w:t>
      </w:r>
      <w:r>
        <w:t xml:space="preserve"> </w:t>
      </w:r>
      <w:r>
        <w:t>/Mn</w:t>
      </w:r>
      <w:r>
        <w:t xml:space="preserve"> </w:t>
      </w:r>
      <w:r>
        <w:t>4+</w:t>
      </w:r>
      <w:r>
        <w:t xml:space="preserve"> </w:t>
      </w:r>
      <w:r>
        <w:t>and electron transfer of oxygen‐containing molecules thus leading to the continuous formation of ROS. The PECO strategy provides a simple and effective approach for ROS engineering and has broad application prospects in the field of catalysis.</w:t>
      </w:r>
    </w:p>
    <w:p>
      <w:pPr>
        <w:spacing w:before="120" w:after="120"/>
      </w:pPr>
      <w:r>
        <w:rPr>
          <w:sz w:val="18"/>
        </w:rPr>
        <w:t>——————————————————————————————————————————————————————————————————————</w:t>
      </w:r>
    </w:p>
    <w:p>
      <w:pPr>
        <w:spacing w:before="160" w:after="80" w:line="240" w:lineRule="auto"/>
      </w:pPr>
      <w:r>
        <w:rPr>
          <w:b/>
        </w:rPr>
        <w:t xml:space="preserve">[619] </w:t>
      </w:r>
      <w:hyperlink r:id="rId1109">
        <w:r>
          <w:rPr>
            <w:color w:val="1155CC"/>
            <w:u w:val="single"/>
          </w:rPr>
          <w:t>High‐Entropy Electrocatalytic Materials in Zn‐Air Batteries: From Fundamentals to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10">
        <w:r>
          <w:rPr>
            <w:color w:val="1155CC"/>
            <w:u w:val="single"/>
          </w:rPr>
          <w:t>10.1002/adma.202512274</w:t>
        </w:r>
      </w:hyperlink>
    </w:p>
    <w:p>
      <w:pPr>
        <w:spacing w:before="0" w:after="120"/>
      </w:pPr>
      <w:r>
        <w:rPr>
          <w:b/>
        </w:rPr>
        <w:t xml:space="preserve">Notes: </w:t>
      </w:r>
      <w:r>
        <w:t>abstract_source=crossref</w:t>
      </w:r>
    </w:p>
    <w:p>
      <w:pPr>
        <w:spacing w:before="0" w:after="200" w:lineRule="auto" w:line="276"/>
      </w:pPr>
      <w:r>
        <w:rPr>
          <w:b/>
        </w:rPr>
        <w:t xml:space="preserve">Abstract: </w:t>
      </w:r>
      <w:r>
        <w:t>Rechargeable Zn‐air batteries (ZABs) have garnered significant attention owing to their high energy density, low costs, and environmental sustainability by using air as the cathode and zinc as the anode. The critical bottlenecks in advancing rechargeable ZABs lie in the development of high‐performance bifunctional air electrode catalysts that efficiently drive the oxygen reduction reaction (ORR) and oxygen evolution reaction (OER). High‐entropy materials (HEMs), comprising four or more elements with distinctive structural characteristics, tailorable chemical compositions, and correspondingly tunable functional properties, have exhibited exceptional electrocatalytic activity toward ORR/OER in various catalytic systems. To further enhance HEMs' catalytic performance, systematic investigations into elemental interactions, precise identification of active sites, and elucidation of fundamental reaction mechanisms are imperative. This review first introduces the synthetic methods, design principles, and characterization technologies of HEM‐based electrocatalysts and summarizes their applications in ZABs based on oxygen chemistry. This study endeavors to decode the complexity of active sites, elemental interactions, and the reaction mechanisms intrinsic to HEMs. Finally, the critical challenges, the significance of integrating both experimental and theoretical approaches, and the prospective applications of HEMs in ZABs are emphasized. This review is expected to facilitate the rational design and practical deployment of HEMs for next‐generation ZAB systems.</w:t>
      </w:r>
    </w:p>
    <w:p>
      <w:pPr>
        <w:spacing w:before="120" w:after="120"/>
      </w:pPr>
      <w:r>
        <w:rPr>
          <w:sz w:val="18"/>
        </w:rPr>
        <w:t>——————————————————————————————————————————————————————————————————————</w:t>
      </w:r>
    </w:p>
    <w:p>
      <w:pPr>
        <w:spacing w:before="160" w:after="80" w:line="240" w:lineRule="auto"/>
      </w:pPr>
      <w:r>
        <w:rPr>
          <w:b/>
        </w:rPr>
        <w:t xml:space="preserve">[620] </w:t>
      </w:r>
      <w:hyperlink r:id="rId1111">
        <w:r>
          <w:rPr>
            <w:color w:val="1155CC"/>
            <w:u w:val="single"/>
          </w:rPr>
          <w:t>Diverse Perovskite Solar Cells: Progress, Challenges, and Perspectives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12">
        <w:r>
          <w:rPr>
            <w:color w:val="1155CC"/>
            <w:u w:val="single"/>
          </w:rPr>
          <w:t>10.1002/adma.202512221</w:t>
        </w:r>
      </w:hyperlink>
    </w:p>
    <w:p>
      <w:pPr>
        <w:spacing w:before="0" w:after="120"/>
      </w:pPr>
      <w:r>
        <w:rPr>
          <w:b/>
        </w:rPr>
        <w:t xml:space="preserve">Notes: </w:t>
      </w:r>
      <w:r>
        <w:t>abstract_source=crossref</w:t>
      </w:r>
    </w:p>
    <w:p>
      <w:pPr>
        <w:spacing w:before="0" w:after="200" w:lineRule="auto" w:line="276"/>
      </w:pPr>
      <w:r>
        <w:rPr>
          <w:b/>
        </w:rPr>
        <w:t xml:space="preserve">Abstract: </w:t>
      </w:r>
      <w:r>
        <w:t>Perovskite materials have revolutionized optoelectronics by virtue of their tunable bandgaps, exceptional optoelectronic properties, and structural flexibility. Notably, the state‐of‐the‐art performance of perovskite solar cells has reached 27%, making perovskite materials a promising candidate for next‐generation photovoltaic technology. Although numerous reviews regarding perovskite materials have been published, the existing reviews generally focus on individual material systems (e.g., organic–inorganic hybrid perovskites) and specific optimizations in one particular optoelectronic application (e.g., stability engineering for solar cells), lacking a systematic overview of the progress and challenges across diverse perovskite types. This review breaks this limitation by providing a systematic overview of all perovskite categories used in solar cells classified by different criteria, including composition (organic–inorganic hybrid perovskites, all‐inorganic perovskites, lead‐free perovskites, and metal‐free perovskites), dimensionality (3D and low‐dimensional perovskitoids), and crystallinity (poly‐crystal thin film and single‐crystal perovskites). The recent progress and future perspectives for each category of perovskite solar cells are focused on, aiming to establish a holistic roadmap for perovskite solar cells toward technological innovations and industrial viability.</w:t>
      </w:r>
    </w:p>
    <w:p>
      <w:pPr>
        <w:spacing w:before="120" w:after="120"/>
      </w:pPr>
      <w:r>
        <w:rPr>
          <w:sz w:val="18"/>
        </w:rPr>
        <w:t>——————————————————————————————————————————————————————————————————————</w:t>
      </w:r>
    </w:p>
    <w:p>
      <w:pPr>
        <w:spacing w:before="160" w:after="80" w:line="240" w:lineRule="auto"/>
      </w:pPr>
      <w:r>
        <w:rPr>
          <w:b/>
        </w:rPr>
        <w:t xml:space="preserve">[621] </w:t>
      </w:r>
      <w:hyperlink r:id="rId1113">
        <w:r>
          <w:rPr>
            <w:color w:val="1155CC"/>
            <w:u w:val="single"/>
          </w:rPr>
          <w:t>Adaptive Metaskins for Active and Passive Thermal Camouflage (Adv. Mater. 1/2026)</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14">
        <w:r>
          <w:rPr>
            <w:color w:val="1155CC"/>
            <w:u w:val="single"/>
          </w:rPr>
          <w:t>10.1002/adma.71872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[622] </w:t>
      </w:r>
      <w:hyperlink r:id="rId1115">
        <w:r>
          <w:rPr>
            <w:color w:val="1155CC"/>
            <w:u w:val="single"/>
          </w:rPr>
          <w:t>Bifunctionally Driven Organic Photonic Conversion Devices Facilitated by Minimalistic Synthesis‐Based Interfacial Energetic Alignment</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16">
        <w:r>
          <w:rPr>
            <w:color w:val="1155CC"/>
            <w:u w:val="single"/>
          </w:rPr>
          <w:t>10.1002/adma.202512209</w:t>
        </w:r>
      </w:hyperlink>
    </w:p>
    <w:p>
      <w:pPr>
        <w:spacing w:before="0" w:after="120"/>
      </w:pPr>
      <w:r>
        <w:rPr>
          <w:b/>
        </w:rPr>
        <w:t xml:space="preserve">Notes: </w:t>
      </w:r>
      <w:r>
        <w:t>abstract_source=crossref</w:t>
      </w:r>
    </w:p>
    <w:p>
      <w:pPr>
        <w:spacing w:before="0" w:after="200" w:lineRule="auto" w:line="276"/>
      </w:pPr>
      <w:r>
        <w:rPr>
          <w:b/>
        </w:rPr>
        <w:t xml:space="preserve">Abstract: </w:t>
      </w:r>
      <w:r>
        <w:t>Bifunctional integration of indoor organic photovoltaics (OPVs) and photodetectors (OPDs) faces fundamental challenges because of incompatible interfacial thermodynamics: indoor OPVs require unimpeded charge extraction under low‐light conditions (200–1000 lx), whereas OPDs require stringent suppression of noise current. Conventional hole transport layers (HTLs) fail to satisfy these opposing charge‐dynamic requirements concurrently with commercial practicality (large‐area uniformity, photostability, and cost‐effective manufacturability). This study introduces benzene‐phosphonic acid (BPA)—a minimalist self‐assembled monolayer (SAM)‐based HTL with a benzene core and phosphonic acid anchoring group—enabling cost‐effective synthesis and excellent ITO interfacial properties such as energy alignment, uniform monolayer, and stability. This molecular design resolves core limitations and achieves high indoor OPV efficiency (28.6% PCE at 1000 lx LED 2700 K), maintains 93% PCE retention when scaled by ≈220× area, and delivers competitive self‐powered (</w:t>
      </w:r>
      <w:r>
        <w:t xml:space="preserve"> </w:t>
      </w:r>
      <w:r>
        <w:t>V</w:t>
      </w:r>
      <w:r>
        <w:t xml:space="preserve"> </w:t>
      </w:r>
      <w:r>
        <w:t>= 0 V) OPD performance (noise equivalent power = 584 fW at bandwidth = 1 Hz and wavelength = 730 nm; 3 dB frequency = 103 kHz). Simplified synthesis of BPA reduces production costs by 720% ($0.042 cm</w:t>
      </w:r>
      <w:r>
        <w:t xml:space="preserve"> </w:t>
      </w:r>
      <w:r>
        <w:t>−2</w:t>
      </w:r>
      <w:r>
        <w:t xml:space="preserve"> </w:t>
      </w:r>
      <w:r>
        <w:t>) and achieves 9× higher power‐per‐cost ratio (19.25 mW∙$</w:t>
      </w:r>
      <w:r>
        <w:t xml:space="preserve"> </w:t>
      </w:r>
      <w:r>
        <w:t>−1</w:t>
      </w:r>
      <w:r>
        <w:t xml:space="preserve"> </w:t>
      </w:r>
      <w:r>
        <w:t>) relative to its counterpart SAM. Synergy between performance and commercial practicality positions BPA‐HTL as a transformative enabler for self‐powered IoT and wearable optoelectronics.</w:t>
      </w:r>
    </w:p>
    <w:p>
      <w:pPr>
        <w:spacing w:before="120" w:after="120"/>
      </w:pPr>
      <w:r>
        <w:rPr>
          <w:sz w:val="18"/>
        </w:rPr>
        <w:t>——————————————————————————————————————————————————————————————————————</w:t>
      </w:r>
    </w:p>
    <w:p>
      <w:pPr>
        <w:spacing w:before="160" w:after="80" w:line="240" w:lineRule="auto"/>
      </w:pPr>
      <w:r>
        <w:rPr>
          <w:b/>
        </w:rPr>
        <w:t xml:space="preserve">[623] </w:t>
      </w:r>
      <w:hyperlink r:id="rId1117">
        <w:r>
          <w:rPr>
            <w:color w:val="1155CC"/>
            <w:u w:val="single"/>
          </w:rPr>
          <w:t>Levetiracetam‐Assisted Perovskite Crystallization and Tripartite Lead Iodide Reduction in Perovskite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18">
        <w:r>
          <w:rPr>
            <w:color w:val="1155CC"/>
            <w:u w:val="single"/>
          </w:rPr>
          <w:t>10.1002/adma.202512171</w:t>
        </w:r>
      </w:hyperlink>
    </w:p>
    <w:p>
      <w:pPr>
        <w:spacing w:before="0" w:after="120"/>
      </w:pPr>
      <w:r>
        <w:rPr>
          <w:b/>
        </w:rPr>
        <w:t xml:space="preserve">Notes: </w:t>
      </w:r>
      <w:r>
        <w:t>abstract_source=crossref</w:t>
      </w:r>
    </w:p>
    <w:p>
      <w:pPr>
        <w:spacing w:before="0" w:after="200" w:lineRule="auto" w:line="276"/>
      </w:pPr>
      <w:r>
        <w:rPr>
          <w:b/>
        </w:rPr>
        <w:t xml:space="preserve">Abstract: </w:t>
      </w:r>
      <w:r>
        <w:t>Sequential deposition technique is widely used to fabricate perovskite films with large grain size in perovskite solar cells (PSCs). Residual lead halide (PbI</w:t>
      </w:r>
      <w:r>
        <w:rPr>
          <w:vertAlign w:val="subscript"/>
        </w:rPr>
        <w:t>2</w:t>
      </w:r>
      <w:r>
        <w:t>) in the perovskite film tends to be decomposed into metallic lead (Pb</w:t>
      </w:r>
      <w:r>
        <w:rPr>
          <w:vertAlign w:val="subscript"/>
        </w:rPr>
        <w:t>0</w:t>
      </w:r>
      <w:r>
        <w:t>) under long‐term heating or light soaking. Here, a chiral levetiracetam (LEV) dopant containing α‐amide and pyrrolidone groups is introduced into the PbI</w:t>
      </w:r>
      <w:r>
        <w:rPr>
          <w:vertAlign w:val="subscript"/>
        </w:rPr>
        <w:t>2</w:t>
      </w:r>
      <w:r>
        <w:t>precursor solution. The carbonyl oxygen (labeled O1) and amide oxygen (labeled O2) in the pyrrolidone ring have significant electronegativity and form coordination bonds with Pb</w:t>
      </w:r>
      <w:r>
        <w:t xml:space="preserve"> </w:t>
      </w:r>
      <w:r>
        <w:t>2+</w:t>
      </w:r>
      <w:r>
        <w:t xml:space="preserve"> </w:t>
      </w:r>
      <w:r>
        <w:t>ions through electron transfer, thereby regulating the nucleation and crystallization process of perovskite. The chirality of LEV induces spatial selectivity in perovskite precursor coordination, promoting oriented growth along the (100) crystallographic facet. Additionally, it enables selective defect passivation, preferentially addressing Pb and I vacancies. Ultimately, LEV doping reduces the tripartite residual PbI</w:t>
      </w:r>
      <w:r>
        <w:rPr>
          <w:vertAlign w:val="subscript"/>
        </w:rPr>
        <w:t>2</w:t>
      </w:r>
      <w:r>
        <w:t>in the perovskite film, including multi‐interfaces and bulk. Besides, the resulted PSCs achieved a champion power conversion efficiency (PCE) of over 26% with a stabilized power output of 25.8% and maintained 90% of its initial PCE after maximum power point tracking for 1000 h. This study offers a novel research paradigm to advance the development of perovskite photovoltaics.</w:t>
      </w:r>
    </w:p>
    <w:p>
      <w:pPr>
        <w:spacing w:before="120" w:after="120"/>
      </w:pPr>
      <w:r>
        <w:rPr>
          <w:sz w:val="18"/>
        </w:rPr>
        <w:t>——————————————————————————————————————————————————————————————————————</w:t>
      </w:r>
    </w:p>
    <w:p>
      <w:pPr>
        <w:spacing w:before="160" w:after="80" w:line="240" w:lineRule="auto"/>
      </w:pPr>
      <w:r>
        <w:rPr>
          <w:b/>
        </w:rPr>
        <w:t xml:space="preserve">[624] </w:t>
      </w:r>
      <w:hyperlink r:id="rId1119">
        <w:r>
          <w:rPr>
            <w:color w:val="1155CC"/>
            <w:u w:val="single"/>
          </w:rPr>
          <w:t>NIR‐II Imaging‐Guided Self‐Penetrating Nanomotors for Millimeter‐Scale Deep Thrombolysis Tracking and Accelerated Embolus Clearance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20">
        <w:r>
          <w:rPr>
            <w:color w:val="1155CC"/>
            <w:u w:val="single"/>
          </w:rPr>
          <w:t>10.1002/adma.202512075</w:t>
        </w:r>
      </w:hyperlink>
    </w:p>
    <w:p>
      <w:pPr>
        <w:spacing w:before="0" w:after="120"/>
      </w:pPr>
      <w:r>
        <w:rPr>
          <w:b/>
        </w:rPr>
        <w:t xml:space="preserve">Notes: </w:t>
      </w:r>
      <w:r>
        <w:t>abstract_source=crossref</w:t>
      </w:r>
    </w:p>
    <w:p>
      <w:pPr>
        <w:spacing w:before="0" w:after="200" w:lineRule="auto" w:line="276"/>
      </w:pPr>
      <w:r>
        <w:rPr>
          <w:b/>
        </w:rPr>
        <w:t xml:space="preserve">Abstract: </w:t>
      </w:r>
      <w:r>
        <w:t>Pulmonary embolism (PE), a life‐threatening condition caused by thromboembolic obstruction of pulmonary arteries, demands urgent therapeutic interventions and precise diagnostic strategies to prevent systemic complications. Current thrombolytic therapies and imaging modalities face critical limitations, including hemorrhagic risks from high‐dose fibrinolytic drugs and insufficient sensitivity for detecting microemboli or dynamically tracking thrombolytic progression. Herein, a self‐propelling nanomotor platform is reported that integrates second near‐infrared window (NIR‐II) fluorescence imaging‐guided navigation, thrombus‐targeting capability, and synergistic thrombolysis for real‐time theranostics management of PE. Leveraging a relatively high fluorescence quantum yield (1.08%) for NIR‐II probes and prolonged circulation half‐life (7.2 h), these nanomotors enable sensitive detection of submillimeter microemboli and sustained, millimeter‐level precision monitoring of thrombolytic progression. Through a self‐penetration‐enhanced synergistic therapy‐ combining thermal ablation and chemical lysis, the platform achieved rapid vascular recanalization, exceeding 95% efficiency within a shortened therapeutic timeframe, using only 13.6% of the clinical urokinase (UK) dose. Validation in both the posterior auricular artery thrombosis (PAAT) and submillimeter microemboli‐induced PE models demonstrated accelerated embolus clearance, precision thrombolytic monitoring, and excellent biosafety without secondary embolism or hemorrhagic complications. This work demonstrates the significant potential of multifunctional nanomotors for the precision management of thrombotic disorders.</w:t>
      </w:r>
    </w:p>
    <w:p>
      <w:pPr>
        <w:spacing w:before="120" w:after="120"/>
      </w:pPr>
      <w:r>
        <w:rPr>
          <w:sz w:val="18"/>
        </w:rPr>
        <w:t>——————————————————————————————————————————————————————————————————————</w:t>
      </w:r>
    </w:p>
    <w:p>
      <w:pPr>
        <w:spacing w:before="160" w:after="80" w:line="240" w:lineRule="auto"/>
      </w:pPr>
      <w:r>
        <w:rPr>
          <w:b/>
        </w:rPr>
        <w:t xml:space="preserve">[625] </w:t>
      </w:r>
      <w:hyperlink r:id="rId1121">
        <w:r>
          <w:rPr>
            <w:color w:val="1155CC"/>
            <w:u w:val="single"/>
          </w:rPr>
          <w:t>Dual‐Metal Synergy in Sn‐Sb‐CNF Membrane Anodes Boosts Electro‐Filtration Oxidation of Emerging Contaminants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22">
        <w:r>
          <w:rPr>
            <w:color w:val="1155CC"/>
            <w:u w:val="single"/>
          </w:rPr>
          <w:t>10.1002/adma.202512066</w:t>
        </w:r>
      </w:hyperlink>
    </w:p>
    <w:p>
      <w:pPr>
        <w:spacing w:before="0" w:after="120"/>
      </w:pPr>
      <w:r>
        <w:rPr>
          <w:b/>
        </w:rPr>
        <w:t xml:space="preserve">Notes: </w:t>
      </w:r>
      <w:r>
        <w:t>abstract_source=crossref</w:t>
      </w:r>
    </w:p>
    <w:p>
      <w:pPr>
        <w:spacing w:before="0" w:after="200" w:lineRule="auto" w:line="276"/>
      </w:pPr>
      <w:r>
        <w:rPr>
          <w:b/>
        </w:rPr>
        <w:t xml:space="preserve">Abstract: </w:t>
      </w:r>
      <w:r>
        <w:t>Emerging contaminants, including pharmaceutical and personal care products (PPCPs), pose significant threats to aquatic ecosystems and human health. This study demonstrates efficient electrochemical oxidation of PPCPs using a novel tin‐antimony doped carbon nanofiber membrane (Sn‐Sb‐CNF) anode leveraging dual‐metal synergy. Oxygen vacancies generated through this synergistic effect function as active sites, enhancing pollutant adsorption capacity and oxidant activation capability. The degradation mechanism proceeds primarily via dominant hydroxyl radical (</w:t>
      </w:r>
      <w:r>
        <w:t xml:space="preserve"> </w:t>
      </w:r>
      <w:r>
        <w:t>•</w:t>
      </w:r>
      <w:r>
        <w:t xml:space="preserve"> </w:t>
      </w:r>
      <w:r>
        <w:t>OH) generation, leading to complete contaminant mineralization. Notably, Sn/Sb dual‐metal doping modulates the electronic structure, altering the d‐band center from −4.777 to −2.175 eV and significantly lowering reaction energy barriers. This electronic optimization facilitates electron transfer kinetics and accelerates pollutant degradation. Owing to this synergy, the Sn‐Sb‐CNF anode achieved high removal efficiencies (&amp;gt;90%) within 30 min for multiple PPCPs: ofloxacin (95%), enrofloxacin (91%), carbamazepine (90%), acetaminophen (82%), and ibuprofen (96%). Furthermore, the membrane exhibits potent antimicrobial activity, achieving 4‐log inactivation of tetracycline‐resistant</w:t>
      </w:r>
      <w:r>
        <w:t xml:space="preserve"> </w:t>
      </w:r>
      <w:r>
        <w:t>Escherichia coli</w:t>
      </w:r>
      <w:r>
        <w:t xml:space="preserve"> </w:t>
      </w:r>
      <w:r>
        <w:t>and 5‐log reduction of T7 bacteriophage within 30 min. In real wastewater containing antibiotic‐resistant bacteria from a treatment plant, the system attained 62% mineralization rate. This work establishes a dual‐metal synergy strategy that provides new avenues for efficient PPCP elimination in complex aqueous matrices.</w:t>
      </w:r>
    </w:p>
    <w:p>
      <w:pPr>
        <w:spacing w:before="120" w:after="120"/>
      </w:pPr>
      <w:r>
        <w:rPr>
          <w:sz w:val="18"/>
        </w:rPr>
        <w:t>——————————————————————————————————————————————————————————————————————</w:t>
      </w:r>
    </w:p>
    <w:p>
      <w:pPr>
        <w:spacing w:before="160" w:after="80" w:line="240" w:lineRule="auto"/>
      </w:pPr>
      <w:r>
        <w:rPr>
          <w:b/>
        </w:rPr>
        <w:t xml:space="preserve">[626] </w:t>
      </w:r>
      <w:hyperlink r:id="rId1123">
        <w:r>
          <w:rPr>
            <w:color w:val="1155CC"/>
            <w:u w:val="single"/>
          </w:rPr>
          <w:t>A Multimodal Smart Window with Visible‐NIR‐LWIR Electro‐Modulation for All Weather</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24">
        <w:r>
          <w:rPr>
            <w:color w:val="1155CC"/>
            <w:u w:val="single"/>
          </w:rPr>
          <w:t>10.1002/adma.202512029</w:t>
        </w:r>
      </w:hyperlink>
    </w:p>
    <w:p>
      <w:pPr>
        <w:spacing w:before="0" w:after="120"/>
      </w:pPr>
      <w:r>
        <w:rPr>
          <w:b/>
        </w:rPr>
        <w:t xml:space="preserve">Notes: </w:t>
      </w:r>
      <w:r>
        <w:t>abstract_source=crossref</w:t>
      </w:r>
    </w:p>
    <w:p>
      <w:pPr>
        <w:spacing w:before="0" w:after="200" w:lineRule="auto" w:line="276"/>
      </w:pPr>
      <w:r>
        <w:rPr>
          <w:b/>
        </w:rPr>
        <w:t xml:space="preserve">Abstract: </w:t>
      </w:r>
      <w:r>
        <w:t>Intelligent modulation of solar and thermal radiation for a smart window, including visible, near‐infrared (NIR), and long‐wave infrared (LWIR) spectral tri‐bands (0.38–25 µm), to achieve indoor comfort and energy efficiency is a critical frontier in sustainable building design. However, independent regulations of multi‐functional radiation of visible lighting, NIR heating, and LWIR radiative cooling for dynamic operational requirements and weather conditions are not fully solved. A PET/ITO/PB/Pt‐NPs electrode featuring separated reactions of ion insertion and metal electrodeposition for dual‐band modulation of visible and NIR via precise potential control, enabling multifunctionalities such as illumination, glare reduction, and privacy protection is proposed. A multimodal smart window of lighting‐heating‐emitting electro‐modulation device (LHE‐ED), wherein electrochromism and dynamic emittance are delicately manipulated for tri‐band modulation, possesses six independent electro‐driven states of multi‐scene lighting‐heating‐emitting regulations for the first time, exhibiting excellent wavelength selectivity of △</w:t>
      </w:r>
      <w:r>
        <w:t xml:space="preserve"> </w:t>
      </w:r>
      <w:r>
        <w:t>T</w:t>
      </w:r>
      <w:r>
        <w:t xml:space="preserve"> </w:t>
      </w:r>
      <w:r>
        <w:t>Vis</w:t>
      </w:r>
      <w:r>
        <w:t xml:space="preserve"> </w:t>
      </w:r>
      <w:r>
        <w:t>= 41.24%, △</w:t>
      </w:r>
      <w:r>
        <w:t xml:space="preserve"> </w:t>
      </w:r>
      <w:r>
        <w:t>T</w:t>
      </w:r>
      <w:r>
        <w:t xml:space="preserve"> </w:t>
      </w:r>
      <w:r>
        <w:t>NIR</w:t>
      </w:r>
      <w:r>
        <w:t xml:space="preserve"> </w:t>
      </w:r>
      <w:r>
        <w:t>= 53.95%, and Δ</w:t>
      </w:r>
      <w:r>
        <w:t xml:space="preserve"> </w:t>
      </w:r>
      <w:r>
        <w:t>ε</w:t>
      </w:r>
      <w:r>
        <w:t xml:space="preserve"> </w:t>
      </w:r>
      <w:r>
        <w:t>8‐13 µm</w:t>
      </w:r>
      <w:r>
        <w:t xml:space="preserve"> </w:t>
      </w:r>
      <w:r>
        <w:t>= 0.35. Building energy simulations demonstrate the LHE‐ED outperforms commercial low‐E glass across diverse climate zones, showcasing a maximum reduction in CO</w:t>
      </w:r>
      <w:r>
        <w:rPr>
          <w:vertAlign w:val="subscript"/>
        </w:rPr>
        <w:t>2</w:t>
      </w:r>
      <w:r>
        <w:t>emissions of 34.01 kg (m</w:t>
      </w:r>
      <w:r>
        <w:rPr>
          <w:vertAlign w:val="subscript"/>
        </w:rPr>
        <w:t>2</w:t>
      </w:r>
      <w:r>
        <w:t>year)</w:t>
      </w:r>
      <w:r>
        <w:t xml:space="preserve"> </w:t>
      </w:r>
      <w:r>
        <w:t>−1</w:t>
      </w:r>
      <w:r>
        <w:t xml:space="preserve"> </w:t>
      </w:r>
      <w:r>
        <w:t>and a decrease in heating, ventilation and air conditioning (HVAC) energy consumption by 34.18% annually, which paves the way for next‐generation smart window in terms of energy saving and environmental preservation.</w:t>
      </w:r>
    </w:p>
    <w:p>
      <w:pPr>
        <w:spacing w:before="120" w:after="120"/>
      </w:pPr>
      <w:r>
        <w:rPr>
          <w:sz w:val="18"/>
        </w:rPr>
        <w:t>——————————————————————————————————————————————————————————————————————</w:t>
      </w:r>
    </w:p>
    <w:p>
      <w:pPr>
        <w:spacing w:before="160" w:after="80" w:line="240" w:lineRule="auto"/>
      </w:pPr>
      <w:r>
        <w:rPr>
          <w:b/>
        </w:rPr>
        <w:t xml:space="preserve">[627] </w:t>
      </w:r>
      <w:hyperlink r:id="rId1125">
        <w:r>
          <w:rPr>
            <w:color w:val="1155CC"/>
            <w:u w:val="single"/>
          </w:rPr>
          <w:t>Lattice‐Prestressed Niobium Tungsten Oxide Enables Near‐Zero Volume Change and Ultrafast Lithium Storage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26">
        <w:r>
          <w:rPr>
            <w:color w:val="1155CC"/>
            <w:u w:val="single"/>
          </w:rPr>
          <w:t>10.1002/adma.202512001</w:t>
        </w:r>
      </w:hyperlink>
    </w:p>
    <w:p>
      <w:pPr>
        <w:spacing w:before="0" w:after="120"/>
      </w:pPr>
      <w:r>
        <w:rPr>
          <w:b/>
        </w:rPr>
        <w:t xml:space="preserve">Notes: </w:t>
      </w:r>
      <w:r>
        <w:t>abstract_source=crossref</w:t>
      </w:r>
    </w:p>
    <w:p>
      <w:pPr>
        <w:spacing w:before="0" w:after="200" w:lineRule="auto" w:line="276"/>
      </w:pPr>
      <w:r>
        <w:rPr>
          <w:b/>
        </w:rPr>
        <w:t xml:space="preserve">Abstract: </w:t>
      </w:r>
      <w:r>
        <w:t>Niobium tungsten oxide offers rapid ionic transport and high safety in fast‐charging lithium‐ion batteries, but suffers from challenges of large structure stresses and low capacity retention at rates exceeding 20C. Here, a novel lattice‐prestressed Nb</w:t>
      </w:r>
      <w:r>
        <w:rPr>
          <w:vertAlign w:val="subscript"/>
        </w:rPr>
        <w:t>14</w:t>
      </w:r>
      <w:r>
        <w:t>W</w:t>
      </w:r>
      <w:r>
        <w:rPr>
          <w:vertAlign w:val="subscript"/>
        </w:rPr>
        <w:t>3</w:t>
      </w:r>
      <w:r>
        <w:t>O</w:t>
      </w:r>
      <w:r>
        <w:rPr>
          <w:vertAlign w:val="subscript"/>
        </w:rPr>
        <w:t>44</w:t>
      </w:r>
      <w:r>
        <w:t>(LP‐NWO) is reported that overcomes its intrinsic structural limitations, enabling near‐zero volume change and ultrafast lithium storage. The lattice‐prestressed structure involves the alternating distribution of 4 × 4×∞ and 4 × 3×∞ rectangle units, along with octahedra distortion, which leads to the formation of specific and ordered lattice prestresses. The rectangle units induce tensile stresses, while the octahedra distortion results in compressive stresses. This prestressed structure not only preserves continuous diffusion channels but also enhances both ion and electron conductivity. Importantly, the presence of prestress greatly relieves the strain generated during lithium insertion and extraction. This can be observed through a reversible curve‐to‐straight evolution of lattice fringes, resulting in near‐zero volume change during cycling. The LP‐NWO delivers a 78% capacity retention at 100C after 20 000 cycles and more than 2 000 cycles of full cells at 50C, as well as no safety risk under severe stress conditions. This prestressed strategy offers implications for the development of zero‐strain electrodes, aiming to overcome fast‐charge limitations through internal means.</w:t>
      </w:r>
    </w:p>
    <w:p>
      <w:pPr>
        <w:spacing w:before="120" w:after="120"/>
      </w:pPr>
      <w:r>
        <w:rPr>
          <w:sz w:val="18"/>
        </w:rPr>
        <w:t>——————————————————————————————————————————————————————————————————————</w:t>
      </w:r>
    </w:p>
    <w:p>
      <w:pPr>
        <w:spacing w:before="160" w:after="80" w:line="240" w:lineRule="auto"/>
      </w:pPr>
      <w:r>
        <w:rPr>
          <w:b/>
        </w:rPr>
        <w:t xml:space="preserve">[628] </w:t>
      </w:r>
      <w:hyperlink r:id="rId1127">
        <w:r>
          <w:rPr>
            <w:color w:val="1155CC"/>
            <w:u w:val="single"/>
          </w:rPr>
          <w:t>Mechanoluminescent Aluminum Nitride Crystal for Super‐Sensitive Optical Manometry, Thermometry and Force Sensing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28">
        <w:r>
          <w:rPr>
            <w:color w:val="1155CC"/>
            <w:u w:val="single"/>
          </w:rPr>
          <w:t>10.1002/adma.202511943</w:t>
        </w:r>
      </w:hyperlink>
    </w:p>
    <w:p>
      <w:pPr>
        <w:spacing w:before="0" w:after="120"/>
      </w:pPr>
      <w:r>
        <w:rPr>
          <w:b/>
        </w:rPr>
        <w:t xml:space="preserve">Notes: </w:t>
      </w:r>
      <w:r>
        <w:t>abstract_source=crossref</w:t>
      </w:r>
    </w:p>
    <w:p>
      <w:pPr>
        <w:spacing w:before="0" w:after="200" w:lineRule="auto" w:line="276"/>
      </w:pPr>
      <w:r>
        <w:rPr>
          <w:b/>
        </w:rPr>
        <w:t xml:space="preserve">Abstract: </w:t>
      </w:r>
      <w:r>
        <w:t>AlN is a core material widely used as a substrate and heat sink in various electronic and optoelectronic devices. Introducing luminescent properties into intrinsic AIN opens new opportunities for next‐generation intelligent sensors, self‐powered displays, and wearable electronics. In this study, the first evidence is presented of AlN crystals exhibiting satisfactory mechanoluminescence (ML), photoluminescence (PL), and afterglow performance, demonstrating their potential as novel multifunctional optical sensors. A series of undoped AlN crystals (ranging from µm to mm scale) is successfully synthesized on tungsten substrates via physical vapor transport. A multimodal optical sensing platform is developed, showing afterglow and PL for temperature and pressure sensing, and ML for force detection. Despite minimal structural deformation under extreme conditions, attributed to the high bulk modulus of AIN, the optical sensors, driven by intrinsic defect‐related emissions, exhibited excellent sensitivity to temperature and pressure. Notably, significant and previously unreported differences in the PL and ML spectra are observed in response to light and mechanical stimuli, respectively. These spectral variations are attributed to the activation of distinct defect states during PL and ML processes. This proof‐of‐concept study represents a significant step forward in the development of optical sensing technologies for extreme environments and force detection applications.</w:t>
      </w:r>
    </w:p>
    <w:p>
      <w:pPr>
        <w:spacing w:before="120" w:after="120"/>
      </w:pPr>
      <w:r>
        <w:rPr>
          <w:sz w:val="18"/>
        </w:rPr>
        <w:t>——————————————————————————————————————————————————————————————————————</w:t>
      </w:r>
    </w:p>
    <w:p>
      <w:pPr>
        <w:spacing w:before="160" w:after="80" w:line="240" w:lineRule="auto"/>
      </w:pPr>
      <w:r>
        <w:rPr>
          <w:b/>
        </w:rPr>
        <w:t xml:space="preserve">[629] </w:t>
      </w:r>
      <w:hyperlink r:id="rId1129">
        <w:r>
          <w:rPr>
            <w:color w:val="1155CC"/>
            <w:u w:val="single"/>
          </w:rPr>
          <w:t>Boosting the Efficiency of 1.84 eV Wide‐Bandgap Perovskites Photovoltaics Beyond 19% via Yb3+ Engineering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30">
        <w:r>
          <w:rPr>
            <w:color w:val="1155CC"/>
            <w:u w:val="single"/>
          </w:rPr>
          <w:t>10.1002/adma.202511882</w:t>
        </w:r>
      </w:hyperlink>
    </w:p>
    <w:p>
      <w:pPr>
        <w:spacing w:before="0" w:after="120"/>
      </w:pPr>
      <w:r>
        <w:rPr>
          <w:b/>
        </w:rPr>
        <w:t xml:space="preserve">Notes: </w:t>
      </w:r>
      <w:r>
        <w:t>abstract_source=crossref</w:t>
      </w:r>
    </w:p>
    <w:p>
      <w:pPr>
        <w:spacing w:before="0" w:after="200" w:lineRule="auto" w:line="276"/>
      </w:pPr>
      <w:r>
        <w:rPr>
          <w:b/>
        </w:rPr>
        <w:t xml:space="preserve">Abstract: </w:t>
      </w:r>
      <w:r>
        <w:t>Phase segregation remains one of the most critical challenges limiting the performance and long‐term operational stability of wide‐bandgap perovskite solar cells (PSCs). This issue is especially pronounced in 1.84 eV wide‐bandgap (WBG) perovskites, where severe halide phase segregation leads to compositional heterogeneity and accelerated device degradation. In this work, a comprehensive investigation of halide ion distribution across the surface and bottom interfaces of 1.84 eV perovskite films is conducted, revealing significant Br</w:t>
      </w:r>
      <w:r>
        <w:t xml:space="preserve"> </w:t>
      </w:r>
      <w:r>
        <w:t>−</w:t>
      </w:r>
      <w:r>
        <w:t>/I</w:t>
      </w:r>
      <w:r>
        <w:t xml:space="preserve"> </w:t>
      </w:r>
      <w:r>
        <w:t>−</w:t>
      </w:r>
      <w:r>
        <w:t>halide phase segregation that severely impairs device efficiency and stability. To address this, Ytterbium (III) trifluoromethanesulfonate (Yb(TFSI)</w:t>
      </w:r>
      <w:r>
        <w:rPr>
          <w:vertAlign w:val="subscript"/>
        </w:rPr>
        <w:t>3</w:t>
      </w:r>
      <w:r>
        <w:t>) is introduced as a multifunctional additive in the perovskite precursor. The strong coordination between Yb</w:t>
      </w:r>
      <w:r>
        <w:t xml:space="preserve"> </w:t>
      </w:r>
      <w:r>
        <w:t>3+</w:t>
      </w:r>
      <w:r>
        <w:t xml:space="preserve"> </w:t>
      </w:r>
      <w:r>
        <w:t>ions and halide anions not only modulates the crystallization kinetics but also homogenizes the spatial distribution of Br‐rich and I‐rich domains, resulting in high‐quality perovskite films with reduced compositional heterogeneity. Furthermore, Yb</w:t>
      </w:r>
      <w:r>
        <w:t xml:space="preserve"> </w:t>
      </w:r>
      <w:r>
        <w:t>3+</w:t>
      </w:r>
      <w:r>
        <w:t xml:space="preserve"> </w:t>
      </w:r>
      <w:r>
        <w:t>significantly suppresses halide migration and ion exchange processes, thereby enhancing phase stability. Depth‐resolved characterizations, including grazing‐incidence wide‐angle X‐ray scattering, confirm improved crystallinity, structural uniformity, and suppressed phase segregation across the film depth. As a result, the champion device achieves an outstanding power conversion efficiency (PCE) of 19.06% and retains 85% of its initial efficiency after 1500 h in a nitrogen atmosphere (10% RH, 25 °C).</w:t>
      </w:r>
    </w:p>
    <w:p>
      <w:pPr>
        <w:spacing w:before="120" w:after="120"/>
      </w:pPr>
      <w:r>
        <w:rPr>
          <w:sz w:val="18"/>
        </w:rPr>
        <w:t>——————————————————————————————————————————————————————————————————————</w:t>
      </w:r>
    </w:p>
    <w:p>
      <w:pPr>
        <w:spacing w:before="160" w:after="80" w:line="240" w:lineRule="auto"/>
      </w:pPr>
      <w:r>
        <w:rPr>
          <w:b/>
        </w:rPr>
        <w:t xml:space="preserve">[630] </w:t>
      </w:r>
      <w:hyperlink r:id="rId1131">
        <w:r>
          <w:rPr>
            <w:color w:val="1155CC"/>
            <w:u w:val="single"/>
          </w:rPr>
          <w:t>Fine and Uniform Ultrathin Film Coating on Fiber via Nonequilibrium Liquid/Liquid Interfacial Engineering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32">
        <w:r>
          <w:rPr>
            <w:color w:val="1155CC"/>
            <w:u w:val="single"/>
          </w:rPr>
          <w:t>10.1002/adma.202511852</w:t>
        </w:r>
      </w:hyperlink>
    </w:p>
    <w:p>
      <w:pPr>
        <w:spacing w:before="0" w:after="120"/>
      </w:pPr>
      <w:r>
        <w:rPr>
          <w:b/>
        </w:rPr>
        <w:t xml:space="preserve">Notes: </w:t>
      </w:r>
      <w:r>
        <w:t>abstract_source=crossref</w:t>
      </w:r>
    </w:p>
    <w:p>
      <w:pPr>
        <w:spacing w:before="0" w:after="200" w:lineRule="auto" w:line="276"/>
      </w:pPr>
      <w:r>
        <w:rPr>
          <w:b/>
        </w:rPr>
        <w:t xml:space="preserve">Abstract: </w:t>
      </w:r>
      <w:r>
        <w:t>Coating a thin layer on fibers enables their function coupling or integration into differentiated wearable devices, or may unlock unexplored potentials. The thin layer coating's uniformity and controllability is the prerequisite to ensure device's efficiency, but remain, yet, a formidable challenge. Currently, only a few specific composite fibers have been fabricated from flow coating associated with rapid polymerizing liquid monomers, fibers’ parallel handling, or physical scraping, seriously lacking fineness and universality, especially inability reaching nanometer or sub‐micrometer thickness coating. Here, a new method of coating an even liquid film on fiber in another immiscible liquid via capitalizing on fast interfacial jamming of nanoparticles at the liquid/liquid interface is proposed. The consequently dried uniform, ultrathin common polymer or composite (predissolved in coated liquid) coating—with otherwise unattainable thickness ranging 50 nm–20 µm—offers fiber with high device performance, including robust service in extreme circumstances (allowing Cu fiber work over the whole range of pH), high efficient display function (with luminous elements &amp;lt;0.01%), and supersensitive sensing with sensor's resistance variation over 90% by less 1 N pressure. The strategy can find extensively diverse applications in wearable electronics and intelligent textiles, as fiber, chemicals of coating liquid, and components, are variable.</w:t>
      </w:r>
    </w:p>
    <w:p>
      <w:pPr>
        <w:spacing w:before="120" w:after="120"/>
      </w:pPr>
      <w:r>
        <w:rPr>
          <w:sz w:val="18"/>
        </w:rPr>
        <w:t>——————————————————————————————————————————————————————————————————————</w:t>
      </w:r>
    </w:p>
    <w:p>
      <w:pPr>
        <w:spacing w:before="160" w:after="80" w:line="240" w:lineRule="auto"/>
      </w:pPr>
      <w:r>
        <w:rPr>
          <w:b/>
        </w:rPr>
        <w:t xml:space="preserve">[631] </w:t>
      </w:r>
      <w:hyperlink r:id="rId1133">
        <w:r>
          <w:rPr>
            <w:color w:val="1155CC"/>
            <w:u w:val="single"/>
          </w:rPr>
          <w:t>Interface‐Induced Stability of Nontrivial Topological Spin Textures: Unveiling Room‐Temperature Hopfions and Skyrmions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34">
        <w:r>
          <w:rPr>
            <w:color w:val="1155CC"/>
            <w:u w:val="single"/>
          </w:rPr>
          <w:t>10.1002/adma.202511754</w:t>
        </w:r>
      </w:hyperlink>
    </w:p>
    <w:p>
      <w:pPr>
        <w:spacing w:before="0" w:after="120"/>
      </w:pPr>
      <w:r>
        <w:rPr>
          <w:b/>
        </w:rPr>
        <w:t xml:space="preserve">Notes: </w:t>
      </w:r>
      <w:r>
        <w:t>abstract_source=crossref</w:t>
      </w:r>
    </w:p>
    <w:p>
      <w:pPr>
        <w:spacing w:before="0" w:after="200" w:lineRule="auto" w:line="276"/>
      </w:pPr>
      <w:r>
        <w:rPr>
          <w:b/>
        </w:rPr>
        <w:t xml:space="preserve">Abstract: </w:t>
      </w:r>
      <w:r>
        <w:t>Topological spin configurations, such as soliton‐like spin texture and Dirac electron assemblies, have recently emerged in fundamental science and technology. Achieving stable topological spin textures at room temperature is crucial for their use as long‐range information carriers. However, their creation and manipulation are hindered by multi‐step field training and competing interactions. Thus, a spontaneous ground state for multidimensional topological spin textures is desirable, with skyrmions forming swirling, hedgehog‐like spin structures in two dimensions and hopfions as their twisted 3D counterparts. Here, the first observation of robust and reproducible topological spin textures of hopfions and skyrmions observed at room temperature and in zero magnetic field is reported, which are stabilized by geometric confinement and protected by interfacial magnetism in a ferromagnet/topological insulator/ferromagnet trilayer heterostructure. These skyrmion‐hopfion configurations are directly observed at room temperature with Lorenz transmission electron microscopy. Using micromagnetic modeling, the experimental observations of hopfion‐skyrmion assemblies are reproduced. This model reveals a complete picture of how spontaneously organized skyrmion lattices encircled by hopfion rings are controlled by surface electrons, uniaxial anisotropy, and Dzyaloshinskii‐Moriya interaction. This study provides evidence that topological chiral spin textures can facilitate the development of magnetic topological carriers, paving the way for ultralow‐power and high‐density information processing.</w:t>
      </w:r>
    </w:p>
    <w:p>
      <w:pPr>
        <w:spacing w:before="120" w:after="120"/>
      </w:pPr>
      <w:r>
        <w:rPr>
          <w:sz w:val="18"/>
        </w:rPr>
        <w:t>——————————————————————————————————————————————————————————————————————</w:t>
      </w:r>
    </w:p>
    <w:p>
      <w:pPr>
        <w:spacing w:before="160" w:after="80" w:line="240" w:lineRule="auto"/>
      </w:pPr>
      <w:r>
        <w:rPr>
          <w:b/>
        </w:rPr>
        <w:t xml:space="preserve">[632] </w:t>
      </w:r>
      <w:hyperlink r:id="rId1135">
        <w:r>
          <w:rPr>
            <w:color w:val="1155CC"/>
            <w:u w:val="single"/>
          </w:rPr>
          <w:t>Temperature‐Tunable Heliconical and Ferroelectric Nematics for White Lasing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36">
        <w:r>
          <w:rPr>
            <w:color w:val="1155CC"/>
            <w:u w:val="single"/>
          </w:rPr>
          <w:t>10.1002/adma.202511648</w:t>
        </w:r>
      </w:hyperlink>
    </w:p>
    <w:p>
      <w:pPr>
        <w:spacing w:before="0" w:after="120"/>
      </w:pPr>
      <w:r>
        <w:rPr>
          <w:b/>
        </w:rPr>
        <w:t xml:space="preserve">Notes: </w:t>
      </w:r>
      <w:r>
        <w:t>abstract_source=crossref</w:t>
      </w:r>
    </w:p>
    <w:p>
      <w:pPr>
        <w:spacing w:before="0" w:after="200" w:lineRule="auto" w:line="276"/>
      </w:pPr>
      <w:r>
        <w:rPr>
          <w:b/>
        </w:rPr>
        <w:t xml:space="preserve">Abstract: </w:t>
      </w:r>
      <w:r>
        <w:t>Nematic Liquid Crystals (LCs), noted for their simple molecular alignment and broad use in optoelectronics, remain unmodified for over a century. However, in 2017, a unique polar phase, the ferroelectric nematic (N</w:t>
      </w:r>
      <w:r>
        <w:t xml:space="preserve"> </w:t>
      </w:r>
      <w:r>
        <w:t>F</w:t>
      </w:r>
      <w:r>
        <w:t xml:space="preserve"> </w:t>
      </w:r>
      <w:r>
        <w:t>), is confirmed. Subsequently, in 2024, the revolutionary spontaneous mirror symmetry breaking of ferroelectric twist‐bend nematic chiral structures (N</w:t>
      </w:r>
      <w:r>
        <w:t xml:space="preserve"> </w:t>
      </w:r>
      <w:r>
        <w:t>TBF</w:t>
      </w:r>
      <w:r>
        <w:t xml:space="preserve"> </w:t>
      </w:r>
      <w:r>
        <w:t>phase) is demonstrated. Nematic LCs are commonly used as optically active matrices for luminescent dyes, allowing the fine‐tuning of emission properties through external fields. In this manuscript, the pioneering temperature‐tunable lasing studies utilizing commercial dyes doped into a mixture that displays the N</w:t>
      </w:r>
      <w:r>
        <w:t xml:space="preserve"> </w:t>
      </w:r>
      <w:r>
        <w:t>TBF</w:t>
      </w:r>
      <w:r>
        <w:t xml:space="preserve"> </w:t>
      </w:r>
      <w:r>
        <w:t>phase within an exceptionally low‐temperature range of 34–43.3 °C are shown. The subsequent experiments explore how lasing characteristics within N</w:t>
      </w:r>
      <w:r>
        <w:t xml:space="preserve"> </w:t>
      </w:r>
      <w:r>
        <w:t>TBF</w:t>
      </w:r>
      <w:r>
        <w:t xml:space="preserve"> </w:t>
      </w:r>
      <w:r>
        <w:t>and N</w:t>
      </w:r>
      <w:r>
        <w:t xml:space="preserve"> </w:t>
      </w:r>
      <w:r>
        <w:t>F</w:t>
      </w:r>
      <w:r>
        <w:t xml:space="preserve"> </w:t>
      </w:r>
      <w:r>
        <w:t>phases can be employed in a single, compact device to produce multicolor and white lasers. Furthermore, there are introduced spontaneously formed emissive fibers from the N</w:t>
      </w:r>
      <w:r>
        <w:t xml:space="preserve"> </w:t>
      </w:r>
      <w:r>
        <w:t>TBF</w:t>
      </w:r>
      <w:r>
        <w:t xml:space="preserve"> </w:t>
      </w:r>
      <w:r>
        <w:t>phase. As perspectives, the voltage‐dependent increase of lasing intensity in N</w:t>
      </w:r>
      <w:r>
        <w:t xml:space="preserve"> </w:t>
      </w:r>
      <w:r>
        <w:t>F</w:t>
      </w:r>
      <w:r>
        <w:t xml:space="preserve"> </w:t>
      </w:r>
      <w:r>
        <w:t>is demonstrated, showing the exceptional result in two differently arranged LC cells. The findings highlight that simple molecules, like those in nature and living organisms, can shape intricate systems with significant implications for the accelerated progress of laser and display technologies, along with Li‐Fi concepts.</w:t>
      </w:r>
    </w:p>
    <w:p>
      <w:pPr>
        <w:spacing w:before="120" w:after="120"/>
      </w:pPr>
      <w:r>
        <w:rPr>
          <w:sz w:val="18"/>
        </w:rPr>
        <w:t>——————————————————————————————————————————————————————————————————————</w:t>
      </w:r>
    </w:p>
    <w:p>
      <w:pPr>
        <w:spacing w:before="160" w:after="80" w:line="240" w:lineRule="auto"/>
      </w:pPr>
      <w:r>
        <w:rPr>
          <w:b/>
        </w:rPr>
        <w:t xml:space="preserve">[633] </w:t>
      </w:r>
      <w:hyperlink r:id="rId1137">
        <w:r>
          <w:rPr>
            <w:color w:val="1155CC"/>
            <w:u w:val="single"/>
          </w:rPr>
          <w:t>Robust Immobilization and Activity Preservation of Enzymes in Porous Frameworks by Silica‐Based “Inorganic Glue”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38">
        <w:r>
          <w:rPr>
            <w:color w:val="1155CC"/>
            <w:u w:val="single"/>
          </w:rPr>
          <w:t>10.1002/adma.202407831</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novel methods to enhance enzyme‐carrier interactions in situ, at a feasible cost, and on a large scale is crucial for improving the stability and durability of current immobilized enzyme systems used in industrial settings. Here, a pioneering approach termed “silica‐based inorganic glue” is proposed, which utilizes protein‐catalyzed silicification to fix enzyme within porous matrix while preserving enzyme activity. This innovative strategy offers several key benefits, including conformational stabilization of enzymes, improved interactions between enzymes and the matrix, prevention of enzyme leakage, and mitigation of pore blocking. Moreover, the controllable and scalable nature of this method renders it a cost‐effective solution for enhancing enzyme immobilization in industrial contexts. To demonstrate the effectiveness of the “silica‐based inorganic glue” technology, it has applied to three different enzymes exhibiting varying surface characteristics, sizes, and functions and in diverse porous supports, including a metal‐organic framework (MOF) and a commercial macroporous resin, which resulted in a significant improvement of the stability and longevity of the immobilized enzymes. Overall, this findings represent a significant advancement in enzyme immobilization techniques, signaling a paradigm shift in current industrial catalysis.</w:t>
      </w:r>
    </w:p>
    <w:p>
      <w:pPr>
        <w:spacing w:before="120" w:after="120"/>
      </w:pPr>
      <w:r>
        <w:rPr>
          <w:sz w:val="18"/>
        </w:rPr>
        <w:t>——————————————————————————————————————————————————————————————————————</w:t>
      </w:r>
    </w:p>
    <w:p>
      <w:pPr>
        <w:spacing w:before="160" w:after="80" w:line="240" w:lineRule="auto"/>
      </w:pPr>
      <w:r>
        <w:rPr>
          <w:b/>
        </w:rPr>
        <w:t xml:space="preserve">[634] </w:t>
      </w:r>
      <w:hyperlink r:id="rId1139">
        <w:r>
          <w:rPr>
            <w:color w:val="1155CC"/>
            <w:u w:val="single"/>
          </w:rPr>
          <w:t>Breaking Efficiency Barrier: Dual‐Channel Energy Transfer Enables Record 1540 nm NIR LEDs from Er3+‐Doped Cs3DyI6 Nanocrystals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40">
        <w:r>
          <w:rPr>
            <w:color w:val="1155CC"/>
            <w:u w:val="single"/>
          </w:rPr>
          <w:t>10.1002/adma.202512712</w:t>
        </w:r>
      </w:hyperlink>
    </w:p>
    <w:p>
      <w:pPr>
        <w:spacing w:before="0" w:after="120"/>
      </w:pPr>
      <w:r>
        <w:rPr>
          <w:b/>
        </w:rPr>
        <w:t xml:space="preserve">Notes: </w:t>
      </w:r>
      <w:r>
        <w:t>abstract_source=crossref</w:t>
      </w:r>
    </w:p>
    <w:p>
      <w:pPr>
        <w:spacing w:before="0" w:after="200" w:lineRule="auto" w:line="276"/>
      </w:pPr>
      <w:r>
        <w:rPr>
          <w:b/>
        </w:rPr>
        <w:t xml:space="preserve">Abstract: </w:t>
      </w:r>
      <w:r>
        <w:t>Er</w:t>
      </w:r>
      <w:r>
        <w:t xml:space="preserve"> </w:t>
      </w:r>
      <w:r>
        <w:t>3+</w:t>
      </w:r>
      <w:r>
        <w:t xml:space="preserve"> </w:t>
      </w:r>
      <w:r>
        <w:t>‐doped 1.54 µm light‐emitting diodes (LEDs) operating in the optical communication C‐band are central to the development of integrated photonic systems. Given the pressing need for efficient, stable, cost‐effective, and low‐voltage‐driven 1.54 µm light sources, a lanthanide‐based metal halide Cs</w:t>
      </w:r>
      <w:r>
        <w:rPr>
          <w:vertAlign w:val="subscript"/>
        </w:rPr>
        <w:t>3</w:t>
      </w:r>
      <w:r>
        <w:t>DyI</w:t>
      </w:r>
      <w:r>
        <w:rPr>
          <w:vertAlign w:val="subscript"/>
        </w:rPr>
        <w:t>6</w:t>
      </w:r>
      <w:r>
        <w:t>:Er</w:t>
      </w:r>
      <w:r>
        <w:t xml:space="preserve"> </w:t>
      </w:r>
      <w:r>
        <w:t>3+</w:t>
      </w:r>
      <w:r>
        <w:t xml:space="preserve"> </w:t>
      </w:r>
      <w:r>
        <w:t>nanocrystal is engineered with a tetragonal phase structure. The study reveals a unique dual‐channel energy transfer mechanism. The 574 nm emission, stemming from</w:t>
      </w:r>
      <w:r>
        <w:rPr>
          <w:vertAlign w:val="subscript"/>
        </w:rPr>
        <w:t>4</w:t>
      </w:r>
      <w:r>
        <w:t>F</w:t>
      </w:r>
      <w:r>
        <w:t xml:space="preserve"> </w:t>
      </w:r>
      <w:r>
        <w:t>9/2</w:t>
      </w:r>
      <w:r>
        <w:t xml:space="preserve"> </w:t>
      </w:r>
      <w:r>
        <w:t>‐</w:t>
      </w:r>
      <w:r>
        <w:rPr>
          <w:vertAlign w:val="subscript"/>
        </w:rPr>
        <w:t>2</w:t>
      </w:r>
      <w:r>
        <w:t>H</w:t>
      </w:r>
      <w:r>
        <w:t xml:space="preserve"> </w:t>
      </w:r>
      <w:r>
        <w:t>13/2</w:t>
      </w:r>
      <w:r>
        <w:t xml:space="preserve"> </w:t>
      </w:r>
      <w:r>
        <w:t>orbital transitions of Dy</w:t>
      </w:r>
      <w:r>
        <w:t xml:space="preserve"> </w:t>
      </w:r>
      <w:r>
        <w:t>3+</w:t>
      </w:r>
      <w:r>
        <w:t xml:space="preserve"> </w:t>
      </w:r>
      <w:r>
        <w:t>ions, enables phonon‐assistant energy transfer to excite</w:t>
      </w:r>
      <w:r>
        <w:rPr>
          <w:vertAlign w:val="subscript"/>
        </w:rPr>
        <w:t>4</w:t>
      </w:r>
      <w:r>
        <w:t>I</w:t>
      </w:r>
      <w:r>
        <w:t xml:space="preserve"> </w:t>
      </w:r>
      <w:r>
        <w:t>15/2</w:t>
      </w:r>
      <w:r>
        <w:t xml:space="preserve"> </w:t>
      </w:r>
      <w:r>
        <w:t>‐</w:t>
      </w:r>
      <w:r>
        <w:rPr>
          <w:vertAlign w:val="subscript"/>
        </w:rPr>
        <w:t>4</w:t>
      </w:r>
      <w:r>
        <w:t>S</w:t>
      </w:r>
      <w:r>
        <w:t xml:space="preserve"> </w:t>
      </w:r>
      <w:r>
        <w:t>3/2</w:t>
      </w:r>
      <w:r>
        <w:t xml:space="preserve"> </w:t>
      </w:r>
      <w:r>
        <w:t>of Er</w:t>
      </w:r>
      <w:r>
        <w:t xml:space="preserve"> </w:t>
      </w:r>
      <w:r>
        <w:t>3+</w:t>
      </w:r>
      <w:r>
        <w:t xml:space="preserve"> </w:t>
      </w:r>
      <w:r>
        <w:t>ions. Meanwhile, self‐trapped excitons (STEs) contribute additional energy via a 488 nm broadband emission to excite</w:t>
      </w:r>
      <w:r>
        <w:rPr>
          <w:vertAlign w:val="subscript"/>
        </w:rPr>
        <w:t>4</w:t>
      </w:r>
      <w:r>
        <w:t>I</w:t>
      </w:r>
      <w:r>
        <w:t xml:space="preserve"> </w:t>
      </w:r>
      <w:r>
        <w:t>15/2</w:t>
      </w:r>
      <w:r>
        <w:t xml:space="preserve"> </w:t>
      </w:r>
      <w:r>
        <w:t>‐</w:t>
      </w:r>
      <w:r>
        <w:rPr>
          <w:vertAlign w:val="subscript"/>
        </w:rPr>
        <w:t>4</w:t>
      </w:r>
      <w:r>
        <w:t>F</w:t>
      </w:r>
      <w:r>
        <w:t xml:space="preserve"> </w:t>
      </w:r>
      <w:r>
        <w:t>7/2</w:t>
      </w:r>
      <w:r>
        <w:t xml:space="preserve"> </w:t>
      </w:r>
      <w:r>
        <w:t>of Er</w:t>
      </w:r>
      <w:r>
        <w:t xml:space="preserve"> </w:t>
      </w:r>
      <w:r>
        <w:t>3+</w:t>
      </w:r>
      <w:r>
        <w:t xml:space="preserve"> </w:t>
      </w:r>
      <w:r>
        <w:t>. The two pathways synergize to facilitate efficient 1.54 µm emission from Er</w:t>
      </w:r>
      <w:r>
        <w:t xml:space="preserve"> </w:t>
      </w:r>
      <w:r>
        <w:t>3+</w:t>
      </w:r>
      <w:r>
        <w:t xml:space="preserve"> </w:t>
      </w:r>
      <w:r>
        <w:t>ions, overcoming limitations of traditional single‐path energy transfer systems. To optimize device performance, 2,4,6‐triphenyl‐1,3,5‐trioxane (TPPO) is employed for passivating surface defects to enhance the overall photoluminescence quantum yield up to 87.4%. Precise control of the LiF interlayer thickness (1–2 nm) achieves balanced electron–hole injection, significantly improving both external quantum efficiency (EQE) and operational stability. The fabricated infrared LED device demonstrates outstanding performance, with a record EQE of 2.76% at 1.54 µm and a half‐life of 345 min, marking a significant milestone in optical communication technology.</w:t>
      </w:r>
    </w:p>
    <w:p>
      <w:pPr>
        <w:spacing w:before="120" w:after="120"/>
      </w:pPr>
      <w:r>
        <w:rPr>
          <w:sz w:val="18"/>
        </w:rPr>
        <w:t>——————————————————————————————————————————————————————————————————————</w:t>
      </w:r>
    </w:p>
    <w:p>
      <w:pPr>
        <w:spacing w:before="160" w:after="80" w:line="240" w:lineRule="auto"/>
      </w:pPr>
      <w:r>
        <w:rPr>
          <w:b/>
        </w:rPr>
        <w:t xml:space="preserve">[635] </w:t>
      </w:r>
      <w:hyperlink r:id="rId1141">
        <w:r>
          <w:rPr>
            <w:color w:val="1155CC"/>
            <w:u w:val="single"/>
          </w:rPr>
          <w:t>Growth of Two‐Inch Perovskite CsPbBr3 Single‐Crystal with High Irradiation Resistance for X‐ray Detection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42">
        <w:r>
          <w:rPr>
            <w:color w:val="1155CC"/>
            <w:u w:val="single"/>
          </w:rPr>
          <w:t>10.1002/adma.202512788</w:t>
        </w:r>
      </w:hyperlink>
    </w:p>
    <w:p>
      <w:pPr>
        <w:spacing w:before="0" w:after="120"/>
      </w:pPr>
      <w:r>
        <w:rPr>
          <w:b/>
        </w:rPr>
        <w:t xml:space="preserve">Notes: </w:t>
      </w:r>
      <w:r>
        <w:t>abstract_source=crossref</w:t>
      </w:r>
    </w:p>
    <w:p>
      <w:pPr>
        <w:spacing w:before="0" w:after="200" w:lineRule="auto" w:line="276"/>
      </w:pPr>
      <w:r>
        <w:rPr>
          <w:b/>
        </w:rPr>
        <w:t xml:space="preserve">Abstract: </w:t>
      </w:r>
      <w:r>
        <w:t>All‐inorganic perovskite CsPbBr</w:t>
      </w:r>
      <w:r>
        <w:rPr>
          <w:vertAlign w:val="subscript"/>
        </w:rPr>
        <w:t>3</w:t>
      </w:r>
      <w:r>
        <w:t>crystals have demonstrated considerable promise in γ‐ray and X‐ray detection, owing to their excellent optoelectronic properties. However, the growth of large single crystals (SCs) and the stability of CsPbBr</w:t>
      </w:r>
      <w:r>
        <w:rPr>
          <w:vertAlign w:val="subscript"/>
        </w:rPr>
        <w:t>3</w:t>
      </w:r>
      <w:r>
        <w:t>‐based X‐ray detectors under high‐energy radiation exposure remain unexplored. In this study, a two‐inch CsPbBr</w:t>
      </w:r>
      <w:r>
        <w:rPr>
          <w:vertAlign w:val="subscript"/>
        </w:rPr>
        <w:t>3</w:t>
      </w:r>
      <w:r>
        <w:t>single‐crystal is grown using the vertical Bridgman (VB) method, and its irradiation resistance in X‐ray detection performance is investigated after exposure to</w:t>
      </w:r>
      <w:r>
        <w:rPr>
          <w:vertAlign w:val="subscript"/>
        </w:rPr>
        <w:t>60</w:t>
      </w:r>
      <w:r>
        <w:t>Co γ‐ray radiation. Compared with unirradiated samples, the crystals irradiated with a dose of 10 Mrad exhibit a higher trap density (1.59 × 10</w:t>
      </w:r>
      <w:r>
        <w:rPr>
          <w:vertAlign w:val="subscript"/>
        </w:rPr>
        <w:t>10</w:t>
      </w:r>
      <w:r>
        <w:t>cm</w:t>
      </w:r>
      <w:r>
        <w:t xml:space="preserve"> </w:t>
      </w:r>
      <w:r>
        <w:t>−3</w:t>
      </w:r>
      <w:r>
        <w:t xml:space="preserve"> </w:t>
      </w:r>
      <w:r>
        <w:t>) and a lower resistivity (8.2 × 10</w:t>
      </w:r>
      <w:r>
        <w:rPr>
          <w:vertAlign w:val="subscript"/>
        </w:rPr>
        <w:t>7</w:t>
      </w:r>
      <w:r>
        <w:t>Ω cm). However, the Bi/CsPbBr</w:t>
      </w:r>
      <w:r>
        <w:rPr>
          <w:vertAlign w:val="subscript"/>
        </w:rPr>
        <w:t>3</w:t>
      </w:r>
      <w:r>
        <w:t>/Au devices with asymmetric electrode structure exhibit an enhanced signal‐to‐noise ratio (14), a stable and low dark current density (7 nA cm</w:t>
      </w:r>
      <w:r>
        <w:t xml:space="preserve"> </w:t>
      </w:r>
      <w:r>
        <w:t>−2</w:t>
      </w:r>
      <w:r>
        <w:t xml:space="preserve"> </w:t>
      </w:r>
      <w:r>
        <w:t>) with a current drift of 5.8 × 10</w:t>
      </w:r>
      <w:r>
        <w:t xml:space="preserve"> </w:t>
      </w:r>
      <w:r>
        <w:t>−15</w:t>
      </w:r>
      <w:r>
        <w:t xml:space="preserve"> </w:t>
      </w:r>
      <w:r>
        <w:t>A cm</w:t>
      </w:r>
      <w:r>
        <w:t xml:space="preserve"> </w:t>
      </w:r>
      <w:r>
        <w:t>−1</w:t>
      </w:r>
      <w:r>
        <w:t xml:space="preserve"> </w:t>
      </w:r>
      <w:r>
        <w:t>s</w:t>
      </w:r>
      <w:r>
        <w:t xml:space="preserve"> </w:t>
      </w:r>
      <w:r>
        <w:t>−1</w:t>
      </w:r>
      <w:r>
        <w:t xml:space="preserve"> </w:t>
      </w:r>
      <w:r>
        <w:t>V</w:t>
      </w:r>
      <w:r>
        <w:t xml:space="preserve"> </w:t>
      </w:r>
      <w:r>
        <w:t>−1</w:t>
      </w:r>
      <w:r>
        <w:t xml:space="preserve"> </w:t>
      </w:r>
      <w:r>
        <w:t>, and a high sensitivity of 55722 µC Gyair</w:t>
      </w:r>
      <w:r>
        <w:t xml:space="preserve"> </w:t>
      </w:r>
      <w:r>
        <w:t>−1</w:t>
      </w:r>
      <w:r>
        <w:t xml:space="preserve"> </w:t>
      </w:r>
      <w:r>
        <w:t>cm</w:t>
      </w:r>
      <w:r>
        <w:t xml:space="preserve"> </w:t>
      </w:r>
      <w:r>
        <w:t>−2</w:t>
      </w:r>
      <w:r>
        <w:t xml:space="preserve"> </w:t>
      </w:r>
      <w:r>
        <w:t>for X‐ray detection at an electric field of 3000 V cm</w:t>
      </w:r>
      <w:r>
        <w:t xml:space="preserve"> </w:t>
      </w:r>
      <w:r>
        <w:t>−1</w:t>
      </w:r>
      <w:r>
        <w:t xml:space="preserve"> </w:t>
      </w:r>
      <w:r>
        <w:t>. Moreover, the irradiated device remained stable X‐ray response characteristics after 220 days aging. These findings highlight the exceptional defect tolerance and irradiation stability of CsPbBr</w:t>
      </w:r>
      <w:r>
        <w:rPr>
          <w:vertAlign w:val="subscript"/>
        </w:rPr>
        <w:t>3</w:t>
      </w:r>
      <w:r>
        <w:t>devices for high‐performance radiation detections, offering critical insights for their long‐term deployment in high‐radiation environments.</w:t>
      </w:r>
    </w:p>
    <w:p>
      <w:pPr>
        <w:spacing w:before="120" w:after="120"/>
      </w:pPr>
      <w:r>
        <w:rPr>
          <w:sz w:val="18"/>
        </w:rPr>
        <w:t>——————————————————————————————————————————————————————————————————————</w:t>
      </w:r>
    </w:p>
    <w:p>
      <w:pPr>
        <w:spacing w:before="160" w:after="80" w:line="240" w:lineRule="auto"/>
      </w:pPr>
      <w:r>
        <w:rPr>
          <w:b/>
        </w:rPr>
        <w:t xml:space="preserve">[636] </w:t>
      </w:r>
      <w:hyperlink r:id="rId1143">
        <w:r>
          <w:rPr>
            <w:color w:val="1155CC"/>
            <w:u w:val="single"/>
          </w:rPr>
          <w:t>Synergies Between Atomically Dispersed Ru Single Atoms and Nanoparticles on CeAlOx for Enhanced Photo‐Thermal Catalytic CO2 Hydrogenation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44">
        <w:r>
          <w:rPr>
            <w:color w:val="1155CC"/>
            <w:u w:val="single"/>
          </w:rPr>
          <w:t>10.1002/adma.202512793</w:t>
        </w:r>
      </w:hyperlink>
    </w:p>
    <w:p>
      <w:pPr>
        <w:spacing w:before="0" w:after="120"/>
      </w:pPr>
      <w:r>
        <w:rPr>
          <w:b/>
        </w:rPr>
        <w:t xml:space="preserve">Notes: </w:t>
      </w:r>
      <w:r>
        <w:t>abstract_source=crossref</w:t>
      </w:r>
    </w:p>
    <w:p>
      <w:pPr>
        <w:spacing w:before="0" w:after="200" w:lineRule="auto" w:line="276"/>
      </w:pPr>
      <w:r>
        <w:rPr>
          <w:b/>
        </w:rPr>
        <w:t xml:space="preserve">Abstract: </w:t>
      </w:r>
      <w:r>
        <w:t>Heterogeneous catalysts integrating single‐atom species and nanoparticles maximize atom utilization and hydrogen dissociation for hydrogenation reactions. However, challenges in maintaining consistent metal loadings during synthesis complicate direct performance comparisons with the single‐atom and nanoparticle‐based systems, which obscures rational assessment of their catalytic potential. Herein, Ru</w:t>
      </w:r>
      <w:r>
        <w:t xml:space="preserve"> </w:t>
      </w:r>
      <w:r>
        <w:t>1+NPs</w:t>
      </w:r>
      <w:r>
        <w:t xml:space="preserve"> </w:t>
      </w:r>
      <w:r>
        <w:t>/CeAlO</w:t>
      </w:r>
      <w:r>
        <w:t xml:space="preserve"> </w:t>
      </w:r>
      <w:r>
        <w:t>x</w:t>
      </w:r>
      <w:r>
        <w:t xml:space="preserve"> </w:t>
      </w:r>
      <w:r>
        <w:t>photothermal catalysts are reported which leverage the synergy between Ru single atoms and Ru nanoparticles to enhance CO</w:t>
      </w:r>
      <w:r>
        <w:rPr>
          <w:vertAlign w:val="subscript"/>
        </w:rPr>
        <w:t>2</w:t>
      </w:r>
      <w:r>
        <w:t>hydrogenation to CH</w:t>
      </w:r>
      <w:r>
        <w:rPr>
          <w:vertAlign w:val="subscript"/>
        </w:rPr>
        <w:t>4</w:t>
      </w:r>
      <w:r>
        <w:t>. Under light irradiation (3.1 W cm</w:t>
      </w:r>
      <w:r>
        <w:t xml:space="preserve"> </w:t>
      </w:r>
      <w:r>
        <w:t>−2</w:t>
      </w:r>
      <w:r>
        <w:t xml:space="preserve"> </w:t>
      </w:r>
      <w:r>
        <w:t>, 200–1100 nm) at 200 °C, the Ru</w:t>
      </w:r>
      <w:r>
        <w:t xml:space="preserve"> </w:t>
      </w:r>
      <w:r>
        <w:t>1+NPs</w:t>
      </w:r>
      <w:r>
        <w:t xml:space="preserve"> </w:t>
      </w:r>
      <w:r>
        <w:t>/CeAlO</w:t>
      </w:r>
      <w:r>
        <w:t xml:space="preserve"> </w:t>
      </w:r>
      <w:r>
        <w:t>x</w:t>
      </w:r>
      <w:r>
        <w:t xml:space="preserve"> </w:t>
      </w:r>
      <w:r>
        <w:t>catalyst achieves a CH</w:t>
      </w:r>
      <w:r>
        <w:rPr>
          <w:vertAlign w:val="subscript"/>
        </w:rPr>
        <w:t>4</w:t>
      </w:r>
      <w:r>
        <w:t>production rate of 197.2 mmol g</w:t>
      </w:r>
      <w:r>
        <w:t xml:space="preserve"> </w:t>
      </w:r>
      <w:r>
        <w:t>cat</w:t>
      </w:r>
      <w:r>
        <w:t xml:space="preserve"> </w:t>
      </w:r>
      <w:r>
        <w:t>−1</w:t>
      </w:r>
      <w:r>
        <w:t xml:space="preserve"> </w:t>
      </w:r>
      <w:r>
        <w:t>h</w:t>
      </w:r>
      <w:r>
        <w:t xml:space="preserve"> </w:t>
      </w:r>
      <w:r>
        <w:t>−1</w:t>
      </w:r>
      <w:r>
        <w:t xml:space="preserve"> </w:t>
      </w:r>
      <w:r>
        <w:t>with near‐100% selectivity, surpassing single‐atom Ru</w:t>
      </w:r>
      <w:r>
        <w:rPr>
          <w:vertAlign w:val="subscript"/>
        </w:rPr>
        <w:t>1</w:t>
      </w:r>
      <w:r>
        <w:t>/CeAlO</w:t>
      </w:r>
      <w:r>
        <w:t xml:space="preserve"> </w:t>
      </w:r>
      <w:r>
        <w:t>x</w:t>
      </w:r>
      <w:r>
        <w:t xml:space="preserve"> </w:t>
      </w:r>
      <w:r>
        <w:t>catalysts and nanoparticle‐based Ru</w:t>
      </w:r>
      <w:r>
        <w:t xml:space="preserve"> </w:t>
      </w:r>
      <w:r>
        <w:t>NPs</w:t>
      </w:r>
      <w:r>
        <w:t xml:space="preserve"> </w:t>
      </w:r>
      <w:r>
        <w:t>/CeAlO</w:t>
      </w:r>
      <w:r>
        <w:t xml:space="preserve"> </w:t>
      </w:r>
      <w:r>
        <w:t>x</w:t>
      </w:r>
      <w:r>
        <w:t xml:space="preserve"> </w:t>
      </w:r>
      <w:r>
        <w:t>catalysts, with equivalent metal contents. Mechanistic studies revealed that in Ru</w:t>
      </w:r>
      <w:r>
        <w:t xml:space="preserve"> </w:t>
      </w:r>
      <w:r>
        <w:t>1+NPs</w:t>
      </w:r>
      <w:r>
        <w:t xml:space="preserve"> </w:t>
      </w:r>
      <w:r>
        <w:t>/CeAlO</w:t>
      </w:r>
      <w:r>
        <w:t xml:space="preserve"> </w:t>
      </w:r>
      <w:r>
        <w:t>x</w:t>
      </w:r>
      <w:r>
        <w:t xml:space="preserve"> </w:t>
      </w:r>
      <w:r>
        <w:t>catalysts, Ru single atoms facilitate CO</w:t>
      </w:r>
      <w:r>
        <w:rPr>
          <w:vertAlign w:val="subscript"/>
        </w:rPr>
        <w:t>2</w:t>
      </w:r>
      <w:r>
        <w:t>adsorption/activation and subsequent conversion, while Ru nanoparticles promote H</w:t>
      </w:r>
      <w:r>
        <w:rPr>
          <w:vertAlign w:val="subscript"/>
        </w:rPr>
        <w:t>2</w:t>
      </w:r>
      <w:r>
        <w:t>dissociation, with their synergistic interplay driving superior performance. Moreover, the CeAlO</w:t>
      </w:r>
      <w:r>
        <w:t xml:space="preserve"> </w:t>
      </w:r>
      <w:r>
        <w:t>x</w:t>
      </w:r>
      <w:r>
        <w:t xml:space="preserve"> </w:t>
      </w:r>
      <w:r>
        <w:t>support effectively stabilizes the dual‐site structure and facilitates the formation of reaction intermediates through its abundant oxygen vacancies and surface Lewis acid‐base pairs, thereby further enhancing the catalytic reaction. This work highlights the critical role of synergistic effects between single atoms and nanoparticles, offering new approaches for designing high‐efficiency hydrogenation catalysts.</w:t>
      </w:r>
    </w:p>
    <w:p>
      <w:pPr>
        <w:spacing w:before="120" w:after="120"/>
      </w:pPr>
      <w:r>
        <w:rPr>
          <w:sz w:val="18"/>
        </w:rPr>
        <w:t>——————————————————————————————————————————————————————————————————————</w:t>
      </w:r>
    </w:p>
    <w:p>
      <w:pPr>
        <w:spacing w:before="160" w:after="80" w:line="240" w:lineRule="auto"/>
      </w:pPr>
      <w:r>
        <w:rPr>
          <w:b/>
        </w:rPr>
        <w:t xml:space="preserve">[637] </w:t>
      </w:r>
      <w:hyperlink r:id="rId1145">
        <w:r>
          <w:rPr>
            <w:color w:val="1155CC"/>
            <w:u w:val="single"/>
          </w:rPr>
          <w:t>Correction to “Injectable 2D MoS2‐Integrated Drug Delivering Implant for Highly Efficient NIR‐Triggered Synergistic Tumor Hyperthermia”</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46">
        <w:r>
          <w:rPr>
            <w:color w:val="1155CC"/>
            <w:u w:val="single"/>
          </w:rPr>
          <w:t>10.1002/adma.202514166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[638] </w:t>
      </w:r>
      <w:hyperlink r:id="rId1147">
        <w:r>
          <w:rPr>
            <w:color w:val="1155CC"/>
            <w:u w:val="single"/>
          </w:rPr>
          <w:t>Optical, Electrical, Thermal, Stress, and Energy Yield Simulations Enhance the Performance and Stability of Perovskite Photovoltaics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48">
        <w:r>
          <w:rPr>
            <w:color w:val="1155CC"/>
            <w:u w:val="single"/>
          </w:rPr>
          <w:t>10.1002/adma.202514184</w:t>
        </w:r>
      </w:hyperlink>
    </w:p>
    <w:p>
      <w:pPr>
        <w:spacing w:before="0" w:after="120"/>
      </w:pPr>
      <w:r>
        <w:rPr>
          <w:b/>
        </w:rPr>
        <w:t xml:space="preserve">Notes: </w:t>
      </w:r>
      <w:r>
        <w:t>abstract_source=crossref</w:t>
      </w:r>
    </w:p>
    <w:p>
      <w:pPr>
        <w:spacing w:before="0" w:after="200" w:lineRule="auto" w:line="276"/>
      </w:pPr>
      <w:r>
        <w:rPr>
          <w:b/>
        </w:rPr>
        <w:t xml:space="preserve">Abstract: </w:t>
      </w:r>
      <w:r>
        <w:t>Device simulations have become indispensable tools for advancing the performance and deepening the understanding of perovskite solar cells (PSCs). These simulations enable a systematic exploration of light management strategies, charge transport mechanisms, and device architecture optimization. This review comprehensively highlights the critical role of modeling in the development of PSCs, with a focus on five key domains: optical management (light absorption, reflection, and scattering), electrical processes (carrier dynamics, defect passivation, and interface engineering), thermal effects (heat generation and dissipation), mechanical stress (structural stability and degradation mechanisms), and energy yield (real‐world output power, performance improvement, and device degradation). The integration of multiphysics simulations to address complex device challenges and to accelerate the development of high‐efficiency and stable PSCs is also discussed. Key achievements in tandem architecture optimization, interface engineering, and insights into device degradation pathways under real‐world operating conditions are thoroughly summarized. Finally, remaining challenges, such as modeling non‐idealities, the scalability of simulation approaches, and experimental validation, are identified, and offer an outlook on future directions in multiphysics modeling. By bridging theoretical and experimental perspectives, this review emphasizes the transformative potential of simulations in enabling higher performance, enhanced stability, and broader application of perovskite photovoltaics (PV) in sustainable energy systems.</w:t>
      </w:r>
    </w:p>
    <w:p>
      <w:pPr>
        <w:spacing w:before="120" w:after="120"/>
      </w:pPr>
      <w:r>
        <w:rPr>
          <w:sz w:val="18"/>
        </w:rPr>
        <w:t>——————————————————————————————————————————————————————————————————————</w:t>
      </w:r>
    </w:p>
    <w:p>
      <w:pPr>
        <w:spacing w:before="160" w:after="80" w:line="240" w:lineRule="auto"/>
      </w:pPr>
      <w:r>
        <w:rPr>
          <w:b/>
        </w:rPr>
        <w:t xml:space="preserve">[639] </w:t>
      </w:r>
      <w:hyperlink r:id="rId1149">
        <w:r>
          <w:rPr>
            <w:color w:val="1155CC"/>
            <w:u w:val="single"/>
          </w:rPr>
          <w:t>Engineering the Oxygen Vacancies in Perovskite Oxides for Electricity Generation from Water Evaporation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50">
        <w:r>
          <w:rPr>
            <w:color w:val="1155CC"/>
            <w:u w:val="single"/>
          </w:rPr>
          <w:t>10.1002/adma.202514202</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new suitable material systems is paramount for water evaporation‐induced electricity generation associated with the energy harvesting technology. Herein, to the best of the knowledge, the first demonstration of perovskite oxides for efficient electricity generation from water evaporation is presented and discover the key role of oxygen vacancies in promoting the performance. As a proof‐of‐concept example, the A‐site‐deficient La</w:t>
      </w:r>
      <w:r>
        <w:t xml:space="preserve"> </w:t>
      </w:r>
      <w:r>
        <w:t>0.95</w:t>
      </w:r>
      <w:r>
        <w:t xml:space="preserve"> </w:t>
      </w:r>
      <w:r>
        <w:t>FeO</w:t>
      </w:r>
      <w:r>
        <w:t xml:space="preserve"> </w:t>
      </w:r>
      <w:r>
        <w:t>3‐δ</w:t>
      </w:r>
      <w:r>
        <w:t xml:space="preserve"> </w:t>
      </w:r>
      <w:r>
        <w:t>perovskite with abundant oxygen vacancies in a single generator can achieve an absolute value of output voltage up to ≈1.5 V for 200 h under ambient conditions and even up to ≈2.5 V at specific conditions, about one order of magnitude higher than the stoichiometric LaFeO</w:t>
      </w:r>
      <w:r>
        <w:rPr>
          <w:vertAlign w:val="subscript"/>
        </w:rPr>
        <w:t>3</w:t>
      </w:r>
      <w:r>
        <w:t>counterpart. Noticeably, a voltage reversal phenomenon during the evaporation process is observed due to the zeta potential inversion mediated by the surface functional hydroxyl groups on the perovskite films. Theoretical calculations and systematic experiments demonstrate that oxygen vacancies in La</w:t>
      </w:r>
      <w:r>
        <w:t xml:space="preserve"> </w:t>
      </w:r>
      <w:r>
        <w:t>0.95</w:t>
      </w:r>
      <w:r>
        <w:t xml:space="preserve"> </w:t>
      </w:r>
      <w:r>
        <w:t>FeO</w:t>
      </w:r>
      <w:r>
        <w:t xml:space="preserve"> </w:t>
      </w:r>
      <w:r>
        <w:t>3‐δ</w:t>
      </w:r>
      <w:r>
        <w:t xml:space="preserve"> </w:t>
      </w:r>
      <w:r>
        <w:t>enable to enhance surface charges and facilitate water dissociation, leading to stronger water‐solid interfacial interaction and more ion transport in capillary networks, ultimately boosting the voltage output. More importantly, it is found that the promoting effect of oxygen vacancy in water evaporation‐induced electricity is universal and applicable for metal oxides with varied structures and compositions.</w:t>
      </w:r>
    </w:p>
    <w:p>
      <w:pPr>
        <w:spacing w:before="120" w:after="120"/>
      </w:pPr>
      <w:r>
        <w:rPr>
          <w:sz w:val="18"/>
        </w:rPr>
        <w:t>——————————————————————————————————————————————————————————————————————</w:t>
      </w:r>
    </w:p>
    <w:p>
      <w:pPr>
        <w:spacing w:before="160" w:after="80" w:line="240" w:lineRule="auto"/>
      </w:pPr>
      <w:r>
        <w:rPr>
          <w:b/>
        </w:rPr>
        <w:t xml:space="preserve">[640] </w:t>
      </w:r>
      <w:hyperlink r:id="rId1151">
        <w:r>
          <w:rPr>
            <w:color w:val="1155CC"/>
            <w:u w:val="single"/>
          </w:rPr>
          <w:t>Semitransparent Photovoltaics via Reflection Optical Paths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52">
        <w:r>
          <w:rPr>
            <w:color w:val="1155CC"/>
            <w:u w:val="single"/>
          </w:rPr>
          <w:t>10.1002/adma.202514266</w:t>
        </w:r>
      </w:hyperlink>
    </w:p>
    <w:p>
      <w:pPr>
        <w:spacing w:before="0" w:after="120"/>
      </w:pPr>
      <w:r>
        <w:rPr>
          <w:b/>
        </w:rPr>
        <w:t xml:space="preserve">Notes: </w:t>
      </w:r>
      <w:r>
        <w:t>abstract_source=crossref</w:t>
      </w:r>
    </w:p>
    <w:p>
      <w:pPr>
        <w:spacing w:before="0" w:after="200" w:lineRule="auto" w:line="276"/>
      </w:pPr>
      <w:r>
        <w:rPr>
          <w:b/>
        </w:rPr>
        <w:t xml:space="preserve">Abstract: </w:t>
      </w:r>
      <w:r>
        <w:t>Semitransparent photovoltaics (STPV) show great potential for building integration, but the imbalance between visible light transmission and power generation limits their practical applications. To overcome this, a reflective STPV (R‐STPV) structure is proposed, via utilizing a dual‐surface reflection optical path to achieve equivalent transmission. Unlike STPV systems relying on transmission optical paths, this design bypasses reflection losses and alleviates the stringent selective absorption requirements for the active layer. Thus, such design enables the fabrication of wavelength‐selective STPVs using various high‐performance photovoltaic materials such as silicon, CIGS, and CdTe. As a proof‐of‐concept, an optical reflector is designed to selectively reflect visible light and transmit the invisible one, and by integrating it with the above PVs, we demonstrate high‐performance R‐STPV with appropriate optical geometry. Remarkably, the best Si‐based R‐STPV delivers a reliable efficiency of 14.4%, an average visible light transmittance of 92.2%, a record light utilization efficiency of 13.28% and an exceptional color rendering index of 99%. The versatility of R‐STPV window technology makes it suitable for various building‐integration application scenarios, and an average annual power generation of 69.8 kWh year m</w:t>
      </w:r>
      <w:r>
        <w:t xml:space="preserve"> </w:t>
      </w:r>
      <w:r>
        <w:t>−</w:t>
      </w:r>
      <w:r>
        <w:rPr>
          <w:vertAlign w:val="subscript"/>
        </w:rPr>
        <w:t>2</w:t>
      </w:r>
      <w:r>
        <w:t>is obtained according to the simulation results. Therefore, this work paves a new path for high‐performance solar windows that will contribute significantly to energy sustainability.</w:t>
      </w:r>
    </w:p>
    <w:p>
      <w:pPr>
        <w:spacing w:before="120" w:after="120"/>
      </w:pPr>
      <w:r>
        <w:rPr>
          <w:sz w:val="18"/>
        </w:rPr>
        <w:t>——————————————————————————————————————————————————————————————————————</w:t>
      </w:r>
    </w:p>
    <w:p>
      <w:pPr>
        <w:spacing w:before="160" w:after="80" w:line="240" w:lineRule="auto"/>
      </w:pPr>
      <w:r>
        <w:rPr>
          <w:b/>
        </w:rPr>
        <w:t xml:space="preserve">[641] </w:t>
      </w:r>
      <w:hyperlink r:id="rId1153">
        <w:r>
          <w:rPr>
            <w:color w:val="1155CC"/>
            <w:u w:val="single"/>
          </w:rPr>
          <w:t>Observation of ν = 5/2 Fractional Quantum Hall Effect in Trilayer Graphene Proximitized by V‐Doped WSe2</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54">
        <w:r>
          <w:rPr>
            <w:color w:val="1155CC"/>
            <w:u w:val="single"/>
          </w:rPr>
          <w:t>10.1002/adma.202514268</w:t>
        </w:r>
      </w:hyperlink>
    </w:p>
    <w:p>
      <w:pPr>
        <w:spacing w:before="0" w:after="120"/>
      </w:pPr>
      <w:r>
        <w:rPr>
          <w:b/>
        </w:rPr>
        <w:t xml:space="preserve">Notes: </w:t>
      </w:r>
      <w:r>
        <w:t>abstract_source=crossref</w:t>
      </w:r>
    </w:p>
    <w:p>
      <w:pPr>
        <w:spacing w:before="0" w:after="200" w:lineRule="auto" w:line="276"/>
      </w:pPr>
      <w:r>
        <w:rPr>
          <w:b/>
        </w:rPr>
        <w:t xml:space="preserve">Abstract: </w:t>
      </w:r>
      <w:r>
        <w:t>Graphene has long been a test bed for observing strongly correlated phenomena owing to its 2D nature and ability to host high carrier mobility. However, the lack of intrinsic magnetism and weak spin‐orbit coupling limits its ability to host strong electronic correlations. Here, observation of strongly correlated phenomena in trilayer graphene (TLG) proximitized by a ferromagnetic V‐doped WSe</w:t>
      </w:r>
      <w:r>
        <w:rPr>
          <w:vertAlign w:val="subscript"/>
        </w:rPr>
        <w:t>2</w:t>
      </w:r>
      <w:r>
        <w:t>(V‐WSe</w:t>
      </w:r>
      <w:r>
        <w:rPr>
          <w:vertAlign w:val="subscript"/>
        </w:rPr>
        <w:t>2</w:t>
      </w:r>
      <w:r>
        <w:t>) overlayer is reported. These include the emergence of an odd‐ and even‐denominator fractional quantum Hall state at</w:t>
      </w:r>
      <w:r>
        <w:t xml:space="preserve"> </w:t>
      </w:r>
      <w:r>
        <w:t>ν</w:t>
      </w:r>
      <w:r>
        <w:t xml:space="preserve"> </w:t>
      </w:r>
      <w:r>
        <w:t>= 5/2 and reentrant integer quantum Hall effect in the hole regime of the TLG, driven by proximate magnetism from the V‐WSe</w:t>
      </w:r>
      <w:r>
        <w:rPr>
          <w:vertAlign w:val="subscript"/>
        </w:rPr>
        <w:t>2</w:t>
      </w:r>
      <w:r>
        <w:t>. A remarkably large activation energy gap (</w:t>
      </w:r>
      <w:r>
        <w:t xml:space="preserve"> </w:t>
      </w:r>
      <w:r>
        <w:t>Δ</w:t>
      </w:r>
      <w:r>
        <w:t xml:space="preserve"> </w:t>
      </w:r>
      <w:r>
        <w:t>5/2</w:t>
      </w:r>
      <w:r>
        <w:t xml:space="preserve"> </w:t>
      </w:r>
      <w:r>
        <w:t>= 48 ± 5 K) for the 5/2 fractional state is observed, which is essential for probing its non‐Abelian nature. Furthermore, the large</w:t>
      </w:r>
      <w:r>
        <w:t xml:space="preserve"> </w:t>
      </w:r>
      <w:r>
        <w:t>Δ</w:t>
      </w:r>
      <w:r>
        <w:t xml:space="preserve"> </w:t>
      </w:r>
      <w:r>
        <w:t>5/2</w:t>
      </w:r>
      <w:r>
        <w:t xml:space="preserve"> </w:t>
      </w:r>
      <w:r>
        <w:t>significantly enhances its feasibility for topological quantum computation by exponentially suppressing the error rates. Additionally, the formation of three additional Dirac cones, termed Dirac “gullies,” is observed, which manifest as threefold‐degenerate Landau levels in magnetotransport measurements. These findings not only advance the role of magnetism in graphene‐based heterostructures but also open pathways toward studying non‐Abelian quasiparticles for their exotic fundamental and technological implications.</w:t>
      </w:r>
    </w:p>
    <w:p>
      <w:pPr>
        <w:spacing w:before="120" w:after="120"/>
      </w:pPr>
      <w:r>
        <w:rPr>
          <w:sz w:val="18"/>
        </w:rPr>
        <w:t>——————————————————————————————————————————————————————————————————————</w:t>
      </w:r>
    </w:p>
    <w:p>
      <w:pPr>
        <w:spacing w:before="160" w:after="80" w:line="240" w:lineRule="auto"/>
      </w:pPr>
      <w:r>
        <w:rPr>
          <w:b/>
        </w:rPr>
        <w:t xml:space="preserve">[642] </w:t>
      </w:r>
      <w:hyperlink r:id="rId1155">
        <w:r>
          <w:rPr>
            <w:color w:val="1155CC"/>
            <w:u w:val="single"/>
          </w:rPr>
          <w:t>Enabling Ultra‐High Work Capacity and Scalable Processability of Liquid Crystal Actuators through Densely Entangled Structures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56">
        <w:r>
          <w:rPr>
            <w:color w:val="1155CC"/>
            <w:u w:val="single"/>
          </w:rPr>
          <w:t>10.1002/adma.202513876</w:t>
        </w:r>
      </w:hyperlink>
    </w:p>
    <w:p>
      <w:pPr>
        <w:spacing w:before="0" w:after="120"/>
      </w:pPr>
      <w:r>
        <w:rPr>
          <w:b/>
        </w:rPr>
        <w:t xml:space="preserve">Notes: </w:t>
      </w:r>
      <w:r>
        <w:t>abstract_source=crossref</w:t>
      </w:r>
    </w:p>
    <w:p>
      <w:pPr>
        <w:spacing w:before="0" w:after="200" w:lineRule="auto" w:line="276"/>
      </w:pPr>
      <w:r>
        <w:rPr>
          <w:b/>
        </w:rPr>
        <w:t xml:space="preserve">Abstract: </w:t>
      </w:r>
      <w:r>
        <w:t>Liquid crystal elastomers (LCEs) are important soft actuators that show strong promise in many fields where traditional rigid actuators or robotics are impractical. However, their real‐world applications are lacking primarily due to inadequate actuation performance and complicated fabrication processes. Here, a novel design is reported that significantly enhances actuation performance while simplifying the fabrication process. The design involves constructing densely entangled structures by synthesizing high‐molecular‐weight linear LCEs (&amp;gt;180 kDa) with a moderate number of side groups in a single step. These entangled structures greatly enhance mechanical strength while maintaining toughness, resulting in an ultra‐high actuation work capacity (1427 kJ m</w:t>
      </w:r>
      <w:r>
        <w:t xml:space="preserve"> </w:t>
      </w:r>
      <w:r>
        <w:t>−</w:t>
      </w:r>
      <w:r>
        <w:rPr>
          <w:vertAlign w:val="subscript"/>
        </w:rPr>
        <w:t>3</w:t>
      </w:r>
      <w:r>
        <w:t>). By applying melt shearing or solvent treatment, these entanglements can be temporarily disrupted, providing thermoplastic‐like processability. With these properties, lightweight wearable devices (&amp;lt;10 g) capable of generating over 30 N of contractile force are developed, which is sufficient to reversibly lift an adult male's arm. This work employs a single fabrication step to develop densely entangled LCEs with exceptional actuation performance and thermoplastic‐like processability, signaling a bright future for their applications in rehabilitation devices, wearables, and beyond.</w:t>
      </w:r>
    </w:p>
    <w:p>
      <w:pPr>
        <w:spacing w:before="120" w:after="120"/>
      </w:pPr>
      <w:r>
        <w:rPr>
          <w:sz w:val="18"/>
        </w:rPr>
        <w:t>——————————————————————————————————————————————————————————————————————</w:t>
      </w:r>
    </w:p>
    <w:p>
      <w:pPr>
        <w:spacing w:before="160" w:after="80" w:line="240" w:lineRule="auto"/>
      </w:pPr>
      <w:r>
        <w:rPr>
          <w:b/>
        </w:rPr>
        <w:t xml:space="preserve">[643] </w:t>
      </w:r>
      <w:hyperlink r:id="rId1157">
        <w:r>
          <w:rPr>
            <w:color w:val="1155CC"/>
            <w:u w:val="single"/>
          </w:rPr>
          <w:t>Regenerative Redox Cycling Enables Stable Tin Perovskite Photovoltaics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58">
        <w:r>
          <w:rPr>
            <w:color w:val="1155CC"/>
            <w:u w:val="single"/>
          </w:rPr>
          <w:t>10.1002/adma.202514719</w:t>
        </w:r>
      </w:hyperlink>
    </w:p>
    <w:p>
      <w:pPr>
        <w:spacing w:before="0" w:after="120"/>
      </w:pPr>
      <w:r>
        <w:rPr>
          <w:b/>
        </w:rPr>
        <w:t xml:space="preserve">Notes: </w:t>
      </w:r>
      <w:r>
        <w:t>abstract_source=crossref</w:t>
      </w:r>
    </w:p>
    <w:p>
      <w:pPr>
        <w:spacing w:before="0" w:after="200" w:lineRule="auto" w:line="276"/>
      </w:pPr>
      <w:r>
        <w:rPr>
          <w:b/>
        </w:rPr>
        <w:t xml:space="preserve">Abstract: </w:t>
      </w:r>
      <w:r>
        <w:t>Tin halide perovskites (THPs) suffer from low stability due to the easy oxidation of Sn (II). Although traditional reduction strategies effectively inhibit the oxidation of Sn (II), the gradual depletion of reducing agents during continuous device operation significantly weakens their antioxidative capacity, thereby limiting the long‐term stability of the device. Herein, a regenerative redox cycling strategy utilizing 4‐mercaptobenzoic acid (4‐MBA) is proposed. Under operational conditions, UV irradiation enables 4‐MBA regeneration, which concurrently drives continuous Sn (IV)‐to‐Sn (II) reduction and facilitates dual‐site defect passivation, significantly enhancing device efficiency and stability. Ultimately, an excellent efficiency of 15.15% is achieved and maintained 100% of the initial efficiency for 1100 h in a simulated day–night cycle maximum power point tracking (MPPT) test. This work provides a sustainable reduction strategy that effectively addresses the long‐term stability issue of tin perovskite photovoltaic cells.</w:t>
      </w:r>
    </w:p>
    <w:p>
      <w:pPr>
        <w:spacing w:before="120" w:after="120"/>
      </w:pPr>
      <w:r>
        <w:rPr>
          <w:sz w:val="18"/>
        </w:rPr>
        <w:t>——————————————————————————————————————————————————————————————————————</w:t>
      </w:r>
    </w:p>
    <w:p>
      <w:pPr>
        <w:spacing w:before="160" w:after="80" w:line="240" w:lineRule="auto"/>
      </w:pPr>
      <w:r>
        <w:rPr>
          <w:b/>
        </w:rPr>
        <w:t xml:space="preserve">[644] </w:t>
      </w:r>
      <w:hyperlink r:id="rId1159">
        <w:r>
          <w:rPr>
            <w:color w:val="1155CC"/>
            <w:u w:val="single"/>
          </w:rPr>
          <w:t>Advanced Electrolyte Engineering for Low‐Temperature Sodium‐Ion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60">
        <w:r>
          <w:rPr>
            <w:color w:val="1155CC"/>
            <w:u w:val="single"/>
          </w:rPr>
          <w:t>10.1002/adma.202513868</w:t>
        </w:r>
      </w:hyperlink>
    </w:p>
    <w:p>
      <w:pPr>
        <w:spacing w:before="0" w:after="120"/>
      </w:pPr>
      <w:r>
        <w:rPr>
          <w:b/>
        </w:rPr>
        <w:t xml:space="preserve">Notes: </w:t>
      </w:r>
      <w:r>
        <w:t>abstract_source=crossref</w:t>
      </w:r>
    </w:p>
    <w:p>
      <w:pPr>
        <w:spacing w:before="0" w:after="200" w:lineRule="auto" w:line="276"/>
      </w:pPr>
      <w:r>
        <w:rPr>
          <w:b/>
        </w:rPr>
        <w:t xml:space="preserve">Abstract: </w:t>
      </w:r>
      <w:r>
        <w:t>Given the abundance and low cost of sodium resources, sodium‐ion batteries (SIBs) are considered promising alternatives to lithium‐ion batteries (LIBs). Moreover, the unique electrochemical and chemical characteristics of SIBs indicate their substantial potential for low‐temperature operation. However, low temperatures significantly reduce the intrinsic Na</w:t>
      </w:r>
      <w:r>
        <w:t xml:space="preserve"> </w:t>
      </w:r>
      <w:r>
        <w:t>+</w:t>
      </w:r>
      <w:r>
        <w:t xml:space="preserve"> </w:t>
      </w:r>
      <w:r>
        <w:t>transport rate, sharply increase the Na</w:t>
      </w:r>
      <w:r>
        <w:t xml:space="preserve"> </w:t>
      </w:r>
      <w:r>
        <w:t>+</w:t>
      </w:r>
      <w:r>
        <w:t xml:space="preserve"> </w:t>
      </w:r>
      <w:r>
        <w:t>de‐solvation energy barrier at the battery‐electrolyte interface, and lead to dynamic solid electrolyte interphase (SEI) reconstruction, resulting in a substantial increase in interfacial impedance. These issues ultimately lead to severe capacity degradation, diminished power performance, shortened cycle life, and even complete battery failure at low temperatures. To address these challenges, this review thoroughly analyzes the failure mechanisms of electrolytes at low temperatures and comprehensively summarizes current design and optimization strategies for low‐temperature SIB electrolytes, including solvent engineering, concentration regulation, novel additives and sodium salts, and emerging electrolyte systems. Furthermore, it prospects the future development trends of organic electrolytes, aiming to provide insights for the advancement of novel low‐temperature SIBs.</w:t>
      </w:r>
    </w:p>
    <w:p>
      <w:pPr>
        <w:spacing w:before="120" w:after="120"/>
      </w:pPr>
      <w:r>
        <w:rPr>
          <w:sz w:val="18"/>
        </w:rPr>
        <w:t>——————————————————————————————————————————————————————————————————————</w:t>
      </w:r>
    </w:p>
    <w:p>
      <w:pPr>
        <w:spacing w:before="160" w:after="80" w:line="240" w:lineRule="auto"/>
      </w:pPr>
      <w:r>
        <w:rPr>
          <w:b/>
        </w:rPr>
        <w:t xml:space="preserve">[645] </w:t>
      </w:r>
      <w:hyperlink r:id="rId1161">
        <w:r>
          <w:rPr>
            <w:color w:val="1155CC"/>
            <w:u w:val="single"/>
          </w:rPr>
          <w:t>Direct Writing of Oxygen‐Doped Mo2C Enabled by Low‐Temperature Laser Deposition for High‐Performance Acidic Hydrogen Evolution Reaction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62">
        <w:r>
          <w:rPr>
            <w:color w:val="1155CC"/>
            <w:u w:val="single"/>
          </w:rPr>
          <w:t>10.1002/adma.202515697</w:t>
        </w:r>
      </w:hyperlink>
    </w:p>
    <w:p>
      <w:pPr>
        <w:spacing w:before="0" w:after="120"/>
      </w:pPr>
      <w:r>
        <w:rPr>
          <w:b/>
        </w:rPr>
        <w:t xml:space="preserve">Notes: </w:t>
      </w:r>
      <w:r>
        <w:t>abstract_source=crossref</w:t>
      </w:r>
    </w:p>
    <w:p>
      <w:pPr>
        <w:spacing w:before="0" w:after="200" w:lineRule="auto" w:line="276"/>
      </w:pPr>
      <w:r>
        <w:rPr>
          <w:b/>
        </w:rPr>
        <w:t xml:space="preserve">Abstract: </w:t>
      </w:r>
      <w:r>
        <w:t>Molybdenum carbides have gained tremendous attention for the electrocatalytic hydrogen evolution reaction (HER) due to their high electrical conductivity and similar d‐band structure to platinum. Among molybdenum carbides, Mo</w:t>
      </w:r>
      <w:r>
        <w:rPr>
          <w:vertAlign w:val="subscript"/>
        </w:rPr>
        <w:t>2</w:t>
      </w:r>
      <w:r>
        <w:t>C catalysts have exhibited greater potential for acidic HER. However, their performance is restricted by the strong binding interaction between molybdenum and hydrogen. Herein, a series of Mo</w:t>
      </w:r>
      <w:r>
        <w:rPr>
          <w:vertAlign w:val="subscript"/>
        </w:rPr>
        <w:t>2</w:t>
      </w:r>
      <w:r>
        <w:t>C catalysts are synthesized using a rapid, low‐temperature laser deposition method to dope oxygen atoms into the Mo</w:t>
      </w:r>
      <w:r>
        <w:rPr>
          <w:vertAlign w:val="subscript"/>
        </w:rPr>
        <w:t>2</w:t>
      </w:r>
      <w:r>
        <w:t>C lattices. The metastable oxygen‐doped Mo</w:t>
      </w:r>
      <w:r>
        <w:rPr>
          <w:vertAlign w:val="subscript"/>
        </w:rPr>
        <w:t>2</w:t>
      </w:r>
      <w:r>
        <w:t>C exhibits a low overpotential of 125 mV at 10 mA cm</w:t>
      </w:r>
      <w:r>
        <w:t xml:space="preserve"> </w:t>
      </w:r>
      <w:r>
        <w:t>−2</w:t>
      </w:r>
      <w:r>
        <w:t xml:space="preserve"> </w:t>
      </w:r>
      <w:r>
        <w:t>, showing significant improvement compared to Mo</w:t>
      </w:r>
      <w:r>
        <w:rPr>
          <w:vertAlign w:val="subscript"/>
        </w:rPr>
        <w:t>2</w:t>
      </w:r>
      <w:r>
        <w:t>C (≈182 mV). Density functional theory (DFT) calculations suggest that the introduction of oxygen into the lattices of Mo</w:t>
      </w:r>
      <w:r>
        <w:rPr>
          <w:vertAlign w:val="subscript"/>
        </w:rPr>
        <w:t>2</w:t>
      </w:r>
      <w:r>
        <w:t>C can reduce the hydrogen adsorption free energy, indicating that hydrogen production is more favorable on oxygen‐doped Mo</w:t>
      </w:r>
      <w:r>
        <w:rPr>
          <w:vertAlign w:val="subscript"/>
        </w:rPr>
        <w:t>2</w:t>
      </w:r>
      <w:r>
        <w:t>C electrocatalyst. At the industrial‐level current density of 1 A cm</w:t>
      </w:r>
      <w:r>
        <w:t xml:space="preserve"> </w:t>
      </w:r>
      <w:r>
        <w:t>−2</w:t>
      </w:r>
      <w:r>
        <w:t xml:space="preserve"> </w:t>
      </w:r>
      <w:r>
        <w:t>, the oxygen‐doped Mo</w:t>
      </w:r>
      <w:r>
        <w:rPr>
          <w:vertAlign w:val="subscript"/>
        </w:rPr>
        <w:t>2</w:t>
      </w:r>
      <w:r>
        <w:t>C electrocatalyst demonstrates exceptional performance with a low overpotential of 312 mV. Moreover, it exhibits remarkable stability, maintaining consistent hydrogen production for 200 h (&amp;gt;8 days) in 0.5 M H</w:t>
      </w:r>
      <w:r>
        <w:rPr>
          <w:vertAlign w:val="subscript"/>
        </w:rPr>
        <w:t>2</w:t>
      </w:r>
      <w:r>
        <w:t>SO</w:t>
      </w:r>
      <w:r>
        <w:rPr>
          <w:vertAlign w:val="subscript"/>
        </w:rPr>
        <w:t>4</w:t>
      </w:r>
      <w:r>
        <w:t>, potentially outperforming most non‐noble metal electrocatalysts. This work highlights a new method to synthesize high‐performance transition metal carbide catalysts with a tunable electronic structure to enhance HER performance.</w:t>
      </w:r>
    </w:p>
    <w:p>
      <w:pPr>
        <w:spacing w:before="120" w:after="120"/>
      </w:pPr>
      <w:r>
        <w:rPr>
          <w:sz w:val="18"/>
        </w:rPr>
        <w:t>——————————————————————————————————————————————————————————————————————</w:t>
      </w:r>
    </w:p>
    <w:p>
      <w:pPr>
        <w:spacing w:before="160" w:after="80" w:line="240" w:lineRule="auto"/>
      </w:pPr>
      <w:r>
        <w:rPr>
          <w:b/>
        </w:rPr>
        <w:t xml:space="preserve">[646] </w:t>
      </w:r>
      <w:hyperlink r:id="rId1163">
        <w:r>
          <w:rPr>
            <w:color w:val="1155CC"/>
            <w:u w:val="single"/>
          </w:rPr>
          <w:t>Constructing 0D Bismuth‐Metal Nanosphere Networks on 1D/2D Bi2WO6 Heteromorphic Junctions for Efficient Photocatalytic Degradation of Acetaldehyde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64">
        <w:r>
          <w:rPr>
            <w:color w:val="1155CC"/>
            <w:u w:val="single"/>
          </w:rPr>
          <w:t>10.1002/adma.202513684</w:t>
        </w:r>
      </w:hyperlink>
    </w:p>
    <w:p>
      <w:pPr>
        <w:spacing w:before="0" w:after="120"/>
      </w:pPr>
      <w:r>
        <w:rPr>
          <w:b/>
        </w:rPr>
        <w:t xml:space="preserve">Notes: </w:t>
      </w:r>
      <w:r>
        <w:t>abstract_source=crossref</w:t>
      </w:r>
    </w:p>
    <w:p>
      <w:pPr>
        <w:spacing w:before="0" w:after="200" w:lineRule="auto" w:line="276"/>
      </w:pPr>
      <w:r>
        <w:rPr>
          <w:b/>
        </w:rPr>
        <w:t xml:space="preserve">Abstract: </w:t>
      </w:r>
      <w:r>
        <w:t>Semiconductor photocatalysis holds great potential for the degradation of volatile organic compounds (VOCs), yet photocatalysts often experience low efficiency due to insufficient surface catalytic active sites, limited light absorption, and poor carrier separation efficiency. Inspired by the structure of Eucalyptus trees, a selective reduction strategy is proposed to grow bismuth nanosphere networks on 1D/2D Bi</w:t>
      </w:r>
      <w:r>
        <w:rPr>
          <w:vertAlign w:val="subscript"/>
        </w:rPr>
        <w:t>2</w:t>
      </w:r>
      <w:r>
        <w:t>WO</w:t>
      </w:r>
      <w:r>
        <w:rPr>
          <w:vertAlign w:val="subscript"/>
        </w:rPr>
        <w:t>6</w:t>
      </w:r>
      <w:r>
        <w:t>(BWO) heteromorphic junctions, which consist of interwoven mesoporous nanofibers (NFs) and nanosheets (NSs). This establishes a synergistic mechanism of “surface active sites‐intrinsic defects‐carrier separation.” Initially, the electrospun BWO precursor NFs are calcined in air, resulting in 2D NSs growing radially along the NFs in an ordered, spaced arrangement to form 1D/2D BWO structures. Subsequently, under H</w:t>
      </w:r>
      <w:r>
        <w:rPr>
          <w:vertAlign w:val="subscript"/>
        </w:rPr>
        <w:t>2</w:t>
      </w:r>
      <w:r>
        <w:t>/Ar reduction, Bi</w:t>
      </w:r>
      <w:r>
        <w:t xml:space="preserve"> </w:t>
      </w:r>
      <w:r>
        <w:t>3+</w:t>
      </w:r>
      <w:r>
        <w:t xml:space="preserve"> </w:t>
      </w:r>
      <w:r>
        <w:t>species are preferentially reduced to Bi⁰ along the NF axes and NS corners, forming a dynamically evolved metal‐defect regulatory system. The 0D/1D/2D Bi‐BWO photocatalyst can rapidly degrade 100% of acetaldehyde and exhibits superior stability over five cycles. Its degradation rate is 3.5 times faster than that of 1D/2D BWO and significantly surpasses traditional BWO. This work presents a novel perspective for designing photocatalysts to efficiently remove VOCs.</w:t>
      </w:r>
    </w:p>
    <w:p>
      <w:pPr>
        <w:spacing w:before="120" w:after="120"/>
      </w:pPr>
      <w:r>
        <w:rPr>
          <w:sz w:val="18"/>
        </w:rPr>
        <w:t>——————————————————————————————————————————————————————————————————————</w:t>
      </w:r>
    </w:p>
    <w:p>
      <w:pPr>
        <w:spacing w:before="160" w:after="80" w:line="240" w:lineRule="auto"/>
      </w:pPr>
      <w:r>
        <w:rPr>
          <w:b/>
        </w:rPr>
        <w:t xml:space="preserve">[647] </w:t>
      </w:r>
      <w:hyperlink r:id="rId1165">
        <w:r>
          <w:rPr>
            <w:color w:val="1155CC"/>
            <w:u w:val="single"/>
          </w:rPr>
          <w:t>Tailoring Advanced Metal‐Based Nanomedicines for Adaptable Nanodynamic Disease Therapies and Theranostics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66">
        <w:r>
          <w:rPr>
            <w:color w:val="1155CC"/>
            <w:u w:val="single"/>
          </w:rPr>
          <w:t>10.1002/adma.202513609</w:t>
        </w:r>
      </w:hyperlink>
    </w:p>
    <w:p>
      <w:pPr>
        <w:spacing w:before="0" w:after="120"/>
      </w:pPr>
      <w:r>
        <w:rPr>
          <w:b/>
        </w:rPr>
        <w:t xml:space="preserve">Notes: </w:t>
      </w:r>
      <w:r>
        <w:t>abstract_source=crossref</w:t>
      </w:r>
    </w:p>
    <w:p>
      <w:pPr>
        <w:spacing w:before="0" w:after="200" w:lineRule="auto" w:line="276"/>
      </w:pPr>
      <w:r>
        <w:rPr>
          <w:b/>
        </w:rPr>
        <w:t xml:space="preserve">Abstract: </w:t>
      </w:r>
      <w:r>
        <w:t>Advanced metal‐based nanomaterials (MBNs) represent a dynamic frontier in nanomedicine, offering a versatile platform for next‐generation diagnostics and therapeutics. Their tunable structures and catalytic, optical, and magnetic properties enable diverse nanodynamic therapies (NDTs), including photodynamic, chemodynamic, sonodynamic, thermodynamic, piezoelectric, radiodynamic, and magnetodynamic modalities. In addition to the well‐established tumor ablation, MBNs also feature potent antimicrobial and antiviral activity, functioning via reactive oxygen species generation, immune modulation, and biofilm disruption. Recent developments in metal–organic frameworks, metal–phenolic networks, and 2D metal nanosheets have expanded the toolkit for precision drug delivery, imaging‐guided therapy, and bioresponsive release strategies. This comprehensive review highlights the structural design principles, therapeutic mechanisms, and versatile biomedical applications of emerging MBN platforms, emphasizing synergistic treatment strategies and their role in overcoming hypoxia, multidrug resistance, and immunosuppression. Despite their promise, clinical translation remains hindered by unresolved issues in long‐term biosafety, biodegradation, and scalable manufacturing. Future efforts are expected to focus on tailoring intelligent nanostructures with optimized pharmacokinetics, integrating multimodal imaging with real‐time therapeutic feedback, and ensuring regulatory compliance. Continued innovation at the interface of materials science, biology, and medicine will be essential for transforming MBN‐based systems into clinically viable tools for oncology, infectious disease control, and personalized medicine.</w:t>
      </w:r>
    </w:p>
    <w:p>
      <w:pPr>
        <w:spacing w:before="120" w:after="120"/>
      </w:pPr>
      <w:r>
        <w:rPr>
          <w:sz w:val="18"/>
        </w:rPr>
        <w:t>——————————————————————————————————————————————————————————————————————</w:t>
      </w:r>
    </w:p>
    <w:p>
      <w:pPr>
        <w:spacing w:before="160" w:after="80" w:line="240" w:lineRule="auto"/>
      </w:pPr>
      <w:r>
        <w:rPr>
          <w:b/>
        </w:rPr>
        <w:t xml:space="preserve">[648] </w:t>
      </w:r>
      <w:hyperlink r:id="rId1167">
        <w:r>
          <w:rPr>
            <w:color w:val="1155CC"/>
            <w:u w:val="single"/>
          </w:rPr>
          <w:t>Correction to “Large‐Area Metal–Organic Framework Glasses for Efficient X‐Ray Detection”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68">
        <w:r>
          <w:rPr>
            <w:color w:val="1155CC"/>
            <w:u w:val="single"/>
          </w:rPr>
          <w:t>10.1002/adma.202516069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[649] </w:t>
      </w:r>
      <w:hyperlink r:id="rId1169">
        <w:r>
          <w:rPr>
            <w:color w:val="1155CC"/>
            <w:u w:val="single"/>
          </w:rPr>
          <w:t>Pre‐Anchored Ionic Bond Mediators Enabling Controllable Monolayer Assembly for High‐Performance Perovskite Solar Cells and Modules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70">
        <w:r>
          <w:rPr>
            <w:color w:val="1155CC"/>
            <w:u w:val="single"/>
          </w:rPr>
          <w:t>10.1002/adma.202513600</w:t>
        </w:r>
      </w:hyperlink>
    </w:p>
    <w:p>
      <w:pPr>
        <w:spacing w:before="0" w:after="120"/>
      </w:pPr>
      <w:r>
        <w:rPr>
          <w:b/>
        </w:rPr>
        <w:t xml:space="preserve">Notes: </w:t>
      </w:r>
      <w:r>
        <w:t>abstract_source=crossref</w:t>
      </w:r>
    </w:p>
    <w:p>
      <w:pPr>
        <w:spacing w:before="0" w:after="200" w:lineRule="auto" w:line="276"/>
      </w:pPr>
      <w:r>
        <w:rPr>
          <w:b/>
        </w:rPr>
        <w:t xml:space="preserve">Abstract: </w:t>
      </w:r>
      <w:r>
        <w:t>Self‐assembled monolayer (SAM) has emerged as an indispensable hole‐selective contact for high‐efficiency perovskite solar cells (PSCs). However, the formation of dense, uniform SAMs via wet deposition poses challenges due to two thermodynamically feasible yet competing processes: the self‐aggregation of SAM molecules and chemisorption‐driven substrate anchoring. Herein, a rapid and controllable strategy for SAM assembly is presented, enabled by pre‐adsorbed ionic bond mediators. The pre‐anchored arginine (Arg) molecules on nickel oxid (NiO</w:t>
      </w:r>
      <w:r>
        <w:t xml:space="preserve"> </w:t>
      </w:r>
      <w:r>
        <w:t>x</w:t>
      </w:r>
      <w:r>
        <w:t xml:space="preserve"> </w:t>
      </w:r>
      <w:r>
        <w:t>) can weaken the amphiphilic nature of SAM molecules through ionic bond interaction, while also acting as steric barriers, thereby suppressing the self‐aggregation of SAM molecules. This strategy is compatible with both spin‐coating and blade‐coating techniques, enabling rapid and controllable assembly of high‐quality SAM of [4‐(3,6‐dimethyl‐9H‐carbazol‐9‐yl) butyl] phosphonic acid. Moreover, the polar guanidinium tail of Arg passivates defects at the buried perovskite interface while strengthening interfacial coupling with the perovskite layer–enhancing both mechanical stability and electrical contact. Benefiting from these synergistic effects, the PSCs achieve high PCEs of up to 26.67% and 21.05% for small‐area devices (active area: 0.049 cm</w:t>
      </w:r>
      <w:r>
        <w:rPr>
          <w:vertAlign w:val="subscript"/>
        </w:rPr>
        <w:t>2</w:t>
      </w:r>
      <w:r>
        <w:t>) and large‐area modules (active area: 64.68 cm</w:t>
      </w:r>
      <w:r>
        <w:rPr>
          <w:vertAlign w:val="subscript"/>
        </w:rPr>
        <w:t>2</w:t>
      </w:r>
      <w:r>
        <w:t>), respectively. Notably, the devices exhibit exceptional operational stability, retaining 93% of their initial PCE after 1700 h of maximum power point tracking under the ISOS‐L‐2 protocol.</w:t>
      </w:r>
    </w:p>
    <w:p>
      <w:pPr>
        <w:spacing w:before="120" w:after="120"/>
      </w:pPr>
      <w:r>
        <w:rPr>
          <w:sz w:val="18"/>
        </w:rPr>
        <w:t>——————————————————————————————————————————————————————————————————————</w:t>
      </w:r>
    </w:p>
    <w:p>
      <w:pPr>
        <w:spacing w:before="160" w:after="80" w:line="240" w:lineRule="auto"/>
      </w:pPr>
      <w:r>
        <w:rPr>
          <w:b/>
        </w:rPr>
        <w:t xml:space="preserve">[650] </w:t>
      </w:r>
      <w:hyperlink r:id="rId1171">
        <w:r>
          <w:rPr>
            <w:color w:val="1155CC"/>
            <w:u w:val="single"/>
          </w:rPr>
          <w:t>Dynamic Protective Multi‐Layers for MnO2 Cathodes: Ion Sorting and Structural Protection for Superior Zinc‐Ion Battery Cycling Performance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72">
        <w:r>
          <w:rPr>
            <w:color w:val="1155CC"/>
            <w:u w:val="single"/>
          </w:rPr>
          <w:t>10.1002/adma.202513548</w:t>
        </w:r>
      </w:hyperlink>
    </w:p>
    <w:p>
      <w:pPr>
        <w:spacing w:before="0" w:after="120"/>
      </w:pPr>
      <w:r>
        <w:rPr>
          <w:b/>
        </w:rPr>
        <w:t xml:space="preserve">Notes: </w:t>
      </w:r>
      <w:r>
        <w:t>abstract_source=crossref</w:t>
      </w:r>
    </w:p>
    <w:p>
      <w:pPr>
        <w:spacing w:before="0" w:after="200" w:lineRule="auto" w:line="276"/>
      </w:pPr>
      <w:r>
        <w:rPr>
          <w:b/>
        </w:rPr>
        <w:t xml:space="preserve">Abstract: </w:t>
      </w:r>
      <w:r>
        <w:t>Aqueous zinc metal batteries (AZMBs) are characterized by high safety, low cost, and eco‐friendliness, among which manganese‐based cathodes stand out due to their abundance and high theoretical capacity. However, failure behaviors such as lattice collapse, Mn dissolution, and sluggish kinetics hinder their application. Herein, a dynamic multi‐protective interface has been designed through a simple one‐step manufacturing process, emulating the structural and functional attributes of biological membranes and cell walls. It comprises three distinct layers: an outer high‐valent oxide layer that enhances chemical stability and selectively facilitates proton intercalation while governing the intercalation of Zn</w:t>
      </w:r>
      <w:r>
        <w:t xml:space="preserve"> </w:t>
      </w:r>
      <w:r>
        <w:t>2+</w:t>
      </w:r>
      <w:r>
        <w:t xml:space="preserve"> </w:t>
      </w:r>
      <w:r>
        <w:t>; a middle low‐valent oxide and metal composite layer, which functions as a buffer to selectively adsorb Mn</w:t>
      </w:r>
      <w:r>
        <w:t xml:space="preserve"> </w:t>
      </w:r>
      <w:r>
        <w:t>2+</w:t>
      </w:r>
      <w:r>
        <w:t xml:space="preserve"> </w:t>
      </w:r>
      <w:r>
        <w:t>, thereby inhibiting Mn dissolution and augmenting the chemical stability of the cathode; and an inner heterojunction layer, which boosts conductivity and alleviates Jahn–Teller distortion through lattice distortion and entropy‐mediated electronic delocalization. The surface modified cathode exhibits outstanding stability, with nearly zero capacity decay observed over 300 cycles at a low current density of 0.4 A g</w:t>
      </w:r>
      <w:r>
        <w:t xml:space="preserve"> </w:t>
      </w:r>
      <w:r>
        <w:t>−1</w:t>
      </w:r>
      <w:r>
        <w:t xml:space="preserve"> </w:t>
      </w:r>
      <w:r>
        <w:t>, and 15 000 cycles under a high current of 10 A g</w:t>
      </w:r>
      <w:r>
        <w:t xml:space="preserve"> </w:t>
      </w:r>
      <w:r>
        <w:t>−1</w:t>
      </w:r>
      <w:r>
        <w:t xml:space="preserve"> </w:t>
      </w:r>
      <w:r>
        <w:t>. With significantly enhanced cycling stability, rate capability, and electrochemical reversibility, this strategy presents a promising solution for high‐performance MnO</w:t>
      </w:r>
      <w:r>
        <w:rPr>
          <w:vertAlign w:val="subscript"/>
        </w:rPr>
        <w:t>2</w:t>
      </w:r>
      <w:r>
        <w:t>‐based cathodes in AZMBs.</w:t>
      </w:r>
    </w:p>
    <w:p>
      <w:pPr>
        <w:spacing w:before="120" w:after="120"/>
      </w:pPr>
      <w:r>
        <w:rPr>
          <w:sz w:val="18"/>
        </w:rPr>
        <w:t>——————————————————————————————————————————————————————————————————————</w:t>
      </w:r>
    </w:p>
    <w:p>
      <w:pPr>
        <w:spacing w:before="160" w:after="80" w:line="240" w:lineRule="auto"/>
      </w:pPr>
      <w:r>
        <w:rPr>
          <w:b/>
        </w:rPr>
        <w:t xml:space="preserve">[651] </w:t>
      </w:r>
      <w:hyperlink r:id="rId1173">
        <w:r>
          <w:rPr>
            <w:color w:val="1155CC"/>
            <w:u w:val="single"/>
          </w:rPr>
          <w:t>Adaptive Localized Ectopic Structure Enhances Regeneration of Spent Lithium‐Ion Battery Cathodes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74">
        <w:r>
          <w:rPr>
            <w:color w:val="1155CC"/>
            <w:u w:val="single"/>
          </w:rPr>
          <w:t>10.1002/adma.202513547</w:t>
        </w:r>
      </w:hyperlink>
    </w:p>
    <w:p>
      <w:pPr>
        <w:spacing w:before="0" w:after="120"/>
      </w:pPr>
      <w:r>
        <w:rPr>
          <w:b/>
        </w:rPr>
        <w:t xml:space="preserve">Notes: </w:t>
      </w:r>
      <w:r>
        <w:t>abstract_source=crossref</w:t>
      </w:r>
    </w:p>
    <w:p>
      <w:pPr>
        <w:spacing w:before="0" w:after="200" w:lineRule="auto" w:line="276"/>
      </w:pPr>
      <w:r>
        <w:rPr>
          <w:b/>
        </w:rPr>
        <w:t xml:space="preserve">Abstract: </w:t>
      </w:r>
      <w:r>
        <w:t>Direct regeneration has emerged as a budding strategy for recycling spent lithium‐ion batteries, yet restoring the degraded crystal structure of the cathode remains a momentous handicap. Here, a novel deep eutectic solvent rich in lithium (Li) is developed that not only induces the formation of an adaptive local ectopic structure (ALES) characterized by disordered and localized cations, but also facilitates the separation of cathode sheets and replenishes depleted elements. Within ALES, ectopic cobalt (Co) sites boost Li</w:t>
      </w:r>
      <w:r>
        <w:t xml:space="preserve"> </w:t>
      </w:r>
      <w:r>
        <w:t>+</w:t>
      </w:r>
      <w:r>
        <w:t xml:space="preserve"> </w:t>
      </w:r>
      <w:r>
        <w:t>diffusion by expanding the Li slab and forming octahedral coordination with low‐spin Co</w:t>
      </w:r>
      <w:r>
        <w:t xml:space="preserve"> </w:t>
      </w:r>
      <w:r>
        <w:t>3+</w:t>
      </w:r>
      <w:r>
        <w:t xml:space="preserve"> </w:t>
      </w:r>
      <w:r>
        <w:t>, while ectopic Li modulates Co─O interactions, collaboratively impeding long‐range structural disorder, mitigating lattice stress, and reducing charge density fluctuations. The synergistic interaction between the ectopic Co and Li enables in situ structural repair of spent lithium cobalt oxide (LCO), thereby restoring crystallinity and enhancing electrochemical performance. The regenerated LCO delivers a reversible capacity of 183.08 mAh g</w:t>
      </w:r>
      <w:r>
        <w:t xml:space="preserve"> </w:t>
      </w:r>
      <w:r>
        <w:t>−1</w:t>
      </w:r>
      <w:r>
        <w:t xml:space="preserve"> </w:t>
      </w:r>
      <w:r>
        <w:t>at 0.2 C, with 87.01% capacity retention after 200 cycles at 0.5 C, outperforming commercial counterparts. This study offers a new pathway for addressing an urgent bottleneck in structure‐targeted LIB regeneration.</w:t>
      </w:r>
    </w:p>
    <w:p>
      <w:pPr>
        <w:spacing w:before="120" w:after="120"/>
      </w:pPr>
      <w:r>
        <w:rPr>
          <w:sz w:val="18"/>
        </w:rPr>
        <w:t>——————————————————————————————————————————————————————————————————————</w:t>
      </w:r>
    </w:p>
    <w:p>
      <w:pPr>
        <w:spacing w:before="160" w:after="80" w:line="240" w:lineRule="auto"/>
      </w:pPr>
      <w:r>
        <w:rPr>
          <w:b/>
        </w:rPr>
        <w:t xml:space="preserve">[652] </w:t>
      </w:r>
      <w:hyperlink r:id="rId1175">
        <w:r>
          <w:rPr>
            <w:color w:val="1155CC"/>
            <w:u w:val="single"/>
          </w:rPr>
          <w:t>Intensifying D‐Orbitals Energy Level Splitting of Local Co Atoms in CoO Lattice for Accelerated Iodine Redox Kinetics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76">
        <w:r>
          <w:rPr>
            <w:color w:val="1155CC"/>
            <w:u w:val="single"/>
          </w:rPr>
          <w:t>10.1002/adma.202513526</w:t>
        </w:r>
      </w:hyperlink>
    </w:p>
    <w:p>
      <w:pPr>
        <w:spacing w:before="0" w:after="120"/>
      </w:pPr>
      <w:r>
        <w:rPr>
          <w:b/>
        </w:rPr>
        <w:t xml:space="preserve">Notes: </w:t>
      </w:r>
      <w:r>
        <w:t>abstract_source=crossref</w:t>
      </w:r>
    </w:p>
    <w:p>
      <w:pPr>
        <w:spacing w:before="0" w:after="200" w:lineRule="auto" w:line="276"/>
      </w:pPr>
      <w:r>
        <w:rPr>
          <w:b/>
        </w:rPr>
        <w:t xml:space="preserve">Abstract: </w:t>
      </w:r>
      <w:r>
        <w:t>Modulating the electronic structure of catalysts to maximize their power holds the key to address the challenges faced by zinc‐iodine batteries (ZIBs), including the shuttle effect and slow redox kinetics at the iodine cathode. Herein, oxygen vacancies is innovatively introduced into CoO lattice to create high‐spin‐state Co active sites in nonstoichiometric CoO</w:t>
      </w:r>
      <w:r>
        <w:t xml:space="preserve"> </w:t>
      </w:r>
      <w:r>
        <w:t>1₋x</w:t>
      </w:r>
      <w:r>
        <w:t xml:space="preserve"> </w:t>
      </w:r>
      <w:r>
        <w:t>nanocrystals supported by carbon nanofibers (H‐CoO</w:t>
      </w:r>
      <w:r>
        <w:t xml:space="preserve"> </w:t>
      </w:r>
      <w:r>
        <w:t>1₋x</w:t>
      </w:r>
      <w:r>
        <w:t xml:space="preserve"> </w:t>
      </w:r>
      <w:r>
        <w:t>/CNFs). This simple strategy intensifies crystal field splitting of Co 3d orbitals, optimizing the spin‐orbital coupling between Co 3d orbitals and iodine species. The resulting enhanced availability of more unpaired electrons in non‐degenerate e</w:t>
      </w:r>
      <w:r>
        <w:t xml:space="preserve"> </w:t>
      </w:r>
      <w:r>
        <w:t>g</w:t>
      </w:r>
      <w:r>
        <w:t xml:space="preserve"> </w:t>
      </w:r>
      <w:r>
        <w:t>orbitals facilitates faster electron donation/acceptance during iodine redox reactions, thus improved reaction kinetics. Therefore, the assembled ZIBs employing H‐CoO</w:t>
      </w:r>
      <w:r>
        <w:t xml:space="preserve"> </w:t>
      </w:r>
      <w:r>
        <w:t>1₋x</w:t>
      </w:r>
      <w:r>
        <w:t xml:space="preserve"> </w:t>
      </w:r>
      <w:r>
        <w:t>/CNFs/I</w:t>
      </w:r>
      <w:r>
        <w:rPr>
          <w:vertAlign w:val="subscript"/>
        </w:rPr>
        <w:t>2</w:t>
      </w:r>
      <w:r>
        <w:t>cathode acquires a narrower overpotential gap (37 mV), higher initial capacity (203.0 mAh g</w:t>
      </w:r>
      <w:r>
        <w:t xml:space="preserve"> </w:t>
      </w:r>
      <w:r>
        <w:t>‒1</w:t>
      </w:r>
      <w:r>
        <w:t xml:space="preserve"> </w:t>
      </w:r>
      <w:r>
        <w:t>), and better cycling stability (96.0% capacity retention after 2200 cycles at 0.5 A g</w:t>
      </w:r>
      <w:r>
        <w:t xml:space="preserve"> </w:t>
      </w:r>
      <w:r>
        <w:t>‒1</w:t>
      </w:r>
      <w:r>
        <w:t xml:space="preserve"> </w:t>
      </w:r>
      <w:r>
        <w:t>) compared to the CoO/CNFs/I</w:t>
      </w:r>
      <w:r>
        <w:rPr>
          <w:vertAlign w:val="subscript"/>
        </w:rPr>
        <w:t>2</w:t>
      </w:r>
      <w:r>
        <w:t>cathode without experiencing defect engineering (109 mV/192.6 mAh g</w:t>
      </w:r>
      <w:r>
        <w:t xml:space="preserve"> </w:t>
      </w:r>
      <w:r>
        <w:t>‒1</w:t>
      </w:r>
      <w:r>
        <w:t xml:space="preserve"> </w:t>
      </w:r>
      <w:r>
        <w:t>/74.7% after 1000 cycles). This work opens new avenues for maximizing the potential power of cathode host catalysts, making immediate contributions to the advancement of aqueous halogen batteries.</w:t>
      </w:r>
    </w:p>
    <w:p>
      <w:pPr>
        <w:spacing w:before="120" w:after="120"/>
      </w:pPr>
      <w:r>
        <w:rPr>
          <w:sz w:val="18"/>
        </w:rPr>
        <w:t>——————————————————————————————————————————————————————————————————————</w:t>
      </w:r>
    </w:p>
    <w:p>
      <w:pPr>
        <w:spacing w:before="160" w:after="80" w:line="240" w:lineRule="auto"/>
      </w:pPr>
      <w:r>
        <w:rPr>
          <w:b/>
        </w:rPr>
        <w:t xml:space="preserve">[653] </w:t>
      </w:r>
      <w:hyperlink r:id="rId1177">
        <w:r>
          <w:rPr>
            <w:color w:val="1155CC"/>
            <w:u w:val="single"/>
          </w:rPr>
          <w:t>Covalent Organic Framework and Carbon Nitride Composite for Scalable Solar Reforming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78">
        <w:r>
          <w:rPr>
            <w:color w:val="1155CC"/>
            <w:u w:val="single"/>
          </w:rPr>
          <w:t>10.1002/adma.202513457</w:t>
        </w:r>
      </w:hyperlink>
    </w:p>
    <w:p>
      <w:pPr>
        <w:spacing w:before="0" w:after="120"/>
      </w:pPr>
      <w:r>
        <w:rPr>
          <w:b/>
        </w:rPr>
        <w:t xml:space="preserve">Notes: </w:t>
      </w:r>
      <w:r>
        <w:t>abstract_source=crossref</w:t>
      </w:r>
    </w:p>
    <w:p>
      <w:pPr>
        <w:spacing w:before="0" w:after="200" w:lineRule="auto" w:line="276"/>
      </w:pPr>
      <w:r>
        <w:rPr>
          <w:b/>
        </w:rPr>
        <w:t xml:space="preserve">Abstract: </w:t>
      </w:r>
      <w:r>
        <w:t>Solar reforming uses sunlight to valorize waste and offers a promising route to circular chemistry, but most current systems operate under corrosive conditions, lack scalability and processability, or suffer from poor selectivity in oxidative waste valorization. Here, a modular composite photocatalyst, comprising a crystalline covalent organic framework (COF), cyanamide‐functionalized carbon nitride (CN</w:t>
      </w:r>
      <w:r>
        <w:t xml:space="preserve"> </w:t>
      </w:r>
      <w:r>
        <w:t>x</w:t>
      </w:r>
      <w:r>
        <w:t xml:space="preserve"> </w:t>
      </w:r>
      <w:r>
        <w:t>), indium tin oxide (ITO), and a nickel‐based molecular catalyst (NiME), capable of driving selective waste valorization and H</w:t>
      </w:r>
      <w:r>
        <w:rPr>
          <w:vertAlign w:val="subscript"/>
        </w:rPr>
        <w:t>2</w:t>
      </w:r>
      <w:r>
        <w:t>generation using visible light under pH neutral aqueous conditions is reported. The porous structure of the COF provides nanoconfinement, thereby supporting the targeted oxidation of polyols and sugars into formate (HCOO</w:t>
      </w:r>
      <w:r>
        <w:t xml:space="preserve"> </w:t>
      </w:r>
      <w:r>
        <w:t>−</w:t>
      </w:r>
      <w:r>
        <w:t>), while carbon nitride in the presence of the molecular catalyst facilitates H</w:t>
      </w:r>
      <w:r>
        <w:rPr>
          <w:vertAlign w:val="subscript"/>
        </w:rPr>
        <w:t>2</w:t>
      </w:r>
      <w:r>
        <w:t>evolution. ITO functions as a solid‐state electron mediator, enabling coupled oxidative and reductive processes for the concurrent solar‐driven production of H</w:t>
      </w:r>
      <w:r>
        <w:rPr>
          <w:vertAlign w:val="subscript"/>
        </w:rPr>
        <w:t>2</w:t>
      </w:r>
      <w:r>
        <w:t>and HCOO</w:t>
      </w:r>
      <w:r>
        <w:t xml:space="preserve"> </w:t>
      </w:r>
      <w:r>
        <w:t>−</w:t>
      </w:r>
      <w:r>
        <w:t>. The high processability of the COF|ITO|CN</w:t>
      </w:r>
      <w:r>
        <w:t xml:space="preserve"> </w:t>
      </w:r>
      <w:r>
        <w:t>x</w:t>
      </w:r>
      <w:r>
        <w:t xml:space="preserve"> </w:t>
      </w:r>
      <w:r>
        <w:t>|NiME composite allows for the construction of a standalone photoleaf and photopanel, which have been integrated into a single‐window and a scalable multi‐window reactor, respectively. Continuous operability over seven days, along with testing under outdoor conditions with pretreated plastic under direct sunlight, offers a pathway toward practical and scalable solar reforming using structurally tunable organic semiconductor composites.</w:t>
      </w:r>
    </w:p>
    <w:p>
      <w:pPr>
        <w:spacing w:before="120" w:after="120"/>
      </w:pPr>
      <w:r>
        <w:rPr>
          <w:sz w:val="18"/>
        </w:rPr>
        <w:t>——————————————————————————————————————————————————————————————————————</w:t>
      </w:r>
    </w:p>
    <w:p>
      <w:pPr>
        <w:spacing w:before="160" w:after="80" w:line="240" w:lineRule="auto"/>
      </w:pPr>
      <w:r>
        <w:rPr>
          <w:b/>
        </w:rPr>
        <w:t xml:space="preserve">[654] </w:t>
      </w:r>
      <w:hyperlink r:id="rId1179">
        <w:r>
          <w:rPr>
            <w:color w:val="1155CC"/>
            <w:u w:val="single"/>
          </w:rPr>
          <w:t>A Trilayer Nanofluidic Ionic Diode for High‐Performance Moisture‐Enabled Energy Harvesting and Ionic Logic Operations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80">
        <w:r>
          <w:rPr>
            <w:color w:val="1155CC"/>
            <w:u w:val="single"/>
          </w:rPr>
          <w:t>10.1002/adma.202513405</w:t>
        </w:r>
      </w:hyperlink>
    </w:p>
    <w:p>
      <w:pPr>
        <w:spacing w:before="0" w:after="120"/>
      </w:pPr>
      <w:r>
        <w:rPr>
          <w:b/>
        </w:rPr>
        <w:t xml:space="preserve">Notes: </w:t>
      </w:r>
      <w:r>
        <w:t>abstract_source=crossref</w:t>
      </w:r>
    </w:p>
    <w:p>
      <w:pPr>
        <w:spacing w:before="0" w:after="200" w:lineRule="auto" w:line="276"/>
      </w:pPr>
      <w:r>
        <w:rPr>
          <w:b/>
        </w:rPr>
        <w:t xml:space="preserve">Abstract: </w:t>
      </w:r>
      <w:r>
        <w:t>Nanofluidic ionic diodes enable directional ion transport through confined nanochannels, holding great promise for energy harvesting and iontronic applications. However, their development in moisture‐enabled power generation remains limited by insufficient carrier generation and unstable device performance. Here, a trilayer nanofluidic ionic diode‐based moist‐electric generator is reported, integrating positively charged fabrics, lithium chloride‐doped neutral fabrics, and negatively charged fabrics into a</w:t>
      </w:r>
      <w:r>
        <w:t xml:space="preserve"> </w:t>
      </w:r>
      <w:r>
        <w:t>p‐i‐n</w:t>
      </w:r>
      <w:r>
        <w:t xml:space="preserve"> </w:t>
      </w:r>
      <w:r>
        <w:t>configuration. The hygroscopic neutral layer promotes efficient moisture absorption and ion dissociation, while the adjacent charged layers, featuring nanochannels formed by graphene oxides, establish a built‐in electric field to rectify cation and anion fluxes. This unique structural and functional synergy enables continuous carrier generation and directional transport, achieving both a remarkable voltage of ≈1.38 V and a current of ≈35 µA cm</w:t>
      </w:r>
      <w:r>
        <w:t xml:space="preserve"> </w:t>
      </w:r>
      <w:r>
        <w:t>−2</w:t>
      </w:r>
      <w:r>
        <w:t xml:space="preserve"> </w:t>
      </w:r>
      <w:r>
        <w:t>and further exhibiting a peak voltage of ≈1.6 V with stable operation for over 600 h by employing active metal electrodes. Beyond energy harvesting, the diode‐like rectification allows implementation of ionic logic gates and foldable configurations for powering portable electronics. This work establishes a versatile platform for high‐performance nanofluidic diode‐based devices, bridging sustainable power generation with emerging iontronic systems.</w:t>
      </w:r>
    </w:p>
    <w:p>
      <w:pPr>
        <w:spacing w:before="120" w:after="120"/>
      </w:pPr>
      <w:r>
        <w:rPr>
          <w:sz w:val="18"/>
        </w:rPr>
        <w:t>——————————————————————————————————————————————————————————————————————</w:t>
      </w:r>
    </w:p>
    <w:p>
      <w:pPr>
        <w:spacing w:before="160" w:after="80" w:line="240" w:lineRule="auto"/>
      </w:pPr>
      <w:r>
        <w:rPr>
          <w:b/>
        </w:rPr>
        <w:t xml:space="preserve">[655] </w:t>
      </w:r>
      <w:hyperlink r:id="rId1181">
        <w:r>
          <w:rPr>
            <w:color w:val="1155CC"/>
            <w:u w:val="single"/>
          </w:rPr>
          <w:t>Potential‐Gated Polymer Integrates Reversible Ion Transport and Storage for solid‐state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82">
        <w:r>
          <w:rPr>
            <w:color w:val="1155CC"/>
            <w:u w:val="single"/>
          </w:rPr>
          <w:t>10.1002/adma.202513365</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practical solid‐state batteries is hindered by their high interfacial resistance and sluggish diffusion properties, primarily due to the heterogeneous interfaces between the solid electrolyte and the electrode. Here, an all‐in‐one polymer electrode‐electrolyte material (P(EO</w:t>
      </w:r>
      <w:r>
        <w:rPr>
          <w:vertAlign w:val="subscript"/>
        </w:rPr>
        <w:t>2</w:t>
      </w:r>
      <w:r>
        <w:t>‐S</w:t>
      </w:r>
      <w:r>
        <w:rPr>
          <w:vertAlign w:val="subscript"/>
        </w:rPr>
        <w:t>3</w:t>
      </w:r>
      <w:r>
        <w:t>)) is presented, which covalently integrates ethylene oxide groups for Li</w:t>
      </w:r>
      <w:r>
        <w:t xml:space="preserve"> </w:t>
      </w:r>
      <w:r>
        <w:t>+</w:t>
      </w:r>
      <w:r>
        <w:t xml:space="preserve"> </w:t>
      </w:r>
      <w:r>
        <w:t>transport and trisulfide linkages for redox‐active sites. This material exhibits favorable ionic conductivity as a solid electrolyte, while its reversible redox activity activates below 2.5 V versus Li⁺/Li, delivering a high reversible capacity of 491.7 mAh g</w:t>
      </w:r>
      <w:r>
        <w:t xml:space="preserve"> </w:t>
      </w:r>
      <w:r>
        <w:t>−1</w:t>
      </w:r>
      <w:r>
        <w:t xml:space="preserve"> </w:t>
      </w:r>
      <w:r>
        <w:t>. Leveraging P(EO</w:t>
      </w:r>
      <w:r>
        <w:rPr>
          <w:vertAlign w:val="subscript"/>
        </w:rPr>
        <w:t>2</w:t>
      </w:r>
      <w:r>
        <w:t>‐S</w:t>
      </w:r>
      <w:r>
        <w:rPr>
          <w:vertAlign w:val="subscript"/>
        </w:rPr>
        <w:t>3</w:t>
      </w:r>
      <w:r>
        <w:t>) as both cathode and electrolyte, integrated cells (P(EO</w:t>
      </w:r>
      <w:r>
        <w:rPr>
          <w:vertAlign w:val="subscript"/>
        </w:rPr>
        <w:t>2</w:t>
      </w:r>
      <w:r>
        <w:t>‐S</w:t>
      </w:r>
      <w:r>
        <w:rPr>
          <w:vertAlign w:val="subscript"/>
        </w:rPr>
        <w:t>3</w:t>
      </w:r>
      <w:r>
        <w:t>)@CP|P(EO</w:t>
      </w:r>
      <w:r>
        <w:rPr>
          <w:vertAlign w:val="subscript"/>
        </w:rPr>
        <w:t>2</w:t>
      </w:r>
      <w:r>
        <w:t>‐S</w:t>
      </w:r>
      <w:r>
        <w:rPr>
          <w:vertAlign w:val="subscript"/>
        </w:rPr>
        <w:t>3</w:t>
      </w:r>
      <w:r>
        <w:t>)|Li) exhibit accelerated electrochemical kinetics while maintaining cycling stability in flexible devices over 20 000 bending cycles. As a redox‐active catholyte of LiFePO</w:t>
      </w:r>
      <w:r>
        <w:rPr>
          <w:vertAlign w:val="subscript"/>
        </w:rPr>
        <w:t>4</w:t>
      </w:r>
      <w:r>
        <w:t>, P(EO</w:t>
      </w:r>
      <w:r>
        <w:rPr>
          <w:vertAlign w:val="subscript"/>
        </w:rPr>
        <w:t>2</w:t>
      </w:r>
      <w:r>
        <w:t>‐S</w:t>
      </w:r>
      <w:r>
        <w:rPr>
          <w:vertAlign w:val="subscript"/>
        </w:rPr>
        <w:t>3</w:t>
      </w:r>
      <w:r>
        <w:t>) increases the capacity of the composite cathode to 358.3 mAh g</w:t>
      </w:r>
      <w:r>
        <w:t xml:space="preserve"> </w:t>
      </w:r>
      <w:r>
        <w:t>−1</w:t>
      </w:r>
      <w:r>
        <w:t xml:space="preserve"> </w:t>
      </w:r>
      <w:r>
        <w:t>based on LiFePO</w:t>
      </w:r>
      <w:r>
        <w:rPr>
          <w:vertAlign w:val="subscript"/>
        </w:rPr>
        <w:t>4</w:t>
      </w:r>
      <w:r>
        <w:t>mass, achieving an electrode energy density of 585.9 Wh kg</w:t>
      </w:r>
      <w:r>
        <w:t xml:space="preserve"> </w:t>
      </w:r>
      <w:r>
        <w:t>−1</w:t>
      </w:r>
      <w:r>
        <w:t xml:space="preserve"> </w:t>
      </w:r>
      <w:r>
        <w:t>. This work establishes a new paradigm for multifunctional polymers that integrates ion transport and storage, offering a versatile platform for flexible, high‐energy solid‐state batteries.</w:t>
      </w:r>
    </w:p>
    <w:p>
      <w:pPr>
        <w:spacing w:before="120" w:after="120"/>
      </w:pPr>
      <w:r>
        <w:rPr>
          <w:sz w:val="18"/>
        </w:rPr>
        <w:t>——————————————————————————————————————————————————————————————————————</w:t>
      </w:r>
    </w:p>
    <w:p>
      <w:pPr>
        <w:spacing w:before="160" w:after="80" w:line="240" w:lineRule="auto"/>
      </w:pPr>
      <w:r>
        <w:rPr>
          <w:b/>
        </w:rPr>
        <w:t xml:space="preserve">[656] </w:t>
      </w:r>
      <w:hyperlink r:id="rId1183">
        <w:r>
          <w:rPr>
            <w:color w:val="1155CC"/>
            <w:u w:val="single"/>
          </w:rPr>
          <w:t>Crack‐Free Transfer of Wafer‐Scale Freestanding Single‐Crystalline Nanomembranes Enabled by Elastically Graded Polymer</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84">
        <w:r>
          <w:rPr>
            <w:color w:val="1155CC"/>
            <w:u w:val="single"/>
          </w:rPr>
          <w:t>10.1002/adma.202513080</w:t>
        </w:r>
      </w:hyperlink>
    </w:p>
    <w:p>
      <w:pPr>
        <w:spacing w:before="0" w:after="120"/>
      </w:pPr>
      <w:r>
        <w:rPr>
          <w:b/>
        </w:rPr>
        <w:t xml:space="preserve">Notes: </w:t>
      </w:r>
      <w:r>
        <w:t>abstract_source=crossref</w:t>
      </w:r>
    </w:p>
    <w:p>
      <w:pPr>
        <w:spacing w:before="0" w:after="200" w:lineRule="auto" w:line="276"/>
      </w:pPr>
      <w:r>
        <w:rPr>
          <w:b/>
        </w:rPr>
        <w:t xml:space="preserve">Abstract: </w:t>
      </w:r>
      <w:r>
        <w:t>Freestanding single‐crystalline nanomembranes have gained increasing attention as promising platforms for both fundamental research and advanced electronic applications. However, internal stress gradients arising from epitaxial strain within the oxide membranes often result in high crack density during fabrication, leading to unsatisfactory yield and limited reliability. Here, an elastically graded polymer (EGP) support that enables wafer‐scale crack‐free transfer of single‐crystalline oxide membranes are developed. The engineered elastic gradient within the EGP accommodates the internal strain of the oxide membrane, effectively minimizing crack formation during lift‐off. Notably, this ability to spatially control the interfacial stiffness between the polymer and the oxide film enables crack suppression under both tensile and compressive strain. This approach provides a robust and scalable route to producing high‐quality freestanding oxide membranes, paving the way not only for their integration into novel device architecture but also opening new avenues for scientific exploration of functional systems.</w:t>
      </w:r>
    </w:p>
    <w:p>
      <w:pPr>
        <w:spacing w:before="120" w:after="120"/>
      </w:pPr>
      <w:r>
        <w:rPr>
          <w:sz w:val="18"/>
        </w:rPr>
        <w:t>——————————————————————————————————————————————————————————————————————</w:t>
      </w:r>
    </w:p>
    <w:p>
      <w:pPr>
        <w:spacing w:before="160" w:after="80" w:line="240" w:lineRule="auto"/>
      </w:pPr>
      <w:r>
        <w:rPr>
          <w:b/>
        </w:rPr>
        <w:t xml:space="preserve">[657] </w:t>
      </w:r>
      <w:hyperlink r:id="rId1185">
        <w:r>
          <w:rPr>
            <w:color w:val="1155CC"/>
            <w:u w:val="single"/>
          </w:rPr>
          <w:t>From Molecules to Modules: Advanced Characterization of Membrane Systems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86">
        <w:r>
          <w:rPr>
            <w:color w:val="1155CC"/>
            <w:u w:val="single"/>
          </w:rPr>
          <w:t>10.1002/adma.202513056</w:t>
        </w:r>
      </w:hyperlink>
    </w:p>
    <w:p>
      <w:pPr>
        <w:spacing w:before="0" w:after="120"/>
      </w:pPr>
      <w:r>
        <w:rPr>
          <w:b/>
        </w:rPr>
        <w:t xml:space="preserve">Notes: </w:t>
      </w:r>
      <w:r>
        <w:t>abstract_source=crossref</w:t>
      </w:r>
    </w:p>
    <w:p>
      <w:pPr>
        <w:spacing w:before="0" w:after="200" w:lineRule="auto" w:line="276"/>
      </w:pPr>
      <w:r>
        <w:rPr>
          <w:b/>
        </w:rPr>
        <w:t xml:space="preserve">Abstract: </w:t>
      </w:r>
      <w:r>
        <w:t>Membrane technologies can enhance the efficiency and selectivity of chemical separations in energy‐water systems. Advanced characterization tools are critical for discerning separation mechanisms, revealing degradation processes, and designing novel materials and material systems for new and emerging challenges. The pursuit of next‐generation membranes for water and energy applications requires understanding phenomena at the molecular scale, mesoscale, and macroscale. This perspective highlights advanced characterization techniques for elucidating and enhancing membrane performance, while addressing fundamental trade‐offs involved in characterizing membranes under realistic conditions.</w:t>
      </w:r>
    </w:p>
    <w:p>
      <w:pPr>
        <w:spacing w:before="120" w:after="120"/>
      </w:pPr>
      <w:r>
        <w:rPr>
          <w:sz w:val="18"/>
        </w:rPr>
        <w:t>——————————————————————————————————————————————————————————————————————</w:t>
      </w:r>
    </w:p>
    <w:p>
      <w:pPr>
        <w:spacing w:before="160" w:after="80" w:line="240" w:lineRule="auto"/>
      </w:pPr>
      <w:r>
        <w:rPr>
          <w:b/>
        </w:rPr>
        <w:t xml:space="preserve">[658] </w:t>
      </w:r>
      <w:hyperlink r:id="rId1187">
        <w:r>
          <w:rPr>
            <w:color w:val="1155CC"/>
            <w:u w:val="single"/>
          </w:rPr>
          <w:t>Gbits/s‐Level Encrypted Spectral Wireless Communication Enabled by High‐Performance Flexible Organic Hyperspectrometer</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88">
        <w:r>
          <w:rPr>
            <w:color w:val="1155CC"/>
            <w:u w:val="single"/>
          </w:rPr>
          <w:t>10.1002/adma.202513003</w:t>
        </w:r>
      </w:hyperlink>
    </w:p>
    <w:p>
      <w:pPr>
        <w:spacing w:before="0" w:after="120"/>
      </w:pPr>
      <w:r>
        <w:rPr>
          <w:b/>
        </w:rPr>
        <w:t xml:space="preserve">Notes: </w:t>
      </w:r>
      <w:r>
        <w:t>abstract_source=crossref</w:t>
      </w:r>
    </w:p>
    <w:p>
      <w:pPr>
        <w:spacing w:before="0" w:after="200" w:lineRule="auto" w:line="276"/>
      </w:pPr>
      <w:r>
        <w:rPr>
          <w:b/>
        </w:rPr>
        <w:t xml:space="preserve">Abstract: </w:t>
      </w:r>
      <w:r>
        <w:t>The exponential growth of data in the information era has pushed conventional optical communication technology to its limitations, including inefficient spectral utilization, slow data rate, and inherent security vulnerabilities. Here, a transformative high‐speed organic spectral wireless communication (SWC) technology enabled by a flexible, miniaturized, and high‐performance organic hyperspectrometer is proposed that integrates ultrahigh‐speed data transmission with hardware‐level encryption. By synergistically combining organic photodetector arrays with tunable responsivities and spectral‐tunable organic filters, the organic hyperspectrometer achieves a broad spectral detection range of 400 to 900 nm, resolution of 1.08 nm, accuracy of 0.60 nm, and response time of 684 ns. Unlike prior optical wireless communication systems, the organic hyperspectrometer‐based SWC platform uniquely decodes high‐speed encrypted data at the hardware level, which is a breakthrough in secure, high‐speed, and high‐capacity communication. Harnessing the full visible‐to‐near‐infrared spectrum, the SWC system achieves a theoretical data rate of 9.1 Gbits s</w:t>
      </w:r>
      <w:r>
        <w:t xml:space="preserve"> </w:t>
      </w:r>
      <w:r>
        <w:t>−1</w:t>
      </w:r>
      <w:r>
        <w:t xml:space="preserve"> </w:t>
      </w:r>
      <w:r>
        <w:t>, ranking as the highest‐speed organic optical communication system. Furthermore, the intrinsic flexibility and bandgap‐tunability of organic materials enable unparalleled portability, adaptability, and scalability of organic SWC, establishing a scalable framework for terahertz‐scale data transmission. These advancements mark a pivotal leap toward secure, high‐speed, and ultracompact optical networks for the future data‐ and AI‐driven era.</w:t>
      </w:r>
    </w:p>
    <w:p>
      <w:pPr>
        <w:spacing w:before="120" w:after="120"/>
      </w:pPr>
      <w:r>
        <w:rPr>
          <w:sz w:val="18"/>
        </w:rPr>
        <w:t>——————————————————————————————————————————————————————————————————————</w:t>
      </w:r>
    </w:p>
    <w:p>
      <w:pPr>
        <w:spacing w:before="160" w:after="80" w:line="240" w:lineRule="auto"/>
      </w:pPr>
      <w:r>
        <w:rPr>
          <w:b/>
        </w:rPr>
        <w:t xml:space="preserve">[659] </w:t>
      </w:r>
      <w:hyperlink r:id="rId1189">
        <w:r>
          <w:rPr>
            <w:color w:val="1155CC"/>
            <w:u w:val="single"/>
          </w:rPr>
          <w:t>Solar‐Driven Direct Lithium Extraction from Low‐Quality Brines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90">
        <w:r>
          <w:rPr>
            <w:color w:val="1155CC"/>
            <w:u w:val="single"/>
          </w:rPr>
          <w:t>10.1002/adma.202512998</w:t>
        </w:r>
      </w:hyperlink>
    </w:p>
    <w:p>
      <w:pPr>
        <w:spacing w:before="0" w:after="120"/>
      </w:pPr>
      <w:r>
        <w:rPr>
          <w:b/>
        </w:rPr>
        <w:t xml:space="preserve">Notes: </w:t>
      </w:r>
      <w:r>
        <w:t>abstract_source=crossref</w:t>
      </w:r>
    </w:p>
    <w:p>
      <w:pPr>
        <w:spacing w:before="0" w:after="200" w:lineRule="auto" w:line="276"/>
      </w:pPr>
      <w:r>
        <w:rPr>
          <w:b/>
        </w:rPr>
        <w:t xml:space="preserve">Abstract: </w:t>
      </w:r>
      <w:r>
        <w:t>Owing to the crucial role in energy transformation for decarbonization, sustainable lithium (Li) supply has become growingly critical. Low‐quality brines hold vast potential due to infinite reserves and diverse distribution but desire green and cost‐effective extraction techniques against low Li concentrations and high magnesium‐to‐lithium ratios. Solar‐driven direct lithium extraction (SDLE) systems combining conventional evaporation and DLE techniques can overcome the present challenges of Li extraction, promising to advance the exploitation of low‐quality brines while simultaneously producing fresh water. However, the underlying construction principles and fundamental physical processes concerning SDLE systems are still uncovered comprehensively. This review first reveals the high‐efficient and energy‐effective Li extraction mechanisms from low‐quality brines. Then, this work systematically presents construction and enhancement strategies, and the latest advancements and engineering applications of various SDLE systems, covering adsorption, membrane separation, crystallization separation, and electrochemical extraction. Furthermore, this work highlights the rational design of SDLE devices for water‐Li co‐production. Finally, this work discusses the challenges and future prospects for realizing SDLE systems from lab discovery to scale‐up field demonstration. This review aims to bridge the gap between fundamental science and practical engineering behind the SDLE, unlocking different insights for resource sustainability and low‐grade brines mining.</w:t>
      </w:r>
    </w:p>
    <w:p>
      <w:pPr>
        <w:spacing w:before="120" w:after="120"/>
      </w:pPr>
      <w:r>
        <w:rPr>
          <w:sz w:val="18"/>
        </w:rPr>
        <w:t>——————————————————————————————————————————————————————————————————————</w:t>
      </w:r>
    </w:p>
    <w:p>
      <w:pPr>
        <w:spacing w:before="160" w:after="80" w:line="240" w:lineRule="auto"/>
      </w:pPr>
      <w:r>
        <w:rPr>
          <w:b/>
        </w:rPr>
        <w:t xml:space="preserve">[660] </w:t>
      </w:r>
      <w:hyperlink r:id="rId1191">
        <w:r>
          <w:rPr>
            <w:color w:val="1155CC"/>
            <w:u w:val="single"/>
          </w:rPr>
          <w:t>Recyclable Polyurethane Thermosets with High Rigidness and Toughness via Side Chain Induced Dual Phase Separation Strategy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92">
        <w:r>
          <w:rPr>
            <w:color w:val="1155CC"/>
            <w:u w:val="single"/>
          </w:rPr>
          <w:t>10.1002/adma.202511620</w:t>
        </w:r>
      </w:hyperlink>
    </w:p>
    <w:p>
      <w:pPr>
        <w:spacing w:before="0" w:after="120"/>
      </w:pPr>
      <w:r>
        <w:rPr>
          <w:b/>
        </w:rPr>
        <w:t xml:space="preserve">Notes: </w:t>
      </w:r>
      <w:r>
        <w:t>abstract_source=crossref</w:t>
      </w:r>
    </w:p>
    <w:p>
      <w:pPr>
        <w:spacing w:before="0" w:after="200" w:lineRule="auto" w:line="276"/>
      </w:pPr>
      <w:r>
        <w:rPr>
          <w:b/>
        </w:rPr>
        <w:t xml:space="preserve">Abstract: </w:t>
      </w:r>
      <w:r>
        <w:t>Polyurethane thermosets with high strength, rigidity, and cost efficiency are highly desirable for industrial applications. However, they always suffer from brittleness and poor recyclability owing to their crosslinked structure, causing an unacceptable level of sustainability concerns. Here, a side chain induced dual phase separation strategy is proposed to tackle these limitations. Specifically, a crosslinked rigid polyurethane is designed, synthesized from small‐molecule diols with a side chain. The urethane groups form hard domains by hydrogen bonding and induce a primary phase separation. Moreover, the curing process immobilizes part of the polymer segments with side chains to promote a secondary phase separation and generate a heterogeneous crosslinked structure. The primary phase separation enables energy dissipation, while the secondary phase separation serves as stress concentrations or crack initiation points to enhance the toughness. Notably, the transesterification between urethane groups, coupled with hydrogen bonding, facilitates catalyst‐free reprocessability, extending thermosets lifespan. This recyclable polyurethane thermoset exhibits a high Young's modulus (1.13 GPa) and exceptional toughness (77.76 MJ m</w:t>
      </w:r>
      <w:r>
        <w:t xml:space="preserve"> </w:t>
      </w:r>
      <w:r>
        <w:t>−3</w:t>
      </w:r>
      <w:r>
        <w:t xml:space="preserve"> </w:t>
      </w:r>
      <w:r>
        <w:t>). Furthermore, its application and recyclability in glass fiber‐reinforced composites are demonstrated. This strategy provides a viable route toward sustainable thermosetting polymers, addressing key environmental concerns associated with their widespread use.</w:t>
      </w:r>
    </w:p>
    <w:p>
      <w:pPr>
        <w:spacing w:before="120" w:after="120"/>
      </w:pPr>
      <w:r>
        <w:rPr>
          <w:sz w:val="18"/>
        </w:rPr>
        <w:t>——————————————————————————————————————————————————————————————————————</w:t>
      </w:r>
    </w:p>
    <w:p>
      <w:pPr>
        <w:spacing w:before="160" w:after="80" w:line="240" w:lineRule="auto"/>
      </w:pPr>
      <w:r>
        <w:rPr>
          <w:b/>
        </w:rPr>
        <w:t xml:space="preserve">[661] </w:t>
      </w:r>
      <w:hyperlink r:id="rId1193">
        <w:r>
          <w:rPr>
            <w:color w:val="1155CC"/>
            <w:u w:val="single"/>
          </w:rPr>
          <w:t>Pure‐Green Circularly Polarized Multiple Resonance Thermally Activated Delayed Fluorescence Enantiomers with Discontinuous Fused Benzene Rings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94">
        <w:r>
          <w:rPr>
            <w:color w:val="1155CC"/>
            <w:u w:val="single"/>
          </w:rPr>
          <w:t>10.1002/adma.202511560</w:t>
        </w:r>
      </w:hyperlink>
    </w:p>
    <w:p>
      <w:pPr>
        <w:spacing w:before="0" w:after="120"/>
      </w:pPr>
      <w:r>
        <w:rPr>
          <w:b/>
        </w:rPr>
        <w:t xml:space="preserve">Notes: </w:t>
      </w:r>
      <w:r>
        <w:t>abstract_source=crossref</w:t>
      </w:r>
    </w:p>
    <w:p>
      <w:pPr>
        <w:spacing w:before="0" w:after="200" w:lineRule="auto" w:line="276"/>
      </w:pPr>
      <w:r>
        <w:rPr>
          <w:b/>
        </w:rPr>
        <w:t xml:space="preserve">Abstract: </w:t>
      </w:r>
      <w:r>
        <w:t>Helicene‐based circularly polarized luminescence (CPL) materials suffer from severely low color purity in circularly polarized organic light‐emitting diodes (CP‐OLEDs). Here, a novel molecular engineering strategy is introduced by replacing helicene containing continuous fused benzene rings with a multiple resonance (MR) framework comprising discontinuous fused benzene rings. This approach effectively suppresses high‐frequency C─C bond stretching vibrations and enhances short‐range charge transfer, enabling high color purity, CPL activity, and efficient thermally activated delayed fluorescence (TADF). The proof‐of‐concept green BN[7]helicene‐based emitters (</w:t>
      </w:r>
      <w:r>
        <w:t xml:space="preserve"> </w:t>
      </w:r>
      <w:r>
        <w:t>P</w:t>
      </w:r>
      <w:r>
        <w:t xml:space="preserve"> </w:t>
      </w:r>
      <w:r>
        <w:t>/</w:t>
      </w:r>
      <w:r>
        <w:t>M</w:t>
      </w:r>
      <w:r>
        <w:t xml:space="preserve"> </w:t>
      </w:r>
      <w:r>
        <w:t>)‐DBN‐</w:t>
      </w:r>
      <w:r>
        <w:t xml:space="preserve"> </w:t>
      </w:r>
      <w:r>
        <w:t>m</w:t>
      </w:r>
      <w:r>
        <w:t xml:space="preserve"> </w:t>
      </w:r>
      <w:r>
        <w:t>ICz display bright and narrowband green emission peaking at 512 nm with a full‐width at half‐maximum (FWHM) of 25 nm. Notably, the enantiomers (</w:t>
      </w:r>
      <w:r>
        <w:t xml:space="preserve"> </w:t>
      </w:r>
      <w:r>
        <w:t>P</w:t>
      </w:r>
      <w:r>
        <w:t xml:space="preserve"> </w:t>
      </w:r>
      <w:r>
        <w:t>)‐ and (</w:t>
      </w:r>
      <w:r>
        <w:t xml:space="preserve"> </w:t>
      </w:r>
      <w:r>
        <w:t>M</w:t>
      </w:r>
      <w:r>
        <w:t xml:space="preserve"> </w:t>
      </w:r>
      <w:r>
        <w:t>)‐DBN‐</w:t>
      </w:r>
      <w:r>
        <w:t xml:space="preserve"> </w:t>
      </w:r>
      <w:r>
        <w:t>m</w:t>
      </w:r>
      <w:r>
        <w:t xml:space="preserve"> </w:t>
      </w:r>
      <w:r>
        <w:t>ICz exhibit narrowband CPL spectra with FWHMs of 26 and 25 nm, the Commission Internationale de l'Éclairage (CIE) coordinates of (0.14, 0.72) and (0.15, 0.72), and photoluminescence dissymmetry factors of +2.3 × 10</w:t>
      </w:r>
      <w:r>
        <w:t xml:space="preserve"> </w:t>
      </w:r>
      <w:r>
        <w:t>−3</w:t>
      </w:r>
      <w:r>
        <w:t xml:space="preserve"> </w:t>
      </w:r>
      <w:r>
        <w:t>and −2.6 × 10</w:t>
      </w:r>
      <w:r>
        <w:t xml:space="preserve"> </w:t>
      </w:r>
      <w:r>
        <w:t>−3</w:t>
      </w:r>
      <w:r>
        <w:t xml:space="preserve"> </w:t>
      </w:r>
      <w:r>
        <w:t>. (</w:t>
      </w:r>
      <w:r>
        <w:t xml:space="preserve"> </w:t>
      </w:r>
      <w:r>
        <w:t>P</w:t>
      </w:r>
      <w:r>
        <w:t xml:space="preserve"> </w:t>
      </w:r>
      <w:r>
        <w:t>)‐ and (</w:t>
      </w:r>
      <w:r>
        <w:t xml:space="preserve"> </w:t>
      </w:r>
      <w:r>
        <w:t>M</w:t>
      </w:r>
      <w:r>
        <w:t xml:space="preserve"> </w:t>
      </w:r>
      <w:r>
        <w:t>)‐DBN‐</w:t>
      </w:r>
      <w:r>
        <w:t xml:space="preserve"> </w:t>
      </w:r>
      <w:r>
        <w:t>m</w:t>
      </w:r>
      <w:r>
        <w:t xml:space="preserve"> </w:t>
      </w:r>
      <w:r>
        <w:t>ICz‐based CP‐OLEDs deliver pure‐green emission, characterized by a peak wavelength of 516 nm, a narrow FWHM of 27 nm, and CIE coordinates of (0.17, 0.72), representing the purest green CP‐OLEDs reported to date. Furthermore, these devices exhibit high electroluminescence dissymmetry factors of +5.3 × 10</w:t>
      </w:r>
      <w:r>
        <w:t xml:space="preserve"> </w:t>
      </w:r>
      <w:r>
        <w:t>−3</w:t>
      </w:r>
      <w:r>
        <w:t xml:space="preserve"> </w:t>
      </w:r>
      <w:r>
        <w:t>/−8.5 × 10</w:t>
      </w:r>
      <w:r>
        <w:t xml:space="preserve"> </w:t>
      </w:r>
      <w:r>
        <w:t>−3</w:t>
      </w:r>
      <w:r>
        <w:t xml:space="preserve"> </w:t>
      </w:r>
      <w:r>
        <w:t>, and maximum external quantum efficiencies of 37.3% and 36.6%, respectively.</w:t>
      </w:r>
    </w:p>
    <w:p>
      <w:pPr>
        <w:spacing w:before="120" w:after="120"/>
      </w:pPr>
      <w:r>
        <w:rPr>
          <w:sz w:val="18"/>
        </w:rPr>
        <w:t>——————————————————————————————————————————————————————————————————————</w:t>
      </w:r>
    </w:p>
    <w:p>
      <w:pPr>
        <w:spacing w:before="160" w:after="80" w:line="240" w:lineRule="auto"/>
      </w:pPr>
      <w:r>
        <w:rPr>
          <w:b/>
        </w:rPr>
        <w:t xml:space="preserve">[662] </w:t>
      </w:r>
      <w:hyperlink r:id="rId1195">
        <w:r>
          <w:rPr>
            <w:color w:val="1155CC"/>
            <w:u w:val="single"/>
          </w:rPr>
          <w:t>Li‐Well ZnO Memtransistors: High Reliability for Neuromorphic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96">
        <w:r>
          <w:rPr>
            <w:color w:val="1155CC"/>
            <w:u w:val="single"/>
          </w:rPr>
          <w:t>10.1002/adma.202506128</w:t>
        </w:r>
      </w:hyperlink>
    </w:p>
    <w:p>
      <w:pPr>
        <w:spacing w:before="0" w:after="120"/>
      </w:pPr>
      <w:r>
        <w:rPr>
          <w:b/>
        </w:rPr>
        <w:t xml:space="preserve">Notes: </w:t>
      </w:r>
      <w:r>
        <w:t>abstract_source=crossref</w:t>
      </w:r>
    </w:p>
    <w:p>
      <w:pPr>
        <w:spacing w:before="0" w:after="200" w:lineRule="auto" w:line="276"/>
      </w:pPr>
      <w:r>
        <w:rPr>
          <w:b/>
        </w:rPr>
        <w:t xml:space="preserve">Abstract: </w:t>
      </w:r>
      <w:r>
        <w:t>Memtransistors are active analog memory devices utilizing ionic memristive materials as channel layers. Since their introduction, the term “memtransistor” has widely been adopted for transistors exhibiting nonvolatile memory characteristics. Currently, memtransistor devices possessing both transistor on/off functionality and nonvolatile memory characteristics include ferroelectric field‐effect transistors (FeFETs) and charge‐trap flash (floating gate), yet ionic memtransistors have not matched their performance. Here a facile and extendable lithium (Li)‐well oxide memtransistor (LWOM) is reported as a promising candidate. Forming a Li well, analogous to an n</w:t>
      </w:r>
      <w:r>
        <w:t xml:space="preserve"> </w:t>
      </w:r>
      <w:r>
        <w:t>+</w:t>
      </w:r>
      <w:r>
        <w:t xml:space="preserve"> </w:t>
      </w:r>
      <w:r>
        <w:t>well beneath electrodes in n‐metal‐oxide‐semiconductor field‐effect transistor (MOSFET) processes, induces Li⁺‐ion migration via write</w:t>
      </w:r>
      <w:r>
        <w:t xml:space="preserve"> </w:t>
      </w:r>
      <w:r>
        <w:t>V</w:t>
      </w:r>
      <w:r>
        <w:t xml:space="preserve"> </w:t>
      </w:r>
      <w:r>
        <w:t>DS</w:t>
      </w:r>
      <w:r>
        <w:t xml:space="preserve"> </w:t>
      </w:r>
      <w:r>
        <w:t>, achieving analog memory characteristics through Schottky barrier modulation. LWOM enables low‐voltage weight updates and precise gate‐controlled weight update characteristics. Analysis via 3D secondary ion mass spectrometry (SIMS) confirms Li‐ion redistribution and the resistance‐switching mechanism. A 21 × 21 crossbar array demonstrates 99.31% operational yield and successful weight updates to target conductance values. Fabricated using mature oxide semiconductor technology with a 230 °C thermal budget and a simple process, LWOM stands as a strong contender for next‐generation nonvolatile memory and artificial neural network (ANN) acceleration hardware.</w:t>
      </w:r>
    </w:p>
    <w:p>
      <w:pPr>
        <w:spacing w:before="120" w:after="120"/>
      </w:pPr>
      <w:r>
        <w:rPr>
          <w:sz w:val="18"/>
        </w:rPr>
        <w:t>——————————————————————————————————————————————————————————————————————</w:t>
      </w:r>
    </w:p>
    <w:p>
      <w:pPr>
        <w:spacing w:before="160" w:after="80" w:line="240" w:lineRule="auto"/>
      </w:pPr>
      <w:r>
        <w:rPr>
          <w:b/>
        </w:rPr>
        <w:t xml:space="preserve">[663] </w:t>
      </w:r>
      <w:hyperlink r:id="rId1197">
        <w:r>
          <w:rPr>
            <w:color w:val="1155CC"/>
            <w:u w:val="single"/>
          </w:rPr>
          <w:t>Bioactive Materials‐Mediated Regulation of Bone Marrow Microenvironment: Mechanistic Insights and Therapeutic Potentials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198">
        <w:r>
          <w:rPr>
            <w:color w:val="1155CC"/>
            <w:u w:val="single"/>
          </w:rPr>
          <w:t>10.1002/adma.202511497</w:t>
        </w:r>
      </w:hyperlink>
    </w:p>
    <w:p>
      <w:pPr>
        <w:spacing w:before="0" w:after="120"/>
      </w:pPr>
      <w:r>
        <w:rPr>
          <w:b/>
        </w:rPr>
        <w:t xml:space="preserve">Notes: </w:t>
      </w:r>
      <w:r>
        <w:t>abstract_source=crossref</w:t>
      </w:r>
    </w:p>
    <w:p>
      <w:pPr>
        <w:spacing w:before="0" w:after="200" w:lineRule="auto" w:line="276"/>
      </w:pPr>
      <w:r>
        <w:rPr>
          <w:b/>
        </w:rPr>
        <w:t xml:space="preserve">Abstract: </w:t>
      </w:r>
      <w:r>
        <w:t>The bone marrow microenvironment(BME) maintains bone homeostasis through multi‐cellular cooperation and signal crosstalk, its dysregulation drives pathological bone loss. In recent years, Materiobiology, a scientific discipline studying how biomaterial properties affect biological functions, has opened new avenues for the precise regulation of this complex microenvironment. Biomaterials enable sophisticated regulation of the BME through biomimetic design and functionalization strategies. They not only activate osteoblast signaling pathways to promote bone formation but also inhibit osteoclast differentiation and bone resorption functions. Additionally, they integrate nerve and vascular regeneration processes with immunomodulatory mechanisms to optimize stem cell behavior and improve the tissue repair microenvironment. This review comprehensively summarizes advances in biomaterial‐mediated BME regulation, emphasizing interdisciplinary integration and intelligent material development to overcome the limitations of conventional therapies. The innovation of intelligent materials lies in their ability to mimic biological systems. Recent research has leveraged generative design models to engineer new thiol‐containing antimicrobial peptides. These approaches achieve spatiotemporal coordination of cellular interactions and functional reconstruction during bone regeneration. Future efforts need to address challenges in material stability, personalized adaptation, and clinical translation, promoting cross‐scale therapeutic innovation from molecular intervention to tissue regeneration, providing revolutionary solutions for bone metabolic diseases and complex defect repair.</w:t>
      </w:r>
    </w:p>
    <w:p>
      <w:pPr>
        <w:spacing w:before="120" w:after="120"/>
      </w:pPr>
      <w:r>
        <w:rPr>
          <w:sz w:val="18"/>
        </w:rPr>
        <w:t>——————————————————————————————————————————————————————————————————————</w:t>
      </w:r>
    </w:p>
    <w:p>
      <w:pPr>
        <w:spacing w:before="160" w:after="80" w:line="240" w:lineRule="auto"/>
      </w:pPr>
      <w:r>
        <w:rPr>
          <w:b/>
        </w:rPr>
        <w:t xml:space="preserve">[664] </w:t>
      </w:r>
      <w:hyperlink r:id="rId1199">
        <w:r>
          <w:rPr>
            <w:color w:val="1155CC"/>
            <w:u w:val="single"/>
          </w:rPr>
          <w:t>Vascular‐Mimetic 2D Membranes with Hemoglobin Catalysis for Efficient Uranium Extraction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00">
        <w:r>
          <w:rPr>
            <w:color w:val="1155CC"/>
            <w:u w:val="single"/>
          </w:rPr>
          <w:t>10.1002/adma.202509989</w:t>
        </w:r>
      </w:hyperlink>
    </w:p>
    <w:p>
      <w:pPr>
        <w:spacing w:before="0" w:after="120"/>
      </w:pPr>
      <w:r>
        <w:rPr>
          <w:b/>
        </w:rPr>
        <w:t xml:space="preserve">Notes: </w:t>
      </w:r>
      <w:r>
        <w:t>abstract_source=crossref</w:t>
      </w:r>
    </w:p>
    <w:p>
      <w:pPr>
        <w:spacing w:before="0" w:after="200" w:lineRule="auto" w:line="276"/>
      </w:pPr>
      <w:r>
        <w:rPr>
          <w:b/>
        </w:rPr>
        <w:t xml:space="preserve">Abstract: </w:t>
      </w:r>
      <w:r>
        <w:t>The extraction of uranium from seawater is crucial for sustainable nuclear energy development but is challenged by its ultralow concentration, the presence of competing ions, and the high energy demands of conventional methods. Membrane separation is a promising alternative, owing to its in simplicity, low energy consumption, and scalability. However, current membranes fail to achieve the selectivity and efficiency required for uranium capture. Herein, this study introduces a bioinspired graphene oxide‐red blood cells (GO‐RBC) membrane, that mimics vascular transport for ultra‐selective uranium extraction. In the innovative GO‐induced remodeling of red blood cell, hemoglobin (Hb) adsorbs onto the hydrophobic regions of GO and, phospholipids self‐assemble into concentric hydrophilic rings around Hb. This unique “island‐reef” structure within the membrane channels forces ions to follow an S‐shaped path, thereby enhancing interactions with Hb. In addition, Hb catalytically reduces U(VI) to U(IV), enabling trapping of uranium while allowing competing ions to pass through. The membrane achieves an unprecedented U/V selectivity (110.6), far outperforming current technologies. Moreover, the GO‐RBC membrane exhibited exceptional antifouling properties, mechanical robustness, and long‐term stability. This study provides a scalable, energy‐efficient solution for uranium extraction from seawater, further opening new pathways for the development of biomimetic membranes for application in resource recovery.</w:t>
      </w:r>
    </w:p>
    <w:p>
      <w:pPr>
        <w:spacing w:before="120" w:after="120"/>
      </w:pPr>
      <w:r>
        <w:rPr>
          <w:sz w:val="18"/>
        </w:rPr>
        <w:t>——————————————————————————————————————————————————————————————————————</w:t>
      </w:r>
    </w:p>
    <w:p>
      <w:pPr>
        <w:spacing w:before="160" w:after="80" w:line="240" w:lineRule="auto"/>
      </w:pPr>
      <w:r>
        <w:rPr>
          <w:b/>
        </w:rPr>
        <w:t xml:space="preserve">[665] </w:t>
      </w:r>
      <w:hyperlink r:id="rId1201">
        <w:r>
          <w:rPr>
            <w:color w:val="1155CC"/>
            <w:u w:val="single"/>
          </w:rPr>
          <w:t>Electron‐Rich Niobium Oxide Sub‐Nanoclusters Boosting Charge Transfer for Highly Reversible Sodium–Sulfur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02">
        <w:r>
          <w:rPr>
            <w:color w:val="1155CC"/>
            <w:u w:val="single"/>
          </w:rPr>
          <w:t>10.1002/adma.202509954</w:t>
        </w:r>
      </w:hyperlink>
    </w:p>
    <w:p>
      <w:pPr>
        <w:spacing w:before="0" w:after="120"/>
      </w:pPr>
      <w:r>
        <w:rPr>
          <w:b/>
        </w:rPr>
        <w:t xml:space="preserve">Notes: </w:t>
      </w:r>
      <w:r>
        <w:t>abstract_source=crossref</w:t>
      </w:r>
    </w:p>
    <w:p>
      <w:pPr>
        <w:spacing w:before="0" w:after="200" w:lineRule="auto" w:line="276"/>
      </w:pPr>
      <w:r>
        <w:rPr>
          <w:b/>
        </w:rPr>
        <w:t xml:space="preserve">Abstract: </w:t>
      </w:r>
      <w:r>
        <w:t>Ether‐based room‐temperature sodium–sulfur (RT Na─S) batteries are a promising energy‐storage system, yet hindered by the unregulated sulfur redox pathway, severe polysulfide shuttling and rapid capacity fading. Herein, highly unsaturated niobium‐oxide sub‐nanoclusters (≈0.7 nm) anchored on defective carbon black (NbO</w:t>
      </w:r>
      <w:r>
        <w:t xml:space="preserve"> </w:t>
      </w:r>
      <w:r>
        <w:t>x</w:t>
      </w:r>
      <w:r>
        <w:t xml:space="preserve"> </w:t>
      </w:r>
      <w:r>
        <w:t>‐DCB) as a dynamic sulfur‐conversion catalyst are introduced. The delocalized Nb d‐electrons in the sub‐nanocluster configuration create a mixed Nb</w:t>
      </w:r>
      <w:r>
        <w:t xml:space="preserve"> </w:t>
      </w:r>
      <w:r>
        <w:t>4+</w:t>
      </w:r>
      <w:r>
        <w:t xml:space="preserve"> </w:t>
      </w:r>
      <w:r>
        <w:t>/Nb</w:t>
      </w:r>
      <w:r>
        <w:t xml:space="preserve"> </w:t>
      </w:r>
      <w:r>
        <w:t>5+</w:t>
      </w:r>
      <w:r>
        <w:t xml:space="preserve"> </w:t>
      </w:r>
      <w:r>
        <w:t>valence state that functions as a bidirectional electron reservoir, thereby enabling a distinct</w:t>
      </w:r>
      <w:r>
        <w:t xml:space="preserve"> </w:t>
      </w:r>
      <w:r>
        <w:t>d</w:t>
      </w:r>
      <w:r>
        <w:t xml:space="preserve"> </w:t>
      </w:r>
      <w:r>
        <w:t>‐band‐center self‐regulation mechanism. The strong</w:t>
      </w:r>
      <w:r>
        <w:t xml:space="preserve"> </w:t>
      </w:r>
      <w:r>
        <w:t>d</w:t>
      </w:r>
      <w:r>
        <w:t xml:space="preserve"> </w:t>
      </w:r>
      <w:r>
        <w:t>–</w:t>
      </w:r>
      <w:r>
        <w:t xml:space="preserve"> </w:t>
      </w:r>
      <w:r>
        <w:t>p</w:t>
      </w:r>
      <w:r>
        <w:t xml:space="preserve"> </w:t>
      </w:r>
      <w:r>
        <w:t>orbital coupling enabled by a Nb</w:t>
      </w:r>
      <w:r>
        <w:t xml:space="preserve"> </w:t>
      </w:r>
      <w:r>
        <w:t>4+</w:t>
      </w:r>
      <w:r>
        <w:t xml:space="preserve"> </w:t>
      </w:r>
      <w:r>
        <w:t>‐rich surface effectively captures sodium polysulfides and accelerates sulfur conversion kinetics during discharge, while a Nb</w:t>
      </w:r>
      <w:r>
        <w:t xml:space="preserve"> </w:t>
      </w:r>
      <w:r>
        <w:t>5+</w:t>
      </w:r>
      <w:r>
        <w:t xml:space="preserve"> </w:t>
      </w:r>
      <w:r>
        <w:t>‐rich surface promotes facile solid‐polysulfide decomposition during charging. Consequently, the NbO</w:t>
      </w:r>
      <w:r>
        <w:t xml:space="preserve"> </w:t>
      </w:r>
      <w:r>
        <w:t>x</w:t>
      </w:r>
      <w:r>
        <w:t xml:space="preserve"> </w:t>
      </w:r>
      <w:r>
        <w:t>‐DCB/S cathode delivers a reversible capacity of 1184 mAh g</w:t>
      </w:r>
      <w:r>
        <w:t xml:space="preserve"> </w:t>
      </w:r>
      <w:r>
        <w:t>S</w:t>
      </w:r>
      <w:r>
        <w:t xml:space="preserve"> </w:t>
      </w:r>
      <w:r>
        <w:t>−1</w:t>
      </w:r>
      <w:r>
        <w:t xml:space="preserve"> </w:t>
      </w:r>
      <w:r>
        <w:t>at 0.1 A g</w:t>
      </w:r>
      <w:r>
        <w:t xml:space="preserve"> </w:t>
      </w:r>
      <w:r>
        <w:t>−1</w:t>
      </w:r>
      <w:r>
        <w:t xml:space="preserve"> </w:t>
      </w:r>
      <w:r>
        <w:t>after 100 cycles and retains 547 mAh g</w:t>
      </w:r>
      <w:r>
        <w:t xml:space="preserve"> </w:t>
      </w:r>
      <w:r>
        <w:t>S</w:t>
      </w:r>
      <w:r>
        <w:t xml:space="preserve"> </w:t>
      </w:r>
      <w:r>
        <w:t>−1</w:t>
      </w:r>
      <w:r>
        <w:t xml:space="preserve"> </w:t>
      </w:r>
      <w:r>
        <w:t>after 3000 cycles at 2 A g</w:t>
      </w:r>
      <w:r>
        <w:t xml:space="preserve"> </w:t>
      </w:r>
      <w:r>
        <w:t>−1</w:t>
      </w:r>
      <w:r>
        <w:t xml:space="preserve"> </w:t>
      </w:r>
      <w:r>
        <w:t>, corresponding to a decay rate of 0.0027% per cycle. The general applicability of this approach is validated by high‐performance tungsten and vanadium oxide sub‐nanocluster‐based sulfur cathodes. These findings highlight sub‐nanoscale metal‐oxide engineering as a versatile route to high‐performance RT Na–S batteries.</w:t>
      </w:r>
    </w:p>
    <w:p>
      <w:pPr>
        <w:spacing w:before="120" w:after="120"/>
      </w:pPr>
      <w:r>
        <w:rPr>
          <w:sz w:val="18"/>
        </w:rPr>
        <w:t>——————————————————————————————————————————————————————————————————————</w:t>
      </w:r>
    </w:p>
    <w:p>
      <w:pPr>
        <w:spacing w:before="160" w:after="80" w:line="240" w:lineRule="auto"/>
      </w:pPr>
      <w:r>
        <w:rPr>
          <w:b/>
        </w:rPr>
        <w:t xml:space="preserve">[666] </w:t>
      </w:r>
      <w:hyperlink r:id="rId1203">
        <w:r>
          <w:rPr>
            <w:color w:val="1155CC"/>
            <w:u w:val="single"/>
          </w:rPr>
          <w:t>Regenerable Water Remediation Platform for Ultrafast Capture and Mineralization of Per‐ and Polyfluoroalkyl Substances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04">
        <w:r>
          <w:rPr>
            <w:color w:val="1155CC"/>
            <w:u w:val="single"/>
          </w:rPr>
          <w:t>10.1002/adma.202509842</w:t>
        </w:r>
      </w:hyperlink>
    </w:p>
    <w:p>
      <w:pPr>
        <w:spacing w:before="0" w:after="120"/>
      </w:pPr>
      <w:r>
        <w:rPr>
          <w:b/>
        </w:rPr>
        <w:t xml:space="preserve">Notes: </w:t>
      </w:r>
      <w:r>
        <w:t>abstract_source=crossref</w:t>
      </w:r>
    </w:p>
    <w:p>
      <w:pPr>
        <w:spacing w:before="0" w:after="200" w:lineRule="auto" w:line="276"/>
      </w:pPr>
      <w:r>
        <w:rPr>
          <w:b/>
        </w:rPr>
        <w:t xml:space="preserve">Abstract: </w:t>
      </w:r>
      <w:r>
        <w:t>Concerns about per‐ and polyfluoroalkyl substances (PFAS) arise from their persistence, toxicity, and widespread presence in aquatic environments. Currently, activated carbon and ion exchange resins have been used to remove perfluorooctanoic acid (PFOA), the most commonly studied PFAS, but these methods face challenges like low adsorption capacity and slow kinetics, leading to secondary waste issues. Here, it is observed that a high interlayer crystallinity of nitrate intercalated Cu</w:t>
      </w:r>
      <w:r>
        <w:t xml:space="preserve"> </w:t>
      </w:r>
      <w:r>
        <w:t>x</w:t>
      </w:r>
      <w:r>
        <w:t xml:space="preserve"> </w:t>
      </w:r>
      <w:r>
        <w:t>Al layered double hydroxides (LDH) (Cu</w:t>
      </w:r>
      <w:r>
        <w:t xml:space="preserve"> </w:t>
      </w:r>
      <w:r>
        <w:t>x</w:t>
      </w:r>
      <w:r>
        <w:t xml:space="preserve"> </w:t>
      </w:r>
      <w:r>
        <w:t>Al‐NO</w:t>
      </w:r>
      <w:r>
        <w:rPr>
          <w:vertAlign w:val="subscript"/>
        </w:rPr>
        <w:t>3</w:t>
      </w:r>
      <w:r>
        <w:t>LDH) enables a boundary‐breaking performance of maximum adsorption capacity (q</w:t>
      </w:r>
      <w:r>
        <w:t xml:space="preserve"> </w:t>
      </w:r>
      <w:r>
        <w:t>max</w:t>
      </w:r>
      <w:r>
        <w:t xml:space="preserve"> </w:t>
      </w:r>
      <w:r>
        <w:t>) of PFOA as 1702 mg g</w:t>
      </w:r>
      <w:r>
        <w:t xml:space="preserve"> </w:t>
      </w:r>
      <w:r>
        <w:t>−1</w:t>
      </w:r>
      <w:r>
        <w:t xml:space="preserve"> </w:t>
      </w:r>
      <w:r>
        <w:t>at neutral pH and room temperature. The Al‐Al clash within the cationic layers (basal plane disorder) enhances adsorption kinetics (k</w:t>
      </w:r>
      <w:r>
        <w:rPr>
          <w:vertAlign w:val="subscript"/>
        </w:rPr>
        <w:t>1</w:t>
      </w:r>
      <w:r>
        <w:t>= 13.2 h</w:t>
      </w:r>
      <w:r>
        <w:t xml:space="preserve"> </w:t>
      </w:r>
      <w:r>
        <w:t>−1</w:t>
      </w:r>
      <w:r>
        <w:t xml:space="preserve"> </w:t>
      </w:r>
      <w:r>
        <w:t>), as determined by a</w:t>
      </w:r>
      <w:r>
        <w:rPr>
          <w:vertAlign w:val="subscript"/>
        </w:rPr>
        <w:t>2</w:t>
      </w:r>
      <w:r>
        <w:t>H magic angle spinning (MAS) solid‐state nuclear magnetic resonance (ssNMR) spectroscopy. Furthermore, PFOA‐saturated Cu</w:t>
      </w:r>
      <w:r>
        <w:rPr>
          <w:vertAlign w:val="subscript"/>
        </w:rPr>
        <w:t>2</w:t>
      </w:r>
      <w:r>
        <w:t>Al‐NO</w:t>
      </w:r>
      <w:r>
        <w:rPr>
          <w:vertAlign w:val="subscript"/>
        </w:rPr>
        <w:t>3</w:t>
      </w:r>
      <w:r>
        <w:t>LDH can be regenerated through its memory effect, achieving ≈54% defluorination of the adsorbed PFOA in the presence of CaCO</w:t>
      </w:r>
      <w:r>
        <w:rPr>
          <w:vertAlign w:val="subscript"/>
        </w:rPr>
        <w:t>3</w:t>
      </w:r>
      <w:r>
        <w:t>after the thermal treatment at 773 K (500 °C). Performance in continuous fixed‐bed systems (720 mg g</w:t>
      </w:r>
      <w:r>
        <w:t xml:space="preserve"> </w:t>
      </w:r>
      <w:r>
        <w:t>−1</w:t>
      </w:r>
      <w:r>
        <w:t xml:space="preserve"> </w:t>
      </w:r>
      <w:r>
        <w:t>at 0.5 mL min</w:t>
      </w:r>
      <w:r>
        <w:t xml:space="preserve"> </w:t>
      </w:r>
      <w:r>
        <w:t>−1</w:t>
      </w:r>
      <w:r>
        <w:t xml:space="preserve"> </w:t>
      </w:r>
      <w:r>
        <w:t>) and PFOA‐spiked real water matrices indicates the practical application potential of Cu</w:t>
      </w:r>
      <w:r>
        <w:t xml:space="preserve"> </w:t>
      </w:r>
      <w:r>
        <w:t>x</w:t>
      </w:r>
      <w:r>
        <w:t xml:space="preserve"> </w:t>
      </w:r>
      <w:r>
        <w:t>Al‐NO</w:t>
      </w:r>
      <w:r>
        <w:rPr>
          <w:vertAlign w:val="subscript"/>
        </w:rPr>
        <w:t>3</w:t>
      </w:r>
      <w:r>
        <w:t>LDH, suggesting an effective integrated ultrafast capture–thermal destruction–recycling (CTR) process for treating PFAS‐contaminated water.</w:t>
      </w:r>
    </w:p>
    <w:p>
      <w:pPr>
        <w:spacing w:before="120" w:after="120"/>
      </w:pPr>
      <w:r>
        <w:rPr>
          <w:sz w:val="18"/>
        </w:rPr>
        <w:t>——————————————————————————————————————————————————————————————————————</w:t>
      </w:r>
    </w:p>
    <w:p>
      <w:pPr>
        <w:spacing w:before="160" w:after="80" w:line="240" w:lineRule="auto"/>
      </w:pPr>
      <w:r>
        <w:rPr>
          <w:b/>
        </w:rPr>
        <w:t xml:space="preserve">[667] </w:t>
      </w:r>
      <w:hyperlink r:id="rId1205">
        <w:r>
          <w:rPr>
            <w:color w:val="1155CC"/>
            <w:u w:val="single"/>
          </w:rPr>
          <w:t>Anisotropic Optoelectronic Synapses in 2D Nb2GeTe4 for Direction‐Programmable Neuromorphic Perception and Decision‐Making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06">
        <w:r>
          <w:rPr>
            <w:color w:val="1155CC"/>
            <w:u w:val="single"/>
          </w:rPr>
          <w:t>10.1002/adma.202509686</w:t>
        </w:r>
      </w:hyperlink>
    </w:p>
    <w:p>
      <w:pPr>
        <w:spacing w:before="0" w:after="120"/>
      </w:pPr>
      <w:r>
        <w:rPr>
          <w:b/>
        </w:rPr>
        <w:t xml:space="preserve">Notes: </w:t>
      </w:r>
      <w:r>
        <w:t>abstract_source=crossref</w:t>
      </w:r>
    </w:p>
    <w:p>
      <w:pPr>
        <w:spacing w:before="0" w:after="200" w:lineRule="auto" w:line="276"/>
      </w:pPr>
      <w:r>
        <w:rPr>
          <w:b/>
        </w:rPr>
        <w:t xml:space="preserve">Abstract: </w:t>
      </w:r>
      <w:r>
        <w:t>Neuromorphic computing presents a promising solution for the von Neumann bottleneck, enabling energy‐efficient and intelligent sensing platforms. Although 2D materials are ideal for bioinspired neuromorphic devices, achieving multifunctional synaptic operations with simple configurations and linear weight updates remains challenging. Inspired by biological axons, the in‐plane anisotropy of 2D Nb</w:t>
      </w:r>
      <w:r>
        <w:rPr>
          <w:vertAlign w:val="subscript"/>
        </w:rPr>
        <w:t>2</w:t>
      </w:r>
      <w:r>
        <w:t>GeTe</w:t>
      </w:r>
      <w:r>
        <w:rPr>
          <w:vertAlign w:val="subscript"/>
        </w:rPr>
        <w:t>4</w:t>
      </w:r>
      <w:r>
        <w:t>is exploited to develop dual electronic‐optical synaptic devices. The device exhibits anisotropic hole mobilities (137.97 cm</w:t>
      </w:r>
      <w:r>
        <w:rPr>
          <w:vertAlign w:val="subscript"/>
        </w:rPr>
        <w:t>2</w:t>
      </w:r>
      <w:r>
        <w:t>V</w:t>
      </w:r>
      <w:r>
        <w:t xml:space="preserve"> </w:t>
      </w:r>
      <w:r>
        <w:t>−1</w:t>
      </w:r>
      <w:r>
        <w:t xml:space="preserve"> </w:t>
      </w:r>
      <w:r>
        <w:t>s</w:t>
      </w:r>
      <w:r>
        <w:t xml:space="preserve"> </w:t>
      </w:r>
      <w:r>
        <w:t>−1</w:t>
      </w:r>
      <w:r>
        <w:t xml:space="preserve"> </w:t>
      </w:r>
      <w:r>
        <w:t>along the</w:t>
      </w:r>
      <w:r>
        <w:t xml:space="preserve"> </w:t>
      </w:r>
      <w:r>
        <w:t>a</w:t>
      </w:r>
      <w:r>
        <w:t xml:space="preserve"> </w:t>
      </w:r>
      <w:r>
        <w:t>‐axis and 78.29 cm</w:t>
      </w:r>
      <w:r>
        <w:rPr>
          <w:vertAlign w:val="subscript"/>
        </w:rPr>
        <w:t>2</w:t>
      </w:r>
      <w:r>
        <w:t>V</w:t>
      </w:r>
      <w:r>
        <w:t xml:space="preserve"> </w:t>
      </w:r>
      <w:r>
        <w:t>−1</w:t>
      </w:r>
      <w:r>
        <w:t xml:space="preserve"> </w:t>
      </w:r>
      <w:r>
        <w:t>s</w:t>
      </w:r>
      <w:r>
        <w:t xml:space="preserve"> </w:t>
      </w:r>
      <w:r>
        <w:t>−1</w:t>
      </w:r>
      <w:r>
        <w:t xml:space="preserve"> </w:t>
      </w:r>
      <w:r>
        <w:t>along the</w:t>
      </w:r>
      <w:r>
        <w:t xml:space="preserve"> </w:t>
      </w:r>
      <w:r>
        <w:t>b</w:t>
      </w:r>
      <w:r>
        <w:t xml:space="preserve"> </w:t>
      </w:r>
      <w:r>
        <w:t>‐axis) and a wavelength‐dependent photoresponse. This enables directional synaptic plasticity under electrical‐optical co‐stimulation, achieving 98.3% accuracy along the</w:t>
      </w:r>
      <w:r>
        <w:t xml:space="preserve"> </w:t>
      </w:r>
      <w:r>
        <w:t>a</w:t>
      </w:r>
      <w:r>
        <w:t xml:space="preserve"> </w:t>
      </w:r>
      <w:r>
        <w:t>‐axis and 88.3% along the</w:t>
      </w:r>
      <w:r>
        <w:t xml:space="preserve"> </w:t>
      </w:r>
      <w:r>
        <w:t>b</w:t>
      </w:r>
      <w:r>
        <w:t xml:space="preserve"> </w:t>
      </w:r>
      <w:r>
        <w:t>‐axis in adaptive image processing. A machine vision system with 89.6% object recognition accuracy and an intelligent vehicle navigation platform with 90.2% decision‐making accuracy is also demonstrated. The integration of anisotropic transport and spectrally tunable responses in a single material paves the way for compact neuromorphic hardware with multimodal sensing and parallel processing capabilities. This study advances 2D material‐based neuroelectronics for edge computing, autonomous robotics, and adaptive artificial intelligence systems.</w:t>
      </w:r>
    </w:p>
    <w:p>
      <w:pPr>
        <w:spacing w:before="120" w:after="120"/>
      </w:pPr>
      <w:r>
        <w:rPr>
          <w:sz w:val="18"/>
        </w:rPr>
        <w:t>——————————————————————————————————————————————————————————————————————</w:t>
      </w:r>
    </w:p>
    <w:p>
      <w:pPr>
        <w:spacing w:before="160" w:after="80" w:line="240" w:lineRule="auto"/>
      </w:pPr>
      <w:r>
        <w:rPr>
          <w:b/>
        </w:rPr>
        <w:t xml:space="preserve">[668] </w:t>
      </w:r>
      <w:hyperlink r:id="rId1207">
        <w:r>
          <w:rPr>
            <w:color w:val="1155CC"/>
            <w:u w:val="single"/>
          </w:rPr>
          <w:t>Bamboo‐Inspired Composite Conduit Accelerates Peripheral Nerve Regeneration through Synergistic Oriented Structure and Piezoelectricity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08">
        <w:r>
          <w:rPr>
            <w:color w:val="1155CC"/>
            <w:u w:val="single"/>
          </w:rPr>
          <w:t>10.1002/adma.202509425</w:t>
        </w:r>
      </w:hyperlink>
    </w:p>
    <w:p>
      <w:pPr>
        <w:spacing w:before="0" w:after="120"/>
      </w:pPr>
      <w:r>
        <w:rPr>
          <w:b/>
        </w:rPr>
        <w:t xml:space="preserve">Notes: </w:t>
      </w:r>
      <w:r>
        <w:t>abstract_source=crossref</w:t>
      </w:r>
    </w:p>
    <w:p>
      <w:pPr>
        <w:spacing w:before="0" w:after="200" w:lineRule="auto" w:line="276"/>
      </w:pPr>
      <w:r>
        <w:rPr>
          <w:b/>
        </w:rPr>
        <w:t xml:space="preserve">Abstract: </w:t>
      </w:r>
      <w:r>
        <w:t>Slow axon growth is a critical factor that limits regeneration after long‐segment peripheral nerve injury (PNI). Herein, a bamboo‐inspired scaffold accelerates nerve regeneration through a directional hollow‐tube bilayer structure and biomimetic piezoelectric property. The outer hydrogel of the scaffold exhibits sufficient fatigue resistance after 100 cycles of stretching, while the interior fiber provides an oriented topological cue. Inspired by the bending‐piezoelectric property of bamboo cellulose, the piezoelectric signal in poly(vinyl alcohol) is detected for the first time, measuring approximately 20 mV. To enhance voltage‐driven nerve regeneration, the scaffold's piezoelectricity is improved to 0.95 ± 0.02 V by optimizing its non‐centrosymmetric structure, increasing permanent dipole moment, and facilitating electron‐hole separation. Owing to its biomimetic structure and piezoelectricity, the scaffold promotes a 3.1‐fold increase in axon length, a 1.6‐fold improvement in myelin diameter, and maximizes angiogenesis, reaching 71.25 ± 21.87 vessels per mm</w:t>
      </w:r>
      <w:r>
        <w:rPr>
          <w:vertAlign w:val="subscript"/>
        </w:rPr>
        <w:t>2</w:t>
      </w:r>
      <w:r>
        <w:t>in vivo. Overall, this bamboo‐inspired conduit has the potential to significantly improve regeneration efficiency and functional reconstruction in cases of long‐segment PNI.</w:t>
      </w:r>
    </w:p>
    <w:p>
      <w:pPr>
        <w:spacing w:before="120" w:after="120"/>
      </w:pPr>
      <w:r>
        <w:rPr>
          <w:sz w:val="18"/>
        </w:rPr>
        <w:t>——————————————————————————————————————————————————————————————————————</w:t>
      </w:r>
    </w:p>
    <w:p>
      <w:pPr>
        <w:spacing w:before="160" w:after="80" w:line="240" w:lineRule="auto"/>
      </w:pPr>
      <w:r>
        <w:rPr>
          <w:b/>
        </w:rPr>
        <w:t xml:space="preserve">[669] </w:t>
      </w:r>
      <w:hyperlink r:id="rId1209">
        <w:r>
          <w:rPr>
            <w:color w:val="1155CC"/>
            <w:u w:val="single"/>
          </w:rPr>
          <w:t>Probiotic‐Based Materials as Living Therapeutics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10">
        <w:r>
          <w:rPr>
            <w:color w:val="1155CC"/>
            <w:u w:val="single"/>
          </w:rPr>
          <w:t>10.1002/adma.202508500</w:t>
        </w:r>
      </w:hyperlink>
    </w:p>
    <w:p>
      <w:pPr>
        <w:spacing w:before="0" w:after="120"/>
      </w:pPr>
      <w:r>
        <w:rPr>
          <w:b/>
        </w:rPr>
        <w:t xml:space="preserve">Notes: </w:t>
      </w:r>
      <w:r>
        <w:t>abstract_source=crossref</w:t>
      </w:r>
    </w:p>
    <w:p>
      <w:pPr>
        <w:spacing w:before="0" w:after="200" w:lineRule="auto" w:line="276"/>
      </w:pPr>
      <w:r>
        <w:rPr>
          <w:b/>
        </w:rPr>
        <w:t xml:space="preserve">Abstract: </w:t>
      </w:r>
      <w:r>
        <w:t>The growing demand for safer, more targeted therapeutics requires the development of advanced biomaterials. Among these, Engineered Living Materials (ELMs)—which integrate synthetic biology with material science—are emerging as promising platforms for biomedical applications. This review focuses on a subclass of ELMs based on genetically engineered probiotics combined with matrices, that are termed Probiotic Living Materials (PLMs) to differentiate them from Living Biotherapeutic Products (LBPs). Recent studies highlight PLM's potential in addressing different health conditions, offering targeted and dynamic therapies. However, PLMs face multiple challenges to be implemented in clinics, including a lack of robust genetic toolkits for probiotic engineering, concerns about biosafety (e.g., horizontal gene transfer or non‐desirable biological activity), difficulties in translating preclinical results to humans, and the absence of clear regulatory guidance for clinical use. This review first explores the fundamental features of ELMs, then provides an overview of probiotics, followed by recent advances in the design of engineered PLMs for biomedical applications, particularly in biosensing development, infection treatment, bone repair, wound healing, vaginal imbalances, gut‐related conditions, and cancer therapy. Finally, biosafety issues and current gaps in regulatory frameworks to ensure safe and effective use of PLMs, with a particular focus on vulnerable populations, are discussed.</w:t>
      </w:r>
    </w:p>
    <w:p>
      <w:pPr>
        <w:spacing w:before="120" w:after="120"/>
      </w:pPr>
      <w:r>
        <w:rPr>
          <w:sz w:val="18"/>
        </w:rPr>
        <w:t>——————————————————————————————————————————————————————————————————————</w:t>
      </w:r>
    </w:p>
    <w:p>
      <w:pPr>
        <w:spacing w:before="160" w:after="80" w:line="240" w:lineRule="auto"/>
      </w:pPr>
      <w:r>
        <w:rPr>
          <w:b/>
        </w:rPr>
        <w:t xml:space="preserve">[670] </w:t>
      </w:r>
      <w:hyperlink r:id="rId1211">
        <w:r>
          <w:rPr>
            <w:color w:val="1155CC"/>
            <w:u w:val="single"/>
          </w:rPr>
          <w:t>Synthesis of 2D Semiconductor Lateral Patterned Heterostructures Through Carving and Follow‐Up Robust Epitaxial Growth Approach</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12">
        <w:r>
          <w:rPr>
            <w:color w:val="1155CC"/>
            <w:u w:val="single"/>
          </w:rPr>
          <w:t>10.1002/adma.202508413</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over the spatial distribution of chemical composition and electronic structure in two‐dimensional (2D) semiconductors is essential for the development of next‐generation integrated circuits. However, fabricating 2D lateral patterned heterostructures with atomically sharp interfaces and high spatial periodicity remains a significant challenge. Herein, this work reports a general strategy to synthesize 2D semiconductor lateral patterned heterostructures through carving of 2D semiconductor single crystal and the follow‐up robust epitaxial growth approach. Using the high‐speed laser carving (HSLC) technique, this work obtains precisely controlled 2D semiconductor material patterns with clean edges, which are used as a robust template for laterally epitaxial growth to produce 2D lateral periodic heterostructures, heterostructure crossbar arrays and other complex patterned heterostructures. Systematic microscopic and spectral characterization reveal that heterostructures have atomically sharp interlines. The high periodicity of these heterostructures facilitates scalable device integration, providing a practical route toward large‐area 2D electronic circuits. By constructing functional electronic components such as p‐n diode and complementary metal oxide semiconductor (CMOS) inverters arrays, this work demonstrates the potential of these heterostructures for monolithic circuit applications. This technique offers a new idea for micro/nano machining of 2D materials and lays a foundation for large‐scale integrated circuits based on 2D semiconductors.</w:t>
      </w:r>
    </w:p>
    <w:p>
      <w:pPr>
        <w:spacing w:before="120" w:after="120"/>
      </w:pPr>
      <w:r>
        <w:rPr>
          <w:sz w:val="18"/>
        </w:rPr>
        <w:t>——————————————————————————————————————————————————————————————————————</w:t>
      </w:r>
    </w:p>
    <w:p>
      <w:pPr>
        <w:spacing w:before="160" w:after="80" w:line="240" w:lineRule="auto"/>
      </w:pPr>
      <w:r>
        <w:rPr>
          <w:b/>
        </w:rPr>
        <w:t xml:space="preserve">[671] </w:t>
      </w:r>
      <w:hyperlink r:id="rId1213">
        <w:r>
          <w:rPr>
            <w:color w:val="1155CC"/>
            <w:u w:val="single"/>
          </w:rPr>
          <w:t>Current‐Induced Magnetization Switching via 180° Néel Vector Reversal in Pt/Cr2O3/Co Trilayers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14">
        <w:r>
          <w:rPr>
            <w:color w:val="1155CC"/>
            <w:u w:val="single"/>
          </w:rPr>
          <w:t>10.1002/adma.202508347</w:t>
        </w:r>
      </w:hyperlink>
    </w:p>
    <w:p>
      <w:pPr>
        <w:spacing w:before="0" w:after="120"/>
      </w:pPr>
      <w:r>
        <w:rPr>
          <w:b/>
        </w:rPr>
        <w:t xml:space="preserve">Notes: </w:t>
      </w:r>
      <w:r>
        <w:t>abstract_source=crossref</w:t>
      </w:r>
    </w:p>
    <w:p>
      <w:pPr>
        <w:spacing w:before="0" w:after="200" w:lineRule="auto" w:line="276"/>
      </w:pPr>
      <w:r>
        <w:rPr>
          <w:b/>
        </w:rPr>
        <w:t xml:space="preserve">Abstract: </w:t>
      </w:r>
      <w:r>
        <w:t>The 180° switching of the perpendicular Néel vector induced by the spin‐orbit torque (SOT) presents significant potential for ultradense and ultrafast antiferromagnetic SOT‐magnetoresistive random‐access memory. However, its experimental realization remains a topic of intense debate. Here, unequivocal evidence is provided for the SOT‐induced 180° switching of the perpendicular Néel vector in collinear antiferromagnetic Cr</w:t>
      </w:r>
      <w:r>
        <w:rPr>
          <w:vertAlign w:val="subscript"/>
        </w:rPr>
        <w:t>2</w:t>
      </w:r>
      <w:r>
        <w:t>O</w:t>
      </w:r>
      <w:r>
        <w:rPr>
          <w:vertAlign w:val="subscript"/>
        </w:rPr>
        <w:t>3</w:t>
      </w:r>
      <w:r>
        <w:t>in a Pt/Cr</w:t>
      </w:r>
      <w:r>
        <w:rPr>
          <w:vertAlign w:val="subscript"/>
        </w:rPr>
        <w:t>2</w:t>
      </w:r>
      <w:r>
        <w:t>O</w:t>
      </w:r>
      <w:r>
        <w:rPr>
          <w:vertAlign w:val="subscript"/>
        </w:rPr>
        <w:t>3</w:t>
      </w:r>
      <w:r>
        <w:t>/Co trilayer structure. It is demonstrated that the 180° switching of the perpendicular Néel vector in Cr</w:t>
      </w:r>
      <w:r>
        <w:rPr>
          <w:vertAlign w:val="subscript"/>
        </w:rPr>
        <w:t>2</w:t>
      </w:r>
      <w:r>
        <w:t>O</w:t>
      </w:r>
      <w:r>
        <w:rPr>
          <w:vertAlign w:val="subscript"/>
        </w:rPr>
        <w:t>3</w:t>
      </w:r>
      <w:r>
        <w:t>can lead to the unconventional switching behavior of the Co layer on top of it. The switching polarity of the Co layer can be reversed after the insertion of the Cr</w:t>
      </w:r>
      <w:r>
        <w:rPr>
          <w:vertAlign w:val="subscript"/>
        </w:rPr>
        <w:t>2</w:t>
      </w:r>
      <w:r>
        <w:t>O</w:t>
      </w:r>
      <w:r>
        <w:rPr>
          <w:vertAlign w:val="subscript"/>
        </w:rPr>
        <w:t>3</w:t>
      </w:r>
      <w:r>
        <w:t>layer. Moreover, the exchange bias directions are switched simultaneously with the Co layer. The switching ratio of the Co layer is sensitive to the antiferromagnetic states of Cr</w:t>
      </w:r>
      <w:r>
        <w:rPr>
          <w:vertAlign w:val="subscript"/>
        </w:rPr>
        <w:t>2</w:t>
      </w:r>
      <w:r>
        <w:t>O</w:t>
      </w:r>
      <w:r>
        <w:rPr>
          <w:vertAlign w:val="subscript"/>
        </w:rPr>
        <w:t>3</w:t>
      </w:r>
      <w:r>
        <w:t>and can be tuned by field cooling. The results not only underpin the electrical switching of the perpendicular Néel vector in Cr</w:t>
      </w:r>
      <w:r>
        <w:rPr>
          <w:vertAlign w:val="subscript"/>
        </w:rPr>
        <w:t>2</w:t>
      </w:r>
      <w:r>
        <w:t>O</w:t>
      </w:r>
      <w:r>
        <w:rPr>
          <w:vertAlign w:val="subscript"/>
        </w:rPr>
        <w:t>3</w:t>
      </w:r>
      <w:r>
        <w:t>but are also beneficial for the development of antiferromagnetic‐based devices.</w:t>
      </w:r>
    </w:p>
    <w:p>
      <w:pPr>
        <w:spacing w:before="120" w:after="120"/>
      </w:pPr>
      <w:r>
        <w:rPr>
          <w:sz w:val="18"/>
        </w:rPr>
        <w:t>——————————————————————————————————————————————————————————————————————</w:t>
      </w:r>
    </w:p>
    <w:p>
      <w:pPr>
        <w:spacing w:before="160" w:after="80" w:line="240" w:lineRule="auto"/>
      </w:pPr>
      <w:r>
        <w:rPr>
          <w:b/>
        </w:rPr>
        <w:t xml:space="preserve">[672] </w:t>
      </w:r>
      <w:hyperlink r:id="rId1215">
        <w:r>
          <w:rPr>
            <w:color w:val="1155CC"/>
            <w:u w:val="single"/>
          </w:rPr>
          <w:t>A Readily Synthesized All‐In‐One Nanowire Hydrogel: Toward Inhibiting Tumor Recurrence and Postoperative Infection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16">
        <w:r>
          <w:rPr>
            <w:color w:val="1155CC"/>
            <w:u w:val="single"/>
          </w:rPr>
          <w:t>10.1002/adma.202508137</w:t>
        </w:r>
      </w:hyperlink>
    </w:p>
    <w:p>
      <w:pPr>
        <w:spacing w:before="0" w:after="120"/>
      </w:pPr>
      <w:r>
        <w:rPr>
          <w:b/>
        </w:rPr>
        <w:t xml:space="preserve">Notes: </w:t>
      </w:r>
      <w:r>
        <w:t>abstract_source=crossref</w:t>
      </w:r>
    </w:p>
    <w:p>
      <w:pPr>
        <w:spacing w:before="0" w:after="200" w:lineRule="auto" w:line="276"/>
      </w:pPr>
      <w:r>
        <w:rPr>
          <w:b/>
        </w:rPr>
        <w:t xml:space="preserve">Abstract: </w:t>
      </w:r>
      <w:r>
        <w:t>Surgical resection remains the frontline intervention for cancer; however, postoperative tumor recurrence and wound infection remain critical unmet challenge in surgical oncology. Herein, an all‐in‐one nanowired hydrogel (V‐Hydrogel) is developed through a facile one‐step assembly employing enzyme‐mimetic V</w:t>
      </w:r>
      <w:r>
        <w:rPr>
          <w:vertAlign w:val="subscript"/>
        </w:rPr>
        <w:t>2</w:t>
      </w:r>
      <w:r>
        <w:t>O</w:t>
      </w:r>
      <w:r>
        <w:rPr>
          <w:vertAlign w:val="subscript"/>
        </w:rPr>
        <w:t>5</w:t>
      </w:r>
      <w:r>
        <w:t>nanowires and bactericidal crosslinker THPS. The V‐Hydrogel reserves the glutathione peroxidase‐, peroxidase‐, catalase‐, and oxidase‐mimetic enzymatic activities derived from vanadium oxide nanowires, thereby exhibiting efficient tumor‐specific catalytic therapy. Simultaneously, the introduction of bactericide THPS endows the potent antibacterial capabilities of V‐Hydrogel against surgical site infections. This hydrogel exhibits dynamic mechanical adaptability to the tumor microenvironment (f), ensuring conformal coverage of irregular resection cavities for precise therapy. Additionally, the V‐Hydrogel can reprogram the immunosuppressive TME via polarizing macrophages into antitumor M1 phenotypes and recruiting cytotoxic T cells, thereby establishing systemic antitumor immunity. This multifunctional vanadium‐integrated hydrogel platform, designed based on the pathological characteristics of postoperative tumors, addresses key limitations in conventional postoperative therapies, offering a strategy for postoperative adjuvant tumor therapy.</w:t>
      </w:r>
    </w:p>
    <w:p>
      <w:pPr>
        <w:spacing w:before="120" w:after="120"/>
      </w:pPr>
      <w:r>
        <w:rPr>
          <w:sz w:val="18"/>
        </w:rPr>
        <w:t>——————————————————————————————————————————————————————————————————————</w:t>
      </w:r>
    </w:p>
    <w:p>
      <w:pPr>
        <w:spacing w:before="160" w:after="80" w:line="240" w:lineRule="auto"/>
      </w:pPr>
      <w:r>
        <w:rPr>
          <w:b/>
        </w:rPr>
        <w:t xml:space="preserve">[673] </w:t>
      </w:r>
      <w:hyperlink r:id="rId1217">
        <w:r>
          <w:rPr>
            <w:color w:val="1155CC"/>
            <w:u w:val="single"/>
          </w:rPr>
          <w:t>Robust Textile‐Based Electromagnetic Audio Interfaces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18">
        <w:r>
          <w:rPr>
            <w:color w:val="1155CC"/>
            <w:u w:val="single"/>
          </w:rPr>
          <w:t>10.1002/adma.202508022</w:t>
        </w:r>
      </w:hyperlink>
    </w:p>
    <w:p>
      <w:pPr>
        <w:spacing w:before="0" w:after="120"/>
      </w:pPr>
      <w:r>
        <w:rPr>
          <w:b/>
        </w:rPr>
        <w:t xml:space="preserve">Notes: </w:t>
      </w:r>
      <w:r>
        <w:t>abstract_source=crossref</w:t>
      </w:r>
    </w:p>
    <w:p>
      <w:pPr>
        <w:spacing w:before="0" w:after="200" w:lineRule="auto" w:line="276"/>
      </w:pPr>
      <w:r>
        <w:rPr>
          <w:b/>
        </w:rPr>
        <w:t xml:space="preserve">Abstract: </w:t>
      </w:r>
      <w:r>
        <w:t>Textiles with inherently porous architectures are commonly employed for acoustic absorption. Although recent advances in textile‐based audio interfaces have enabled sound emission, they lack robustness under unstructured conditions. Therefore, this study introduces a strategy that integrates textile structures with a durable actuation mechanism to overcome these limitations. Through optimized theoretical modeling, this study enhances the vibration amplitudes, effectively compensating for the intrinsic acoustic damping losses of textiles, achieving a relatively high and flat sound pressure level of 71.7 ± 3.3 dB. Notably, the audio interface maintains stable performance under various mechanical deformations, including stretching, compression, bending, and twisting. Furthermore, this audio interface preserves the essential characteristics of textiles, such as washability and breathability, and remains fully functional even in extremely humid conditions, such as heavy perspiration. The versatility of this approach is demonstrated through three practical applications: sound‐beanie, talking‐cloth, and sound‐sofa. In each case, this audio interface delivers high‐quality acoustic performance and robustness to unstructured conditions. The proposed strategy is anticipated to enhance the design of wearable audio interfaces for real‐world applications.</w:t>
      </w:r>
    </w:p>
    <w:p>
      <w:pPr>
        <w:spacing w:before="120" w:after="120"/>
      </w:pPr>
      <w:r>
        <w:rPr>
          <w:sz w:val="18"/>
        </w:rPr>
        <w:t>——————————————————————————————————————————————————————————————————————</w:t>
      </w:r>
    </w:p>
    <w:p>
      <w:pPr>
        <w:spacing w:before="160" w:after="80" w:line="240" w:lineRule="auto"/>
      </w:pPr>
      <w:r>
        <w:rPr>
          <w:b/>
        </w:rPr>
        <w:t xml:space="preserve">[674] </w:t>
      </w:r>
      <w:hyperlink r:id="rId1219">
        <w:r>
          <w:rPr>
            <w:color w:val="1155CC"/>
            <w:u w:val="single"/>
          </w:rPr>
          <w:t>Temporally Reconfigurable Reservoir Computing with Flexible Electrolyte‐Gated TFTs for High‐Performance Neuromorphic Processing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20">
        <w:r>
          <w:rPr>
            <w:color w:val="1155CC"/>
            <w:u w:val="single"/>
          </w:rPr>
          <w:t>10.1002/adma.202507979</w:t>
        </w:r>
      </w:hyperlink>
    </w:p>
    <w:p>
      <w:pPr>
        <w:spacing w:before="0" w:after="120"/>
      </w:pPr>
      <w:r>
        <w:rPr>
          <w:b/>
        </w:rPr>
        <w:t xml:space="preserve">Notes: </w:t>
      </w:r>
      <w:r>
        <w:t>abstract_source=crossref</w:t>
      </w:r>
    </w:p>
    <w:p>
      <w:pPr>
        <w:spacing w:before="0" w:after="200" w:lineRule="auto" w:line="276"/>
      </w:pPr>
      <w:r>
        <w:rPr>
          <w:b/>
        </w:rPr>
        <w:t xml:space="preserve">Abstract: </w:t>
      </w:r>
      <w:r>
        <w:t>Reservoir computing (RC), a brain‐inspired neuromorphic algorithm, offers simplicity and efficiency for processing spatiotemporal signals. However, conventional RC systems face limitations in handling diverse temporal scales and spatial complexities due to invariant temporal dynamics. This study introduces a temporally reconfigurable RC system utilizing ultrathin, flexible, all‐solid‐state electrolyte‐gated thin‐film transistors (UFLEX TFTs) with high performance: an on/off ratio of ≈10</w:t>
      </w:r>
      <w:r>
        <w:rPr>
          <w:vertAlign w:val="subscript"/>
        </w:rPr>
        <w:t>7</w:t>
      </w:r>
      <w:r>
        <w:t>, endurance beyond 2.5 × 10</w:t>
      </w:r>
      <w:r>
        <w:rPr>
          <w:vertAlign w:val="subscript"/>
        </w:rPr>
        <w:t>4</w:t>
      </w:r>
      <w:r>
        <w:t>pulses, and low variability. UFLEX TFTs, based on molybdenum disulfide (MoS</w:t>
      </w:r>
      <w:r>
        <w:rPr>
          <w:vertAlign w:val="subscript"/>
        </w:rPr>
        <w:t>2</w:t>
      </w:r>
      <w:r>
        <w:t>) channels and organic–inorganic hybrid AlO</w:t>
      </w:r>
      <w:r>
        <w:t xml:space="preserve"> </w:t>
      </w:r>
      <w:r>
        <w:t>x</w:t>
      </w:r>
      <w:r>
        <w:t xml:space="preserve"> </w:t>
      </w:r>
      <w:r>
        <w:t>dielectrics, enable modulation of temporal dynamics via simple electrical signals. The system maintains mechanical flexibility and robust performance after bending tests. By extracting features across varied temporal and spatial scales, it achieves classification accuracies of 90.3% for CIFAR‐10 object images and 81.8% for NIH chest X‐ray images. This work lays a foundation for flexible neuromorphic hardware systems capable of efficient, high‐performance spatiotemporal signal processing.</w:t>
      </w:r>
    </w:p>
    <w:p>
      <w:pPr>
        <w:spacing w:before="120" w:after="120"/>
      </w:pPr>
      <w:r>
        <w:rPr>
          <w:sz w:val="18"/>
        </w:rPr>
        <w:t>——————————————————————————————————————————————————————————————————————</w:t>
      </w:r>
    </w:p>
    <w:p>
      <w:pPr>
        <w:spacing w:before="160" w:after="80" w:line="240" w:lineRule="auto"/>
      </w:pPr>
      <w:r>
        <w:rPr>
          <w:b/>
        </w:rPr>
        <w:t xml:space="preserve">[675] </w:t>
      </w:r>
      <w:hyperlink r:id="rId1221">
        <w:r>
          <w:rPr>
            <w:color w:val="1155CC"/>
            <w:u w:val="single"/>
          </w:rPr>
          <w:t>Inter‐Ring Bonding Electron Donor Structure Triggers Efficient Two‐Electron Water Oxidation for Photocatalytic Hydrogen Peroxide Synthesis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22">
        <w:r>
          <w:rPr>
            <w:color w:val="1155CC"/>
            <w:u w:val="single"/>
          </w:rPr>
          <w:t>10.1002/adma.202507961</w:t>
        </w:r>
      </w:hyperlink>
    </w:p>
    <w:p>
      <w:pPr>
        <w:spacing w:before="0" w:after="120"/>
      </w:pPr>
      <w:r>
        <w:rPr>
          <w:b/>
        </w:rPr>
        <w:t xml:space="preserve">Notes: </w:t>
      </w:r>
      <w:r>
        <w:t>abstract_source=crossref</w:t>
      </w:r>
    </w:p>
    <w:p>
      <w:pPr>
        <w:spacing w:before="0" w:after="200" w:lineRule="auto" w:line="276"/>
      </w:pPr>
      <w:r>
        <w:rPr>
          <w:b/>
        </w:rPr>
        <w:t xml:space="preserve">Abstract: </w:t>
      </w:r>
      <w:r>
        <w:t>Low water oxidation efficiency is a major barrier to efficient photocatalytic hydrogen peroxide (H</w:t>
      </w:r>
      <w:r>
        <w:rPr>
          <w:vertAlign w:val="subscript"/>
        </w:rPr>
        <w:t>2</w:t>
      </w:r>
      <w:r>
        <w:t>O</w:t>
      </w:r>
      <w:r>
        <w:rPr>
          <w:vertAlign w:val="subscript"/>
        </w:rPr>
        <w:t>2</w:t>
      </w:r>
      <w:r>
        <w:t>) synthesis under sacrificial agent‐free conditions. Among various water oxidation pathways, the two‐electron water oxidation reaction (2e</w:t>
      </w:r>
      <w:r>
        <w:t xml:space="preserve"> </w:t>
      </w:r>
      <w:r>
        <w:t>−</w:t>
      </w:r>
      <w:r>
        <w:t>WOR) is promising due to its direct H</w:t>
      </w:r>
      <w:r>
        <w:rPr>
          <w:vertAlign w:val="subscript"/>
        </w:rPr>
        <w:t>2</w:t>
      </w:r>
      <w:r>
        <w:t>O</w:t>
      </w:r>
      <w:r>
        <w:rPr>
          <w:vertAlign w:val="subscript"/>
        </w:rPr>
        <w:t>2</w:t>
      </w:r>
      <w:r>
        <w:t>generation and kinetic advantages. However, effective strategies to trigger the efficient 2e</w:t>
      </w:r>
      <w:r>
        <w:t xml:space="preserve"> </w:t>
      </w:r>
      <w:r>
        <w:t>−</w:t>
      </w:r>
      <w:r>
        <w:t>WOR remain insufficient. In this study, conjugated polymers with alternating electron donor and acceptor units are designed and synthesized. By introducing an inter‐ring bonding electron donor structure with two linked phenyl rings, the efficient 2e</w:t>
      </w:r>
      <w:r>
        <w:t xml:space="preserve"> </w:t>
      </w:r>
      <w:r>
        <w:t>−</w:t>
      </w:r>
      <w:r>
        <w:t>WOR is initiated, increasing H</w:t>
      </w:r>
      <w:r>
        <w:rPr>
          <w:vertAlign w:val="subscript"/>
        </w:rPr>
        <w:t>2</w:t>
      </w:r>
      <w:r>
        <w:t>O</w:t>
      </w:r>
      <w:r>
        <w:rPr>
          <w:vertAlign w:val="subscript"/>
        </w:rPr>
        <w:t>2</w:t>
      </w:r>
      <w:r>
        <w:t>synthesis efficiency from 1657 to 4401 µmol g</w:t>
      </w:r>
      <w:r>
        <w:t xml:space="preserve"> </w:t>
      </w:r>
      <w:r>
        <w:t>−1</w:t>
      </w:r>
      <w:r>
        <w:t xml:space="preserve"> </w:t>
      </w:r>
      <w:r>
        <w:t>h</w:t>
      </w:r>
      <w:r>
        <w:t xml:space="preserve"> </w:t>
      </w:r>
      <w:r>
        <w:t>−1</w:t>
      </w:r>
      <w:r>
        <w:t xml:space="preserve"> </w:t>
      </w:r>
      <w:r>
        <w:t>and achieving a solar‐to‐chemical conversion (SCC) efficiency of 1.25%. In‐depth studies reveal that the 2e</w:t>
      </w:r>
      <w:r>
        <w:t xml:space="preserve"> </w:t>
      </w:r>
      <w:r>
        <w:t>−</w:t>
      </w:r>
      <w:r>
        <w:t>WOR is initiated by the inter‐ring bonding electron donor structure, which enhances electron delocalization in the highest occupied molecular orbital (HOMO), increasing the valence band potential from 1.6 to 1.8 V, thereby meeting the oxidation potential required for the 2e</w:t>
      </w:r>
      <w:r>
        <w:t xml:space="preserve"> </w:t>
      </w:r>
      <w:r>
        <w:t>−</w:t>
      </w:r>
      <w:r>
        <w:t>WOR. Additionally, this structure promotes hole accumulation at low‐energy barrier sites, boosting water oxidation efficiency from 874 to 2767 µmol g</w:t>
      </w:r>
      <w:r>
        <w:t xml:space="preserve"> </w:t>
      </w:r>
      <w:r>
        <w:t>−1</w:t>
      </w:r>
      <w:r>
        <w:t xml:space="preserve"> </w:t>
      </w:r>
      <w:r>
        <w:t>h</w:t>
      </w:r>
      <w:r>
        <w:t xml:space="preserve"> </w:t>
      </w:r>
      <w:r>
        <w:t>−1</w:t>
      </w:r>
      <w:r>
        <w:t xml:space="preserve"> </w:t>
      </w:r>
      <w:r>
        <w:t>. This work presents a promising strategy for improving photocatalytic water oxidation efficiency, advancing sustainable H</w:t>
      </w:r>
      <w:r>
        <w:rPr>
          <w:vertAlign w:val="subscript"/>
        </w:rPr>
        <w:t>2</w:t>
      </w:r>
      <w:r>
        <w:t>O</w:t>
      </w:r>
      <w:r>
        <w:rPr>
          <w:vertAlign w:val="subscript"/>
        </w:rPr>
        <w:t>2</w:t>
      </w:r>
      <w:r>
        <w:t>production.</w:t>
      </w:r>
    </w:p>
    <w:p>
      <w:pPr>
        <w:spacing w:before="120" w:after="120"/>
      </w:pPr>
      <w:r>
        <w:rPr>
          <w:sz w:val="18"/>
        </w:rPr>
        <w:t>——————————————————————————————————————————————————————————————————————</w:t>
      </w:r>
    </w:p>
    <w:p>
      <w:pPr>
        <w:spacing w:before="160" w:after="80" w:line="240" w:lineRule="auto"/>
      </w:pPr>
      <w:r>
        <w:rPr>
          <w:b/>
        </w:rPr>
        <w:t xml:space="preserve">[676] </w:t>
      </w:r>
      <w:hyperlink r:id="rId1223">
        <w:r>
          <w:rPr>
            <w:color w:val="1155CC"/>
            <w:u w:val="single"/>
          </w:rPr>
          <w:t>Phase Stabilization of In2Se3 by Disordered Ni Intercalation and its Enhanced Thermoelectrical Performance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24">
        <w:r>
          <w:rPr>
            <w:color w:val="1155CC"/>
            <w:u w:val="single"/>
          </w:rPr>
          <w:t>10.1002/adma.202507536</w:t>
        </w:r>
      </w:hyperlink>
    </w:p>
    <w:p>
      <w:pPr>
        <w:spacing w:before="0" w:after="120"/>
      </w:pPr>
      <w:r>
        <w:rPr>
          <w:b/>
        </w:rPr>
        <w:t xml:space="preserve">Notes: </w:t>
      </w:r>
      <w:r>
        <w:t>abstract_source=crossref</w:t>
      </w:r>
    </w:p>
    <w:p>
      <w:pPr>
        <w:spacing w:before="0" w:after="200" w:lineRule="auto" w:line="276"/>
      </w:pPr>
      <w:r>
        <w:rPr>
          <w:b/>
        </w:rPr>
        <w:t xml:space="preserve">Abstract: </w:t>
      </w:r>
      <w:r>
        <w:t>Van der Waals (vdW) layered materials have gained significant attention owing to their distinctive structure and unique properties. The weak interlayer bonding in vdW layered materials enables guest atom intercalation, allowing precise tuning of their physical and chemical properties. In this work, a ternary compound, Ni</w:t>
      </w:r>
      <w:r>
        <w:t xml:space="preserve"> </w:t>
      </w:r>
      <w:r>
        <w:t>x</w:t>
      </w:r>
      <w:r>
        <w:t xml:space="preserve"> </w:t>
      </w:r>
      <w:r>
        <w:t>In</w:t>
      </w:r>
      <w:r>
        <w:rPr>
          <w:vertAlign w:val="subscript"/>
        </w:rPr>
        <w:t>2</w:t>
      </w:r>
      <w:r>
        <w:t>Se</w:t>
      </w:r>
      <w:r>
        <w:rPr>
          <w:vertAlign w:val="subscript"/>
        </w:rPr>
        <w:t>3</w:t>
      </w:r>
      <w:r>
        <w:t>(x = 0–0.3), with Ni randomly occupying the interlayers of In</w:t>
      </w:r>
      <w:r>
        <w:rPr>
          <w:vertAlign w:val="subscript"/>
        </w:rPr>
        <w:t>2</w:t>
      </w:r>
      <w:r>
        <w:t>Se</w:t>
      </w:r>
      <w:r>
        <w:rPr>
          <w:vertAlign w:val="subscript"/>
        </w:rPr>
        <w:t>3</w:t>
      </w:r>
      <w:r>
        <w:t>, is synthesized via an intercalation route driven by electron injection. The intercalated Ni atoms act as “anchor points” within the interlayer of In</w:t>
      </w:r>
      <w:r>
        <w:rPr>
          <w:vertAlign w:val="subscript"/>
        </w:rPr>
        <w:t>2</w:t>
      </w:r>
      <w:r>
        <w:t>Se</w:t>
      </w:r>
      <w:r>
        <w:rPr>
          <w:vertAlign w:val="subscript"/>
        </w:rPr>
        <w:t>3</w:t>
      </w:r>
      <w:r>
        <w:t>, which effectively suppresses the phase transition of In</w:t>
      </w:r>
      <w:r>
        <w:rPr>
          <w:vertAlign w:val="subscript"/>
        </w:rPr>
        <w:t>2</w:t>
      </w:r>
      <w:r>
        <w:t>Se</w:t>
      </w:r>
      <w:r>
        <w:rPr>
          <w:vertAlign w:val="subscript"/>
        </w:rPr>
        <w:t>3</w:t>
      </w:r>
      <w:r>
        <w:t>at elevated temperatures. Furthermore, the disordered Ni intercalation significantly enhanced the electrical conductivity of In</w:t>
      </w:r>
      <w:r>
        <w:rPr>
          <w:vertAlign w:val="subscript"/>
        </w:rPr>
        <w:t>2</w:t>
      </w:r>
      <w:r>
        <w:t>Se</w:t>
      </w:r>
      <w:r>
        <w:rPr>
          <w:vertAlign w:val="subscript"/>
        </w:rPr>
        <w:t>3</w:t>
      </w:r>
      <w:r>
        <w:t>through electron injection, while reducing the thermal conductivity due to the interlayer phonon scattering, leading to an improved thermoelectric performance. For instance, the thermoelectric figure of merit (ZT) of Ni</w:t>
      </w:r>
      <w:r>
        <w:t xml:space="preserve"> </w:t>
      </w:r>
      <w:r>
        <w:t>0.3</w:t>
      </w:r>
      <w:r>
        <w:t xml:space="preserve"> </w:t>
      </w:r>
      <w:r>
        <w:t>In</w:t>
      </w:r>
      <w:r>
        <w:rPr>
          <w:vertAlign w:val="subscript"/>
        </w:rPr>
        <w:t>2</w:t>
      </w:r>
      <w:r>
        <w:t>Se</w:t>
      </w:r>
      <w:r>
        <w:rPr>
          <w:vertAlign w:val="subscript"/>
        </w:rPr>
        <w:t>3</w:t>
      </w:r>
      <w:r>
        <w:t>increased by 86% (in‐plane) and 222% (out‐of‐plane) compared to In</w:t>
      </w:r>
      <w:r>
        <w:rPr>
          <w:vertAlign w:val="subscript"/>
        </w:rPr>
        <w:t>2</w:t>
      </w:r>
      <w:r>
        <w:t>Se</w:t>
      </w:r>
      <w:r>
        <w:rPr>
          <w:vertAlign w:val="subscript"/>
        </w:rPr>
        <w:t>3</w:t>
      </w:r>
      <w:r>
        <w:t>at 500 °C. These findings not only provide an effective strategy to enhance the performance of layered thermoelectric materials but also demonstrate the potential of intercalation chemistry for expanding the application scope of van der Waals (vdW) layered materials.</w:t>
      </w:r>
    </w:p>
    <w:p>
      <w:pPr>
        <w:spacing w:before="120" w:after="120"/>
      </w:pPr>
      <w:r>
        <w:rPr>
          <w:sz w:val="18"/>
        </w:rPr>
        <w:t>——————————————————————————————————————————————————————————————————————</w:t>
      </w:r>
    </w:p>
    <w:p>
      <w:pPr>
        <w:spacing w:before="160" w:after="80" w:line="240" w:lineRule="auto"/>
      </w:pPr>
      <w:r>
        <w:rPr>
          <w:b/>
        </w:rPr>
        <w:t xml:space="preserve">[677] </w:t>
      </w:r>
      <w:hyperlink r:id="rId1225">
        <w:r>
          <w:rPr>
            <w:color w:val="1155CC"/>
            <w:u w:val="single"/>
          </w:rPr>
          <w:t>Diatom‐Inspired Scaffold for Infected Bone Defect Therapy: Achieving Stable Photothermal Properties and Coordinated Antibacterial‐Osteogenic Functions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26">
        <w:r>
          <w:rPr>
            <w:color w:val="1155CC"/>
            <w:u w:val="single"/>
          </w:rPr>
          <w:t>10.1002/adma.202509997</w:t>
        </w:r>
      </w:hyperlink>
    </w:p>
    <w:p>
      <w:pPr>
        <w:spacing w:before="0" w:after="120"/>
      </w:pPr>
      <w:r>
        <w:rPr>
          <w:b/>
        </w:rPr>
        <w:t xml:space="preserve">Notes: </w:t>
      </w:r>
      <w:r>
        <w:t>abstract_source=crossref</w:t>
      </w:r>
    </w:p>
    <w:p>
      <w:pPr>
        <w:spacing w:before="0" w:after="200" w:lineRule="auto" w:line="276"/>
      </w:pPr>
      <w:r>
        <w:rPr>
          <w:b/>
        </w:rPr>
        <w:t xml:space="preserve">Abstract: </w:t>
      </w:r>
      <w:r>
        <w:t>Bone defect therapy frequently encounters bacterial infections and chronic inflammation, which impair bone regeneration and threaten implant stability. Iron oxide nanoparticles have attracted attention due to cost‐effectiveness, biocompatibility, and metabolic safety. However, iron oxide nanoparticles still struggle to balance low‐temperature efficient antibacterial activity, effective immunomodulation, and bone regeneration. Therefore, inspired by diatoms, a multifunctional bone repair scaffold based on chitosan‐hydroxyapatite (CH) is developed by integrating the multifunctional properties of copper‐doped iron goethite (Fe(Cu)OOH) nanoparticles and a mesoporous SiO</w:t>
      </w:r>
      <w:r>
        <w:rPr>
          <w:vertAlign w:val="subscript"/>
        </w:rPr>
        <w:t>2</w:t>
      </w:r>
      <w:r>
        <w:t>protective layer (CH/FeCu@SiO</w:t>
      </w:r>
      <w:r>
        <w:rPr>
          <w:vertAlign w:val="subscript"/>
        </w:rPr>
        <w:t>2</w:t>
      </w:r>
      <w:r>
        <w:t>). The “cytoskeleton” CH scaffold stabilizes the nanoparticles and supports tissue growth. The “chloroplast” Fe(Cu)OOH and the “ frustule” SiO</w:t>
      </w:r>
      <w:r>
        <w:rPr>
          <w:vertAlign w:val="subscript"/>
        </w:rPr>
        <w:t>2</w:t>
      </w:r>
      <w:r>
        <w:t>layer synergistically capture near‐infrared (NIR) light to generate localized mild hyperthermia (≈42 °C), with the release of Cu</w:t>
      </w:r>
      <w:r>
        <w:t xml:space="preserve"> </w:t>
      </w:r>
      <w:r>
        <w:t>2+</w:t>
      </w:r>
      <w:r>
        <w:t xml:space="preserve"> </w:t>
      </w:r>
      <w:r>
        <w:t>to achieve antibacterial effects (&amp;gt;99%). In addition, Fe(Cu)OOH exhibits enzyme‐like antioxidant activity, scavenging reactive oxygen species (ROS) (69.20%) and thereby promoting M2 macrophage polarization (1.64‐fold), which protects stem cells and creates osteogenic immune microenvironment. Moreover, the mild hyperthermia and ion release upregulate the TGF‐β signaling pathway and inhibit osteoclast differentiation, promoting vascularized bone regeneration and defect repair (1.3‐fold). Overall, this biomimetic scaffold, enabling synergistic antibacterial, immunomodulatory, and osteogenic activities, offers a promising therapeutic strategy for infectious bone defects treatment.</w:t>
      </w:r>
    </w:p>
    <w:p>
      <w:pPr>
        <w:spacing w:before="120" w:after="120"/>
      </w:pPr>
      <w:r>
        <w:rPr>
          <w:sz w:val="18"/>
        </w:rPr>
        <w:t>——————————————————————————————————————————————————————————————————————</w:t>
      </w:r>
    </w:p>
    <w:p>
      <w:pPr>
        <w:spacing w:before="160" w:after="80" w:line="240" w:lineRule="auto"/>
      </w:pPr>
      <w:r>
        <w:rPr>
          <w:b/>
        </w:rPr>
        <w:t xml:space="preserve">[678] </w:t>
      </w:r>
      <w:hyperlink r:id="rId1227">
        <w:r>
          <w:rPr>
            <w:color w:val="1155CC"/>
            <w:u w:val="single"/>
          </w:rPr>
          <w:t>Microstructure Optimization via Grain‐Boundary Segregation to Enhance DC Bias Dielectric Performance of BaTiO3 Multilayer Ceramic Capacitors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28">
        <w:r>
          <w:rPr>
            <w:color w:val="1155CC"/>
            <w:u w:val="single"/>
          </w:rPr>
          <w:t>10.1002/adma.202507233</w:t>
        </w:r>
      </w:hyperlink>
    </w:p>
    <w:p>
      <w:pPr>
        <w:spacing w:before="0" w:after="120"/>
      </w:pPr>
      <w:r>
        <w:rPr>
          <w:b/>
        </w:rPr>
        <w:t xml:space="preserve">Notes: </w:t>
      </w:r>
      <w:r>
        <w:t>abstract_source=crossref</w:t>
      </w:r>
    </w:p>
    <w:p>
      <w:pPr>
        <w:spacing w:before="0" w:after="200" w:lineRule="auto" w:line="276"/>
      </w:pPr>
      <w:r>
        <w:rPr>
          <w:b/>
        </w:rPr>
        <w:t xml:space="preserve">Abstract: </w:t>
      </w:r>
      <w:r>
        <w:t>BaTiO₃‐based multilayer ceramic capacitors (MLCCs) are essential components in modern electronics. To enhance overall capacitance, achieving thinner ceramic layers has become a primary issue. However, this introduces two major challenges: controlling grain size during processing and ensuring stability under high electric fields. In this study, a novel strategy employing single‐element additives such as Fe</w:t>
      </w:r>
      <w:r>
        <w:rPr>
          <w:vertAlign w:val="subscript"/>
        </w:rPr>
        <w:t>3</w:t>
      </w:r>
      <w:r>
        <w:t>⁺ and Ni</w:t>
      </w:r>
      <w:r>
        <w:rPr>
          <w:vertAlign w:val="subscript"/>
        </w:rPr>
        <w:t>2</w:t>
      </w:r>
      <w:r>
        <w:t>⁺ is presented to effectively suppress grain growth. These additives strongly segregate at grain boundaries, thereby limiting grain coarsening during sintering and enabling fine‐grained microstructures. The optimized BaTiO₃ samples, free of costly rare‐earth elements, exhibit stable high permittivity (≈10</w:t>
      </w:r>
      <w:r>
        <w:rPr>
          <w:vertAlign w:val="subscript"/>
        </w:rPr>
        <w:t>3</w:t>
      </w:r>
      <w:r>
        <w:t>), low dielectric loss, and improved reliability across varying temperatures and frequencies. More importantly, we identify the ideal grain size of ≈200 nm for maximizing capacitance under a DC bias exceeding 4 V µm</w:t>
      </w:r>
      <w:r>
        <w:t xml:space="preserve"> </w:t>
      </w:r>
      <w:r>
        <w:t>−1</w:t>
      </w:r>
      <w:r>
        <w:t xml:space="preserve"> </w:t>
      </w:r>
      <w:r>
        <w:t>. The findings suggest that further reducing the dielectric layer thickness to 200 nm represents a promising direction for future MLCCs.</w:t>
      </w:r>
    </w:p>
    <w:p>
      <w:pPr>
        <w:spacing w:before="120" w:after="120"/>
      </w:pPr>
      <w:r>
        <w:rPr>
          <w:sz w:val="18"/>
        </w:rPr>
        <w:t>——————————————————————————————————————————————————————————————————————</w:t>
      </w:r>
    </w:p>
    <w:p>
      <w:pPr>
        <w:spacing w:before="160" w:after="80" w:line="240" w:lineRule="auto"/>
      </w:pPr>
      <w:r>
        <w:rPr>
          <w:b/>
        </w:rPr>
        <w:t xml:space="preserve">[679] </w:t>
      </w:r>
      <w:hyperlink r:id="rId1229">
        <w:r>
          <w:rPr>
            <w:color w:val="1155CC"/>
            <w:u w:val="single"/>
          </w:rPr>
          <w:t>Simultaneous Interfacial Defect Passivation and Free‐Volume Reduction by Fluorinated Hole Transport Materials for High‐Performance Perovskite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30">
        <w:r>
          <w:rPr>
            <w:color w:val="1155CC"/>
            <w:u w:val="single"/>
          </w:rPr>
          <w:t>10.1002/adma.202513884</w:t>
        </w:r>
      </w:hyperlink>
    </w:p>
    <w:p>
      <w:pPr>
        <w:spacing w:before="0" w:after="120"/>
      </w:pPr>
      <w:r>
        <w:rPr>
          <w:b/>
        </w:rPr>
        <w:t xml:space="preserve">Notes: </w:t>
      </w:r>
      <w:r>
        <w:t>abstract_source=crossref</w:t>
      </w:r>
    </w:p>
    <w:p>
      <w:pPr>
        <w:spacing w:before="0" w:after="200" w:lineRule="auto" w:line="276"/>
      </w:pPr>
      <w:r>
        <w:rPr>
          <w:b/>
        </w:rPr>
        <w:t xml:space="preserve">Abstract: </w:t>
      </w:r>
      <w:r>
        <w:t>Interfacial defects and free‐volume between the perovskite layer and hole transport material (HTM) critically impact the efficiency and stability of perovskite solar cells (PSCs). In this work, the interfacial issues of the PSCs are addressed by strategically modulating the fluorine distribution in</w:t>
      </w:r>
      <w:r>
        <w:t xml:space="preserve"> </w:t>
      </w:r>
      <w:r>
        <w:t>N,N</w:t>
      </w:r>
      <w:r>
        <w:t xml:space="preserve"> </w:t>
      </w:r>
      <w:r>
        <w:t>′‐bicarbazole (BCz)‐based HTMs, specifically, fluorine is introduced either asymmetrically and symmetrically on the peripheral groups, yielding AdF‐BCz and SdF‐BCz, respectively. Through a combination of experimental characterization and atomistic molecular dynamics simulations, it is demonstrated that AdF‐BCz exhibits superior interfacial passivation stability against Pb</w:t>
      </w:r>
      <w:r>
        <w:t xml:space="preserve"> </w:t>
      </w:r>
      <w:r>
        <w:t>2+</w:t>
      </w:r>
      <w:r>
        <w:t xml:space="preserve"> </w:t>
      </w:r>
      <w:r>
        <w:t>and I</w:t>
      </w:r>
      <w:r>
        <w:t xml:space="preserve"> </w:t>
      </w:r>
      <w:r>
        <w:t>–</w:t>
      </w:r>
      <w:r>
        <w:t xml:space="preserve"> </w:t>
      </w:r>
      <w:r>
        <w:t>related defects, as well as stronger adhesion to the perovskite surface compared to the fluorine‐free NF‐BCz and symmetrically substituted SdF‐BCz. Moreover, AdF‐BCz reduces interfacial free‐volume, promotes more intimate contact at the interface, and enhances the suppression of ion migration and perovskite degradation. Consequently, the PSCs fabricated with AdF‐BCz achieved a notable efficiency of 25.35%, outperforming devices based on SdF‐BCz (23.12%) and NF‐BCz (24.2%). Furthermore, unencapsulated AdF‐BCz based PSCs exhibit respectable stability, retaining 97% of their initial efficiencies after 2000 h under 30% relative humidity and 82% after 300 h of continuous heating at 85 °C.</w:t>
      </w:r>
    </w:p>
    <w:p>
      <w:pPr>
        <w:spacing w:before="120" w:after="120"/>
      </w:pPr>
      <w:r>
        <w:rPr>
          <w:sz w:val="18"/>
        </w:rPr>
        <w:t>——————————————————————————————————————————————————————————————————————</w:t>
      </w:r>
    </w:p>
    <w:p>
      <w:pPr>
        <w:spacing w:before="160" w:after="80" w:line="240" w:lineRule="auto"/>
      </w:pPr>
      <w:r>
        <w:rPr>
          <w:b/>
        </w:rPr>
        <w:t xml:space="preserve">[680] </w:t>
      </w:r>
      <w:hyperlink r:id="rId1231">
        <w:r>
          <w:rPr>
            <w:color w:val="1155CC"/>
            <w:u w:val="single"/>
          </w:rPr>
          <w:t>Terahertz Electronic and Spin Currents in Wafer‐Scale Van der Waals Bi2Se3/WSe2 Heterostructures and Polymorphs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32">
        <w:r>
          <w:rPr>
            <w:color w:val="1155CC"/>
            <w:u w:val="single"/>
          </w:rPr>
          <w:t>10.1002/adma.202506031</w:t>
        </w:r>
      </w:hyperlink>
    </w:p>
    <w:p>
      <w:pPr>
        <w:spacing w:before="0" w:after="120"/>
      </w:pPr>
      <w:r>
        <w:rPr>
          <w:b/>
        </w:rPr>
        <w:t xml:space="preserve">Notes: </w:t>
      </w:r>
      <w:r>
        <w:t>abstract_source=crossref</w:t>
      </w:r>
    </w:p>
    <w:p>
      <w:pPr>
        <w:spacing w:before="0" w:after="200" w:lineRule="auto" w:line="276"/>
      </w:pPr>
      <w:r>
        <w:rPr>
          <w:b/>
        </w:rPr>
        <w:t xml:space="preserve">Abstract: </w:t>
      </w:r>
      <w:r>
        <w:t>Van der Waals heterostructures and polymorphs have promised the realization of artificial materials with multiple physical phenomena such as giant optical nonlinearities, spin‐to‐charge interconversion in spintronics and topological carrier protection, through an infinitely diverse set of 2D quantum materials and their stacking order in a single layered device. However, their exploitation for the terahertz range has been limited with most investigations based around the optical domain, owing to the use of exfoliated material that inherently limits both the dimensions of the materials and the scalability for applications. Here, the combination of terahertz electronic and spin currents is demonstrated through the realization of large area complex crystalline heterostructures of topological insulators, transition metal dichalcogenides (TMDs) and ferromagnets. This is demonstrated through down‐conversion of optical beams into coherent terahertz currents, where the terahertz phase permits the decoupling of the physical phenomena, and bringing novel functionalities beyond those achievable in simple homostructures. In particular, the role of different TMD polymorphs (stacking orders ‐ 1T′, 2H, and 3R) is shown with the simple change of one atomic monolayer of the material stack entirely changing the terahertz responses – both electrical and magnetic ‐ of the artificial material. This allows to highlight ultrafast phenomena that combine both the electronic‐ and spin‐based processes in these structures. The importance of the crystal symmetry on the magnetic properties through proximity effects is further demonstrated, showing a nonlinearity of magnetic origin as a result of the 1T′ polymorph. As well as control of the terahertz currents through different polymorphs, this scalable integration of a set of highly diverse materials establishes a platform for next‐generation 2D heterostructures that integrate photonic, electronic, and spintronic properties into device architectures.</w:t>
      </w:r>
    </w:p>
    <w:p>
      <w:pPr>
        <w:spacing w:before="120" w:after="120"/>
      </w:pPr>
      <w:r>
        <w:rPr>
          <w:sz w:val="18"/>
        </w:rPr>
        <w:t>——————————————————————————————————————————————————————————————————————</w:t>
      </w:r>
    </w:p>
    <w:p>
      <w:pPr>
        <w:spacing w:before="160" w:after="80" w:line="240" w:lineRule="auto"/>
      </w:pPr>
      <w:r>
        <w:rPr>
          <w:b/>
        </w:rPr>
        <w:t xml:space="preserve">[681] </w:t>
      </w:r>
      <w:hyperlink r:id="rId1233">
        <w:r>
          <w:rPr>
            <w:color w:val="1155CC"/>
            <w:u w:val="single"/>
          </w:rPr>
          <w:t>Light‐Activated Micromotors in Air Propelled by Thermal Convection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34">
        <w:r>
          <w:rPr>
            <w:color w:val="1155CC"/>
            <w:u w:val="single"/>
          </w:rPr>
          <w:t>10.1002/adma.202505959</w:t>
        </w:r>
      </w:hyperlink>
    </w:p>
    <w:p>
      <w:pPr>
        <w:spacing w:before="0" w:after="120"/>
      </w:pPr>
      <w:r>
        <w:rPr>
          <w:b/>
        </w:rPr>
        <w:t xml:space="preserve">Notes: </w:t>
      </w:r>
      <w:r>
        <w:t>abstract_source=crossref</w:t>
      </w:r>
    </w:p>
    <w:p>
      <w:pPr>
        <w:spacing w:before="0" w:after="200" w:lineRule="auto" w:line="276"/>
      </w:pPr>
      <w:r>
        <w:rPr>
          <w:b/>
        </w:rPr>
        <w:t xml:space="preserve">Abstract: </w:t>
      </w:r>
      <w:r>
        <w:t>Micromotors are an attractive cutting‐edge technology that exhibit controllable motion in response to chemical reactions or external stimuli. These nature‐inspired materials are widely explored for use in environmental remediation, and drug delivery, other emerging applications. Until now, the micromotors field is restricted to applications in aqueous environments, as achieving controllable motion in air while overcoming gravity remains a significant challenge. Herein, for the first time, to our knowledge, we introduce a system capable of overcoming gravity to achieve light‐induced thermal convective motion in air, driven by near‐infrared light excitation. The micromotors are composed of spiky, pollen‐like ZnO microparticles coated with gold nanoparticles, which interact photothermally with the NIR light, generating a thermal gradient that induces propulsion of the micromotor system. Lanthanide‐doped upconverting nanoparticles are deposited onto the micromotor surface to enable nanothermometric monitoring of surface temperature, providing critical information needed to describe the system's thermal behavior in air. This micromotor platform provides a versatile approach to overcome gravity and induce a controllable movement in a gaseous matrix, opening new opportunities to develop proof‐of‐concepts and applications using this aerodynamic micromotor approach.</w:t>
      </w:r>
    </w:p>
    <w:p>
      <w:pPr>
        <w:spacing w:before="120" w:after="120"/>
      </w:pPr>
      <w:r>
        <w:rPr>
          <w:sz w:val="18"/>
        </w:rPr>
        <w:t>——————————————————————————————————————————————————————————————————————</w:t>
      </w:r>
    </w:p>
    <w:p>
      <w:pPr>
        <w:spacing w:before="160" w:after="80" w:line="240" w:lineRule="auto"/>
      </w:pPr>
      <w:r>
        <w:rPr>
          <w:b/>
        </w:rPr>
        <w:t xml:space="preserve">[682] </w:t>
      </w:r>
      <w:hyperlink r:id="rId1235">
        <w:r>
          <w:rPr>
            <w:color w:val="1155CC"/>
            <w:u w:val="single"/>
          </w:rPr>
          <w:t>Micro‐Strain Responsive Near‐Infrared Mechanoluminescence for Potential Nondestructive Artificial Joint Stress Imaging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36">
        <w:r>
          <w:rPr>
            <w:color w:val="1155CC"/>
            <w:u w:val="single"/>
          </w:rPr>
          <w:t>10.1002/adma.202505360</w:t>
        </w:r>
      </w:hyperlink>
    </w:p>
    <w:p>
      <w:pPr>
        <w:spacing w:before="0" w:after="120"/>
      </w:pPr>
      <w:r>
        <w:rPr>
          <w:b/>
        </w:rPr>
        <w:t xml:space="preserve">Notes: </w:t>
      </w:r>
      <w:r>
        <w:t>abstract_source=crossref</w:t>
      </w:r>
    </w:p>
    <w:p>
      <w:pPr>
        <w:spacing w:before="0" w:after="200" w:lineRule="auto" w:line="276"/>
      </w:pPr>
      <w:r>
        <w:rPr>
          <w:b/>
        </w:rPr>
        <w:t xml:space="preserve">Abstract: </w:t>
      </w:r>
      <w:r>
        <w:t>Recently, joint replacement surgery is facing significant challenges of patient dissatisfaction and the need for revision procedures. In‐situ monitoring of stress stability at the site of artificial joint replacement during postoperative evaluation is important. Mechanoluminescence (ML), a novel “force to light” conversion technology, may be used to monitor such bio‐stress within tissues. However, this is hindered by ultraviolet–visible ML emission wavelength, low ML intensity, and high strain response sensitivity. Here, by incorporating Sb</w:t>
      </w:r>
      <w:r>
        <w:t xml:space="preserve"> </w:t>
      </w:r>
      <w:r>
        <w:t>3+</w:t>
      </w:r>
      <w:r>
        <w:t xml:space="preserve"> </w:t>
      </w:r>
      <w:r>
        <w:t>ions into Sr</w:t>
      </w:r>
      <w:r>
        <w:rPr>
          <w:vertAlign w:val="subscript"/>
        </w:rPr>
        <w:t>3</w:t>
      </w:r>
      <w:r>
        <w:t>Sn</w:t>
      </w:r>
      <w:r>
        <w:rPr>
          <w:vertAlign w:val="subscript"/>
        </w:rPr>
        <w:t>2</w:t>
      </w:r>
      <w:r>
        <w:t>O</w:t>
      </w:r>
      <w:r>
        <w:rPr>
          <w:vertAlign w:val="subscript"/>
        </w:rPr>
        <w:t>7</w:t>
      </w:r>
      <w:r>
        <w:t>crystals, a highly strain‐responsive material, with ML originating from intrinsic defect emissions is obtained. The Sr</w:t>
      </w:r>
      <w:r>
        <w:rPr>
          <w:vertAlign w:val="subscript"/>
        </w:rPr>
        <w:t>3</w:t>
      </w:r>
      <w:r>
        <w:t>Sn</w:t>
      </w:r>
      <w:r>
        <w:t xml:space="preserve"> </w:t>
      </w:r>
      <w:r>
        <w:t>1.98</w:t>
      </w:r>
      <w:r>
        <w:t xml:space="preserve"> </w:t>
      </w:r>
      <w:r>
        <w:t>Sb</w:t>
      </w:r>
      <w:r>
        <w:t xml:space="preserve"> </w:t>
      </w:r>
      <w:r>
        <w:t>0.02</w:t>
      </w:r>
      <w:r>
        <w:t xml:space="preserve"> </w:t>
      </w:r>
      <w:r>
        <w:t>O</w:t>
      </w:r>
      <w:r>
        <w:t xml:space="preserve"> </w:t>
      </w:r>
      <w:r>
        <w:t>6.99</w:t>
      </w:r>
      <w:r>
        <w:t xml:space="preserve"> </w:t>
      </w:r>
      <w:r>
        <w:t>film produces detectable ML signals under compressive strain as low as 50 µst in the absence of biological tissue. After pre‐irradiating with red light through 15 mm of porcine tissue, ML signals can still be detected through the same tissue thickness. Notably, this material enabled real‐time stress imaging through 4 mm of porcine skin during mild finger joint bending. This work presents a novel methodological framework and proposes a new mechanism to defect ML. It offers a fresh perspective for designing high‐performance ML materials and lays the foundation for innovative research to enhance the functionality of artificial tissues and joints in living organism.</w:t>
      </w:r>
    </w:p>
    <w:p>
      <w:pPr>
        <w:spacing w:before="120" w:after="120"/>
      </w:pPr>
      <w:r>
        <w:rPr>
          <w:sz w:val="18"/>
        </w:rPr>
        <w:t>——————————————————————————————————————————————————————————————————————</w:t>
      </w:r>
    </w:p>
    <w:p>
      <w:pPr>
        <w:spacing w:before="160" w:after="80" w:line="240" w:lineRule="auto"/>
      </w:pPr>
      <w:r>
        <w:rPr>
          <w:b/>
        </w:rPr>
        <w:t xml:space="preserve">[683] </w:t>
      </w:r>
      <w:hyperlink r:id="rId1237">
        <w:r>
          <w:rPr>
            <w:color w:val="1155CC"/>
            <w:u w:val="single"/>
          </w:rPr>
          <w:t>Dynamic Regulation of Adaptive Butterfly‐Shaped Molecules via B←N Coordination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38">
        <w:r>
          <w:rPr>
            <w:color w:val="1155CC"/>
            <w:u w:val="single"/>
          </w:rPr>
          <w:t>10.1002/adma.202504455</w:t>
        </w:r>
      </w:hyperlink>
    </w:p>
    <w:p>
      <w:pPr>
        <w:spacing w:before="0" w:after="120"/>
      </w:pPr>
      <w:r>
        <w:rPr>
          <w:b/>
        </w:rPr>
        <w:t xml:space="preserve">Notes: </w:t>
      </w:r>
      <w:r>
        <w:t>abstract_source=crossref</w:t>
      </w:r>
    </w:p>
    <w:p>
      <w:pPr>
        <w:spacing w:before="0" w:after="200" w:lineRule="auto" w:line="276"/>
      </w:pPr>
      <w:r>
        <w:rPr>
          <w:b/>
        </w:rPr>
        <w:t xml:space="preserve">Abstract: </w:t>
      </w:r>
      <w:r>
        <w:t>Achieving dynamic control over stereostructures and electronic properties of rigid molecules remains a significant challenge due to the delicate balance between stability and flexibility. Here, the construction of butterfly‐shaped molecular junctions stabilized by moderate‐strength boron‐nitrogen (B←N) coordination between boraacenes and pyridines is reported. By leveraging the pivot‐like flexibility of B←N bonds, molecular conductance switching with on/off ratios exceeding 100 is achieved through force‐driven dynamic transitions between distinct stacking conformations. Single‐molecule electrical measurements combined with first‐principle calculations identify distinct charge transport mechanisms—through‐space and through‐bond—associated with the butterfly‐wing open and closed configurations. Furthermore, external factors like electric fields and substituent effects modulate</w:t>
      </w:r>
      <w:r>
        <w:t xml:space="preserve"> </w:t>
      </w:r>
      <w:r>
        <w:t>π</w:t>
      </w:r>
      <w:r>
        <w:t xml:space="preserve"> </w:t>
      </w:r>
      <w:r>
        <w:t>–</w:t>
      </w:r>
      <w:r>
        <w:t xml:space="preserve"> </w:t>
      </w:r>
      <w:r>
        <w:t>π</w:t>
      </w:r>
      <w:r>
        <w:t xml:space="preserve"> </w:t>
      </w:r>
      <w:r>
        <w:t>interactions and charge transport properties. The introduction of destructive quantum interference effects can be achieved by replacing molecular units. The findings demonstrate that B←N coordination serves as a dynamically tunable linkage, offering a pathway to design molecular platforms with multifunctional units, customized stereo‐conformations, and quantum effects.</w:t>
      </w:r>
    </w:p>
    <w:p>
      <w:pPr>
        <w:spacing w:before="120" w:after="120"/>
      </w:pPr>
      <w:r>
        <w:rPr>
          <w:sz w:val="18"/>
        </w:rPr>
        <w:t>——————————————————————————————————————————————————————————————————————</w:t>
      </w:r>
    </w:p>
    <w:p>
      <w:pPr>
        <w:spacing w:before="160" w:after="80" w:line="240" w:lineRule="auto"/>
      </w:pPr>
      <w:r>
        <w:rPr>
          <w:b/>
        </w:rPr>
        <w:t xml:space="preserve">[684] </w:t>
      </w:r>
      <w:hyperlink r:id="rId1239">
        <w:r>
          <w:rPr>
            <w:color w:val="1155CC"/>
            <w:u w:val="single"/>
          </w:rPr>
          <w:t>Universal Method for Covalent Attachment of Hydrogels to Diverse Polymeric Surfaces for Biomedical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40">
        <w:r>
          <w:rPr>
            <w:color w:val="1155CC"/>
            <w:u w:val="single"/>
          </w:rPr>
          <w:t>10.1002/adma.202503524</w:t>
        </w:r>
      </w:hyperlink>
    </w:p>
    <w:p>
      <w:pPr>
        <w:spacing w:before="0" w:after="120"/>
      </w:pPr>
      <w:r>
        <w:rPr>
          <w:b/>
        </w:rPr>
        <w:t xml:space="preserve">Notes: </w:t>
      </w:r>
      <w:r>
        <w:t>abstract_source=crossref</w:t>
      </w:r>
    </w:p>
    <w:p>
      <w:pPr>
        <w:spacing w:before="0" w:after="200" w:lineRule="auto" w:line="276"/>
      </w:pPr>
      <w:r>
        <w:rPr>
          <w:b/>
        </w:rPr>
        <w:t xml:space="preserve">Abstract: </w:t>
      </w:r>
      <w:r>
        <w:t>Hydrogels, renowned for their biocompatibility and capacity to mimic biological tissues, are integral to many biomedical applications, such as implantable devices and wound dressings. However, their poor mechanical strength and the challenge of achieving durable adhesion to polymeric surfaces have hindered their broader utility. Current methods of creating hybrid solid‐hydrogel (HSH) structures often rely on complex chemical linkers, adding steps, cytotoxic risks, and scalability issues. Here, a novel, reagent‐free method that covalently bonds hydrogels to polymeric substrates directly via reactive oxygen species (ROS) generated by an atmospheric pressure plasma jet (APPJ) is introduced. Through an evaporation‐induced enhanced concentration (EIEC) approach, robust hydrogel layers are formed on ROS‐functionalized surfaces, eliminating the need for silane‐based linkers and achieving up to 60 kPa adhesion strength in wet conditions. This strategy offers robust hydrogel adhesion, reduces processing complexity, and preserves cytocompatibility, as demonstrated by the culture of human mesenchymal stem cells (hMSCs) and THP‐1 derived macrophages with minimal immune response. Applicable across various hydrogels, such as gelatin methacryloyl (GelMA), chitosan, and polymeric substrates, including Teflon, polyethylene, and polycaprolactone (PCL), this dry process holds substantial promise for integration into advanced biomanufacturing systems, such as 3D bioprinters, unlocking new potentials in tissue engineering and biomedical device fabrication.</w:t>
      </w:r>
    </w:p>
    <w:p>
      <w:pPr>
        <w:spacing w:before="120" w:after="120"/>
      </w:pPr>
      <w:r>
        <w:rPr>
          <w:sz w:val="18"/>
        </w:rPr>
        <w:t>——————————————————————————————————————————————————————————————————————</w:t>
      </w:r>
    </w:p>
    <w:p>
      <w:pPr>
        <w:spacing w:before="160" w:after="80" w:line="240" w:lineRule="auto"/>
      </w:pPr>
      <w:r>
        <w:rPr>
          <w:b/>
        </w:rPr>
        <w:t xml:space="preserve">[685] </w:t>
      </w:r>
      <w:hyperlink r:id="rId1241">
        <w:r>
          <w:rPr>
            <w:color w:val="1155CC"/>
            <w:u w:val="single"/>
          </w:rPr>
          <w:t>Spatiotemporal Delivery of Required Facilitators for Microenvironment Remodeling Propels Neural Regeneration after Spinal Cord Injury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42">
        <w:r>
          <w:rPr>
            <w:color w:val="1155CC"/>
            <w:u w:val="single"/>
          </w:rPr>
          <w:t>10.1002/adma.202503479</w:t>
        </w:r>
      </w:hyperlink>
    </w:p>
    <w:p>
      <w:pPr>
        <w:spacing w:before="0" w:after="120"/>
      </w:pPr>
      <w:r>
        <w:rPr>
          <w:b/>
        </w:rPr>
        <w:t xml:space="preserve">Notes: </w:t>
      </w:r>
      <w:r>
        <w:t>abstract_source=crossref</w:t>
      </w:r>
    </w:p>
    <w:p>
      <w:pPr>
        <w:spacing w:before="0" w:after="200" w:lineRule="auto" w:line="276"/>
      </w:pPr>
      <w:r>
        <w:rPr>
          <w:b/>
        </w:rPr>
        <w:t xml:space="preserve">Abstract: </w:t>
      </w:r>
      <w:r>
        <w:t>Intricate pathological responses and multiple components within the lesion make it challenging to repair spinal cord injury (SCI). A multifunctional hybrid neural restorative conduit is developed, composed of a sandwich‐like hydrogel encapsulated within a polycaprolactone (PCL) nanofiber membrane. The sandwich structure consists of a hyaluronic acid‐graft‐dopamine (HADA)/HGF‐(RADA)4‐DGDRGDS (HRR) hydrogel loaded with epidermal growth factor (EGF), neurotrophin 3 (NT3), and glial‐derived neurotrophic factor (GDNF), flanked by gelatin methacryloyl (GelMA) hydrogels containing catalase at both ends. The hybrid conduit enables the spatiotemporal release of multiple bioactive factors, precisely targeting critical pathological cascades after SCI. This approach reduces oxidative stress, promotes neuronal survival at the lesion borders, facilitates the relay of ascending and descending axons, and enhances signal transmission across the lesion. Restored serotonergic signaling enhances motor neuron excitability, facilitating functional recovery, while reconstitution of bladder reflexes improves urinary control. By orchestrating the reinstatement of multiple essential mechanisms to counteract the pathological progression of the hostile post‐SCI microenvironment, this approach provides a strategy for regenerative therapies targeting SCI.</w:t>
      </w:r>
    </w:p>
    <w:p>
      <w:pPr>
        <w:spacing w:before="120" w:after="120"/>
      </w:pPr>
      <w:r>
        <w:rPr>
          <w:sz w:val="18"/>
        </w:rPr>
        <w:t>——————————————————————————————————————————————————————————————————————</w:t>
      </w:r>
    </w:p>
    <w:p>
      <w:pPr>
        <w:spacing w:before="160" w:after="80" w:line="240" w:lineRule="auto"/>
      </w:pPr>
      <w:r>
        <w:rPr>
          <w:b/>
        </w:rPr>
        <w:t xml:space="preserve">[686] </w:t>
      </w:r>
      <w:hyperlink r:id="rId1243">
        <w:r>
          <w:rPr>
            <w:color w:val="1155CC"/>
            <w:u w:val="single"/>
          </w:rPr>
          <w:t>Revisiting Ferroelectric‐Gated Phototransistors: A Tripartite Synapse‐Inspired Approach to In‐Sensor Image Processing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44">
        <w:r>
          <w:rPr>
            <w:color w:val="1155CC"/>
            <w:u w:val="single"/>
          </w:rPr>
          <w:t>10.1002/adma.202503475</w:t>
        </w:r>
      </w:hyperlink>
    </w:p>
    <w:p>
      <w:pPr>
        <w:spacing w:before="0" w:after="120"/>
      </w:pPr>
      <w:r>
        <w:rPr>
          <w:b/>
        </w:rPr>
        <w:t xml:space="preserve">Notes: </w:t>
      </w:r>
      <w:r>
        <w:t>abstract_source=crossref</w:t>
      </w:r>
    </w:p>
    <w:p>
      <w:pPr>
        <w:spacing w:before="0" w:after="200" w:lineRule="auto" w:line="276"/>
      </w:pPr>
      <w:r>
        <w:rPr>
          <w:b/>
        </w:rPr>
        <w:t xml:space="preserve">Abstract: </w:t>
      </w:r>
      <w:r>
        <w:t>Neuromorphic devices inspired by the tripartite synapse system offer enhanced modulation of synaptic weight via a third terminal. However, using an electrically independent terminal for memorizing and processing optical information remains unexplored. Here, a ferroelectric‐gated phototransistor (FGPT) incorporating ferroelectric polymers and organic photoactive channels is revisited for neuromorphic vision systems. It is demonstrated that partial polarization switching in the ferroelectric gate insulator enables linear control of the photoactive channel. Furthermore, the photogating effect induced by charge trapping at the ferroelectric insulator/photoactive channel interface further enhances the photonic non‐volatile (PNV) characteristics of the FGPT. This allows memorized visual information, expressed as photoconductance, to be incrementally potentiated or depressed. The modulated photoconductance fully spans the current level within the dynamic range of the device (153 dB). Finally, the feasibility of the device for all‐day face recognition is shown by in‐sensor processing of visual information obtained from unstructured environments into the pre‐trained range. This approach results in up to a ≈40% improvement in recognition accuracy.</w:t>
      </w:r>
    </w:p>
    <w:p>
      <w:pPr>
        <w:spacing w:before="120" w:after="120"/>
      </w:pPr>
      <w:r>
        <w:rPr>
          <w:sz w:val="18"/>
        </w:rPr>
        <w:t>——————————————————————————————————————————————————————————————————————</w:t>
      </w:r>
    </w:p>
    <w:p>
      <w:pPr>
        <w:spacing w:before="160" w:after="80" w:line="240" w:lineRule="auto"/>
      </w:pPr>
      <w:r>
        <w:rPr>
          <w:b/>
        </w:rPr>
        <w:t xml:space="preserve">[687] </w:t>
      </w:r>
      <w:hyperlink r:id="rId1245">
        <w:r>
          <w:rPr>
            <w:color w:val="1155CC"/>
            <w:u w:val="single"/>
          </w:rPr>
          <w:t>Achieving Electrode Smoothing by Controlling the Nucleation Phase of Metal Deposition Through Polymer‐Substrate Binding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46">
        <w:r>
          <w:rPr>
            <w:color w:val="1155CC"/>
            <w:u w:val="single"/>
          </w:rPr>
          <w:t>10.1002/adma.202503218</w:t>
        </w:r>
      </w:hyperlink>
    </w:p>
    <w:p>
      <w:pPr>
        <w:spacing w:before="0" w:after="120"/>
      </w:pPr>
      <w:r>
        <w:rPr>
          <w:b/>
        </w:rPr>
        <w:t xml:space="preserve">Notes: </w:t>
      </w:r>
      <w:r>
        <w:t>abstract_source=crossref</w:t>
      </w:r>
    </w:p>
    <w:p>
      <w:pPr>
        <w:spacing w:before="0" w:after="200" w:lineRule="auto" w:line="276"/>
      </w:pPr>
      <w:r>
        <w:rPr>
          <w:b/>
        </w:rPr>
        <w:t xml:space="preserve">Abstract: </w:t>
      </w:r>
      <w:r>
        <w:t>Polymer additives [like polyethylene oxide (PEO)] are widely used for smooth electrode deposition in aqueous zinc and many other battery systems. However, the precise mechanism by which they regulate morphology and suppress dendrite formation remains unclear. In this study, the knowledge gap is addressed by using in situ electrochemical atomic force microscopy to directly observe the interfacial evolution during Zn electrodeposition and polymer adsorption on Cu substrates in the presence of varying concentrations of ZnSO</w:t>
      </w:r>
      <w:r>
        <w:rPr>
          <w:vertAlign w:val="subscript"/>
        </w:rPr>
        <w:t>4</w:t>
      </w:r>
      <w:r>
        <w:t>and PEO. Contrary to previous literature assumptions, which emphasize the binding to the growing Zn crystal surfaces or Zn</w:t>
      </w:r>
      <w:r>
        <w:t xml:space="preserve"> </w:t>
      </w:r>
      <w:r>
        <w:t>2+</w:t>
      </w:r>
      <w:r>
        <w:t xml:space="preserve"> </w:t>
      </w:r>
      <w:r>
        <w:t>ions, the results demonstrate that PEO smooths Zn films by promoting nucleation of (002)‐oriented Zn platelets through interactions with the Cu substrate. Density functional theory simulations support this finding by showing that PEO adsorption on Cu modifies the interfacial energy of Zn/Cu/electrolyte interfaces, favoring the stabilization of Zn (002) on the Cu substrate, as well as confines Zn electrodeposition to a narrow near‐surface region. These findings elucidate a novel design principle for electrode smoothing, emphasizing the importance of substrate selection paired with polymer additives that exhibit an attractive interaction with the substrate but minimal interaction with growing crystals, offering a mechanistic perspective for improved battery performance.</w:t>
      </w:r>
    </w:p>
    <w:p>
      <w:pPr>
        <w:spacing w:before="120" w:after="120"/>
      </w:pPr>
      <w:r>
        <w:rPr>
          <w:sz w:val="18"/>
        </w:rPr>
        <w:t>——————————————————————————————————————————————————————————————————————</w:t>
      </w:r>
    </w:p>
    <w:p>
      <w:pPr>
        <w:spacing w:before="160" w:after="80" w:line="240" w:lineRule="auto"/>
      </w:pPr>
      <w:r>
        <w:rPr>
          <w:b/>
        </w:rPr>
        <w:t xml:space="preserve">[688] </w:t>
      </w:r>
      <w:hyperlink r:id="rId1247">
        <w:r>
          <w:rPr>
            <w:color w:val="1155CC"/>
            <w:u w:val="single"/>
          </w:rPr>
          <w:t>Non‐PFAS‐Based Magnetic Polymer Sorbents for Efficient Removal of Perfluorinated Compounds from Landfill Leachate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48">
        <w:r>
          <w:rPr>
            <w:color w:val="1155CC"/>
            <w:u w:val="single"/>
          </w:rPr>
          <w:t>10.1002/adma.202502427</w:t>
        </w:r>
      </w:hyperlink>
    </w:p>
    <w:p>
      <w:pPr>
        <w:spacing w:before="0" w:after="120"/>
      </w:pPr>
      <w:r>
        <w:rPr>
          <w:b/>
        </w:rPr>
        <w:t xml:space="preserve">Notes: </w:t>
      </w:r>
      <w:r>
        <w:t>abstract_source=crossref</w:t>
      </w:r>
    </w:p>
    <w:p>
      <w:pPr>
        <w:spacing w:before="0" w:after="200" w:lineRule="auto" w:line="276"/>
      </w:pPr>
      <w:r>
        <w:rPr>
          <w:b/>
        </w:rPr>
        <w:t xml:space="preserve">Abstract: </w:t>
      </w:r>
      <w:r>
        <w:t>Per‐ and polyfluoroalkyl substances (PFAS) are carcinogenic and environmentally persistent contaminants, necessitating their efficient removal to protect environmental and human health. In this study, a series of fluorinated, non‐PFAS‐based magnetic polymer sorbents is developed for the selective removal of multiple PFAS from landfill leachate containing high levels of co‐contaminants. Crosslinked polymer networks are shown to enhance both magnetic separation and PFAS sorption performance. The magnetic sorbent with a higher proportion of quaternary ammonium groups and a lower proportion of fluorinated segments shows improved sorption kinetics for most PFAS and greater sorption capacity for perfluorobutanesulfonic acid (PFBS), the most abundant compound in the tested landfill leachate. However, this formulation exhibits lower sorption selectivity and reduced equilibrium removal efficiencies when PFAS are present at low initial concentrations. A compact and portable treatment device is constructed to simulate practical deployment. The system achieves high PFAS removal efficiencies (&amp;gt;90% for the majority of PFAS) and maintains good regeneration and reusability over five sorption‐desorption cycles at environmentally relevant concentrations. Compared to four commercially available sorbents, the developed magnetic polymer sorbents exhibit superior performance in PFAS removal, indicating their potential as efficient candidates for remediating PFAS from landfill leachate.</w:t>
      </w:r>
    </w:p>
    <w:p>
      <w:pPr>
        <w:spacing w:before="120" w:after="120"/>
      </w:pPr>
      <w:r>
        <w:rPr>
          <w:sz w:val="18"/>
        </w:rPr>
        <w:t>——————————————————————————————————————————————————————————————————————</w:t>
      </w:r>
    </w:p>
    <w:p>
      <w:pPr>
        <w:spacing w:before="160" w:after="80" w:line="240" w:lineRule="auto"/>
      </w:pPr>
      <w:r>
        <w:rPr>
          <w:b/>
        </w:rPr>
        <w:t xml:space="preserve">[689] </w:t>
      </w:r>
      <w:hyperlink r:id="rId1249">
        <w:r>
          <w:rPr>
            <w:color w:val="1155CC"/>
            <w:u w:val="single"/>
          </w:rPr>
          <w:t>Atomic‐Scale Insights into Nanoparticle Exsolution at Dislocations in Dislocation‐Engineered Catalysts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50">
        <w:r>
          <w:rPr>
            <w:color w:val="1155CC"/>
            <w:u w:val="single"/>
          </w:rPr>
          <w:t>10.1002/adma.202502362</w:t>
        </w:r>
      </w:hyperlink>
    </w:p>
    <w:p>
      <w:pPr>
        <w:spacing w:before="0" w:after="120"/>
      </w:pPr>
      <w:r>
        <w:rPr>
          <w:b/>
        </w:rPr>
        <w:t xml:space="preserve">Notes: </w:t>
      </w:r>
      <w:r>
        <w:t>abstract_source=crossref</w:t>
      </w:r>
    </w:p>
    <w:p>
      <w:pPr>
        <w:spacing w:before="0" w:after="200" w:lineRule="auto" w:line="276"/>
      </w:pPr>
      <w:r>
        <w:rPr>
          <w:b/>
        </w:rPr>
        <w:t xml:space="preserve">Abstract: </w:t>
      </w:r>
      <w:r>
        <w:t>Achieving control over properties such as density and lateral distribution of catalytic nanoparticles under operation conditions is a major challenge for the development of active and durable catalysts, where nanoparticle coarsening is often the cause of performance degradation. While metal exsolution catalysts are regarded to be robust against this degradation mode, coarsening and increased concentrations of exsolved metal nanoparticles have been detected near extended defects. The present study examines the role of dislocations in metal exsolution reactions and explores the potential of dislocation‐engineering for the synthesis of dislocation‐associated nanoparticles. An atomic‐level correlation between bulk dislocations and surface nanoparticle locations is demonstrated through a novel approach for engineering epitaxial thin films with confined regions of increased dislocation densities in combination with in situ scanning transmission electron microscopy. While nanoparticle exsolution proceeds across the entire sample, two primary reasons for the frequent nucleation of dislocation‐associated nanoparticles are identified: the accumulation of exsolution‐active acceptors along dislocations and lattice distortions that are likely to lower the energy barrier for nanoparticle nucleation. This work establishes a proof of concept for using engineered dislocations in exsolution catalysts to synthesize nanoparticles with modified nanoparticle‐support properties relevant for the thermal stability and the lateral distribution of exsolved nanoparticles.</w:t>
      </w:r>
    </w:p>
    <w:p>
      <w:pPr>
        <w:spacing w:before="120" w:after="120"/>
      </w:pPr>
      <w:r>
        <w:rPr>
          <w:sz w:val="18"/>
        </w:rPr>
        <w:t>——————————————————————————————————————————————————————————————————————</w:t>
      </w:r>
    </w:p>
    <w:p>
      <w:pPr>
        <w:spacing w:before="160" w:after="80" w:line="240" w:lineRule="auto"/>
      </w:pPr>
      <w:r>
        <w:rPr>
          <w:b/>
        </w:rPr>
        <w:t xml:space="preserve">[690] </w:t>
      </w:r>
      <w:hyperlink r:id="rId1251">
        <w:r>
          <w:rPr>
            <w:color w:val="1155CC"/>
            <w:u w:val="single"/>
          </w:rPr>
          <w:t>Emergence of Polar Vortex‐Antivortex Pair Arrays in Multiferroic Superlattices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52">
        <w:r>
          <w:rPr>
            <w:color w:val="1155CC"/>
            <w:u w:val="single"/>
          </w:rPr>
          <w:t>10.1002/adma.202501894</w:t>
        </w:r>
      </w:hyperlink>
    </w:p>
    <w:p>
      <w:pPr>
        <w:spacing w:before="0" w:after="120"/>
      </w:pPr>
      <w:r>
        <w:rPr>
          <w:b/>
        </w:rPr>
        <w:t xml:space="preserve">Notes: </w:t>
      </w:r>
      <w:r>
        <w:t>abstract_source=crossref</w:t>
      </w:r>
    </w:p>
    <w:p>
      <w:pPr>
        <w:spacing w:before="0" w:after="200" w:lineRule="auto" w:line="276"/>
      </w:pPr>
      <w:r>
        <w:rPr>
          <w:b/>
        </w:rPr>
        <w:t xml:space="preserve">Abstract: </w:t>
      </w:r>
      <w:r>
        <w:t>Ferroelectric topologies, renowned for their nanoscale dimensions and external electric field tunability, are emerging as leading candidates for high‐density, low‐power memory devices in the Big Data era. While polar configurations such as vortices, flux‐closure domains, center‐type domains, skyrmions, and merons have been extensively explored, antivortices remain largely underdeveloped. In this work, the discovery and realization of stable polar vortex‐antivortex pair arrays within multiferroic‐dielectric superlattices are reported with integrated experimental and theoretical efforts, enabled by low‐symmetry BiFeO</w:t>
      </w:r>
      <w:r>
        <w:rPr>
          <w:vertAlign w:val="subscript"/>
        </w:rPr>
        <w:t>3</w:t>
      </w:r>
      <w:r>
        <w:t>with diagonal spontaneous polarization. By employing atomic‐level engineering to precisely modulate the architecture of BiFeO</w:t>
      </w:r>
      <w:r>
        <w:rPr>
          <w:vertAlign w:val="subscript"/>
        </w:rPr>
        <w:t>3</w:t>
      </w:r>
      <w:r>
        <w:t>layers, achieving unprecedented periodicities as small as 4.5 nm. These arrays exhibit exceptional thermal stability, preserving their structural integrity above room temperature, and reversible polarization switching under applied electric fields. Additionally, the sensitivity of domain wall configurations to the dielectric layer thickness offers further tunability. These findings not only expand the scope of ferroelectric topologies but also provide a versatile platform for harnessing antivortices in practical applications, paving the way for next‐generation ultrahigh‐density, low‐power memory technologies.</w:t>
      </w:r>
    </w:p>
    <w:p>
      <w:pPr>
        <w:spacing w:before="120" w:after="120"/>
      </w:pPr>
      <w:r>
        <w:rPr>
          <w:sz w:val="18"/>
        </w:rPr>
        <w:t>——————————————————————————————————————————————————————————————————————</w:t>
      </w:r>
    </w:p>
    <w:p>
      <w:pPr>
        <w:spacing w:before="160" w:after="80" w:line="240" w:lineRule="auto"/>
      </w:pPr>
      <w:r>
        <w:rPr>
          <w:b/>
        </w:rPr>
        <w:t xml:space="preserve">[691] </w:t>
      </w:r>
      <w:hyperlink r:id="rId1253">
        <w:r>
          <w:rPr>
            <w:color w:val="1155CC"/>
            <w:u w:val="single"/>
          </w:rPr>
          <w:t>Critical Role of Ultra‐Microporous Tunnel Structure Within Hard Carbon in Boosting Sodium‐Ion Storage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54">
        <w:r>
          <w:rPr>
            <w:color w:val="1155CC"/>
            <w:u w:val="single"/>
          </w:rPr>
          <w:t>10.1002/adma.202501779</w:t>
        </w:r>
      </w:hyperlink>
    </w:p>
    <w:p>
      <w:pPr>
        <w:spacing w:before="0" w:after="120"/>
      </w:pPr>
      <w:r>
        <w:rPr>
          <w:b/>
        </w:rPr>
        <w:t xml:space="preserve">Notes: </w:t>
      </w:r>
      <w:r>
        <w:t>abstract_source=crossref</w:t>
      </w:r>
    </w:p>
    <w:p>
      <w:pPr>
        <w:spacing w:before="0" w:after="200" w:lineRule="auto" w:line="276"/>
      </w:pPr>
      <w:r>
        <w:rPr>
          <w:b/>
        </w:rPr>
        <w:t xml:space="preserve">Abstract: </w:t>
      </w:r>
      <w:r>
        <w:t>Accurately constructing pore structures and clarifying the relationship between pore structure and sodium storage performance to obtain high‐quality hard carbon (HC) is crucial for the commercialization of sodium‐ion batteries. However, it is still challenging to simultaneously obtain HC with high initial Coulombic efficiency (ICE), excellent rate performance, and satisfactory capacity in ester electrolytes by modifying the pore structure. Herein, the challenge is innovatively addressed by optimizing the dechlorination polymerization reaction to obtain the precursor, thereby modulating the carbon atom structure rearrangement and preoxidation process to design the HC with ultra‐microporous tunnel structure (UMTS). The desolvation of UMTS (&amp;lt;1 nm) and the weak capillary effect at the surface can effectively reduce the decomposition of the electrolyte at the electrode surface and thus significantly enhance the ICE. The UMTS also facilitates the rapid transport of sodium ions and provides sites for the storage of sodium clusters, greatly enhancing the rate performance and reversible capacity. As a result, especially in ester electrolyte, the optimized material demonstrates an ultrahigh ICE of 90.9%, good rate performance (108.7 mAh g</w:t>
      </w:r>
      <w:r>
        <w:t xml:space="preserve"> </w:t>
      </w:r>
      <w:r>
        <w:t>−1</w:t>
      </w:r>
      <w:r>
        <w:t xml:space="preserve"> </w:t>
      </w:r>
      <w:r>
        <w:t>at 2 A g</w:t>
      </w:r>
      <w:r>
        <w:t xml:space="preserve"> </w:t>
      </w:r>
      <w:r>
        <w:t>−1</w:t>
      </w:r>
      <w:r>
        <w:t xml:space="preserve"> </w:t>
      </w:r>
      <w:r>
        <w:t>) and an outstanding reversible capacity (357.2 mAh g</w:t>
      </w:r>
      <w:r>
        <w:t xml:space="preserve"> </w:t>
      </w:r>
      <w:r>
        <w:t>−1</w:t>
      </w:r>
      <w:r>
        <w:t xml:space="preserve"> </w:t>
      </w:r>
      <w:r>
        <w:t>with 98.3% of the capacity contribution below 1 V). This design concept of precisely constructing UMTS contributes significantly to the rational design of high‐quality HC anode, and may be extended to other battery systems to promote the ongoing advancement of battery technology.</w:t>
      </w:r>
    </w:p>
    <w:p>
      <w:pPr>
        <w:spacing w:before="120" w:after="120"/>
      </w:pPr>
      <w:r>
        <w:rPr>
          <w:sz w:val="18"/>
        </w:rPr>
        <w:t>——————————————————————————————————————————————————————————————————————</w:t>
      </w:r>
    </w:p>
    <w:p>
      <w:pPr>
        <w:spacing w:before="160" w:after="80" w:line="240" w:lineRule="auto"/>
      </w:pPr>
      <w:r>
        <w:rPr>
          <w:b/>
        </w:rPr>
        <w:t xml:space="preserve">[692] </w:t>
      </w:r>
      <w:hyperlink r:id="rId1255">
        <w:r>
          <w:rPr>
            <w:color w:val="1155CC"/>
            <w:u w:val="single"/>
          </w:rPr>
          <w:t>Biologically Switchable Volatility and Nonvolatility Toward Real Neurotransmitter Mediated Aqueous Reservoir Computing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56">
        <w:r>
          <w:rPr>
            <w:color w:val="1155CC"/>
            <w:u w:val="single"/>
          </w:rPr>
          <w:t>10.1002/adma.202507054</w:t>
        </w:r>
      </w:hyperlink>
    </w:p>
    <w:p>
      <w:pPr>
        <w:spacing w:before="0" w:after="120"/>
      </w:pPr>
      <w:r>
        <w:rPr>
          <w:b/>
        </w:rPr>
        <w:t xml:space="preserve">Notes: </w:t>
      </w:r>
      <w:r>
        <w:t>abstract_source=crossref</w:t>
      </w:r>
    </w:p>
    <w:p>
      <w:pPr>
        <w:spacing w:before="0" w:after="200" w:lineRule="auto" w:line="276"/>
      </w:pPr>
      <w:r>
        <w:rPr>
          <w:b/>
        </w:rPr>
        <w:t xml:space="preserve">Abstract: </w:t>
      </w:r>
      <w:r>
        <w:t>The study on aqueous reservoir computing (RC) has just come into being. Nevertheless, aqueous RC still faces significant challenges. Recently, with the participation of real biological receptors, aqueous neuromorphic engineering is promising to emulate the intricate human brain more closely due to their synaptic resemblance in electrolytes. In this work, biologically switchable volatility and nonvolatility are first explored for real neurotransmitter glutamate‐mediated aqueous RC application, which is based on rational synergy between glutamate oxidase catalytic chemistry and porphyrin‐based metal‐organic framework/tungsten oxide (PCN‐224/WO</w:t>
      </w:r>
      <w:r>
        <w:rPr>
          <w:vertAlign w:val="subscript"/>
        </w:rPr>
        <w:t>3</w:t>
      </w:r>
      <w:r>
        <w:t>) photogate in the newly emerged organic photoelectrochemical transistor. As a proof of concept, the glutamate‐mediated RC is then developed and explored for image recognition. These results have of potential for advancing real neurotransmitter‐mediated aqueous RC toward in‐biology application, which are also envisaged to promote bioinspired algorithm‐hardware codesign in future aqueous neuromorphic engineering.</w:t>
      </w:r>
    </w:p>
    <w:p>
      <w:pPr>
        <w:spacing w:before="120" w:after="120"/>
      </w:pPr>
      <w:r>
        <w:rPr>
          <w:sz w:val="18"/>
        </w:rPr>
        <w:t>——————————————————————————————————————————————————————————————————————</w:t>
      </w:r>
    </w:p>
    <w:p>
      <w:pPr>
        <w:spacing w:before="160" w:after="80" w:line="240" w:lineRule="auto"/>
      </w:pPr>
      <w:r>
        <w:rPr>
          <w:b/>
        </w:rPr>
        <w:t xml:space="preserve">[693] </w:t>
      </w:r>
      <w:hyperlink r:id="rId1257">
        <w:r>
          <w:rPr>
            <w:color w:val="1155CC"/>
            <w:u w:val="single"/>
          </w:rPr>
          <w:t>Structure‐Tunable Fluorinated Polyester Electrolytes with Enhanced Interfacial Stability for Recyclable Solid‐State Lithium Metal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58">
        <w:r>
          <w:rPr>
            <w:color w:val="1155CC"/>
            <w:u w:val="single"/>
          </w:rPr>
          <w:t>10.1002/adma.202511556</w:t>
        </w:r>
      </w:hyperlink>
    </w:p>
    <w:p>
      <w:pPr>
        <w:spacing w:before="0" w:after="120"/>
      </w:pPr>
      <w:r>
        <w:rPr>
          <w:b/>
        </w:rPr>
        <w:t xml:space="preserve">Notes: </w:t>
      </w:r>
      <w:r>
        <w:t>abstract_source=crossref</w:t>
      </w:r>
    </w:p>
    <w:p>
      <w:pPr>
        <w:spacing w:before="0" w:after="200" w:lineRule="auto" w:line="276"/>
      </w:pPr>
      <w:r>
        <w:rPr>
          <w:b/>
        </w:rPr>
        <w:t xml:space="preserve">Abstract: </w:t>
      </w:r>
      <w:r>
        <w:t>Polyesters, with their tunable chemical structures and environmental sustainability, have drawn growing attention as solid polymer electrolytes for next‐generation solid‐state lithium metal batteries (SSLMBs). Through a comprehensive experimental and theoretical study involving the systematic variation of carbon chain lengths in the flexible (diol) and coordinating (diacid) segments, along with selective fluorination at distinct positions along the polymer backbone, 18 types of polyester are fabricated and demonstrate that fluorination at the coordinating segment significantly enhances ionic conductivity by suppressing crystallinity. In contrast, fluorination at the flexible segment reduces ionic migration barriers by providing more homogeneous coordinating sites, thereby improving the lithium‐ion transference number, despite increasing chain rigidity and a reduction in overall ionic conductivity. The optimized fluorinated polyesters exhibit excellent interfacial stability with lithium metal by facilitating the formation of a LiF‐rich solid electrolyte interphase, as supported by experimental and theoretical simulation analysis. More importantly, to enhance cost‐effectiveness and sustainability, a solvent‐based recycling route has been developed, achieving substantial recovery yields and notable environmental benefits. This work provides a versatile molecular design and closed‐loop recovery strategy for fluorinated polyester electrolytes, advancing their practical application in high‐energy and sustainable SSLMBs.</w:t>
      </w:r>
    </w:p>
    <w:p>
      <w:pPr>
        <w:spacing w:before="120" w:after="120"/>
      </w:pPr>
      <w:r>
        <w:rPr>
          <w:sz w:val="18"/>
        </w:rPr>
        <w:t>——————————————————————————————————————————————————————————————————————</w:t>
      </w:r>
    </w:p>
    <w:p>
      <w:pPr>
        <w:spacing w:before="160" w:after="80" w:line="240" w:lineRule="auto"/>
      </w:pPr>
      <w:r>
        <w:rPr>
          <w:b/>
        </w:rPr>
        <w:t xml:space="preserve">[694] </w:t>
      </w:r>
      <w:hyperlink r:id="rId1259">
        <w:r>
          <w:rPr>
            <w:color w:val="1155CC"/>
            <w:u w:val="single"/>
          </w:rPr>
          <w:t>Solubility‐pKa Coupling Effect Tailored Nanoporous Nylon Aerogel Family with Multiple Thermomechanical Processes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60">
        <w:r>
          <w:rPr>
            <w:color w:val="1155CC"/>
            <w:u w:val="single"/>
          </w:rPr>
          <w:t>10.1002/adma.202510031</w:t>
        </w:r>
      </w:hyperlink>
    </w:p>
    <w:p>
      <w:pPr>
        <w:spacing w:before="0" w:after="120"/>
      </w:pPr>
      <w:r>
        <w:rPr>
          <w:b/>
        </w:rPr>
        <w:t xml:space="preserve">Notes: </w:t>
      </w:r>
      <w:r>
        <w:t>abstract_source=crossref</w:t>
      </w:r>
    </w:p>
    <w:p>
      <w:pPr>
        <w:spacing w:before="0" w:after="200" w:lineRule="auto" w:line="276"/>
      </w:pPr>
      <w:r>
        <w:rPr>
          <w:b/>
        </w:rPr>
        <w:t xml:space="preserve">Abstract: </w:t>
      </w:r>
      <w:r>
        <w:t>Despite significant advancements in aerogels science, the fabrication of high‐performance aerogels with their plastic processability remains unexplored owing to their inherent trade‐off between skeletal rigidity and transformable processability. Herein, a universal solubility‐pKa coupling‐effect to engineer high‐performance thermoplastic nylon aerogel family with excellent thermomechanical processing performance is proposed. By modulating solubility parameters and acid dissociation constants in nylon‐solvent systems, it is precisely control crystallization to assemble interlaced 1D nanofiber skeletons, yielding nylon aerogels that integrate a high specific surface area (226 m</w:t>
      </w:r>
      <w:r>
        <w:rPr>
          <w:vertAlign w:val="subscript"/>
        </w:rPr>
        <w:t>2</w:t>
      </w:r>
      <w:r>
        <w:t>g</w:t>
      </w:r>
      <w:r>
        <w:t xml:space="preserve"> </w:t>
      </w:r>
      <w:r>
        <w:t>−1</w:t>
      </w:r>
      <w:r>
        <w:t xml:space="preserve"> </w:t>
      </w:r>
      <w:r>
        <w:t>), exceptional compressive modulus (12.6 MPa), and ultralow thermal conductivity (0.034 W m</w:t>
      </w:r>
      <w:r>
        <w:t xml:space="preserve"> </w:t>
      </w:r>
      <w:r>
        <w:t>−1</w:t>
      </w:r>
      <w:r>
        <w:t xml:space="preserve"> </w:t>
      </w:r>
      <w:r>
        <w:t>K</w:t>
      </w:r>
      <w:r>
        <w:t xml:space="preserve"> </w:t>
      </w:r>
      <w:r>
        <w:t>−1</w:t>
      </w:r>
      <w:r>
        <w:t xml:space="preserve"> </w:t>
      </w:r>
      <w:r>
        <w:t>). Notably, beyond achieving performance comparable to aramid and other high‐performance aerogels, these nylon aerogels uniquely incorporate thermoplastic properties enabling multiple thermomechanical processing for aerogel functionalization, including protective barrier via thermal encapsulating, reassembly of aerogel unmanned aerial vehicle through thermal cutting and welding, and biomimetic hydrophobic surfaces with lotus and petal effects through precise thermal imprinting. Surprisingly, thermomechanical processing also induces fluorescence of aerogels, suggesting applications in thermal‐recording, anti‐counterfeiting, etc. This research overcomes the critical skeletal rigidity‐transformable processability trade‐off in aerogels, enabling novel manufacturing approaches and broader engineering applications.</w:t>
      </w:r>
    </w:p>
    <w:p>
      <w:pPr>
        <w:spacing w:before="120" w:after="120"/>
      </w:pPr>
      <w:r>
        <w:rPr>
          <w:sz w:val="18"/>
        </w:rPr>
        <w:t>——————————————————————————————————————————————————————————————————————</w:t>
      </w:r>
    </w:p>
    <w:p>
      <w:pPr>
        <w:spacing w:before="160" w:after="80" w:line="240" w:lineRule="auto"/>
      </w:pPr>
      <w:r>
        <w:rPr>
          <w:b/>
        </w:rPr>
        <w:t xml:space="preserve">[695] </w:t>
      </w:r>
      <w:hyperlink r:id="rId1261">
        <w:r>
          <w:rPr>
            <w:color w:val="1155CC"/>
            <w:u w:val="single"/>
          </w:rPr>
          <w:t>Spatially Encoded Polaritonic Ultra‐Strong Coupling in Gradient Metasurfaces with Epsilon‐Near‐Zero Modes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62">
        <w:r>
          <w:rPr>
            <w:color w:val="1155CC"/>
            <w:u w:val="single"/>
          </w:rPr>
          <w:t>10.1002/adma.202510402</w:t>
        </w:r>
      </w:hyperlink>
    </w:p>
    <w:p>
      <w:pPr>
        <w:spacing w:before="0" w:after="120"/>
      </w:pPr>
      <w:r>
        <w:rPr>
          <w:b/>
        </w:rPr>
        <w:t xml:space="preserve">Notes: </w:t>
      </w:r>
      <w:r>
        <w:t>abstract_source=crossref</w:t>
      </w:r>
    </w:p>
    <w:p>
      <w:pPr>
        <w:spacing w:before="0" w:after="200" w:lineRule="auto" w:line="276"/>
      </w:pPr>
      <w:r>
        <w:rPr>
          <w:b/>
        </w:rPr>
        <w:t xml:space="preserve">Abstract: </w:t>
      </w:r>
      <w:r>
        <w:t>A platform is introduced to achieve ultra‐strong coupling (USC) between light and matter using widely available materials. USC is a light–matter interaction regime characterized by coupling strengths exceeding 10% of the ground state energy. It gives rise to novel physical phenomena, such as efficient single‐photon coupling and quantum gates, with applications in quantum sensing, nonlinear optics, and low‐threshold lasing. Although early demonstrations in plasmonic systems have been realized, achieving USC in dielectric platforms, which offer lower losses and high Q‐factors, remains challenging due to typically low mode overlap between the photonic field and the material resonance. Here, dielectric dual gradient metasurfaces supporting quasi‐bound‐states‐in‐the‐continuum are leveraged to spatially encode both the spectral and coupling parameter space and demonstrate USC to an epsilon‐near‐zero (ENZ) mode in an ultra‐thin SiO</w:t>
      </w:r>
      <w:r>
        <w:rPr>
          <w:vertAlign w:val="subscript"/>
        </w:rPr>
        <w:t>2</w:t>
      </w:r>
      <w:r>
        <w:t>layer. The strong out‐of‐plane electric fields in tapered bar structure overlap exceptionally well with those of the ENZ mode, resulting in a normalized coupling strength of η = 0.10 and a mode splitting equivalent to 20% of the ENZ mode energy; a four‐to‐five‐fold increase compared to previous approaches. The strong field confinement of the approach opens new possibilities for compact and scalable polaritonic devices, such as tunable frequency converters and low‐energy optical modulators.</w:t>
      </w:r>
    </w:p>
    <w:p>
      <w:pPr>
        <w:spacing w:before="120" w:after="120"/>
      </w:pPr>
      <w:r>
        <w:rPr>
          <w:sz w:val="18"/>
        </w:rPr>
        <w:t>——————————————————————————————————————————————————————————————————————</w:t>
      </w:r>
    </w:p>
    <w:p>
      <w:pPr>
        <w:spacing w:before="160" w:after="80" w:line="240" w:lineRule="auto"/>
      </w:pPr>
      <w:r>
        <w:rPr>
          <w:b/>
        </w:rPr>
        <w:t xml:space="preserve">[696] </w:t>
      </w:r>
      <w:hyperlink r:id="rId1263">
        <w:r>
          <w:rPr>
            <w:color w:val="1155CC"/>
            <w:u w:val="single"/>
          </w:rPr>
          <w:t>Orderly Drawing Photo‐Thermal Synergistic Electron Flow for Efficient CO2 Reduction under Natural Sunlight</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64">
        <w:r>
          <w:rPr>
            <w:color w:val="1155CC"/>
            <w:u w:val="single"/>
          </w:rPr>
          <w:t>10.1002/adma.202511097</w:t>
        </w:r>
      </w:hyperlink>
    </w:p>
    <w:p>
      <w:pPr>
        <w:spacing w:before="0" w:after="120"/>
      </w:pPr>
      <w:r>
        <w:rPr>
          <w:b/>
        </w:rPr>
        <w:t xml:space="preserve">Notes: </w:t>
      </w:r>
      <w:r>
        <w:t>abstract_source=crossref</w:t>
      </w:r>
    </w:p>
    <w:p>
      <w:pPr>
        <w:spacing w:before="0" w:after="200" w:lineRule="auto" w:line="276"/>
      </w:pPr>
      <w:r>
        <w:rPr>
          <w:b/>
        </w:rPr>
        <w:t xml:space="preserve">Abstract: </w:t>
      </w:r>
      <w:r>
        <w:t>Photocatalysis is a green promising approach for CO</w:t>
      </w:r>
      <w:r>
        <w:rPr>
          <w:vertAlign w:val="subscript"/>
        </w:rPr>
        <w:t>2</w:t>
      </w:r>
      <w:r>
        <w:t>reduction. Metal sulfides are widely studied in this field due to the high‐efficiency, however, most of them are prone to photo‐corrosion. Herein, a stable and efficient Z‐scheme heterojunction catalyst is reported, Fe</w:t>
      </w:r>
      <w:r>
        <w:t xml:space="preserve"> </w:t>
      </w:r>
      <w:r>
        <w:t>x</w:t>
      </w:r>
      <w:r>
        <w:t xml:space="preserve"> </w:t>
      </w:r>
      <w:r>
        <w:t>In</w:t>
      </w:r>
      <w:r>
        <w:t xml:space="preserve"> </w:t>
      </w:r>
      <w:r>
        <w:t>y</w:t>
      </w:r>
      <w:r>
        <w:t xml:space="preserve"> </w:t>
      </w:r>
      <w:r>
        <w:t>S</w:t>
      </w:r>
      <w:r>
        <w:t xml:space="preserve"> </w:t>
      </w:r>
      <w:r>
        <w:t>z</w:t>
      </w:r>
      <w:r>
        <w:t xml:space="preserve"> </w:t>
      </w:r>
      <w:r>
        <w:t>/TiO</w:t>
      </w:r>
      <w:r>
        <w:rPr>
          <w:vertAlign w:val="subscript"/>
        </w:rPr>
        <w:t>2</w:t>
      </w:r>
      <w:r>
        <w:t>owing an orderly drawing photo‐thermal synergistic electron flow for CO</w:t>
      </w:r>
      <w:r>
        <w:rPr>
          <w:vertAlign w:val="subscript"/>
        </w:rPr>
        <w:t>2</w:t>
      </w:r>
      <w:r>
        <w:t>reduction in a field experiment. The tests under natural sunlight conditions demonstrated that Fe</w:t>
      </w:r>
      <w:r>
        <w:t xml:space="preserve"> </w:t>
      </w:r>
      <w:r>
        <w:t>x</w:t>
      </w:r>
      <w:r>
        <w:t xml:space="preserve"> </w:t>
      </w:r>
      <w:r>
        <w:t>In</w:t>
      </w:r>
      <w:r>
        <w:t xml:space="preserve"> </w:t>
      </w:r>
      <w:r>
        <w:t>y</w:t>
      </w:r>
      <w:r>
        <w:t xml:space="preserve"> </w:t>
      </w:r>
      <w:r>
        <w:t>S</w:t>
      </w:r>
      <w:r>
        <w:t xml:space="preserve"> </w:t>
      </w:r>
      <w:r>
        <w:t>z</w:t>
      </w:r>
      <w:r>
        <w:t xml:space="preserve"> </w:t>
      </w:r>
      <w:r>
        <w:t>/TiO</w:t>
      </w:r>
      <w:r>
        <w:rPr>
          <w:vertAlign w:val="subscript"/>
        </w:rPr>
        <w:t>2</w:t>
      </w:r>
      <w:r>
        <w:t>has a stability of 4 natural days. The maximum photothermal energy conversion efficiency is 1.16%, which is the highest record under concentrated natural sunlight for CO</w:t>
      </w:r>
      <w:r>
        <w:rPr>
          <w:vertAlign w:val="subscript"/>
        </w:rPr>
        <w:t>2</w:t>
      </w:r>
      <w:r>
        <w:t>reduction with pure water. The in situ rapid‐scan XANES and XPS show the raising temperature and photo‐irradiation synergistically stretch electrons from O to Fe, revealing the mechanism of thermal modulation to optimize the active sites for efficient and stable photocatalytic CO</w:t>
      </w:r>
      <w:r>
        <w:rPr>
          <w:vertAlign w:val="subscript"/>
        </w:rPr>
        <w:t>2</w:t>
      </w:r>
      <w:r>
        <w:t>reduction. This work pioneers the stable and efficient reduction of CO</w:t>
      </w:r>
      <w:r>
        <w:rPr>
          <w:vertAlign w:val="subscript"/>
        </w:rPr>
        <w:t>2</w:t>
      </w:r>
      <w:r>
        <w:t>under outdoor sunlight conditions, providing a theoretical foundation for the outdoor application of this technology.</w:t>
      </w:r>
    </w:p>
    <w:p>
      <w:pPr>
        <w:spacing w:before="120" w:after="120"/>
      </w:pPr>
      <w:r>
        <w:rPr>
          <w:sz w:val="18"/>
        </w:rPr>
        <w:t>——————————————————————————————————————————————————————————————————————</w:t>
      </w:r>
    </w:p>
    <w:p>
      <w:pPr>
        <w:spacing w:before="160" w:after="80" w:line="240" w:lineRule="auto"/>
      </w:pPr>
      <w:r>
        <w:rPr>
          <w:b/>
        </w:rPr>
        <w:t xml:space="preserve">[697] </w:t>
      </w:r>
      <w:hyperlink r:id="rId1265">
        <w:r>
          <w:rPr>
            <w:color w:val="1155CC"/>
            <w:u w:val="single"/>
          </w:rPr>
          <w:t>Lanthanum‐Induced Gradient Fields in Asymmetric Heterointerface Catalysts for Enhanced Oxygen Electrocatalysis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66">
        <w:r>
          <w:rPr>
            <w:color w:val="1155CC"/>
            <w:u w:val="single"/>
          </w:rPr>
          <w:t>10.1002/adma.202511117</w:t>
        </w:r>
      </w:hyperlink>
    </w:p>
    <w:p>
      <w:pPr>
        <w:spacing w:before="0" w:after="120"/>
      </w:pPr>
      <w:r>
        <w:rPr>
          <w:b/>
        </w:rPr>
        <w:t xml:space="preserve">Notes: </w:t>
      </w:r>
      <w:r>
        <w:t>abstract_source=crossref</w:t>
      </w:r>
    </w:p>
    <w:p>
      <w:pPr>
        <w:spacing w:before="0" w:after="200" w:lineRule="auto" w:line="276"/>
      </w:pPr>
      <w:r>
        <w:rPr>
          <w:b/>
        </w:rPr>
        <w:t xml:space="preserve">Abstract: </w:t>
      </w:r>
      <w:r>
        <w:t>Metal‐nitrogen‐carbon (M‐N‐C) catalysts display considerable potential as cost‐effective alternatives to noble metals in oxygen electrocatalysis. However, uncontrolled atomic migration and random structural rearrangement during pyrolysis often lead to disordered coordination environments and sparse active sites, fundamentally limiting their intrinsic catalytic activities and long‐term durability. Herein, a novel strategy is reported for use in directionally regulating atomic migration pathways via the incorporation of a foreign metal (La). By exploiting the differences in the atomic migration priorities via the Kirkendall effect, directional control of atomic diffusion is achieved to fabricate a well‐defined asymmetric multiphase heterointerface catalyst (LaN/LaFe‐NC). The presence of high‐density, structurally well‐defined active sites – along with a built‐in directional electric field across the heterointerface – substantially enhances the efficiency of interfacial charge transport, thus improving the intrinsic activity and stability in oxygen electrocatalysis. When incorporated into a rechargeable Zn‐air battery, LaN/LaFe‐NC delivers a high power density of 211 mW cm</w:t>
      </w:r>
      <w:r>
        <w:t xml:space="preserve"> </w:t>
      </w:r>
      <w:r>
        <w:t>−2</w:t>
      </w:r>
      <w:r>
        <w:t xml:space="preserve"> </w:t>
      </w:r>
      <w:r>
        <w:t>, with an exceptional cycling stability of &amp;gt;240 h. This study establishes a generalizable atomic‐level design strategy for use in engineering robust heterointerface catalysts and offers valuable insights for application in advancing next‐generation renewable energy conversion and storage systems.</w:t>
      </w:r>
    </w:p>
    <w:p>
      <w:pPr>
        <w:spacing w:before="120" w:after="120"/>
      </w:pPr>
      <w:r>
        <w:rPr>
          <w:sz w:val="18"/>
        </w:rPr>
        <w:t>——————————————————————————————————————————————————————————————————————</w:t>
      </w:r>
    </w:p>
    <w:p>
      <w:pPr>
        <w:spacing w:before="160" w:after="80" w:line="240" w:lineRule="auto"/>
      </w:pPr>
      <w:r>
        <w:rPr>
          <w:b/>
        </w:rPr>
        <w:t xml:space="preserve">[698] </w:t>
      </w:r>
      <w:hyperlink r:id="rId1267">
        <w:r>
          <w:rPr>
            <w:color w:val="1155CC"/>
            <w:u w:val="single"/>
          </w:rPr>
          <w:t>High Performance Transmission‐Type Daytime Radiative Cooling Film with a Simple and Scalable Method</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68">
        <w:r>
          <w:rPr>
            <w:color w:val="1155CC"/>
            <w:u w:val="single"/>
          </w:rPr>
          <w:t>10.1002/adma.202511138</w:t>
        </w:r>
      </w:hyperlink>
    </w:p>
    <w:p>
      <w:pPr>
        <w:spacing w:before="0" w:after="120"/>
      </w:pPr>
      <w:r>
        <w:rPr>
          <w:b/>
        </w:rPr>
        <w:t xml:space="preserve">Notes: </w:t>
      </w:r>
      <w:r>
        <w:t>abstract_source=crossref</w:t>
      </w:r>
    </w:p>
    <w:p>
      <w:pPr>
        <w:spacing w:before="0" w:after="200" w:lineRule="auto" w:line="276"/>
      </w:pPr>
      <w:r>
        <w:rPr>
          <w:b/>
        </w:rPr>
        <w:t xml:space="preserve">Abstract: </w:t>
      </w:r>
      <w:r>
        <w:t>Transmission‐type radiative cooling textiles represent a vital strategy for personal thermal management. However, traditional preparation methods based on heat‐induced phase separation face significant challenges regarding cost, environmental impact, and optical performance. Herein, a novel preparation method is devloped by blending mid‐IR transparent solid styrene ethylene butylene styrene (SEBS) with solid polyethylene (PE), enabling the creation of pores through dissolving SEBS. Consequently, large‐scale production of transmission‐type radiative cooling films at the meter scale are achieved, exhibiting 95% solar reflectivity and 80% mid‐IR transmittance. Moreover, this method reduces costs by 68% and diminishes CO</w:t>
      </w:r>
      <w:r>
        <w:rPr>
          <w:vertAlign w:val="subscript"/>
        </w:rPr>
        <w:t>2</w:t>
      </w:r>
      <w:r>
        <w:t>emissions by 92%. Under sunny and cloudy conditions (solar irradiance ≈730 and 280 Wm</w:t>
      </w:r>
      <w:r>
        <w:t xml:space="preserve"> </w:t>
      </w:r>
      <w:r>
        <w:t>−</w:t>
      </w:r>
      <w:r>
        <w:rPr>
          <w:vertAlign w:val="subscript"/>
        </w:rPr>
        <w:t>2</w:t>
      </w:r>
      <w:r>
        <w:t>, respectively), the film‐covered simulated skin demonstrates sub‐ambient cooling effects of ≈4 and 3 °C. Given its exceptional passive cooling capabilities, low‐cost, and scalability, this film holds great potential for industrial and personal applications.</w:t>
      </w:r>
    </w:p>
    <w:p>
      <w:pPr>
        <w:spacing w:before="120" w:after="120"/>
      </w:pPr>
      <w:r>
        <w:rPr>
          <w:sz w:val="18"/>
        </w:rPr>
        <w:t>——————————————————————————————————————————————————————————————————————</w:t>
      </w:r>
    </w:p>
    <w:p>
      <w:pPr>
        <w:spacing w:before="160" w:after="80" w:line="240" w:lineRule="auto"/>
      </w:pPr>
      <w:r>
        <w:rPr>
          <w:b/>
        </w:rPr>
        <w:t xml:space="preserve">[699] </w:t>
      </w:r>
      <w:hyperlink r:id="rId1269">
        <w:r>
          <w:rPr>
            <w:color w:val="1155CC"/>
            <w:u w:val="single"/>
          </w:rPr>
          <w:t>Targeted Cascade Therapy with Multifunctional Nanovesicles Engineered from Synergistic Antibacterial Agents for Precision Treatment of Multidrug‐Resistant Infections and Biofilms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70">
        <w:r>
          <w:rPr>
            <w:color w:val="1155CC"/>
            <w:u w:val="single"/>
          </w:rPr>
          <w:t>10.1002/adma.202511037</w:t>
        </w:r>
      </w:hyperlink>
    </w:p>
    <w:p>
      <w:pPr>
        <w:spacing w:before="0" w:after="120"/>
      </w:pPr>
      <w:r>
        <w:rPr>
          <w:b/>
        </w:rPr>
        <w:t xml:space="preserve">Notes: </w:t>
      </w:r>
      <w:r>
        <w:t>abstract_source=crossref</w:t>
      </w:r>
    </w:p>
    <w:p>
      <w:pPr>
        <w:spacing w:before="0" w:after="200" w:lineRule="auto" w:line="276"/>
      </w:pPr>
      <w:r>
        <w:rPr>
          <w:b/>
        </w:rPr>
        <w:t xml:space="preserve">Abstract: </w:t>
      </w:r>
      <w:r>
        <w:t>Multidrug‐resistant (MDR)</w:t>
      </w:r>
      <w:r>
        <w:t xml:space="preserve"> </w:t>
      </w:r>
      <w:r>
        <w:t>Staphylococcus aureus</w:t>
      </w:r>
      <w:r>
        <w:t xml:space="preserve"> </w:t>
      </w:r>
      <w:r>
        <w:t>(</w:t>
      </w:r>
      <w:r>
        <w:t xml:space="preserve"> </w:t>
      </w:r>
      <w:r>
        <w:t>S. aureus</w:t>
      </w:r>
      <w:r>
        <w:t xml:space="preserve"> </w:t>
      </w:r>
      <w:r>
        <w:t>), classified as a high‐priority tier II pathogen, poses a glowing threat to global health. Single‐mode antibacterial approaches often fall short of achieving optimal effects, necessitating the development of combination therapies. To address these challenges, pH‐responsive antibacterial nanovesicles, termed DAClLy, are developed by integrating targeting ligand and multiple antimicrobial agents with complementary modes of action to target MDR bacteria with enhanced efficacy while minimizing adverse effects. DAClLy are engineered through the complexation of sulfonium‐ion‐bearing antibacterial polypeptoids, and primary amine‐containing polypeptoids modified with 2,3‐dimethyl maleic anhydride, encapsulating lysostaphin, a bacteriolytic enzyme. Upon reaching the acidic microenvironment of bacterial infections, the DAClLy vesicles disassemble, releasing their antimicrobial components. The released lysostaphin degrades bacterial cell walls, while the polypeptoids synergistically disrupt bacterial membranes, resulting in a multi‐action bactericidal effect. This synergistic mechanism demonstrates remarkable efficacy against MDR</w:t>
      </w:r>
      <w:r>
        <w:t xml:space="preserve"> </w:t>
      </w:r>
      <w:r>
        <w:t>S. aureus</w:t>
      </w:r>
      <w:r>
        <w:t xml:space="preserve"> </w:t>
      </w:r>
      <w:r>
        <w:t>, including its resilient biofilm formations. In vivo studies have shown that the DAClLy vesicles exhibit potent antibacterial activity against MDR</w:t>
      </w:r>
      <w:r>
        <w:t xml:space="preserve"> </w:t>
      </w:r>
      <w:r>
        <w:t>S. aureus</w:t>
      </w:r>
      <w:r>
        <w:t xml:space="preserve"> </w:t>
      </w:r>
      <w:r>
        <w:t>‐induced skin and lung infections. The nanovesicles effectively penetrate the lung mucus barrier, addressing both surface‐level and deep‐tissue infections. By integrating multiple strategies, DAClLy offers a promising therapeutic strategy to combat MDR pathogens across diverse tissue contexts.</w:t>
      </w:r>
    </w:p>
    <w:p>
      <w:pPr>
        <w:spacing w:before="120" w:after="120"/>
      </w:pPr>
      <w:r>
        <w:rPr>
          <w:sz w:val="18"/>
        </w:rPr>
        <w:t>——————————————————————————————————————————————————————————————————————</w:t>
      </w:r>
    </w:p>
    <w:p>
      <w:pPr>
        <w:spacing w:before="160" w:after="80" w:line="240" w:lineRule="auto"/>
      </w:pPr>
      <w:r>
        <w:rPr>
          <w:b/>
        </w:rPr>
        <w:t xml:space="preserve">[700] </w:t>
      </w:r>
      <w:hyperlink r:id="rId1271">
        <w:r>
          <w:rPr>
            <w:color w:val="1155CC"/>
            <w:u w:val="single"/>
          </w:rPr>
          <w:t>Generative Artificial Intelligence Navigated Development of Solvents for Next Generation High‐Performance Magnesium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72">
        <w:r>
          <w:rPr>
            <w:color w:val="1155CC"/>
            <w:u w:val="single"/>
          </w:rPr>
          <w:t>10.1002/adma.202510083</w:t>
        </w:r>
      </w:hyperlink>
    </w:p>
    <w:p>
      <w:pPr>
        <w:spacing w:before="0" w:after="120"/>
      </w:pPr>
      <w:r>
        <w:rPr>
          <w:b/>
        </w:rPr>
        <w:t xml:space="preserve">Notes: </w:t>
      </w:r>
      <w:r>
        <w:t>abstract_source=crossref</w:t>
      </w:r>
    </w:p>
    <w:p>
      <w:pPr>
        <w:spacing w:before="0" w:after="200" w:lineRule="auto" w:line="276"/>
      </w:pPr>
      <w:r>
        <w:rPr>
          <w:b/>
        </w:rPr>
        <w:t xml:space="preserve">Abstract: </w:t>
      </w:r>
      <w:r>
        <w:t>Traditional trial‐and‐error methods are inefficient and costly in discovering novel solvents for next‐generation magnesium (Mg) metal‐based batteries. Therefore, this work establishes a simple yet efficient screening criterion for solvents by integrating artificial intelligence techniques with a virtual molecular database, potentially revolutionizing the traditional solvent design pathway. A total of 823 solvents are generated using a self‐developed algorithm, and LUMO, ΔLUMO, ESP</w:t>
      </w:r>
      <w:r>
        <w:t xml:space="preserve"> </w:t>
      </w:r>
      <w:r>
        <w:t>min</w:t>
      </w:r>
      <w:r>
        <w:t xml:space="preserve"> </w:t>
      </w:r>
      <w:r>
        <w:t>, ESP</w:t>
      </w:r>
      <w:r>
        <w:t xml:space="preserve"> </w:t>
      </w:r>
      <w:r>
        <w:t>max</w:t>
      </w:r>
      <w:r>
        <w:t xml:space="preserve"> </w:t>
      </w:r>
      <w:r>
        <w:t>, and E</w:t>
      </w:r>
      <w:r>
        <w:t xml:space="preserve"> </w:t>
      </w:r>
      <w:r>
        <w:t>b</w:t>
      </w:r>
      <w:r>
        <w:t xml:space="preserve"> </w:t>
      </w:r>
      <w:r>
        <w:t>are identified to establish the screening criterion through the analysis with machine learning (ML) models. Eighteen candidate solvents are successfully identified, and two of which are subsequently selected and experimentally validated, i.e., C1COCOC1 and COCC(C)OC (abbreviated as “DOX” and “DMP”). Notably, neither of these solvents has been previously reported for use in Mg batteries. Experimental results indicate that the DOX solvent, when paired with the Mg boron‐based salt, i.e., Mg[B(hfip)</w:t>
      </w:r>
      <w:r>
        <w:rPr>
          <w:vertAlign w:val="subscript"/>
        </w:rPr>
        <w:t>4</w:t>
      </w:r>
      <w:r>
        <w:t>]</w:t>
      </w:r>
      <w:r>
        <w:rPr>
          <w:vertAlign w:val="subscript"/>
        </w:rPr>
        <w:t>2</w:t>
      </w:r>
      <w:r>
        <w:t>, can significantly enhance the electrochemical performance. At a current density of 1.0 mAcm</w:t>
      </w:r>
      <w:r>
        <w:t xml:space="preserve"> </w:t>
      </w:r>
      <w:r>
        <w:t>−2</w:t>
      </w:r>
      <w:r>
        <w:t xml:space="preserve"> </w:t>
      </w:r>
      <w:r>
        <w:t>, the average coulombic efficiency for Mg plating/stripping reaches 99.54 % after 5200 cycles. Furthermore, the Mg//Cu cell achieves a cumulative capacity exceeding 2000 mAhcm</w:t>
      </w:r>
      <w:r>
        <w:t xml:space="preserve"> </w:t>
      </w:r>
      <w:r>
        <w:t>−2</w:t>
      </w:r>
      <w:r>
        <w:t xml:space="preserve"> </w:t>
      </w:r>
      <w:r>
        <w:t>, surpassing previously reported results. In summary, this work establishes a virtual molecular database and develops a streamlined screening methodology for Mg battery solvents based on their physicochemical properties, reducing the candidate pool from 823 to 18 and improving efficiency by nearly 50‐fold. This research paradigm is not limited to the development of Mg batteries and can be readily extended to the exploration of other battery systems.</w:t>
      </w:r>
    </w:p>
    <w:p>
      <w:pPr>
        <w:spacing w:before="120" w:after="120"/>
      </w:pPr>
      <w:r>
        <w:rPr>
          <w:sz w:val="18"/>
        </w:rPr>
        <w:t>——————————————————————————————————————————————————————————————————————</w:t>
      </w:r>
    </w:p>
    <w:p>
      <w:pPr>
        <w:spacing w:before="160" w:after="80" w:line="240" w:lineRule="auto"/>
      </w:pPr>
      <w:r>
        <w:rPr>
          <w:b/>
        </w:rPr>
        <w:t xml:space="preserve">[701] </w:t>
      </w:r>
      <w:hyperlink r:id="rId1273">
        <w:r>
          <w:rPr>
            <w:color w:val="1155CC"/>
            <w:u w:val="single"/>
          </w:rPr>
          <w:t>Gridized Nanopolymer Catalysis with Atomically Dispersed Iron Achieves the Nearly 100% Selective Electrosynthesis of Methanol From CO2</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74">
        <w:r>
          <w:rPr>
            <w:color w:val="1155CC"/>
            <w:u w:val="single"/>
          </w:rPr>
          <w:t>10.1002/adma.202511233</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reduction of CO</w:t>
      </w:r>
      <w:r>
        <w:rPr>
          <w:vertAlign w:val="subscript"/>
        </w:rPr>
        <w:t>2</w:t>
      </w:r>
      <w:r>
        <w:t>to methanol (CH</w:t>
      </w:r>
      <w:r>
        <w:rPr>
          <w:vertAlign w:val="subscript"/>
        </w:rPr>
        <w:t>3</w:t>
      </w:r>
      <w:r>
        <w:t>OH) offers a highly promising avenue for zero‐emission carbon recycling and renewable energy storage. However, achieving high CH</w:t>
      </w:r>
      <w:r>
        <w:rPr>
          <w:vertAlign w:val="subscript"/>
        </w:rPr>
        <w:t>3</w:t>
      </w:r>
      <w:r>
        <w:t>OH selectivity and long‐term stability in catalysts remains rare, presenting central challenges on the path to their commercialization. It is emerging to make multiscale design of metal centers of active sites and their surrounding environments under the crucial mechanism of pathway selection. Herein, the gridized nanomolecular and nanopolymer catalysts are reported for high effective electroreduction of CO</w:t>
      </w:r>
      <w:r>
        <w:rPr>
          <w:vertAlign w:val="subscript"/>
        </w:rPr>
        <w:t>2</w:t>
      </w:r>
      <w:r>
        <w:t>to CH</w:t>
      </w:r>
      <w:r>
        <w:rPr>
          <w:vertAlign w:val="subscript"/>
        </w:rPr>
        <w:t>3</w:t>
      </w:r>
      <w:r>
        <w:t>OH. An A‐type nanogrid (AG) and its organic nanopolymers with atomically dispersed iron (Fe) are well identified with the unique catalytic active sites of Fe‐N</w:t>
      </w:r>
      <w:r>
        <w:rPr>
          <w:vertAlign w:val="subscript"/>
        </w:rPr>
        <w:t>1</w:t>
      </w:r>
      <w:r>
        <w:t>C</w:t>
      </w:r>
      <w:r>
        <w:rPr>
          <w:vertAlign w:val="subscript"/>
        </w:rPr>
        <w:t>3</w:t>
      </w:r>
      <w:r>
        <w:t>Cl</w:t>
      </w:r>
      <w:r>
        <w:rPr>
          <w:vertAlign w:val="subscript"/>
        </w:rPr>
        <w:t>1</w:t>
      </w:r>
      <w:r>
        <w:t>. Notably, Fe‐based AG nanopolymer (FePAG) catalyst exhibits a CH</w:t>
      </w:r>
      <w:r>
        <w:rPr>
          <w:vertAlign w:val="subscript"/>
        </w:rPr>
        <w:t>3</w:t>
      </w:r>
      <w:r>
        <w:t>OH Faradaic efficiency of 60.5%, a CH</w:t>
      </w:r>
      <w:r>
        <w:rPr>
          <w:vertAlign w:val="subscript"/>
        </w:rPr>
        <w:t>3</w:t>
      </w:r>
      <w:r>
        <w:t>OH selectivity of 98.3%, and a stability of up to 100 h, outperforming currently reported molecular catalysts. The superior selectivity is probably attributed to the cooperation between the stronger *CO adsorption and the super‐hindrance that suppresses aggregates to guarantee the dispersion of single active sites. This study provides new insights in the exploration of nanomolecular and nanopolymer catalysis.</w:t>
      </w:r>
    </w:p>
    <w:p>
      <w:pPr>
        <w:spacing w:before="120" w:after="120"/>
      </w:pPr>
      <w:r>
        <w:rPr>
          <w:sz w:val="18"/>
        </w:rPr>
        <w:t>——————————————————————————————————————————————————————————————————————</w:t>
      </w:r>
    </w:p>
    <w:p>
      <w:pPr>
        <w:spacing w:before="160" w:after="80" w:line="240" w:lineRule="auto"/>
      </w:pPr>
      <w:r>
        <w:rPr>
          <w:b/>
        </w:rPr>
        <w:t xml:space="preserve">[702] </w:t>
      </w:r>
      <w:hyperlink r:id="rId1275">
        <w:r>
          <w:rPr>
            <w:color w:val="1155CC"/>
            <w:u w:val="single"/>
          </w:rPr>
          <w:t>Direct Recycling of Degraded LiFePO4 Cathode Material via Natural Electron Donors Healing and Targeted Surface Reconstruction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76">
        <w:r>
          <w:rPr>
            <w:color w:val="1155CC"/>
            <w:u w:val="single"/>
          </w:rPr>
          <w:t>10.1002/adma.202511246</w:t>
        </w:r>
      </w:hyperlink>
    </w:p>
    <w:p>
      <w:pPr>
        <w:spacing w:before="0" w:after="120"/>
      </w:pPr>
      <w:r>
        <w:rPr>
          <w:b/>
        </w:rPr>
        <w:t xml:space="preserve">Notes: </w:t>
      </w:r>
      <w:r>
        <w:t>abstract_source=crossref</w:t>
      </w:r>
    </w:p>
    <w:p>
      <w:pPr>
        <w:spacing w:before="0" w:after="200" w:lineRule="auto" w:line="276"/>
      </w:pPr>
      <w:r>
        <w:rPr>
          <w:b/>
        </w:rPr>
        <w:t xml:space="preserve">Abstract: </w:t>
      </w:r>
      <w:r>
        <w:t>Direct regeneration of spent cathode materials is crucial for the sustainable development of the new energy vehicle industry. However, owing to the lack of targeted surface repair strategies, the regenerated LiFePO</w:t>
      </w:r>
      <w:r>
        <w:rPr>
          <w:vertAlign w:val="subscript"/>
        </w:rPr>
        <w:t>4</w:t>
      </w:r>
      <w:r>
        <w:t>(LFP) always faces some issues, such as Fe ions re‐migration and sluggish Li</w:t>
      </w:r>
      <w:r>
        <w:t xml:space="preserve"> </w:t>
      </w:r>
      <w:r>
        <w:t>+</w:t>
      </w:r>
      <w:r>
        <w:t xml:space="preserve"> </w:t>
      </w:r>
      <w:r>
        <w:t>diffusion, or a serious trade‐off between restored specific capacity and stability. Herein, an integrated bulk and surface restoration strategy is proposed to regenerate spent LFP (S‐LFP) via using natural tea polyphenols as electron donors to reduce Fe (III) phase and heal anti‐site defects in the bulk, and introducing a hybrid AlPO</w:t>
      </w:r>
      <w:r>
        <w:rPr>
          <w:vertAlign w:val="subscript"/>
        </w:rPr>
        <w:t>4</w:t>
      </w:r>
      <w:r>
        <w:t>/Li</w:t>
      </w:r>
      <w:r>
        <w:rPr>
          <w:vertAlign w:val="subscript"/>
        </w:rPr>
        <w:t>3</w:t>
      </w:r>
      <w:r>
        <w:t>PO</w:t>
      </w:r>
      <w:r>
        <w:rPr>
          <w:vertAlign w:val="subscript"/>
        </w:rPr>
        <w:t>4</w:t>
      </w:r>
      <w:r>
        <w:t>(AP/LP) patching coating at the fracture of carbon layer on LFP for targeted surface reconstruction, accompanied by Al doping into the bulk LFP. Theoretical calculations reveal that AP/LP patching coating forms a dual electron‐ and ion‐conducting layer with the residual carbon layer, coupling with strengthened Fe─O bonding by Al doping, to improve kinetics and stability of LFP during cycling. The optimized regenerated LFP cathode exhibits a capacity of 124.3 mAh g</w:t>
      </w:r>
      <w:r>
        <w:t xml:space="preserve"> </w:t>
      </w:r>
      <w:r>
        <w:t>−1</w:t>
      </w:r>
      <w:r>
        <w:t xml:space="preserve"> </w:t>
      </w:r>
      <w:r>
        <w:t>after 400 cycles at 2C with a capacity retention of 92.1%. This scalable healing and stabilizing strategy have large potential to strike a balance between specific capacity repairing and stability improvement in the regeneration process.</w:t>
      </w:r>
    </w:p>
    <w:p>
      <w:pPr>
        <w:spacing w:before="120" w:after="120"/>
      </w:pPr>
      <w:r>
        <w:rPr>
          <w:sz w:val="18"/>
        </w:rPr>
        <w:t>——————————————————————————————————————————————————————————————————————</w:t>
      </w:r>
    </w:p>
    <w:p>
      <w:pPr>
        <w:spacing w:before="160" w:after="80" w:line="240" w:lineRule="auto"/>
      </w:pPr>
      <w:r>
        <w:rPr>
          <w:b/>
        </w:rPr>
        <w:t xml:space="preserve">[703] </w:t>
      </w:r>
      <w:hyperlink r:id="rId1277">
        <w:r>
          <w:rPr>
            <w:color w:val="1155CC"/>
            <w:u w:val="single"/>
          </w:rPr>
          <w:t>Competing Grain Growth Pathways in Anisotropic Bi2Te3‐Based Thermoelectric Nanoplates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78">
        <w:r>
          <w:rPr>
            <w:color w:val="1155CC"/>
            <w:u w:val="single"/>
          </w:rPr>
          <w:t>10.1002/adma.202510614</w:t>
        </w:r>
      </w:hyperlink>
    </w:p>
    <w:p>
      <w:pPr>
        <w:spacing w:before="0" w:after="120"/>
      </w:pPr>
      <w:r>
        <w:rPr>
          <w:b/>
        </w:rPr>
        <w:t xml:space="preserve">Notes: </w:t>
      </w:r>
      <w:r>
        <w:t>abstract_source=crossref</w:t>
      </w:r>
    </w:p>
    <w:p>
      <w:pPr>
        <w:spacing w:before="0" w:after="200" w:lineRule="auto" w:line="276"/>
      </w:pPr>
      <w:r>
        <w:rPr>
          <w:b/>
        </w:rPr>
        <w:t xml:space="preserve">Abstract: </w:t>
      </w:r>
      <w:r>
        <w:t>Thermoelectric nanoplates derived from anisotropic van der Waals (vdW) materials such as Bi</w:t>
      </w:r>
      <w:r>
        <w:rPr>
          <w:vertAlign w:val="subscript"/>
        </w:rPr>
        <w:t>2</w:t>
      </w:r>
      <w:r>
        <w:t>Te</w:t>
      </w:r>
      <w:r>
        <w:rPr>
          <w:vertAlign w:val="subscript"/>
        </w:rPr>
        <w:t>3</w:t>
      </w:r>
      <w:r>
        <w:t>are pivotal for flexible electronics and microscale thermal management. Their performance critically depends on grain boundary (GB) microstructure, but the atomic‐scale mechanisms governing grain growth in these highly anisotropic systems remain elusive. This particularly concerns the competition between individual nanoplate reshaping driven by facet stabilization and collective merging at GBs. Integrating in situ scanning transmission electron microscopy (STEM), density functional theory (DFT), and molecular dynamics (MD) simulations, these competing pathways in pure Bi</w:t>
      </w:r>
      <w:r>
        <w:rPr>
          <w:vertAlign w:val="subscript"/>
        </w:rPr>
        <w:t>2</w:t>
      </w:r>
      <w:r>
        <w:t>Te</w:t>
      </w:r>
      <w:r>
        <w:rPr>
          <w:vertAlign w:val="subscript"/>
        </w:rPr>
        <w:t>3</w:t>
      </w:r>
      <w:r>
        <w:t>(BT) and Sb‐doped (BST) systems are unraveled. Undoped BT nanoplates preferentially undergo atomically localized reshaping, with atoms migrating from high‐energy edges to stabilize low‐energy facets. Conversely, Sb doping introduces Sb‐Te interfacial phases that thermodynamically favor GB coalescence, thereby shifting the dominant pathway to collective merging. This work reveals how chemical modification steers GB evolution, determining whether reshaping or merging predominates. Such understanding is crucial for rationally designing anisotropic layered materials for applications in flexible electronics, topological materials, and energy‐efficient devices.</w:t>
      </w:r>
    </w:p>
    <w:p>
      <w:pPr>
        <w:spacing w:before="120" w:after="120"/>
      </w:pPr>
      <w:r>
        <w:rPr>
          <w:sz w:val="18"/>
        </w:rPr>
        <w:t>——————————————————————————————————————————————————————————————————————</w:t>
      </w:r>
    </w:p>
    <w:p>
      <w:pPr>
        <w:spacing w:before="160" w:after="80" w:line="240" w:lineRule="auto"/>
      </w:pPr>
      <w:r>
        <w:rPr>
          <w:b/>
        </w:rPr>
        <w:t xml:space="preserve">[704] </w:t>
      </w:r>
      <w:hyperlink r:id="rId1279">
        <w:r>
          <w:rPr>
            <w:color w:val="1155CC"/>
            <w:u w:val="single"/>
          </w:rPr>
          <w:t>Molecularly Engineered Nanoagents with Efficient Free Radicals Generation and Photothermal Conversion Performance for Enhanced Tumor Photoimmunotherapy via Targeting Lactate Metabolism‐Immune Circuit Rewiring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80">
        <w:r>
          <w:rPr>
            <w:color w:val="1155CC"/>
            <w:u w:val="single"/>
          </w:rPr>
          <w:t>10.1002/adma.202511348</w:t>
        </w:r>
      </w:hyperlink>
    </w:p>
    <w:p>
      <w:pPr>
        <w:spacing w:before="0" w:after="120"/>
      </w:pPr>
      <w:r>
        <w:rPr>
          <w:b/>
        </w:rPr>
        <w:t xml:space="preserve">Notes: </w:t>
      </w:r>
      <w:r>
        <w:t>abstract_source=crossref</w:t>
      </w:r>
    </w:p>
    <w:p>
      <w:pPr>
        <w:spacing w:before="0" w:after="200" w:lineRule="auto" w:line="276"/>
      </w:pPr>
      <w:r>
        <w:rPr>
          <w:b/>
        </w:rPr>
        <w:t xml:space="preserve">Abstract: </w:t>
      </w:r>
      <w:r>
        <w:t>Photodynamic therapy (PDT) and photothermal therapy (PTT) have emerged as promising modalities against tumor growth and distant metastases via inducing apoptosis and immunogenic cell death (ICD). However, their therapeutic efficacy is profoundly compromised by the acidic tumor microenvironment fueled by lactate extrusion, orchestrating multifaceted immunosuppression. Herein, a lactate metabolism checkpoint blockade strategy targeting monocarboxylate transporter 4 (MCT4) is proposed to augment photoimmunotherapy by co‐delivering MCT4 inhibitor syrosingopine (SY) and a phototheranostic agent L8BO (L8). Boasting robust intramolecular charge transfer (ICT) characteristics and an extended π‐conjugated architecture with lengthy alkyl chains, L8 possesses a diminished singlet‐triplet energy gap (∆</w:t>
      </w:r>
      <w:r>
        <w:t xml:space="preserve"> </w:t>
      </w:r>
      <w:r>
        <w:t>S‐T</w:t>
      </w:r>
      <w:r>
        <w:t xml:space="preserve"> </w:t>
      </w:r>
      <w:r>
        <w:t>) alongside elevated light‐harvesting property, achieving exceptional free radicals generation and 46.2% photothermal conversion efficiency (PCE). Triggered by lactate sequestration‐induced intracellular acidification, L8@SY nanoparticles (NPs)‐enabled photoimmunotherapy potently activates dendritic cells (DCs) maturation while eliciting substantial infiltration of T lymphocytes. Concurrently, natural killer (NK) cell activation and memory T‐cell differentiation are achieved, thereby suppressing both localized and distal tumor progression whilst concomitantly curtailing pulmonary metastatic dissemination. In brief, this study provides a novel combinatorial paradigm to potentiate photoimmunotherapy by targeting the lactate metabolism‐immune circuit rewiring strategy.</w:t>
      </w:r>
    </w:p>
    <w:p>
      <w:pPr>
        <w:spacing w:before="120" w:after="120"/>
      </w:pPr>
      <w:r>
        <w:rPr>
          <w:sz w:val="18"/>
        </w:rPr>
        <w:t>——————————————————————————————————————————————————————————————————————</w:t>
      </w:r>
    </w:p>
    <w:p>
      <w:pPr>
        <w:spacing w:before="160" w:after="80" w:line="240" w:lineRule="auto"/>
      </w:pPr>
      <w:r>
        <w:rPr>
          <w:b/>
        </w:rPr>
        <w:t xml:space="preserve">[705] </w:t>
      </w:r>
      <w:hyperlink r:id="rId1281">
        <w:r>
          <w:rPr>
            <w:color w:val="1155CC"/>
            <w:u w:val="single"/>
          </w:rPr>
          <w:t>Preventing Glioblastoma Relapse by Igniting Innate Immunity through Mitochondrial Stress in the Surgical Cavity</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82">
        <w:r>
          <w:rPr>
            <w:color w:val="1155CC"/>
            <w:u w:val="single"/>
          </w:rPr>
          <w:t>10.1002/adma.202511351</w:t>
        </w:r>
      </w:hyperlink>
    </w:p>
    <w:p>
      <w:pPr>
        <w:spacing w:before="0" w:after="120"/>
      </w:pPr>
      <w:r>
        <w:rPr>
          <w:b/>
        </w:rPr>
        <w:t xml:space="preserve">Notes: </w:t>
      </w:r>
      <w:r>
        <w:t>abstract_source=crossref</w:t>
      </w:r>
    </w:p>
    <w:p>
      <w:pPr>
        <w:spacing w:before="0" w:after="200" w:lineRule="auto" w:line="276"/>
      </w:pPr>
      <w:r>
        <w:rPr>
          <w:b/>
        </w:rPr>
        <w:t xml:space="preserve">Abstract: </w:t>
      </w:r>
      <w:r>
        <w:t>Innate immunity is crucial in orchestrating the brain immune response, however, glioblastoma multiforme (GBM) has evolved sophisticated mechanisms to evade innate immune surveillance, posing significant challenges for current immunotherapies. Here, a therapeutic strategy is reported that aims at reactivating innate immune responses in GBM via targeted induction of mitochondrial stress, thereby enhancing tumor immunogenicity. Specifically, innate immune‐stimulating nanoparticles (INSTNA) are developed, encapsulating positively charged iridium‐based complexes (Ir‐mito) and small interfering RNA against Methylation‐Controlled J protein (si‐MCJ) to attenuate mitochondrial respiration. This combination effectively disrupts mitochondrial function of GBM cells, particularly when combined with tumor‐treating fields. The engineered charge‐reversal INSTNA impair the mitochondrial electron transport chain (ETC), inducing oxidative phosphorylation (OXPHOS) stress and subsequent mitochondrial matrix release. Furthermore, hydrogel‐mediated delivery of INSTNA in a postoperative GBM mouse model significantly remodeled the immunosuppressive microenvironment, resulting in pronounced tumor regression. In sum, these findings highlight that targeted induction of mitochondrial stress in postoperative GBM can potentiate innate immune activation and enhance adaptive immunity, offering a promising avenue for mitigating GBM recurrence.</w:t>
      </w:r>
    </w:p>
    <w:p>
      <w:pPr>
        <w:spacing w:before="120" w:after="120"/>
      </w:pPr>
      <w:r>
        <w:rPr>
          <w:sz w:val="18"/>
        </w:rPr>
        <w:t>——————————————————————————————————————————————————————————————————————</w:t>
      </w:r>
    </w:p>
    <w:p>
      <w:pPr>
        <w:spacing w:before="160" w:after="80" w:line="240" w:lineRule="auto"/>
      </w:pPr>
      <w:r>
        <w:rPr>
          <w:b/>
        </w:rPr>
        <w:t xml:space="preserve">[706] </w:t>
      </w:r>
      <w:hyperlink r:id="rId1283">
        <w:r>
          <w:rPr>
            <w:color w:val="1155CC"/>
            <w:u w:val="single"/>
          </w:rPr>
          <w:t>Optically Controlled Memristor Enabling Synergistic Sensing‐Memory‐Computing for Neuromorphic Vision Systems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84">
        <w:r>
          <w:rPr>
            <w:color w:val="1155CC"/>
            <w:u w:val="single"/>
          </w:rPr>
          <w:t>10.1002/adma.202511411</w:t>
        </w:r>
      </w:hyperlink>
    </w:p>
    <w:p>
      <w:pPr>
        <w:spacing w:before="0" w:after="120"/>
      </w:pPr>
      <w:r>
        <w:rPr>
          <w:b/>
        </w:rPr>
        <w:t xml:space="preserve">Notes: </w:t>
      </w:r>
      <w:r>
        <w:t>abstract_source=crossref</w:t>
      </w:r>
    </w:p>
    <w:p>
      <w:pPr>
        <w:spacing w:before="0" w:after="200" w:lineRule="auto" w:line="276"/>
      </w:pPr>
      <w:r>
        <w:rPr>
          <w:b/>
        </w:rPr>
        <w:t xml:space="preserve">Abstract: </w:t>
      </w:r>
      <w:r>
        <w:t>Neuromorphic Visual Devices hold considerable promise for integration into neuromorphic vision systems that combine sensing, memory, and computing. This potential arises from their synergistic benefits in optical signal detection and neuro‐inspired computational processes. However, current devices face challenges such as insufficient light/dark resistance ratios, mismatched transient photo‐response, and volatile retention characteristics, limiting their adaptability to complex artificial vision systems. Here, a novel optically controlled memristor is developed by leveraging the unique properties of KNbO</w:t>
      </w:r>
      <w:r>
        <w:rPr>
          <w:vertAlign w:val="subscript"/>
        </w:rPr>
        <w:t>3</w:t>
      </w:r>
      <w:r>
        <w:t>, where resistive switching originates from the dynamic reconstruction of conductive filaments controlled by light‐modulated oxygen vacancy charges. Experimental results reveal exceptional reconfigurable electrical characteristics across the 405–650 nm visible spectrum: optically triggered nonvolatile resistive switching, dual‐modal dark‐state operation, switching ratio &amp;gt;10</w:t>
      </w:r>
      <w:r>
        <w:rPr>
          <w:vertAlign w:val="subscript"/>
        </w:rPr>
        <w:t>2</w:t>
      </w:r>
      <w:r>
        <w:t>, endurance 6 × 10</w:t>
      </w:r>
      <w:r>
        <w:rPr>
          <w:vertAlign w:val="subscript"/>
        </w:rPr>
        <w:t>6</w:t>
      </w:r>
      <w:r>
        <w:t>cycles, retention &amp;gt;10</w:t>
      </w:r>
      <w:r>
        <w:rPr>
          <w:vertAlign w:val="subscript"/>
        </w:rPr>
        <w:t>4</w:t>
      </w:r>
      <w:r>
        <w:t>s, photo‐to‐dark current ratio &amp;gt;10</w:t>
      </w:r>
      <w:r>
        <w:rPr>
          <w:vertAlign w:val="subscript"/>
        </w:rPr>
        <w:t>2</w:t>
      </w:r>
      <w:r>
        <w:t>, and self‐powered capability. The enhanced light/dark resistance contrast significantly improves visual perception in complex illumination environments, whereas the synergistic interplay between the dynamic photo‐response and nonvolatile storage balances transient signal processing with persistent information retention. In integrated sensing‐memory‐computing tasks, the devices achieved recognition accuracies of 96% and 85% on the standard Jellyfish dataset and its low‐illumination variant, demonstrating technical feasibility and providing a theoretically grounded solution with practical implications for the development of bioinspired vision chips.</w:t>
      </w:r>
    </w:p>
    <w:p>
      <w:pPr>
        <w:spacing w:before="120" w:after="120"/>
      </w:pPr>
      <w:r>
        <w:rPr>
          <w:sz w:val="18"/>
        </w:rPr>
        <w:t>——————————————————————————————————————————————————————————————————————</w:t>
      </w:r>
    </w:p>
    <w:p>
      <w:pPr>
        <w:spacing w:before="160" w:after="80" w:line="240" w:lineRule="auto"/>
      </w:pPr>
      <w:r>
        <w:rPr>
          <w:b/>
        </w:rPr>
        <w:t xml:space="preserve">[707] </w:t>
      </w:r>
      <w:hyperlink r:id="rId1285">
        <w:r>
          <w:rPr>
            <w:color w:val="1155CC"/>
            <w:u w:val="single"/>
          </w:rPr>
          <w:t>Localized Gradient Conductivity Enabled Ultrasensitive Flexible Tactile Sensors with Ultrawide Linearity Range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1286">
        <w:r>
          <w:rPr>
            <w:color w:val="1155CC"/>
            <w:u w:val="single"/>
          </w:rPr>
          <w:t>10.1002/adma.202511275</w:t>
        </w:r>
      </w:hyperlink>
    </w:p>
    <w:p>
      <w:pPr>
        <w:spacing w:before="0" w:after="120"/>
      </w:pPr>
      <w:r>
        <w:rPr>
          <w:b/>
        </w:rPr>
        <w:t xml:space="preserve">Notes: </w:t>
      </w:r>
      <w:r>
        <w:t>abstract_source=crossref</w:t>
      </w:r>
    </w:p>
    <w:p>
      <w:pPr>
        <w:spacing w:before="0" w:after="200" w:lineRule="auto" w:line="276"/>
      </w:pPr>
      <w:r>
        <w:rPr>
          <w:b/>
        </w:rPr>
        <w:t xml:space="preserve">Abstract: </w:t>
      </w:r>
      <w:r>
        <w:t>The high sensitivity and wide linearity are crucial for flexible tactile sensors in adapting to diverse application scenarios with high accuracy and reliability. However, conventional optimization strategies of constructing microstructures suffer from the mutual restriction between the high sensitivity and wide linearity. Herein, a novel design of localized gradient conductivity (LGC) with partly covered low‐conductivity (low‐</w:t>
      </w:r>
      <w:r>
        <w:t xml:space="preserve"> </w:t>
      </w:r>
      <w:r>
        <w:t>σ</w:t>
      </w:r>
      <w:r>
        <w:t xml:space="preserve"> </w:t>
      </w:r>
      <w:r>
        <w:t>) carbon/Polydimethylsiloxane layer on high‐conductivity (high‐</w:t>
      </w:r>
      <w:r>
        <w:t xml:space="preserve"> </w:t>
      </w:r>
      <w:r>
        <w:t>σ</w:t>
      </w:r>
      <w:r>
        <w:t xml:space="preserve"> </w:t>
      </w:r>
      <w:r>
        <w:t>) silver nanowires film upon the micro‐dome structure is proposed. The LGC configuration enables a unique pressure‐motivated series‐parallel switching to allow the low‐</w:t>
      </w:r>
      <w:r>
        <w:t xml:space="preserve"> </w:t>
      </w:r>
      <w:r>
        <w:t>σ</w:t>
      </w:r>
      <w:r>
        <w:t xml:space="preserve"> </w:t>
      </w:r>
      <w:r>
        <w:t>and high‐</w:t>
      </w:r>
      <w:r>
        <w:t xml:space="preserve"> </w:t>
      </w:r>
      <w:r>
        <w:t>σ</w:t>
      </w:r>
      <w:r>
        <w:t xml:space="preserve"> </w:t>
      </w:r>
      <w:r>
        <w:t>components to separately take dominant effects in different pressure ranges. The ultrawide linearity can thus be realized by customizing the segmented linear current variation via the rationally associated coverage degree and conductivity gradient of the low‐</w:t>
      </w:r>
      <w:r>
        <w:t xml:space="preserve"> </w:t>
      </w:r>
      <w:r>
        <w:t>σ</w:t>
      </w:r>
      <w:r>
        <w:t xml:space="preserve"> </w:t>
      </w:r>
      <w:r>
        <w:t>and high‐</w:t>
      </w:r>
      <w:r>
        <w:t xml:space="preserve"> </w:t>
      </w:r>
      <w:r>
        <w:t>σ</w:t>
      </w:r>
      <w:r>
        <w:t xml:space="preserve"> </w:t>
      </w:r>
      <w:r>
        <w:t>components. Moreover, the ultrahigh sensitivity can be originally endowed by the conductivity difference between the low‐</w:t>
      </w:r>
      <w:r>
        <w:t xml:space="preserve"> </w:t>
      </w:r>
      <w:r>
        <w:t>σ</w:t>
      </w:r>
      <w:r>
        <w:t xml:space="preserve"> </w:t>
      </w:r>
      <w:r>
        <w:t>and high‐</w:t>
      </w:r>
      <w:r>
        <w:t xml:space="preserve"> </w:t>
      </w:r>
      <w:r>
        <w:t>σ</w:t>
      </w:r>
      <w:r>
        <w:t xml:space="preserve"> </w:t>
      </w:r>
      <w:r>
        <w:t>components without compromising linearity. The optimized sensor exhibits an ultrahigh sensitivity of 1546.35 kPa</w:t>
      </w:r>
      <w:r>
        <w:t xml:space="preserve"> </w:t>
      </w:r>
      <w:r>
        <w:t>−1</w:t>
      </w:r>
      <w:r>
        <w:t xml:space="preserve"> </w:t>
      </w:r>
      <w:r>
        <w:t>within an ultrabroad linear sensing range of 0–3000 kPa, which is first reported. With such an excellent sensing performance, the potential applications, e.g., reliable healthcare monitoring, convenient smart home control, and ground detection of intelligent vehicles, are successfully demonstrated.</w:t>
      </w:r>
    </w:p>
    <w:p>
      <w:pPr>
        <w:spacing w:before="120" w:after="120"/>
      </w:pPr>
      <w:r>
        <w:rPr>
          <w:sz w:val="18"/>
        </w:rPr>
        <w:t>——————————————————————————————————————————————————————————————————————</w:t>
      </w:r>
    </w:p>
    <w:p>
      <w:pPr>
        <w:spacing w:before="160" w:after="80" w:line="240" w:lineRule="auto"/>
      </w:pPr>
      <w:r>
        <w:rPr>
          <w:b/>
        </w:rPr>
        <w:t xml:space="preserve">[708] </w:t>
      </w:r>
      <w:hyperlink r:id="rId1287">
        <w:r>
          <w:rPr>
            <w:color w:val="1155CC"/>
            <w:u w:val="single"/>
          </w:rPr>
          <w:t>Dual‐Conductivity Optimization Toward High‐Rate and Ultralong Life All‐Solid‐State Lithium‐Sulfur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06:23:50+00:00</w:t>
      </w:r>
      <w:r>
        <w:t xml:space="preserve">    </w:t>
      </w:r>
      <w:r>
        <w:rPr>
          <w:b/>
        </w:rPr>
        <w:t xml:space="preserve">DOI: </w:t>
      </w:r>
      <w:hyperlink r:id="rId1288">
        <w:r>
          <w:rPr>
            <w:color w:val="1155CC"/>
            <w:u w:val="single"/>
          </w:rPr>
          <w:t>10.1002/adma.202522976</w:t>
        </w:r>
      </w:hyperlink>
    </w:p>
    <w:p>
      <w:pPr>
        <w:spacing w:before="0" w:after="120"/>
      </w:pPr>
      <w:r>
        <w:rPr>
          <w:b/>
        </w:rPr>
        <w:t xml:space="preserve">Notes: </w:t>
      </w:r>
      <w:r>
        <w:t>abstract_source=crossref</w:t>
      </w:r>
    </w:p>
    <w:p>
      <w:pPr>
        <w:spacing w:before="0" w:after="200" w:lineRule="auto" w:line="276"/>
      </w:pPr>
      <w:r>
        <w:rPr>
          <w:b/>
        </w:rPr>
        <w:t xml:space="preserve">Abstract: </w:t>
      </w:r>
      <w:r>
        <w:t>All‐solid‐state lithium‐sulfur batteries (ASSLSBs) hold great promise as next‐generation energy storage systems due to their high energy density. However, the practical application of sulfur‐based cathodes are largely hampered by their sluggish reaction kinetics, especially under high current densities and long‐term cycling. Herein, by employing electronic structure modulation via same‐group element doping, we successfully engineer lithium sulfide to concurrently facilitate ionic diffusion and electronic conduction, thereby significantly boosting its reaction kinetics. The formation of Se─S bonds, achieved by partial Se substitution, reorganizes the electronic structure of Li</w:t>
      </w:r>
      <w:r>
        <w:rPr>
          <w:vertAlign w:val="subscript"/>
        </w:rPr>
        <w:t>2</w:t>
      </w:r>
      <w:r>
        <w:t>S. This effect concurrently weakens sulfur's electronegativity to facilitate Li</w:t>
      </w:r>
      <w:r>
        <w:t xml:space="preserve"> </w:t>
      </w:r>
      <w:r>
        <w:t>+</w:t>
      </w:r>
      <w:r>
        <w:t xml:space="preserve"> </w:t>
      </w:r>
      <w:r>
        <w:t>diffusion and narrows the bandgap to boost electronic conduction. As a result, the Li</w:t>
      </w:r>
      <w:r>
        <w:rPr>
          <w:vertAlign w:val="subscript"/>
        </w:rPr>
        <w:t>2</w:t>
      </w:r>
      <w:r>
        <w:t>Se</w:t>
      </w:r>
      <w:r>
        <w:t xml:space="preserve"> </w:t>
      </w:r>
      <w:r>
        <w:t>0.2</w:t>
      </w:r>
      <w:r>
        <w:t xml:space="preserve"> </w:t>
      </w:r>
      <w:r>
        <w:t>S</w:t>
      </w:r>
      <w:r>
        <w:t xml:space="preserve"> </w:t>
      </w:r>
      <w:r>
        <w:t>0.8</w:t>
      </w:r>
      <w:r>
        <w:t xml:space="preserve"> </w:t>
      </w:r>
      <w:r>
        <w:t>cathode exhibits remarkable high‐rate capability, retaining 97.5% of its capacity after 1000 cycles at 1 A g</w:t>
      </w:r>
      <w:r>
        <w:t xml:space="preserve"> </w:t>
      </w:r>
      <w:r>
        <w:t>−1</w:t>
      </w:r>
      <w:r>
        <w:t xml:space="preserve"> </w:t>
      </w:r>
      <w:r>
        <w:t>. Moreover, a full cell combining Li</w:t>
      </w:r>
      <w:r>
        <w:rPr>
          <w:vertAlign w:val="subscript"/>
        </w:rPr>
        <w:t>2</w:t>
      </w:r>
      <w:r>
        <w:t>Se</w:t>
      </w:r>
      <w:r>
        <w:t xml:space="preserve"> </w:t>
      </w:r>
      <w:r>
        <w:t>0.2</w:t>
      </w:r>
      <w:r>
        <w:t xml:space="preserve"> </w:t>
      </w:r>
      <w:r>
        <w:t>S</w:t>
      </w:r>
      <w:r>
        <w:t xml:space="preserve"> </w:t>
      </w:r>
      <w:r>
        <w:t>0.8</w:t>
      </w:r>
      <w:r>
        <w:t xml:space="preserve"> </w:t>
      </w:r>
      <w:r>
        <w:t>with a Si anode delivers a high energy density of 1324 Wh kg</w:t>
      </w:r>
      <w:r>
        <w:t xml:space="preserve"> </w:t>
      </w:r>
      <w:r>
        <w:t>−1</w:t>
      </w:r>
      <w:r>
        <w:t xml:space="preserve"> </w:t>
      </w:r>
      <w:r>
        <w:t>, highlighting the feasibility of high‐specific‐energy and high safety ASSLSBs. This work provides an effective strategy toward high‐energy and high‐power solid‐state batteries.</w:t>
      </w:r>
    </w:p>
    <w:p>
      <w:pPr>
        <w:spacing w:before="120" w:after="120"/>
      </w:pPr>
      <w:r>
        <w:rPr>
          <w:sz w:val="18"/>
        </w:rPr>
        <w:t>——————————————————————————————————————————————————————————————————————</w:t>
      </w:r>
    </w:p>
    <w:p>
      <w:pPr>
        <w:spacing w:before="160" w:after="80" w:line="240" w:lineRule="auto"/>
      </w:pPr>
      <w:r>
        <w:rPr>
          <w:b/>
        </w:rPr>
        <w:t xml:space="preserve">[709] </w:t>
      </w:r>
      <w:hyperlink r:id="rId1289">
        <w:r>
          <w:rPr>
            <w:color w:val="1155CC"/>
            <w:u w:val="single"/>
          </w:rPr>
          <w:t>Porous Bi2S3 Bulk With Excellent Thermoelectric Performance by Solid States Replacement and Low Melting‐Point Metal Volatilization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06:24:36+00:00</w:t>
      </w:r>
      <w:r>
        <w:t xml:space="preserve">    </w:t>
      </w:r>
      <w:r>
        <w:rPr>
          <w:b/>
        </w:rPr>
        <w:t xml:space="preserve">DOI: </w:t>
      </w:r>
      <w:hyperlink r:id="rId1290">
        <w:r>
          <w:rPr>
            <w:color w:val="1155CC"/>
            <w:u w:val="single"/>
          </w:rPr>
          <w:t>10.1002/adma.202521215</w:t>
        </w:r>
      </w:hyperlink>
    </w:p>
    <w:p>
      <w:pPr>
        <w:spacing w:before="0" w:after="120"/>
      </w:pPr>
      <w:r>
        <w:rPr>
          <w:b/>
        </w:rPr>
        <w:t xml:space="preserve">Notes: </w:t>
      </w:r>
      <w:r>
        <w:t>abstract_source=crossref</w:t>
      </w:r>
    </w:p>
    <w:p>
      <w:pPr>
        <w:spacing w:before="0" w:after="200" w:lineRule="auto" w:line="276"/>
      </w:pPr>
      <w:r>
        <w:rPr>
          <w:b/>
        </w:rPr>
        <w:t xml:space="preserve">Abstract: </w:t>
      </w:r>
      <w:r>
        <w:t>Bismuth sulfide (Bi</w:t>
      </w:r>
      <w:r>
        <w:rPr>
          <w:vertAlign w:val="subscript"/>
        </w:rPr>
        <w:t>2</w:t>
      </w:r>
      <w:r>
        <w:t>S</w:t>
      </w:r>
      <w:r>
        <w:rPr>
          <w:vertAlign w:val="subscript"/>
        </w:rPr>
        <w:t>3</w:t>
      </w:r>
      <w:r>
        <w:t>) exhibits potentials in thermoelectric field, due to their environmental friendliness, high Seebeck coefficients, and low thermal conductivity. However, the peak</w:t>
      </w:r>
      <w:r>
        <w:t xml:space="preserve"> </w:t>
      </w:r>
      <w:r>
        <w:t>ZT</w:t>
      </w:r>
      <w:r>
        <w:t xml:space="preserve"> </w:t>
      </w:r>
      <w:r>
        <w:t>for binary Bi</w:t>
      </w:r>
      <w:r>
        <w:rPr>
          <w:vertAlign w:val="subscript"/>
        </w:rPr>
        <w:t>2</w:t>
      </w:r>
      <w:r>
        <w:t>S</w:t>
      </w:r>
      <w:r>
        <w:rPr>
          <w:vertAlign w:val="subscript"/>
        </w:rPr>
        <w:t>3</w:t>
      </w:r>
      <w:r>
        <w:t>does not exceed 1.0, inhibiting its practical applications. Starting from the precipitation smelting of bismuth concentrate process, this study constructs multi‐type, multi‐scale in‐situ secondary phases and porous structures through FeCoNi (FCN) medium‐entropy alloy addition, significantly enhancing the</w:t>
      </w:r>
      <w:r>
        <w:t xml:space="preserve"> </w:t>
      </w:r>
      <w:r>
        <w:t>ZT</w:t>
      </w:r>
      <w:r>
        <w:t xml:space="preserve"> </w:t>
      </w:r>
      <w:r>
        <w:t>value of Bi</w:t>
      </w:r>
      <w:r>
        <w:rPr>
          <w:vertAlign w:val="subscript"/>
        </w:rPr>
        <w:t>2</w:t>
      </w:r>
      <w:r>
        <w:t>S</w:t>
      </w:r>
      <w:r>
        <w:rPr>
          <w:vertAlign w:val="subscript"/>
        </w:rPr>
        <w:t>3</w:t>
      </w:r>
      <w:r>
        <w:t>‐based thermoelectric materials. The introduced FCN reacts with pre‐synthesized Bi</w:t>
      </w:r>
      <w:r>
        <w:rPr>
          <w:vertAlign w:val="subscript"/>
        </w:rPr>
        <w:t>2</w:t>
      </w:r>
      <w:r>
        <w:t>S</w:t>
      </w:r>
      <w:r>
        <w:rPr>
          <w:vertAlign w:val="subscript"/>
        </w:rPr>
        <w:t>3</w:t>
      </w:r>
      <w:r>
        <w:t>nanorod matrix during spark plasma sintering and forms precipitate complex with FCN‐S core and Bi shell microstructures. FCN doping improves the carrier concentration of Bi</w:t>
      </w:r>
      <w:r>
        <w:rPr>
          <w:vertAlign w:val="subscript"/>
        </w:rPr>
        <w:t>2</w:t>
      </w:r>
      <w:r>
        <w:t>S</w:t>
      </w:r>
      <w:r>
        <w:rPr>
          <w:vertAlign w:val="subscript"/>
        </w:rPr>
        <w:t>3</w:t>
      </w:r>
      <w:r>
        <w:t>and the reduced Bi from Bi</w:t>
      </w:r>
      <w:r>
        <w:rPr>
          <w:vertAlign w:val="subscript"/>
        </w:rPr>
        <w:t>2</w:t>
      </w:r>
      <w:r>
        <w:t>S</w:t>
      </w:r>
      <w:r>
        <w:rPr>
          <w:vertAlign w:val="subscript"/>
        </w:rPr>
        <w:t>3</w:t>
      </w:r>
      <w:r>
        <w:t>acts as carrier transport channels for mobility optimization. Due to the stacking effect of Bi</w:t>
      </w:r>
      <w:r>
        <w:rPr>
          <w:vertAlign w:val="subscript"/>
        </w:rPr>
        <w:t>2</w:t>
      </w:r>
      <w:r>
        <w:t>S</w:t>
      </w:r>
      <w:r>
        <w:rPr>
          <w:vertAlign w:val="subscript"/>
        </w:rPr>
        <w:t>3</w:t>
      </w:r>
      <w:r>
        <w:t>nanorods and the volatile nature of metallic Bi, porous Bi</w:t>
      </w:r>
      <w:r>
        <w:rPr>
          <w:vertAlign w:val="subscript"/>
        </w:rPr>
        <w:t>2</w:t>
      </w:r>
      <w:r>
        <w:t>S</w:t>
      </w:r>
      <w:r>
        <w:rPr>
          <w:vertAlign w:val="subscript"/>
        </w:rPr>
        <w:t>3</w:t>
      </w:r>
      <w:r>
        <w:t>structure is formed, characterized by randomly‐distributed and micro‐to‐nanoscale pores. The coexistence of various lattice defects effectively scatter phonons and suppress the lattice thermal conductivity, thus an excellent peak</w:t>
      </w:r>
      <w:r>
        <w:t xml:space="preserve"> </w:t>
      </w:r>
      <w:r>
        <w:t>ZT</w:t>
      </w:r>
      <w:r>
        <w:t xml:space="preserve"> </w:t>
      </w:r>
      <w:r>
        <w:t>of 1.1 is achieved at 773 K in a 0.25 wt.% FCN‐doped Bi</w:t>
      </w:r>
      <w:r>
        <w:rPr>
          <w:vertAlign w:val="subscript"/>
        </w:rPr>
        <w:t>2</w:t>
      </w:r>
      <w:r>
        <w:t>S</w:t>
      </w:r>
      <w:r>
        <w:rPr>
          <w:vertAlign w:val="subscript"/>
        </w:rPr>
        <w:t>3</w:t>
      </w:r>
      <w:r>
        <w:t>sample. This study, drawing on the process of ore smelting, proposes a convenient method for preparing high‐performance chalcogenide thermoelectric materials with porous structures.</w:t>
      </w:r>
    </w:p>
    <w:p>
      <w:pPr>
        <w:spacing w:before="120" w:after="120"/>
      </w:pPr>
      <w:r>
        <w:rPr>
          <w:sz w:val="18"/>
        </w:rPr>
        <w:t>——————————————————————————————————————————————————————————————————————</w:t>
      </w:r>
    </w:p>
    <w:p>
      <w:pPr>
        <w:spacing w:before="160" w:after="80" w:line="240" w:lineRule="auto"/>
      </w:pPr>
      <w:r>
        <w:rPr>
          <w:b/>
        </w:rPr>
        <w:t xml:space="preserve">[710] </w:t>
      </w:r>
      <w:hyperlink r:id="rId1291">
        <w:r>
          <w:rPr>
            <w:color w:val="1155CC"/>
            <w:u w:val="single"/>
          </w:rPr>
          <w:t>Endogenous Metal Ion‐Enriched Immunostimulating Biomimetic Scaffold Improves In Situ Bone Regeneration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06:27:19+00:00</w:t>
      </w:r>
      <w:r>
        <w:t xml:space="preserve">    </w:t>
      </w:r>
      <w:r>
        <w:rPr>
          <w:b/>
        </w:rPr>
        <w:t xml:space="preserve">DOI: </w:t>
      </w:r>
      <w:hyperlink r:id="rId1292">
        <w:r>
          <w:rPr>
            <w:color w:val="1155CC"/>
            <w:u w:val="single"/>
          </w:rPr>
          <w:t>10.1002/adma.202507071</w:t>
        </w:r>
      </w:hyperlink>
    </w:p>
    <w:p>
      <w:pPr>
        <w:spacing w:before="0" w:after="120"/>
      </w:pPr>
      <w:r>
        <w:rPr>
          <w:b/>
        </w:rPr>
        <w:t xml:space="preserve">Notes: </w:t>
      </w:r>
      <w:r>
        <w:t>abstract_source=crossref</w:t>
      </w:r>
    </w:p>
    <w:p>
      <w:pPr>
        <w:spacing w:before="0" w:after="200" w:lineRule="auto" w:line="276"/>
      </w:pPr>
      <w:r>
        <w:rPr>
          <w:b/>
        </w:rPr>
        <w:t xml:space="preserve">Abstract: </w:t>
      </w:r>
      <w:r>
        <w:t>Effective in situ regeneration and functional reconstruction of large‐scale bone defects remain a formidable clinical challenge. The endogenous metal ions have been shown to critically regulate immune responses and bone remodeling, but methods for precisely regulating the spatiotemporal recruitment dynamics of endogenous ions are still lacking. Here, we develop a novel endogenous metal ion‐enriched immunostimulation‐amplified bone biomimetic scaffold (emia‐BBS) based on the hierarchical multi‐level assembly of nano‐hydroxyapatites (nHAs), collagen fibrils, and mussel adhesion proteins (MAPs). The emia‐BBS not only mimics the nanostructure and mechanical properties of native bone, but notably, the assembled MAPs endow emia‐BBS with abundant lysine and dopamine chemical structures, enabling efficient capture of endogenous metal ions to amplify ion‐mediated immunomodulation. Functionally, in large‐scale mandibular defects, emia‐BBS‐induced enrichment of endogenous metal ions could recruit and reprogram macrophages, thereby enhancing the innate immune response. These M2 macrophages, recruited by the emia‐BBS‐metal ion complex, in turn, facilitate the recruitment and osteogenic activation of endogenous LepR⁺ skeletal stem cells via the CCL5/CCR5/STAT3 axis. This study introduces an immunomodulatory strategy that harnesses endogenous ion dynamics to amplify regenerative signals, providing a precisely guided and clinically applicable approach for critical‐sized bone defect repair.</w:t>
      </w:r>
    </w:p>
    <w:p>
      <w:pPr>
        <w:spacing w:before="120" w:after="120"/>
      </w:pPr>
      <w:r>
        <w:rPr>
          <w:sz w:val="18"/>
        </w:rPr>
        <w:t>——————————————————————————————————————————————————————————————————————</w:t>
      </w:r>
    </w:p>
    <w:p>
      <w:pPr>
        <w:spacing w:before="160" w:after="80" w:line="240" w:lineRule="auto"/>
      </w:pPr>
      <w:r>
        <w:rPr>
          <w:b/>
        </w:rPr>
        <w:t xml:space="preserve">[711] </w:t>
      </w:r>
      <w:hyperlink r:id="rId1293">
        <w:r>
          <w:rPr>
            <w:color w:val="1155CC"/>
            <w:u w:val="single"/>
          </w:rPr>
          <w:t>Unique Impacts of Scandium Doping on Electrode Performance of P’2‐ and P2‐type Na2/3MnO2</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294">
        <w:r>
          <w:rPr>
            <w:color w:val="1155CC"/>
            <w:u w:val="single"/>
          </w:rPr>
          <w:t>10.1002/adma.202511719</w:t>
        </w:r>
      </w:hyperlink>
    </w:p>
    <w:p>
      <w:pPr>
        <w:spacing w:before="0" w:after="120"/>
      </w:pPr>
      <w:r>
        <w:rPr>
          <w:b/>
        </w:rPr>
        <w:t xml:space="preserve">Notes: </w:t>
      </w:r>
      <w:r>
        <w:t>abstract_source=crossref</w:t>
      </w:r>
    </w:p>
    <w:p>
      <w:pPr>
        <w:spacing w:before="0" w:after="200" w:lineRule="auto" w:line="276"/>
      </w:pPr>
      <w:r>
        <w:rPr>
          <w:b/>
        </w:rPr>
        <w:t xml:space="preserve">Abstract: </w:t>
      </w:r>
      <w:r>
        <w:t>Layered sodium manganese oxides are one of the promising candidates as cathode materials for high‐capacity Na‐ion batteries free from rare elements. Among the polytypes of layered sodium manganese oxides, the P’2‐type Na</w:t>
      </w:r>
      <w:r>
        <w:t xml:space="preserve"> </w:t>
      </w:r>
      <w:r>
        <w:t>2/3</w:t>
      </w:r>
      <w:r>
        <w:t xml:space="preserve"> </w:t>
      </w:r>
      <w:r>
        <w:t>MnO</w:t>
      </w:r>
      <w:r>
        <w:rPr>
          <w:vertAlign w:val="subscript"/>
        </w:rPr>
        <w:t>2</w:t>
      </w:r>
      <w:r>
        <w:t>electrode exhibits the highest reversible capacity ≈220 mAh g</w:t>
      </w:r>
      <w:r>
        <w:t xml:space="preserve"> </w:t>
      </w:r>
      <w:r>
        <w:t>−1</w:t>
      </w:r>
      <w:r>
        <w:t xml:space="preserve"> </w:t>
      </w:r>
      <w:r>
        <w:t>based on the Mn</w:t>
      </w:r>
      <w:r>
        <w:t xml:space="preserve"> </w:t>
      </w:r>
      <w:r>
        <w:t>3+/4+</w:t>
      </w:r>
      <w:r>
        <w:t xml:space="preserve"> </w:t>
      </w:r>
      <w:r>
        <w:t>redox couple; however, the cycle life remained a significant challenge. Because of Jahn‐Teller (JT) active Mn</w:t>
      </w:r>
      <w:r>
        <w:t xml:space="preserve"> </w:t>
      </w:r>
      <w:r>
        <w:t>3+</w:t>
      </w:r>
      <w:r>
        <w:t xml:space="preserve"> </w:t>
      </w:r>
      <w:r>
        <w:t>ions ([Ar]</w:t>
      </w:r>
      <w:r>
        <w:t xml:space="preserve"> </w:t>
      </w:r>
      <w:r>
        <w:t>4s</w:t>
      </w:r>
      <w:r>
        <w:rPr>
          <w:vertAlign w:val="subscript"/>
        </w:rPr>
        <w:t>2</w:t>
      </w:r>
      <w:r>
        <w:t>3d</w:t>
      </w:r>
      <w:r>
        <w:rPr>
          <w:vertAlign w:val="subscript"/>
        </w:rPr>
        <w:t>4</w:t>
      </w:r>
      <w:r>
        <w:t xml:space="preserve"> </w:t>
      </w:r>
      <w:r>
        <w:t>), the layered structure is cooperatively distorted and experiences complex structural changes during Mn</w:t>
      </w:r>
      <w:r>
        <w:t xml:space="preserve"> </w:t>
      </w:r>
      <w:r>
        <w:t>3+/4+</w:t>
      </w:r>
      <w:r>
        <w:t xml:space="preserve"> </w:t>
      </w:r>
      <w:r>
        <w:t>redox accompanied by Na extraction/insertion. The impact of scandium(III) dopant in 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on the cooperative lattice‐distortion and electrode performance is systematically investigated, and prepartion for distortion‐free hexagonal P2‐type 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w:t>
      </w:r>
      <w:r>
        <w:t xml:space="preserve"> </w:t>
      </w:r>
      <w:r>
        <w:t>0.93</w:t>
      </w:r>
      <w:r>
        <w:t xml:space="preserve"> </w:t>
      </w:r>
      <w:r>
        <w:t>□</w:t>
      </w:r>
      <w:r>
        <w:t xml:space="preserve"> </w:t>
      </w:r>
      <w:r>
        <w:t>0.07</w:t>
      </w:r>
      <w:r>
        <w:t xml:space="preserve"> </w:t>
      </w:r>
      <w:r>
        <w:t>]O</w:t>
      </w:r>
      <w:r>
        <w:rPr>
          <w:vertAlign w:val="subscript"/>
        </w:rPr>
        <w:t>2</w:t>
      </w:r>
      <w:r>
        <w:t>(□ = vacancy) allows the contribution of the vacancies on the Mn site to be checked. Furthermore, a comparative study of the case of other trivalent metals of yttrium(III) and aluminum(III) as dopants is demonstrated. Thus, it is concluded that a unique synergetic effect of the Sc doping and JT distortion provides significant improvement of redox activity of P’2‐Na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 demonstrating stable cycling for more than 300 cycles in a Na‐ion cell. The findings highlight the critical role of the coexistence of the Sc dopant and honeycomb ordering of Mn</w:t>
      </w:r>
      <w:r>
        <w:t xml:space="preserve"> </w:t>
      </w:r>
      <w:r>
        <w:t>IV</w:t>
      </w:r>
      <w:r>
        <w:t xml:space="preserve"> </w:t>
      </w:r>
      <w:r>
        <w:t>(Mn</w:t>
      </w:r>
      <w:r>
        <w:t xml:space="preserve"> </w:t>
      </w:r>
      <w:r>
        <w:t>III</w:t>
      </w:r>
      <w:r>
        <w:t xml:space="preserve"> </w:t>
      </w:r>
      <w:r>
        <w:t>1‐</w:t>
      </w:r>
      <w:r>
        <w:t xml:space="preserve"> </w:t>
      </w:r>
      <w:r>
        <w:t>x</w:t>
      </w:r>
      <w:r>
        <w:t xml:space="preserve"> </w:t>
      </w:r>
      <w:r>
        <w:t>Sc</w:t>
      </w:r>
      <w:r>
        <w:t xml:space="preserve"> </w:t>
      </w:r>
      <w:r>
        <w:t>III</w:t>
      </w:r>
      <w:r>
        <w:t xml:space="preserve"> </w:t>
      </w:r>
      <w:r>
        <w:t>x</w:t>
      </w:r>
      <w:r>
        <w:t xml:space="preserve"> </w:t>
      </w:r>
      <w:r>
        <w:t>) in [Mn</w:t>
      </w:r>
      <w:r>
        <w:t xml:space="preserve"> </w:t>
      </w:r>
      <w:r>
        <w:t>1‐</w:t>
      </w:r>
      <w:r>
        <w:t xml:space="preserve"> </w:t>
      </w:r>
      <w:r>
        <w:t>x</w:t>
      </w:r>
      <w:r>
        <w:t xml:space="preserve"> </w:t>
      </w:r>
      <w:r>
        <w:t>Sc</w:t>
      </w:r>
      <w:r>
        <w:t xml:space="preserve"> </w:t>
      </w:r>
      <w:r>
        <w:t>x</w:t>
      </w:r>
      <w:r>
        <w:t xml:space="preserve"> </w:t>
      </w:r>
      <w:r>
        <w:t>]O</w:t>
      </w:r>
      <w:r>
        <w:rPr>
          <w:vertAlign w:val="subscript"/>
        </w:rPr>
        <w:t>2</w:t>
      </w:r>
      <w:r>
        <w:t>slabs of P’2‐Na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on the stable redox for long‐life Na‐ion batteries.</w:t>
      </w:r>
    </w:p>
    <w:p>
      <w:pPr>
        <w:spacing w:before="120" w:after="120"/>
      </w:pPr>
      <w:r>
        <w:rPr>
          <w:sz w:val="18"/>
        </w:rPr>
        <w:t>——————————————————————————————————————————————————————————————————————</w:t>
      </w:r>
    </w:p>
    <w:p>
      <w:pPr>
        <w:spacing w:before="160" w:after="80" w:line="240" w:lineRule="auto"/>
      </w:pPr>
      <w:r>
        <w:rPr>
          <w:b/>
        </w:rPr>
        <w:t xml:space="preserve">[712] </w:t>
      </w:r>
      <w:hyperlink r:id="rId1295">
        <w:r>
          <w:rPr>
            <w:color w:val="1155CC"/>
            <w:u w:val="single"/>
          </w:rPr>
          <w:t>Adaptive Metaskins for Active and Passive Thermal Camouflage</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296">
        <w:r>
          <w:rPr>
            <w:color w:val="1155CC"/>
            <w:u w:val="single"/>
          </w:rPr>
          <w:t>10.1002/adma.202506934</w:t>
        </w:r>
      </w:hyperlink>
    </w:p>
    <w:p>
      <w:pPr>
        <w:spacing w:before="0" w:after="120"/>
      </w:pPr>
      <w:r>
        <w:rPr>
          <w:b/>
        </w:rPr>
        <w:t xml:space="preserve">Notes: </w:t>
      </w:r>
      <w:r>
        <w:t>abstract_source=crossref</w:t>
      </w:r>
    </w:p>
    <w:p>
      <w:pPr>
        <w:spacing w:before="0" w:after="200" w:lineRule="auto" w:line="276"/>
      </w:pPr>
      <w:r>
        <w:rPr>
          <w:b/>
        </w:rPr>
        <w:t xml:space="preserve">Abstract: </w:t>
      </w:r>
      <w:r>
        <w:t>Dynamic thermal camouflage conceals objects from infrared detection by modulating surface emissivity to match the thermal signature of the background. However, existing emissivity modulation systems fail to perform effectively across both hot backgrounds, such as sun‐heated buildings and roads, and cold backgrounds, such as open fields. Here, an adaptive metaskin capable of operating in either active (externally powered) or passive mode is demonstrated, enabling effective camouflage across diverse thermal environments. This is achieved through the synergistic integration of a plasmonic MXene metasurface and a reprogrammable liquid crystal elastomer. The metaskin offers both a wide, continuously tunable emissivity range (≈41%) and a rapid temperature response (1.2 s), selectively triggered in the passive mode. In cold backgrounds (e.g., 20 °C), the system operates in an active mode, delivering a non‐volatile low‐emissivity state that conceals objects across a wide temperature range (e.g., 20–120 °C). In hot backgrounds (e.g., 50 °C), it switches to passive mode, autonomously modulating its emissivity and maintaining an average infrared contrast of just 4.7 °C for objects of 50–120 °C. This dual‐mode design is expected to address the challenges of active and passive thermal camouflage, opening new possibilities for dynamic thermal radiation management.</w:t>
      </w:r>
    </w:p>
    <w:p>
      <w:pPr>
        <w:spacing w:before="120" w:after="120"/>
      </w:pPr>
      <w:r>
        <w:rPr>
          <w:sz w:val="18"/>
        </w:rPr>
        <w:t>——————————————————————————————————————————————————————————————————————</w:t>
      </w:r>
    </w:p>
    <w:p>
      <w:pPr>
        <w:spacing w:before="160" w:after="80" w:line="240" w:lineRule="auto"/>
      </w:pPr>
      <w:r>
        <w:rPr>
          <w:b/>
        </w:rPr>
        <w:t xml:space="preserve">[713] </w:t>
      </w:r>
      <w:hyperlink r:id="rId1297">
        <w:r>
          <w:rPr>
            <w:color w:val="1155CC"/>
            <w:u w:val="single"/>
          </w:rPr>
          <w:t>Bioinspired Heterogeneous Wettability Triboelectric Sensors for Sweat Collection and Monitoring</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298">
        <w:r>
          <w:rPr>
            <w:color w:val="1155CC"/>
            <w:u w:val="single"/>
          </w:rPr>
          <w:t>10.1002/adma.202509920</w:t>
        </w:r>
      </w:hyperlink>
    </w:p>
    <w:p>
      <w:pPr>
        <w:spacing w:before="0" w:after="120"/>
      </w:pPr>
      <w:r>
        <w:rPr>
          <w:b/>
        </w:rPr>
        <w:t xml:space="preserve">Notes: </w:t>
      </w:r>
      <w:r>
        <w:t>abstract_source=crossref</w:t>
      </w:r>
    </w:p>
    <w:p>
      <w:pPr>
        <w:spacing w:before="0" w:after="200" w:lineRule="auto" w:line="276"/>
      </w:pPr>
      <w:r>
        <w:rPr>
          <w:b/>
        </w:rPr>
        <w:t xml:space="preserve">Abstract: </w:t>
      </w:r>
      <w:r>
        <w:t>Triboelectric sweat sensors, endowed with the technical advantages of non‐invasive ex vivo and in situ detection, have catalyzed the rapid advancement of personalized medicine and precision health management systems. However, the inherently low secretion rate and rapid evaporation of sweat pose significant challenges for its efficient collection and rapid analytical screening. This study leverages laser cutting and aqueous interfacial self‐assembly strategies to develop a biomimetic heterogeneous wettability triboelectric material (HWTM). Sweat is rapidly collected from the edge to the center of the material, driven by the combined effect of a wettability gradient and the Laplace pressure difference arising from asymmetric curvature at the liquid‐solid interface. This collection mechanism markedly enriches target analytes, yielding a signal‐to‐noise ratio (SNR) of 51 dB, which surpasses that of prevailing sweat sensor technologies. A portable wearable patch is engineered by integrating ion‐selective membranes and data processing modules, enabling selective salt ion profiling and real‐time wireless monitoring. This work paves the way for the rational design of sweat sensors grounded in fluidic transport mechanisms.</w:t>
      </w:r>
    </w:p>
    <w:p>
      <w:pPr>
        <w:spacing w:before="120" w:after="120"/>
      </w:pPr>
      <w:r>
        <w:rPr>
          <w:sz w:val="18"/>
        </w:rPr>
        <w:t>——————————————————————————————————————————————————————————————————————</w:t>
      </w:r>
    </w:p>
    <w:p>
      <w:pPr>
        <w:spacing w:before="160" w:after="80" w:line="240" w:lineRule="auto"/>
      </w:pPr>
      <w:r>
        <w:rPr>
          <w:b/>
        </w:rPr>
        <w:t xml:space="preserve">[714] </w:t>
      </w:r>
      <w:hyperlink r:id="rId1299">
        <w:r>
          <w:rPr>
            <w:color w:val="1155CC"/>
            <w:u w:val="single"/>
          </w:rPr>
          <w:t>Coordination Polymer Glass‐Unified MOF Membranes for High‐Efficiency Molecular Separations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300">
        <w:r>
          <w:rPr>
            <w:color w:val="1155CC"/>
            <w:u w:val="single"/>
          </w:rPr>
          <w:t>10.1002/adma.202512654</w:t>
        </w:r>
      </w:hyperlink>
    </w:p>
    <w:p>
      <w:pPr>
        <w:spacing w:before="0" w:after="120"/>
      </w:pPr>
      <w:r>
        <w:rPr>
          <w:b/>
        </w:rPr>
        <w:t xml:space="preserve">Notes: </w:t>
      </w:r>
      <w:r>
        <w:t>abstract_source=crossref</w:t>
      </w:r>
    </w:p>
    <w:p>
      <w:pPr>
        <w:spacing w:before="0" w:after="200" w:lineRule="auto" w:line="276"/>
      </w:pPr>
      <w:r>
        <w:rPr>
          <w:b/>
        </w:rPr>
        <w:t xml:space="preserve">Abstract: </w:t>
      </w:r>
      <w:r>
        <w:t>Metal–organic frameworks (MOFs) demonstrate significant potential as separation membranes in energy‐efficient industrial applications. Nevertheless, fabricating an arbitrary MOF membrane with intrinsic separation capability remains a persistent challenge due to intercrystalline defects, necessitating case‐specific optimization of synthesis conditions for different separation targets. Herein, the first coordination polymer (CP) glass‐unified MOF (GUM) membranes are fabricated by a melt‐quenching approach, establishing a tunable and facile strategy for on‐demand MOF membrane fabrication. The three types of Zr‐GUM, Al‐GUM, and Zn‐GUM membranes with different Zr‐, Al‐, Zn‐MOFs are defect‐free and feature high‐density, interconnected, selective nanochannels that dominate the transport process. This strategy enables precise and rapid molecular separation in organic solvent nanofiltration, isomer pervaporation, and gas separation. Meanwhile, through non‐destructive modification of MOF crystals, the separation performance can be precisely fine‐tuned without compromising the structural integrity of the GUM membrane. Furthermore, leveraging the meltability of CP glass, this strategy enables the fabrication of innovative defect‐free membranes with integrated self‐healing properties. The GUM membranes demonstrate sustained high‐efficiency separation performance coupled with exceptional mechanical robustness, chemical resistance, and thermal stability, providing a facile strategy for both gas and liquid membrane separations.</w:t>
      </w:r>
    </w:p>
    <w:p>
      <w:pPr>
        <w:spacing w:before="120" w:after="120"/>
      </w:pPr>
      <w:r>
        <w:rPr>
          <w:sz w:val="18"/>
        </w:rPr>
        <w:t>——————————————————————————————————————————————————————————————————————</w:t>
      </w:r>
    </w:p>
    <w:p>
      <w:pPr>
        <w:spacing w:before="160" w:after="80" w:line="240" w:lineRule="auto"/>
      </w:pPr>
      <w:r>
        <w:rPr>
          <w:b/>
        </w:rPr>
        <w:t xml:space="preserve">[715] </w:t>
      </w:r>
      <w:hyperlink r:id="rId1301">
        <w:r>
          <w:rPr>
            <w:color w:val="1155CC"/>
            <w:u w:val="single"/>
          </w:rPr>
          <w:t>Ultrasound Active Piezoelectric Nanostimulators for Long‐Acting Wireless Deep Brain Electric Stimulation to Inhibit Epileptic Seizures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302">
        <w:r>
          <w:rPr>
            <w:color w:val="1155CC"/>
            <w:u w:val="single"/>
          </w:rPr>
          <w:t>10.1002/adma.202420447</w:t>
        </w:r>
      </w:hyperlink>
    </w:p>
    <w:p>
      <w:pPr>
        <w:spacing w:before="0" w:after="120"/>
      </w:pPr>
      <w:r>
        <w:rPr>
          <w:b/>
        </w:rPr>
        <w:t xml:space="preserve">Notes: </w:t>
      </w:r>
      <w:r>
        <w:t>abstract_source=crossref</w:t>
      </w:r>
    </w:p>
    <w:p>
      <w:pPr>
        <w:spacing w:before="0" w:after="200" w:lineRule="auto" w:line="276"/>
      </w:pPr>
      <w:r>
        <w:rPr>
          <w:b/>
        </w:rPr>
        <w:t xml:space="preserve">Abstract: </w:t>
      </w:r>
      <w:r>
        <w:t>Electrical deep brain stimulation is effective for epilepsy suppression, but will lead to neural tissue damage and inflammation due to implantation of electrodes and a pulse generator. Transcranial magnetic and transcranial ultrasound stimulation cannot directly generate effective electrical signals in deep brain regions. Here, the use of piezoelectric nanoparticles is proposed as wireless nanostimulators for deep brain electrical stimulation and minimally invasive suppression of epilepsy. Polydopamine‐coated barium titanate piezoelectric nanostimulators can adhere to neuronal membrane and generate pulsed electrical signals under ultrasound irradiation, effectively activating neurons through modulating voltage‐gated calcium channels on the membrane. These nanostimulators can be minimal‐invasively implanted into target deep brain regions, such as the hippocampal CA1, through stereotactic microinjection and remain stable for at least 14 weeks with negligible inflammatory reactions. These implanted nanostimulators precisely and effectively activate surrounding neurons and associated neural circuits in vivo under a portable low‐intensity ultrasound transducer. This piezoelectric nanostimulator‐based wireless deep brain electrical stimulation effectively suppresses epileptic seizures in both optogenetic and pilocarpine‐induced epilepsy rat models. By combining the deep penetration of ultrasound with the efficacy of piezoelectric stimulation, this minimally invasive method holds great promise for effective suppression of epileptic seizures and management of other neural disorders.</w:t>
      </w:r>
    </w:p>
    <w:p>
      <w:pPr>
        <w:spacing w:before="120" w:after="120"/>
      </w:pPr>
      <w:r>
        <w:rPr>
          <w:sz w:val="18"/>
        </w:rPr>
        <w:t>——————————————————————————————————————————————————————————————————————</w:t>
      </w:r>
    </w:p>
    <w:p>
      <w:pPr>
        <w:spacing w:before="160" w:after="80" w:line="240" w:lineRule="auto"/>
      </w:pPr>
      <w:r>
        <w:rPr>
          <w:b/>
        </w:rPr>
        <w:t xml:space="preserve">[716] </w:t>
      </w:r>
      <w:hyperlink r:id="rId1303">
        <w:r>
          <w:rPr>
            <w:color w:val="1155CC"/>
            <w:u w:val="single"/>
          </w:rPr>
          <w:t>Innate Immune‐Cloaked Microgel‐Coated Mesenchymal Stromal Cells Reverse Persistent Pulmonary Fibrosis via Reparative Macrophages</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1304">
        <w:r>
          <w:rPr>
            <w:color w:val="1155CC"/>
            <w:u w:val="single"/>
          </w:rPr>
          <w:t>10.1002/adma.202504590</w:t>
        </w:r>
      </w:hyperlink>
    </w:p>
    <w:p>
      <w:pPr>
        <w:spacing w:before="0" w:after="120"/>
      </w:pPr>
      <w:r>
        <w:rPr>
          <w:b/>
        </w:rPr>
        <w:t xml:space="preserve">Notes: </w:t>
      </w:r>
      <w:r>
        <w:t>abstract_source=crossref</w:t>
      </w:r>
    </w:p>
    <w:p>
      <w:pPr>
        <w:spacing w:before="0" w:after="200" w:lineRule="auto" w:line="276"/>
      </w:pPr>
      <w:r>
        <w:rPr>
          <w:b/>
        </w:rPr>
        <w:t xml:space="preserve">Abstract: </w:t>
      </w:r>
      <w:r>
        <w:t>The innate immune system plays a dual role in both mediating pathogenic processes following tissue damage and acting as a barrier to effective therapeutic delivery. Strategies that evade immune clearance while modulating host immune components offer promising solutions for treating complex chronic diseases, such as fibrosis. Here, an innate immune checkpoint material‐based strategy is presented in which mesenchymal stromal cells, coated with a soft conformal microgel and functionalized with the CD47 self‐marker agonist, effectively evade clearance by tissue resident macrophages. These engineered cells reverse persistent fibrotic damage in the lungs through a paracrine mechanism. Single‐cell RNA sequencing identifies a transitional antigen‐presenting macrophage subpopulation that mediates these reparative effects. By combining immune cloaking with the presentation of local signals encoded in the gel coatings, this strategy can be used to design secretory cells for long‐term tissue remodeling, enabling a living pharmacy for chronic tissue damage.</w:t>
      </w:r>
    </w:p>
    <w:p>
      <w:pPr>
        <w:spacing w:before="120" w:after="120"/>
      </w:pPr>
      <w:r>
        <w:rPr>
          <w:sz w:val="18"/>
        </w:rPr>
        <w:t>——————————————————————————————————————————————————————————————————————</w:t>
      </w:r>
    </w:p>
    <w:p>
      <w:pPr>
        <w:spacing w:before="160" w:after="80" w:line="240" w:lineRule="auto"/>
      </w:pPr>
      <w:r>
        <w:rPr>
          <w:b/>
        </w:rPr>
        <w:t xml:space="preserve">[717] </w:t>
      </w:r>
      <w:hyperlink r:id="rId1305">
        <w:r>
          <w:rPr>
            <w:color w:val="1155CC"/>
            <w:u w:val="single"/>
          </w:rPr>
          <w:t>(Zn,Ti)O Electron Transport Layer Enables the Highest Conversion Efficiency in Cd‐Free Sb2Se3 Photocathodes for Stable Solar Hydrogen Production</w:t>
        </w:r>
      </w:hyperlink>
    </w:p>
    <w:p>
      <w:pPr>
        <w:spacing w:before="0" w:after="120" w:line="240" w:lineRule="auto"/>
      </w:pPr>
      <w:r>
        <w:rPr>
          <w:b/>
        </w:rPr>
        <w:t xml:space="preserve">Source: </w:t>
      </w:r>
      <w:r>
        <w:t>Wiley: Advanced Materials: Table of Contents</w:t>
      </w:r>
      <w:r>
        <w:t xml:space="preserve">    </w:t>
      </w:r>
      <w:r>
        <w:rPr>
          <w:b/>
        </w:rPr>
        <w:t xml:space="preserve">Pub date: </w:t>
      </w:r>
      <w:r>
        <w:t>2026-01-03 06:30:15+00:00</w:t>
      </w:r>
      <w:r>
        <w:t xml:space="preserve">    </w:t>
      </w:r>
      <w:r>
        <w:rPr>
          <w:b/>
        </w:rPr>
        <w:t xml:space="preserve">DOI: </w:t>
      </w:r>
      <w:hyperlink r:id="rId1306">
        <w:r>
          <w:rPr>
            <w:color w:val="1155CC"/>
            <w:u w:val="single"/>
          </w:rPr>
          <w:t>10.1002/adma.202518202</w:t>
        </w:r>
      </w:hyperlink>
    </w:p>
    <w:p>
      <w:pPr>
        <w:spacing w:before="0" w:after="120"/>
      </w:pPr>
      <w:r>
        <w:rPr>
          <w:b/>
        </w:rPr>
        <w:t xml:space="preserve">Notes: </w:t>
      </w:r>
      <w:r>
        <w:t>abstract_source=crossref</w:t>
      </w:r>
    </w:p>
    <w:p>
      <w:pPr>
        <w:spacing w:before="0" w:after="200" w:lineRule="auto" w:line="276"/>
      </w:pPr>
      <w:r>
        <w:rPr>
          <w:b/>
        </w:rPr>
        <w:t xml:space="preserve">Abstract: </w:t>
      </w:r>
      <w:r>
        <w:t>Antimony selenide (Sb</w:t>
      </w:r>
      <w:r>
        <w:rPr>
          <w:vertAlign w:val="subscript"/>
        </w:rPr>
        <w:t>2</w:t>
      </w:r>
      <w:r>
        <w:t>Se</w:t>
      </w:r>
      <w:r>
        <w:rPr>
          <w:vertAlign w:val="subscript"/>
        </w:rPr>
        <w:t>3</w:t>
      </w:r>
      <w:r>
        <w:t>) has emerged as a promising photocathode material for photoelectrochemical (PEC)‐driven solar hydrogen production due to its low toxicity, cost‐effectiveness, and excellent photoelectric properties. Currently, efficient Sb</w:t>
      </w:r>
      <w:r>
        <w:rPr>
          <w:vertAlign w:val="subscript"/>
        </w:rPr>
        <w:t>2</w:t>
      </w:r>
      <w:r>
        <w:t>Se</w:t>
      </w:r>
      <w:r>
        <w:rPr>
          <w:vertAlign w:val="subscript"/>
        </w:rPr>
        <w:t>3</w:t>
      </w:r>
      <w:r>
        <w:t>photocathodes are mostly coupled with CdS electron transport layer (ETL), however, suffering from natural toxicity, parasitic light absorption, and interfacial mismatch and/or instability. In this study, we introduce a Cd‐free Sb</w:t>
      </w:r>
      <w:r>
        <w:rPr>
          <w:vertAlign w:val="subscript"/>
        </w:rPr>
        <w:t>2</w:t>
      </w:r>
      <w:r>
        <w:t>Se</w:t>
      </w:r>
      <w:r>
        <w:rPr>
          <w:vertAlign w:val="subscript"/>
        </w:rPr>
        <w:t>3</w:t>
      </w:r>
      <w:r>
        <w:t>photocathode with an atomic layer deposition‐processed (Zn,Ti)O ETL, which mitigates the respective limitations of binary oxides (i.e., ZnO and TiO</w:t>
      </w:r>
      <w:r>
        <w:rPr>
          <w:vertAlign w:val="subscript"/>
        </w:rPr>
        <w:t>2</w:t>
      </w:r>
      <w:r>
        <w:t>). The optimized (Zn,Ti)O ETL enhances electron carrier density, establishes a favorable ‘spike‐like’ band alignment at the Sb</w:t>
      </w:r>
      <w:r>
        <w:rPr>
          <w:vertAlign w:val="subscript"/>
        </w:rPr>
        <w:t>2</w:t>
      </w:r>
      <w:r>
        <w:t>Se</w:t>
      </w:r>
      <w:r>
        <w:rPr>
          <w:vertAlign w:val="subscript"/>
        </w:rPr>
        <w:t>3</w:t>
      </w:r>
      <w:r>
        <w:t>/(Zn,Ti)O interface, significantly improves charge separation and transport efficiencies, as well as the stability. Consequently, the champion device achieves an impressive photocurrent density (</w:t>
      </w:r>
      <w:r>
        <w:t xml:space="preserve"> </w:t>
      </w:r>
      <w:r>
        <w:t>J</w:t>
      </w:r>
      <w:r>
        <w:t xml:space="preserve"> </w:t>
      </w:r>
      <w:r>
        <w:t>ph</w:t>
      </w:r>
      <w:r>
        <w:t xml:space="preserve"> </w:t>
      </w:r>
      <w:r>
        <w:t>) of 31.1 mA/cm</w:t>
      </w:r>
      <w:r>
        <w:rPr>
          <w:vertAlign w:val="subscript"/>
        </w:rPr>
        <w:t>2</w:t>
      </w:r>
      <w:r>
        <w:t>, a record half‐cell solar‐to‐hydrogen (HC‐STH) efficiency of 5.27% for Cd‐free Sb</w:t>
      </w:r>
      <w:r>
        <w:rPr>
          <w:vertAlign w:val="subscript"/>
        </w:rPr>
        <w:t>2</w:t>
      </w:r>
      <w:r>
        <w:t>Se</w:t>
      </w:r>
      <w:r>
        <w:rPr>
          <w:vertAlign w:val="subscript"/>
        </w:rPr>
        <w:t>3</w:t>
      </w:r>
      <w:r>
        <w:t>photocathodes, and the highest unbiased STH efficiency of 2.50% in the Sb</w:t>
      </w:r>
      <w:r>
        <w:rPr>
          <w:vertAlign w:val="subscript"/>
        </w:rPr>
        <w:t>2</w:t>
      </w:r>
      <w:r>
        <w:t>Se</w:t>
      </w:r>
      <w:r>
        <w:rPr>
          <w:vertAlign w:val="subscript"/>
        </w:rPr>
        <w:t>3</w:t>
      </w:r>
      <w:r>
        <w:t>‐BiVO</w:t>
      </w:r>
      <w:r>
        <w:rPr>
          <w:vertAlign w:val="subscript"/>
        </w:rPr>
        <w:t>4</w:t>
      </w:r>
      <w:r>
        <w:t>tandem cell, setting a new benchmark for eco‐friendly and high‐performance PEC processed green hydrogen production.</w:t>
      </w:r>
    </w:p>
    <w:p>
      <w:pPr>
        <w:spacing w:before="120" w:after="120"/>
      </w:pPr>
      <w:r>
        <w:rPr>
          <w:sz w:val="18"/>
        </w:rPr>
        <w:t>——————————————————————————————————————————————————————————————————————</w:t>
      </w:r>
    </w:p>
    <w:p>
      <w:pPr>
        <w:spacing w:before="160" w:after="80" w:line="240" w:lineRule="auto"/>
      </w:pPr>
      <w:r>
        <w:rPr>
          <w:b/>
        </w:rPr>
        <w:t xml:space="preserve">[718] </w:t>
      </w:r>
      <w:hyperlink r:id="rId1307">
        <w:r>
          <w:rPr>
            <w:color w:val="1155CC"/>
            <w:u w:val="single"/>
          </w:rPr>
          <w:t>Through Stronger Hindrance to Higher Reactivity: Influence of the Alkyl Chains on the Activation Energy of Ether Cleavage on Silicon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08">
        <w:r>
          <w:rPr>
            <w:color w:val="1155CC"/>
            <w:u w:val="single"/>
          </w:rPr>
          <w:t>10.1002/anie.202519990</w:t>
        </w:r>
      </w:hyperlink>
    </w:p>
    <w:p>
      <w:pPr>
        <w:spacing w:before="0" w:after="120"/>
      </w:pPr>
      <w:r>
        <w:rPr>
          <w:b/>
        </w:rPr>
        <w:t xml:space="preserve">Notes: </w:t>
      </w:r>
      <w:r>
        <w:t>abstract_source=crossref</w:t>
      </w:r>
    </w:p>
    <w:p>
      <w:pPr>
        <w:spacing w:before="0" w:after="200" w:lineRule="auto" w:line="276"/>
      </w:pPr>
      <w:r>
        <w:rPr>
          <w:b/>
        </w:rPr>
        <w:t xml:space="preserve">Abstract: </w:t>
      </w:r>
      <w:r>
        <w:t>Reactivity in surface chemistry is often discussed in terms of the interaction between surface states and the functional groups of the reacting molecule. Herein, we demonstrate that for finite submonolayer coverage, i.e., surface coverage at which the molecular adsorbates cannot be treated as isolated molecules anymore, the seemingly innocent side chains of the adsorbate can also play a decisive role. For the example of ether cleavage on Si(001), which represents the surface analogue of an 2‐type reaction, we show both experimentally and based on ab initio calculations that steric hindrance by the side chains determines the activation energy for C‐O dissociation into the final state. In contrast to a simple expectation, the</w:t>
      </w:r>
      <w:r>
        <w:t xml:space="preserve"> </w:t>
      </w:r>
      <w:r>
        <w:t>stronger</w:t>
      </w:r>
      <w:r>
        <w:t xml:space="preserve"> </w:t>
      </w:r>
      <w:r>
        <w:t>steric hindrance of the butyl group in butyl methyl ether leads to a</w:t>
      </w:r>
      <w:r>
        <w:t xml:space="preserve"> </w:t>
      </w:r>
      <w:r>
        <w:t>lower</w:t>
      </w:r>
      <w:r>
        <w:t xml:space="preserve"> </w:t>
      </w:r>
      <w:r>
        <w:t>activation energy for ether cleavage on Si(001) when compared to diethyl ether. This effect was traced back to different degrees of destabilization of the precursor and the transition state. Given the fact that for almost all technologically relevant processes the surface coverage is typically above the isolated‐molecule limit, our findings are of general importance for surface functionalization and can help to properly design future experiments.</w:t>
      </w:r>
    </w:p>
    <w:p>
      <w:pPr>
        <w:spacing w:before="120" w:after="120"/>
      </w:pPr>
      <w:r>
        <w:rPr>
          <w:sz w:val="18"/>
        </w:rPr>
        <w:t>——————————————————————————————————————————————————————————————————————</w:t>
      </w:r>
    </w:p>
    <w:p>
      <w:pPr>
        <w:spacing w:before="160" w:after="80" w:line="240" w:lineRule="auto"/>
      </w:pPr>
      <w:r>
        <w:rPr>
          <w:b/>
        </w:rPr>
        <w:t xml:space="preserve">[719] </w:t>
      </w:r>
      <w:hyperlink r:id="rId1309">
        <w:r>
          <w:rPr>
            <w:color w:val="1155CC"/>
            <w:u w:val="single"/>
          </w:rPr>
          <w:t>Ring Strain‐Promoted Activation of Pyridines by a Saturated BSi2 Cycle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10">
        <w:r>
          <w:rPr>
            <w:color w:val="1155CC"/>
            <w:u w:val="single"/>
          </w:rPr>
          <w:t>10.1002/anie.202517462</w:t>
        </w:r>
      </w:hyperlink>
    </w:p>
    <w:p>
      <w:pPr>
        <w:spacing w:before="0" w:after="120"/>
      </w:pPr>
      <w:r>
        <w:rPr>
          <w:b/>
        </w:rPr>
        <w:t xml:space="preserve">Notes: </w:t>
      </w:r>
      <w:r>
        <w:t>abstract_source=crossref</w:t>
      </w:r>
    </w:p>
    <w:p>
      <w:pPr>
        <w:spacing w:before="0" w:after="200" w:lineRule="auto" w:line="276"/>
      </w:pPr>
      <w:r>
        <w:rPr>
          <w:b/>
        </w:rPr>
        <w:t xml:space="preserve">Abstract: </w:t>
      </w:r>
      <w:r>
        <w:t>Ring strain is a well‐established strategy to increase reactivity. Employing an elusive saturated BSi</w:t>
      </w:r>
      <w:r>
        <w:rPr>
          <w:vertAlign w:val="subscript"/>
        </w:rPr>
        <w:t>2</w:t>
      </w:r>
      <w:r>
        <w:t>ring motif, we here exploit the size mismatch between boron and silicon to this end. The reaction of disilenide Tip</w:t>
      </w:r>
      <w:r>
        <w:rPr>
          <w:vertAlign w:val="subscript"/>
        </w:rPr>
        <w:t>2</w:t>
      </w:r>
      <w:r>
        <w:t>Si = SiTipLi with BH</w:t>
      </w:r>
      <w:r>
        <w:rPr>
          <w:vertAlign w:val="subscript"/>
        </w:rPr>
        <w:t>3</w:t>
      </w:r>
      <w:r>
        <w:t>·SMe</w:t>
      </w:r>
      <w:r>
        <w:rPr>
          <w:vertAlign w:val="subscript"/>
        </w:rPr>
        <w:t>2</w:t>
      </w:r>
      <w:r>
        <w:t>selectively affords the lithium salt of anionic boratadisilirane</w:t>
      </w:r>
      <w:r>
        <w:t xml:space="preserve"> </w:t>
      </w:r>
      <w:r>
        <w:t>c</w:t>
      </w:r>
      <w:r>
        <w:t xml:space="preserve"> </w:t>
      </w:r>
      <w:r>
        <w:t>‐SiTip</w:t>
      </w:r>
      <w:r>
        <w:rPr>
          <w:vertAlign w:val="subscript"/>
        </w:rPr>
        <w:t>2</w:t>
      </w:r>
      <w:r>
        <w:t>SiHTipBH</w:t>
      </w:r>
      <w:r>
        <w:rPr>
          <w:vertAlign w:val="subscript"/>
        </w:rPr>
        <w:t>2</w:t>
      </w:r>
      <w:r>
        <w:t>−</w:t>
      </w:r>
      <w:r>
        <w:t>(Tip = 2,4,6‐triisopropylphenyl), which according to DFT calculations on the parent system BSi</w:t>
      </w:r>
      <w:r>
        <w:rPr>
          <w:vertAlign w:val="subscript"/>
        </w:rPr>
        <w:t>2</w:t>
      </w:r>
      <w:r>
        <w:t>H</w:t>
      </w:r>
      <w:r>
        <w:rPr>
          <w:vertAlign w:val="subscript"/>
        </w:rPr>
        <w:t>6</w:t>
      </w:r>
      <w:r>
        <w:t>−</w:t>
      </w:r>
      <w:r>
        <w:t>is much more strained than isoelectronic analogues such as cyclopropane (C</w:t>
      </w:r>
      <w:r>
        <w:rPr>
          <w:vertAlign w:val="subscript"/>
        </w:rPr>
        <w:t>3</w:t>
      </w:r>
      <w:r>
        <w:t>H</w:t>
      </w:r>
      <w:r>
        <w:rPr>
          <w:vertAlign w:val="subscript"/>
        </w:rPr>
        <w:t>6</w:t>
      </w:r>
      <w:r>
        <w:t>), boratirane (BC</w:t>
      </w:r>
      <w:r>
        <w:rPr>
          <w:vertAlign w:val="subscript"/>
        </w:rPr>
        <w:t>2</w:t>
      </w:r>
      <w:r>
        <w:t>H</w:t>
      </w:r>
      <w:r>
        <w:rPr>
          <w:vertAlign w:val="subscript"/>
        </w:rPr>
        <w:t>6</w:t>
      </w:r>
      <w:r>
        <w:t>−</w:t>
      </w:r>
      <w:r>
        <w:t>), and cyclotrisilane (Si</w:t>
      </w:r>
      <w:r>
        <w:rPr>
          <w:vertAlign w:val="subscript"/>
        </w:rPr>
        <w:t>3</w:t>
      </w:r>
      <w:r>
        <w:t>H</w:t>
      </w:r>
      <w:r>
        <w:rPr>
          <w:vertAlign w:val="subscript"/>
        </w:rPr>
        <w:t>6</w:t>
      </w:r>
      <w:r>
        <w:t>). Indeed, it spontaneously and selectively activates a range of pyridine derivatives: pyridine itself undergoes</w:t>
      </w:r>
      <w:r>
        <w:t xml:space="preserve"> </w:t>
      </w:r>
      <w:r>
        <w:t>ortho</w:t>
      </w:r>
      <w:r>
        <w:t xml:space="preserve"> </w:t>
      </w:r>
      <w:r>
        <w:t>‐CH activation under dearomatization of a second equivalent; 2 equivalents of</w:t>
      </w:r>
      <w:r>
        <w:t xml:space="preserve"> </w:t>
      </w:r>
      <w:r>
        <w:t>para</w:t>
      </w:r>
      <w:r>
        <w:t xml:space="preserve"> </w:t>
      </w:r>
      <w:r>
        <w:t>‐dimethylaminopyridine (DMAP) are C─C‐coupled in</w:t>
      </w:r>
      <w:r>
        <w:t xml:space="preserve"> </w:t>
      </w:r>
      <w:r>
        <w:t>ortho</w:t>
      </w:r>
      <w:r>
        <w:t xml:space="preserve"> </w:t>
      </w:r>
      <w:r>
        <w:t>‐ and</w:t>
      </w:r>
      <w:r>
        <w:t xml:space="preserve"> </w:t>
      </w:r>
      <w:r>
        <w:t>meta</w:t>
      </w:r>
      <w:r>
        <w:t xml:space="preserve"> </w:t>
      </w:r>
      <w:r>
        <w:t>‐position; and pentafluoropyridine (PFP) is CF‐activated in</w:t>
      </w:r>
      <w:r>
        <w:t xml:space="preserve"> </w:t>
      </w:r>
      <w:r>
        <w:t>para</w:t>
      </w:r>
      <w:r>
        <w:t xml:space="preserve"> </w:t>
      </w:r>
      <w:r>
        <w:t>‐position.</w:t>
      </w:r>
    </w:p>
    <w:p>
      <w:pPr>
        <w:spacing w:before="120" w:after="120"/>
      </w:pPr>
      <w:r>
        <w:rPr>
          <w:sz w:val="18"/>
        </w:rPr>
        <w:t>——————————————————————————————————————————————————————————————————————</w:t>
      </w:r>
    </w:p>
    <w:p>
      <w:pPr>
        <w:spacing w:before="160" w:after="80" w:line="240" w:lineRule="auto"/>
      </w:pPr>
      <w:r>
        <w:rPr>
          <w:b/>
        </w:rPr>
        <w:t xml:space="preserve">[720] </w:t>
      </w:r>
      <w:hyperlink r:id="rId1311">
        <w:r>
          <w:rPr>
            <w:color w:val="1155CC"/>
            <w:u w:val="single"/>
          </w:rPr>
          <w:t>Highly Efficient and Stable Binary‐Doped Narrowband Blue OLEDs Enabled by a Single‐Component Host Matrix with a Spatial Bipolarity Configuration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12">
        <w:r>
          <w:rPr>
            <w:color w:val="1155CC"/>
            <w:u w:val="single"/>
          </w:rPr>
          <w:t>10.1002/anie.202521715</w:t>
        </w:r>
      </w:hyperlink>
    </w:p>
    <w:p>
      <w:pPr>
        <w:spacing w:before="0" w:after="120"/>
      </w:pPr>
      <w:r>
        <w:rPr>
          <w:b/>
        </w:rPr>
        <w:t xml:space="preserve">Notes: </w:t>
      </w:r>
      <w:r>
        <w:t>abstract_source=crossref</w:t>
      </w:r>
    </w:p>
    <w:p>
      <w:pPr>
        <w:spacing w:before="0" w:after="200" w:lineRule="auto" w:line="276"/>
      </w:pPr>
      <w:r>
        <w:rPr>
          <w:b/>
        </w:rPr>
        <w:t xml:space="preserve">Abstract: </w:t>
      </w:r>
      <w:r>
        <w:t>Highly efficient and stable narrowband blue organic light‐emitting diodes (OLEDs) are vital for high‐definition displays, yet the achievement of such devices via a concise binary‐doped fabrication architecture remains challenging. Herein, an effective and robust single‐component host matrix with a spatial bipolarity configuration is developed for high‐performance OLEDs. Two elaborately designed molecules are constructed on a non‐conjugated silyl linker connecting boron–oxygen and carbazole‐derived groups. The boron–oxygen electron‐accepting and carbazole‐based electron‐donating moieties exhibit synergistic and complementary group functions, achieving wide bandgaps of excited energy states, along with thermally activated delayed fluorescence and bipolar carrier transport features. Following the incorporation of a blue multiresonant guest emitter, the doped emissive film showcases enhanced horizontal orientation and photoluminescent efficiency. The binary‐doped narrowband blue OLEDs achieve the record maximum external quantum efficiency of 42.3% with low roll‐off (efficiency of 38.3% at 1,000 cd m</w:t>
      </w:r>
      <w:r>
        <w:t xml:space="preserve"> </w:t>
      </w:r>
      <w:r>
        <w:t>−2</w:t>
      </w:r>
      <w:r>
        <w:t xml:space="preserve"> </w:t>
      </w:r>
      <w:r>
        <w:t>), and the improved operational stability with a half‐lifetime of 3076 h at an initial luminance of 100 cd m</w:t>
      </w:r>
      <w:r>
        <w:t xml:space="preserve"> </w:t>
      </w:r>
      <w:r>
        <w:t>−2</w:t>
      </w:r>
      <w:r>
        <w:t xml:space="preserve"> </w:t>
      </w:r>
      <w:r>
        <w:t>. This study reveals that the utilization of a spatial bipolarity host matrix is a promising approach to realize narrowband blue OLEDs with concise architecture and high performance.</w:t>
      </w:r>
    </w:p>
    <w:p>
      <w:pPr>
        <w:spacing w:before="120" w:after="120"/>
      </w:pPr>
      <w:r>
        <w:rPr>
          <w:sz w:val="18"/>
        </w:rPr>
        <w:t>——————————————————————————————————————————————————————————————————————</w:t>
      </w:r>
    </w:p>
    <w:p>
      <w:pPr>
        <w:spacing w:before="160" w:after="80" w:line="240" w:lineRule="auto"/>
      </w:pPr>
      <w:r>
        <w:rPr>
          <w:b/>
        </w:rPr>
        <w:t xml:space="preserve">[721] </w:t>
      </w:r>
      <w:hyperlink r:id="rId1313">
        <w:r>
          <w:rPr>
            <w:color w:val="1155CC"/>
            <w:u w:val="single"/>
          </w:rPr>
          <w:t>Mirco Dindo</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14">
        <w:r>
          <w:rPr>
            <w:color w:val="1155CC"/>
            <w:u w:val="single"/>
          </w:rPr>
          <w:t>10.1002/anie.202525219</w:t>
        </w:r>
      </w:hyperlink>
    </w:p>
    <w:p>
      <w:pPr>
        <w:spacing w:before="0" w:after="120"/>
      </w:pPr>
      <w:r>
        <w:rPr>
          <w:b/>
        </w:rPr>
        <w:t xml:space="preserve">Notes: </w:t>
      </w:r>
      <w:r>
        <w:t>abstract_source=semanticscholar</w:t>
      </w:r>
    </w:p>
    <w:p>
      <w:pPr>
        <w:spacing w:before="0" w:after="200" w:lineRule="auto" w:line="276"/>
      </w:pPr>
      <w:r>
        <w:rPr>
          <w:b/>
        </w:rPr>
        <w:t xml:space="preserve">Abstract: </w:t>
      </w:r>
      <w:r>
        <w:t>"I would have liked to have discovered ribozymes, the realization that RNA can be both information and catalyst is fascinating… If I could be any age, I would like to be exactly where I am now because despite the challenges, I'm finally building something that's truly mine…" Find out more about Mirco Dindo in his Introducing… Profile.</w:t>
      </w:r>
    </w:p>
    <w:p>
      <w:pPr>
        <w:spacing w:before="120" w:after="120"/>
      </w:pPr>
      <w:r>
        <w:rPr>
          <w:sz w:val="18"/>
        </w:rPr>
        <w:t>——————————————————————————————————————————————————————————————————————</w:t>
      </w:r>
    </w:p>
    <w:p>
      <w:pPr>
        <w:spacing w:before="160" w:after="80" w:line="240" w:lineRule="auto"/>
      </w:pPr>
      <w:r>
        <w:rPr>
          <w:b/>
        </w:rPr>
        <w:t xml:space="preserve">[722] </w:t>
      </w:r>
      <w:hyperlink r:id="rId1315">
        <w:r>
          <w:rPr>
            <w:color w:val="1155CC"/>
            <w:u w:val="single"/>
          </w:rPr>
          <w:t>Photoactivatable Hydrazone Photoswitches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16">
        <w:r>
          <w:rPr>
            <w:color w:val="1155CC"/>
            <w:u w:val="single"/>
          </w:rPr>
          <w:t>10.1002/anie.202521324</w:t>
        </w:r>
      </w:hyperlink>
    </w:p>
    <w:p>
      <w:pPr>
        <w:spacing w:before="0" w:after="120"/>
      </w:pPr>
      <w:r>
        <w:rPr>
          <w:b/>
        </w:rPr>
        <w:t xml:space="preserve">Notes: </w:t>
      </w:r>
      <w:r>
        <w:t>abstract_source=crossref</w:t>
      </w:r>
    </w:p>
    <w:p>
      <w:pPr>
        <w:spacing w:before="0" w:after="200" w:lineRule="auto" w:line="276"/>
      </w:pPr>
      <w:r>
        <w:rPr>
          <w:b/>
        </w:rPr>
        <w:t xml:space="preserve">Abstract: </w:t>
      </w:r>
      <w:r>
        <w:t>Photoactivatable molecules enable on‐demand generation of active species via external light stimulation, allowing for precise spatiotemporal control over their activation. Molecular photoswitches, which typically undergo reversible transitions between two thermodynamically stable states upon irradiation with distinct wavelengths, are highly valuable tools with broad utility in different research areas. Herein, we introduce a new class of photoactivatable photoswitches: the switchable molecules are designed to undergo initial photochemical activation from a stable precursor upon irradiation at λ</w:t>
      </w:r>
      <w:r>
        <w:rPr>
          <w:vertAlign w:val="subscript"/>
        </w:rPr>
        <w:t>1</w:t>
      </w:r>
      <w:r>
        <w:t>, generating active photoswitches that exhibit reversible isomerization when irradiated with two other wavelengths (λ</w:t>
      </w:r>
      <w:r>
        <w:rPr>
          <w:vertAlign w:val="subscript"/>
        </w:rPr>
        <w:t>2</w:t>
      </w:r>
      <w:r>
        <w:t>and λ</w:t>
      </w:r>
      <w:r>
        <w:rPr>
          <w:vertAlign w:val="subscript"/>
        </w:rPr>
        <w:t>3</w:t>
      </w:r>
      <w:r>
        <w:t>) of light</w:t>
      </w:r>
      <w:r>
        <w:t xml:space="preserve"> </w:t>
      </w:r>
      <w:r>
        <w:t>.</w:t>
      </w:r>
      <w:r>
        <w:t xml:space="preserve"> </w:t>
      </w:r>
      <w:r>
        <w:t>Crucially, neither λ</w:t>
      </w:r>
      <w:r>
        <w:rPr>
          <w:vertAlign w:val="subscript"/>
        </w:rPr>
        <w:t>2</w:t>
      </w:r>
      <w:r>
        <w:t>nor λ</w:t>
      </w:r>
      <w:r>
        <w:rPr>
          <w:vertAlign w:val="subscript"/>
        </w:rPr>
        <w:t>3</w:t>
      </w:r>
      <w:r>
        <w:t>alone activates the photoswitch precursor, ensuring temporal and orthogonal control over both activation and switching processes. This photoactivatable system operates through a sequential photochemical pathway that involves a photoinduced tetrazole–hydrazone transformation, followed by</w:t>
      </w:r>
      <w:r>
        <w:t xml:space="preserve"> </w:t>
      </w:r>
      <w:r>
        <w:t>E</w:t>
      </w:r>
      <w:r>
        <w:t xml:space="preserve"> </w:t>
      </w:r>
      <w:r>
        <w:t>/</w:t>
      </w:r>
      <w:r>
        <w:t>Z</w:t>
      </w:r>
      <w:r>
        <w:t xml:space="preserve"> </w:t>
      </w:r>
      <w:r>
        <w:t>photoisomerization of the resulting hydrazone motif. Upon irradiation at</w:t>
      </w:r>
      <w:r>
        <w:t xml:space="preserve"> </w:t>
      </w:r>
      <w:r>
        <w:t>λ</w:t>
      </w:r>
      <w:r>
        <w:rPr>
          <w:vertAlign w:val="subscript"/>
        </w:rPr>
        <w:t>1</w:t>
      </w:r>
      <w:r>
        <w:t>, the diaryl tetrazole precursor undergoes rapid photolysis with concomitant nitrogen extrusion, generating a reactive nitrile imine (NI) intermediate. This intermediate subsequently undergoes an intramolecular nucleophilic addition to furnish the hydrazone‐based photoswitch in situ. Notably, strategic incorporation of heteroatoms within the molecular architecture significantly enhances the thermal stability of both</w:t>
      </w:r>
      <w:r>
        <w:t xml:space="preserve"> </w:t>
      </w:r>
      <w:r>
        <w:t>E</w:t>
      </w:r>
      <w:r>
        <w:t xml:space="preserve"> </w:t>
      </w:r>
      <w:r>
        <w:t>/</w:t>
      </w:r>
      <w:r>
        <w:t>Z</w:t>
      </w:r>
      <w:r>
        <w:t xml:space="preserve"> </w:t>
      </w:r>
      <w:r>
        <w:t>isomers by facilitating intramolecular hydrogen‐bonding interactions.</w:t>
      </w:r>
    </w:p>
    <w:p>
      <w:pPr>
        <w:spacing w:before="120" w:after="120"/>
      </w:pPr>
      <w:r>
        <w:rPr>
          <w:sz w:val="18"/>
        </w:rPr>
        <w:t>——————————————————————————————————————————————————————————————————————</w:t>
      </w:r>
    </w:p>
    <w:p>
      <w:pPr>
        <w:spacing w:before="160" w:after="80" w:line="240" w:lineRule="auto"/>
      </w:pPr>
      <w:r>
        <w:rPr>
          <w:b/>
        </w:rPr>
        <w:t xml:space="preserve">[723] </w:t>
      </w:r>
      <w:hyperlink r:id="rId1317">
        <w:r>
          <w:rPr>
            <w:color w:val="1155CC"/>
            <w:u w:val="single"/>
          </w:rPr>
          <w:t>One‐ and Two‐Electron Carbon–Halide Bond Activation at a Phosphorus Center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18">
        <w:r>
          <w:rPr>
            <w:color w:val="1155CC"/>
            <w:u w:val="single"/>
          </w:rPr>
          <w:t>10.1002/anie.202521209</w:t>
        </w:r>
      </w:hyperlink>
    </w:p>
    <w:p>
      <w:pPr>
        <w:spacing w:before="0" w:after="120"/>
      </w:pPr>
      <w:r>
        <w:rPr>
          <w:b/>
        </w:rPr>
        <w:t xml:space="preserve">Notes: </w:t>
      </w:r>
      <w:r>
        <w:t>abstract_source=crossref</w:t>
      </w:r>
    </w:p>
    <w:p>
      <w:pPr>
        <w:spacing w:before="0" w:after="200" w:lineRule="auto" w:line="276"/>
      </w:pPr>
      <w:r>
        <w:rPr>
          <w:b/>
        </w:rPr>
        <w:t xml:space="preserve">Abstract: </w:t>
      </w:r>
      <w:r>
        <w:t>The activation of small molecules by main‐group elements has garnered significant attention as a potential alternative to transition metal catalysis. While transition metals excel in switching between single‐electron (1e) and two‐electron (2e) pathways due to their accessible d‐orbitals, such switchability remains uncommon for main‐group elements. In this work, we report the phosphorus‐centered selective activation of various organohalides by phosphorus‐atom transfer reaction of metallophosphanorcaradiene complex, which presents four distinct modes, S</w:t>
      </w:r>
      <w:r>
        <w:t xml:space="preserve"> </w:t>
      </w:r>
      <w:r>
        <w:t>N</w:t>
      </w:r>
      <w:r>
        <w:t xml:space="preserve"> </w:t>
      </w:r>
      <w:r>
        <w:t>2 or S</w:t>
      </w:r>
      <w:r>
        <w:t xml:space="preserve"> </w:t>
      </w:r>
      <w:r>
        <w:t>N</w:t>
      </w:r>
      <w:r>
        <w:t xml:space="preserve"> </w:t>
      </w:r>
      <w:r>
        <w:t>Ar‐type substitution, E2 elimination, or reductive radical coupling via halogen‐atom transfer. These reactivities selectively show 1e or 2e pathways depending on the substrate, mimicking oxidative addition and radical activation steps traditionally reserved for transition metals. These divergent modes of reactivity are enabled by the substantial orbital interactions between the single phosphorus atom center and [Cp*(Idipp)(CO)Ru] fragment, which can be viewed as a metalloligand, allowing for switchable reactivities between 2e and 1e pathways. Furthermore, this platform enables the modular synthesis of phosphines bearing three different substituents through a “P + 2E + Nu” strategy, establishing a new phosphorus‐atom transfer route to organophosphorus molecules (E = electrophile; Nu = nucleophile).</w:t>
      </w:r>
    </w:p>
    <w:p>
      <w:pPr>
        <w:spacing w:before="120" w:after="120"/>
      </w:pPr>
      <w:r>
        <w:rPr>
          <w:sz w:val="18"/>
        </w:rPr>
        <w:t>——————————————————————————————————————————————————————————————————————</w:t>
      </w:r>
    </w:p>
    <w:p>
      <w:pPr>
        <w:spacing w:before="160" w:after="80" w:line="240" w:lineRule="auto"/>
      </w:pPr>
      <w:r>
        <w:rPr>
          <w:b/>
        </w:rPr>
        <w:t xml:space="preserve">[724] </w:t>
      </w:r>
      <w:hyperlink r:id="rId1319">
        <w:r>
          <w:rPr>
            <w:color w:val="1155CC"/>
            <w:u w:val="single"/>
          </w:rPr>
          <w:t>Homogenizing Self‐Assembled Monolayers via Covalent Organic Frameworks for Inverted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20">
        <w:r>
          <w:rPr>
            <w:color w:val="1155CC"/>
            <w:u w:val="single"/>
          </w:rPr>
          <w:t>10.1002/anie.202519875</w:t>
        </w:r>
      </w:hyperlink>
    </w:p>
    <w:p>
      <w:pPr>
        <w:spacing w:before="0" w:after="120"/>
      </w:pPr>
      <w:r>
        <w:rPr>
          <w:b/>
        </w:rPr>
        <w:t xml:space="preserve">Notes: </w:t>
      </w:r>
      <w:r>
        <w:t>abstract_source=crossref</w:t>
      </w:r>
    </w:p>
    <w:p>
      <w:pPr>
        <w:spacing w:before="0" w:after="200" w:lineRule="auto" w:line="276"/>
      </w:pPr>
      <w:r>
        <w:rPr>
          <w:b/>
        </w:rPr>
        <w:t xml:space="preserve">Abstract: </w:t>
      </w:r>
      <w:r>
        <w:t>Self‐assembled monolayers (SAMs) have emerged as promising hole transport layers (HTLs) in inverted perovskite solar cells (PSCs) due to their unique capability to modulate energy level alignment and interfacial quality. However, the widely used SAM molecule [4‐(3,6‐dimethoxy‐9H‐carbazol‐9‐yl)butyl]phosphonic acid (MeO‐4PACz) suffers from molecular aggregation, poor wettability with perovskite precursors, and limited electrical conductivity, which together hinder the formation of high‐quality perovskite films and efficient charge extraction. Herein, we propose a rational SAM homogenization strategy by introducing two tailor‐designed covalent organic frameworks (COFs)—PT‐COF and Zn‐PT‐COF—into MeO‐4PACz SAMs via co‐assembly. These COFs are designed with rigid porphyrin cores to enhance charge transport and flexible hydrophilic side chains to improve substrate wettability. The incorporation of COFs effectively disrupts MeO‐4PACz aggregation through π‐π interaction and hydrogen bonding, resulting in uniform, conductive, and well‐anchored SAMs. Consequently, the modified SAMs promote perovskite crystallization, reduce buried interface defects, and improve charge extraction. Devices employing Zn‐PT‐COF‐modified SAMs exhibit a champion power conversion efficiency of 26.39% (certified as 26.12%) with negligible hysteresis and outstanding operational stability, retaining 95% of initial efficiency after 1000 h continuous operation. This study offers a comprehensive molecular‐level strategy to overcome intrinsic limitations of MeO‐4PACz, providing a pathway for highly efficient and stable PSCs.</w:t>
      </w:r>
    </w:p>
    <w:p>
      <w:pPr>
        <w:spacing w:before="120" w:after="120"/>
      </w:pPr>
      <w:r>
        <w:rPr>
          <w:sz w:val="18"/>
        </w:rPr>
        <w:t>——————————————————————————————————————————————————————————————————————</w:t>
      </w:r>
    </w:p>
    <w:p>
      <w:pPr>
        <w:spacing w:before="160" w:after="80" w:line="240" w:lineRule="auto"/>
      </w:pPr>
      <w:r>
        <w:rPr>
          <w:b/>
        </w:rPr>
        <w:t xml:space="preserve">[725] </w:t>
      </w:r>
      <w:hyperlink r:id="rId1321">
        <w:r>
          <w:rPr>
            <w:color w:val="1155CC"/>
            <w:u w:val="single"/>
          </w:rPr>
          <w:t>Programmable Pulsed Acidic Water Oxidation for Enhanced H2O2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22">
        <w:r>
          <w:rPr>
            <w:color w:val="1155CC"/>
            <w:u w:val="single"/>
          </w:rPr>
          <w:t>10.1002/anie.202519874</w:t>
        </w:r>
      </w:hyperlink>
    </w:p>
    <w:p>
      <w:pPr>
        <w:spacing w:before="0" w:after="120"/>
      </w:pPr>
      <w:r>
        <w:rPr>
          <w:b/>
        </w:rPr>
        <w:t xml:space="preserve">Notes: </w:t>
      </w:r>
      <w:r>
        <w:t>abstract_source=crossref</w:t>
      </w:r>
    </w:p>
    <w:p>
      <w:pPr>
        <w:spacing w:before="0" w:after="200" w:lineRule="auto" w:line="276"/>
      </w:pPr>
      <w:r>
        <w:rPr>
          <w:b/>
        </w:rPr>
        <w:t xml:space="preserve">Abstract: </w:t>
      </w:r>
      <w:r>
        <w:t>Hydrogen peroxide (H</w:t>
      </w:r>
      <w:r>
        <w:rPr>
          <w:vertAlign w:val="subscript"/>
        </w:rPr>
        <w:t>2</w:t>
      </w:r>
      <w:r>
        <w:t>O</w:t>
      </w:r>
      <w:r>
        <w:rPr>
          <w:vertAlign w:val="subscript"/>
        </w:rPr>
        <w:t>2</w:t>
      </w:r>
      <w:r>
        <w:t>) is a high‐value, eco‐friendly chemical with significant medical and industrial applications. H</w:t>
      </w:r>
      <w:r>
        <w:rPr>
          <w:vertAlign w:val="subscript"/>
        </w:rPr>
        <w:t>2</w:t>
      </w:r>
      <w:r>
        <w:t>O</w:t>
      </w:r>
      <w:r>
        <w:rPr>
          <w:vertAlign w:val="subscript"/>
        </w:rPr>
        <w:t>2</w:t>
      </w:r>
      <w:r>
        <w:t>electrosynthesis via water oxidation reaction (WOR) in acidic environments is crucial yet challenging. In this study, we introduce a novel approach by employing programmable pulse potential electrolysis (PPE) with machine learning (ML) optimization to synthesize H</w:t>
      </w:r>
      <w:r>
        <w:rPr>
          <w:vertAlign w:val="subscript"/>
        </w:rPr>
        <w:t>2</w:t>
      </w:r>
      <w:r>
        <w:t>O</w:t>
      </w:r>
      <w:r>
        <w:rPr>
          <w:vertAlign w:val="subscript"/>
        </w:rPr>
        <w:t>2</w:t>
      </w:r>
      <w:r>
        <w:t>in acidic conditions using a Boron‐doped diamond (BDD) catalyst. This approach achieved a high Faradaic efficiency (FE) of up to 64.16% and a H</w:t>
      </w:r>
      <w:r>
        <w:rPr>
          <w:vertAlign w:val="subscript"/>
        </w:rPr>
        <w:t>2</w:t>
      </w:r>
      <w:r>
        <w:t>O</w:t>
      </w:r>
      <w:r>
        <w:rPr>
          <w:vertAlign w:val="subscript"/>
        </w:rPr>
        <w:t>2</w:t>
      </w:r>
      <w:r>
        <w:t>production rate of 25.62 µmol cm</w:t>
      </w:r>
      <w:r>
        <w:t xml:space="preserve"> </w:t>
      </w:r>
      <w:r>
        <w:t>−2</w:t>
      </w:r>
      <w:r>
        <w:t xml:space="preserve"> </w:t>
      </w:r>
      <w:r>
        <w:t>min</w:t>
      </w:r>
      <w:r>
        <w:t xml:space="preserve"> </w:t>
      </w:r>
      <w:r>
        <w:t>−1</w:t>
      </w:r>
      <w:r>
        <w:t xml:space="preserve"> </w:t>
      </w:r>
      <w:r>
        <w:t>, which represents a 28.9‐fold increase in FE and a 51.8‐fold boost in H</w:t>
      </w:r>
      <w:r>
        <w:rPr>
          <w:vertAlign w:val="subscript"/>
        </w:rPr>
        <w:t>2</w:t>
      </w:r>
      <w:r>
        <w:t>O</w:t>
      </w:r>
      <w:r>
        <w:rPr>
          <w:vertAlign w:val="subscript"/>
        </w:rPr>
        <w:t>2</w:t>
      </w:r>
      <w:r>
        <w:t>yields in comparison to constant potential electrolysis (CPE). Furthermore, it was revealed that H</w:t>
      </w:r>
      <w:r>
        <w:rPr>
          <w:vertAlign w:val="subscript"/>
        </w:rPr>
        <w:t>2</w:t>
      </w:r>
      <w:r>
        <w:t>O</w:t>
      </w:r>
      <w:r>
        <w:rPr>
          <w:vertAlign w:val="subscript"/>
        </w:rPr>
        <w:t>2</w:t>
      </w:r>
      <w:r>
        <w:t>generation influenced by the nonFaradaic current stage at the anode. Meanwhile, hydrogenation processes at the cathode increase the abundance of C─H functional groups on the surface of BDD catalyst, which in turn enhances the production of H</w:t>
      </w:r>
      <w:r>
        <w:rPr>
          <w:vertAlign w:val="subscript"/>
        </w:rPr>
        <w:t>2</w:t>
      </w:r>
      <w:r>
        <w:t>O</w:t>
      </w:r>
      <w:r>
        <w:rPr>
          <w:vertAlign w:val="subscript"/>
        </w:rPr>
        <w:t>2</w:t>
      </w:r>
      <w:r>
        <w:t>. The findings also confirm that H</w:t>
      </w:r>
      <w:r>
        <w:rPr>
          <w:vertAlign w:val="subscript"/>
        </w:rPr>
        <w:t>2</w:t>
      </w:r>
      <w:r>
        <w:t>O</w:t>
      </w:r>
      <w:r>
        <w:rPr>
          <w:vertAlign w:val="subscript"/>
        </w:rPr>
        <w:t>2</w:t>
      </w:r>
      <w:r>
        <w:t>is produced through a step involving •OH radical formation, as supported by both experimental observations and DFT simulations. This study not only demonstrates the significant potential of PPE in WOR but also underscores the powerful role of ML in optimizing complex multi‐parameter experimental conditions.</w:t>
      </w:r>
    </w:p>
    <w:p>
      <w:pPr>
        <w:spacing w:before="120" w:after="120"/>
      </w:pPr>
      <w:r>
        <w:rPr>
          <w:sz w:val="18"/>
        </w:rPr>
        <w:t>——————————————————————————————————————————————————————————————————————</w:t>
      </w:r>
    </w:p>
    <w:p>
      <w:pPr>
        <w:spacing w:before="160" w:after="80" w:line="240" w:lineRule="auto"/>
      </w:pPr>
      <w:r>
        <w:rPr>
          <w:b/>
        </w:rPr>
        <w:t xml:space="preserve">[726] </w:t>
      </w:r>
      <w:hyperlink r:id="rId1323">
        <w:r>
          <w:rPr>
            <w:color w:val="1155CC"/>
            <w:u w:val="single"/>
          </w:rPr>
          <w:t>Grafting Cell‐Penetrating Poly(disulfide)s to Substrates of Interest: Dynamic Covalent Bioconjugation for Traceless Delivery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24">
        <w:r>
          <w:rPr>
            <w:color w:val="1155CC"/>
            <w:u w:val="single"/>
          </w:rPr>
          <w:t>10.1002/anie.202517229</w:t>
        </w:r>
      </w:hyperlink>
    </w:p>
    <w:p>
      <w:pPr>
        <w:spacing w:before="0" w:after="120"/>
      </w:pPr>
      <w:r>
        <w:rPr>
          <w:b/>
        </w:rPr>
        <w:t xml:space="preserve">Notes: </w:t>
      </w:r>
      <w:r>
        <w:t>abstract_source=crossref</w:t>
      </w:r>
    </w:p>
    <w:p>
      <w:pPr>
        <w:spacing w:before="0" w:after="200" w:lineRule="auto" w:line="276"/>
      </w:pPr>
      <w:r>
        <w:rPr>
          <w:b/>
        </w:rPr>
        <w:t xml:space="preserve">Abstract: </w:t>
      </w:r>
      <w:r>
        <w:t>Although increasingly understood and appreciated, thiol‐mediated uptake (TMU) remains underused because practical traceless tags that solve daily delivery problems are not yet available. The most popular cell‐penetrating poly(disulfide)s (CPDs) were initially introduced as traceless tags that could be grafted from any thiol‐containing substrate of interest (SOI) in situ and would depolymerize in the cytosol right after uptake. This approach was operational but not ideal for solving practical problems because the concentrations of SOIs &amp;gt;30 µM needed in neutral water are above those acceptable in most biological studies. Here, we report that CPD grafting‐to SOIs, rather than grafting‐from, provides access to dynamic covalent cysteine bioconjugation with protein concentrations down to 50 nM, which is more than 600 times below standard grafting‐from CPD chemistry. With rate constants up to 1500 M</w:t>
      </w:r>
      <w:r>
        <w:t xml:space="preserve"> </w:t>
      </w:r>
      <w:r>
        <w:t>−1</w:t>
      </w:r>
      <w:r>
        <w:t xml:space="preserve"> </w:t>
      </w:r>
      <w:r>
        <w:t>s</w:t>
      </w:r>
      <w:r>
        <w:t xml:space="preserve"> </w:t>
      </w:r>
      <w:r>
        <w:t>−1</w:t>
      </w:r>
      <w:r>
        <w:t xml:space="preserve"> </w:t>
      </w:r>
      <w:r>
        <w:t>, CPD grafting‐to is as fast as the record covalent cysteine bioconjugation (heteroaromatic sulfones), in the range of the best bioorthogonal reaction (IEDDA), and 3000 times faster than cystine grafting‐to. Experimental evidence for CPD grafting to probes, peptides and proteins with one, two, or several proximal thiols, efficient TMU of their conjugates, and the cytosolic release of functional SOIs, such as fluorescent antibodies against the nuclear pore complex, supports the discovery of operational traceless TMU tags, at last.</w:t>
      </w:r>
    </w:p>
    <w:p>
      <w:pPr>
        <w:spacing w:before="120" w:after="120"/>
      </w:pPr>
      <w:r>
        <w:rPr>
          <w:sz w:val="18"/>
        </w:rPr>
        <w:t>——————————————————————————————————————————————————————————————————————</w:t>
      </w:r>
    </w:p>
    <w:p>
      <w:pPr>
        <w:spacing w:before="160" w:after="80" w:line="240" w:lineRule="auto"/>
      </w:pPr>
      <w:r>
        <w:rPr>
          <w:b/>
        </w:rPr>
        <w:t xml:space="preserve">[727] </w:t>
      </w:r>
      <w:hyperlink r:id="rId1325">
        <w:r>
          <w:rPr>
            <w:color w:val="1155CC"/>
            <w:u w:val="single"/>
          </w:rPr>
          <w:t>Interfacial Synthesis of Cs2PtCl6 Perovskite for Strong Coupling with V4C3Tx MXene Toward Efficient Hydrogen Evolution and Urea Oxidation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26">
        <w:r>
          <w:rPr>
            <w:color w:val="1155CC"/>
            <w:u w:val="single"/>
          </w:rPr>
          <w:t>10.1002/anie.202516929</w:t>
        </w:r>
      </w:hyperlink>
    </w:p>
    <w:p>
      <w:pPr>
        <w:spacing w:before="0" w:after="120"/>
      </w:pPr>
      <w:r>
        <w:rPr>
          <w:b/>
        </w:rPr>
        <w:t xml:space="preserve">Notes: </w:t>
      </w:r>
      <w:r>
        <w:t>abstract_source=crossref</w:t>
      </w:r>
    </w:p>
    <w:p>
      <w:pPr>
        <w:spacing w:before="0" w:after="200" w:lineRule="auto" w:line="276"/>
      </w:pPr>
      <w:r>
        <w:rPr>
          <w:b/>
        </w:rPr>
        <w:t xml:space="preserve">Abstract: </w:t>
      </w:r>
      <w:r>
        <w:t>A key innovation in this work is the development of a trapping method to synthesize perovskite Cs</w:t>
      </w:r>
      <w:r>
        <w:rPr>
          <w:vertAlign w:val="subscript"/>
        </w:rPr>
        <w:t>2</w:t>
      </w:r>
      <w:r>
        <w:t>PtCl</w:t>
      </w:r>
      <w:r>
        <w:rPr>
          <w:vertAlign w:val="subscript"/>
        </w:rPr>
        <w:t>6</w:t>
      </w:r>
      <w:r>
        <w:t>nanoparticles at a liquid–liquid interface under ambient conditions. The resulting nanoscale Cs</w:t>
      </w:r>
      <w:r>
        <w:rPr>
          <w:vertAlign w:val="subscript"/>
        </w:rPr>
        <w:t>2</w:t>
      </w:r>
      <w:r>
        <w:t>PtCl</w:t>
      </w:r>
      <w:r>
        <w:rPr>
          <w:vertAlign w:val="subscript"/>
        </w:rPr>
        <w:t>6</w:t>
      </w:r>
      <w:r>
        <w:t>particles are able to combine with various MXenes via PtCl</w:t>
      </w:r>
      <w:r>
        <w:rPr>
          <w:vertAlign w:val="subscript"/>
        </w:rPr>
        <w:t>6</w:t>
      </w:r>
      <w:r>
        <w:t>2−</w:t>
      </w:r>
      <w:r>
        <w:t>units, among which V</w:t>
      </w:r>
      <w:r>
        <w:rPr>
          <w:vertAlign w:val="subscript"/>
        </w:rPr>
        <w:t>4</w:t>
      </w:r>
      <w:r>
        <w:t>C</w:t>
      </w:r>
      <w:r>
        <w:rPr>
          <w:vertAlign w:val="subscript"/>
        </w:rPr>
        <w:t>3</w:t>
      </w:r>
      <w:r>
        <w:t>T</w:t>
      </w:r>
      <w:r>
        <w:t xml:space="preserve"> </w:t>
      </w:r>
      <w:r>
        <w:t>X</w:t>
      </w:r>
      <w:r>
        <w:t xml:space="preserve"> </w:t>
      </w:r>
      <w:r>
        <w:t>MXene forms strongly coupled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composites.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exhibits excellent hydrogen evolution reaction (HER), delivering a dramatically reduced overpotential of ∼39 mV a current density of 10 mA cm</w:t>
      </w:r>
      <w:r>
        <w:t xml:space="preserve"> </w:t>
      </w:r>
      <w:r>
        <w:t>−</w:t>
      </w:r>
      <w:r>
        <w:rPr>
          <w:vertAlign w:val="subscript"/>
        </w:rPr>
        <w:t>2</w:t>
      </w:r>
      <w:r>
        <w:t>, which outperforms the pristine V</w:t>
      </w:r>
      <w:r>
        <w:rPr>
          <w:vertAlign w:val="subscript"/>
        </w:rPr>
        <w:t>4</w:t>
      </w:r>
      <w:r>
        <w:t>C</w:t>
      </w:r>
      <w:r>
        <w:rPr>
          <w:vertAlign w:val="subscript"/>
        </w:rPr>
        <w:t>3</w:t>
      </w:r>
      <w:r>
        <w:t>T</w:t>
      </w:r>
      <w:r>
        <w:t xml:space="preserve"> </w:t>
      </w:r>
      <w:r>
        <w:t>X</w:t>
      </w:r>
      <w:r>
        <w:t xml:space="preserve"> </w:t>
      </w:r>
      <w:r>
        <w:t>, Cs</w:t>
      </w:r>
      <w:r>
        <w:rPr>
          <w:vertAlign w:val="subscript"/>
        </w:rPr>
        <w:t>2</w:t>
      </w:r>
      <w:r>
        <w:t>PtCl</w:t>
      </w:r>
      <w:r>
        <w:rPr>
          <w:vertAlign w:val="subscript"/>
        </w:rPr>
        <w:t>6</w:t>
      </w:r>
      <w:r>
        <w:t>, and other Cs</w:t>
      </w:r>
      <w:r>
        <w:rPr>
          <w:vertAlign w:val="subscript"/>
        </w:rPr>
        <w:t>2</w:t>
      </w:r>
      <w:r>
        <w:t>PtCl</w:t>
      </w:r>
      <w:r>
        <w:rPr>
          <w:vertAlign w:val="subscript"/>
        </w:rPr>
        <w:t>6</w:t>
      </w:r>
      <w:r>
        <w:t>@MXenes composites investigated. On the other hand,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exhibits negligible oxygen evolution reaction, but remarkably high‐performance urea oxidation reaction. The selective anodic reactivity simultaneously reduces the overall energy input required for HER. Comprehensive studies with other MXenes and their Cs</w:t>
      </w:r>
      <w:r>
        <w:rPr>
          <w:vertAlign w:val="subscript"/>
        </w:rPr>
        <w:t>2</w:t>
      </w:r>
      <w:r>
        <w:t>PtCl</w:t>
      </w:r>
      <w:r>
        <w:rPr>
          <w:vertAlign w:val="subscript"/>
        </w:rPr>
        <w:t>6</w:t>
      </w:r>
      <w:r>
        <w:t>hybrids highlight the unique and critical role of V</w:t>
      </w:r>
      <w:r>
        <w:rPr>
          <w:vertAlign w:val="subscript"/>
        </w:rPr>
        <w:t>4</w:t>
      </w:r>
      <w:r>
        <w:t>C</w:t>
      </w:r>
      <w:r>
        <w:rPr>
          <w:vertAlign w:val="subscript"/>
        </w:rPr>
        <w:t>3</w:t>
      </w:r>
      <w:r>
        <w:t>T</w:t>
      </w:r>
      <w:r>
        <w:t xml:space="preserve"> </w:t>
      </w:r>
      <w:r>
        <w:t>X</w:t>
      </w:r>
      <w:r>
        <w:t xml:space="preserve"> </w:t>
      </w:r>
      <w:r>
        <w:t>in facilitating electron transfer and catalytic stability, paving the way for simultaneous production of clean energy and remediation of organic pollutants.</w:t>
      </w:r>
    </w:p>
    <w:p>
      <w:pPr>
        <w:spacing w:before="120" w:after="120"/>
      </w:pPr>
      <w:r>
        <w:rPr>
          <w:sz w:val="18"/>
        </w:rPr>
        <w:t>——————————————————————————————————————————————————————————————————————</w:t>
      </w:r>
    </w:p>
    <w:p>
      <w:pPr>
        <w:spacing w:before="160" w:after="80" w:line="240" w:lineRule="auto"/>
      </w:pPr>
      <w:r>
        <w:rPr>
          <w:b/>
        </w:rPr>
        <w:t xml:space="preserve">[728] </w:t>
      </w:r>
      <w:hyperlink r:id="rId1327">
        <w:r>
          <w:rPr>
            <w:color w:val="1155CC"/>
            <w:u w:val="single"/>
          </w:rPr>
          <w:t>Minutes‐Scale Ultrafast Synthesis of New Oxyhalides Solid Electrolytes with Interfacial Ionic Conduction for All‐Solid‐State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28">
        <w:r>
          <w:rPr>
            <w:color w:val="1155CC"/>
            <w:u w:val="single"/>
          </w:rPr>
          <w:t>10.1002/anie.202516259</w:t>
        </w:r>
      </w:hyperlink>
    </w:p>
    <w:p>
      <w:pPr>
        <w:spacing w:before="0" w:after="120"/>
      </w:pPr>
      <w:r>
        <w:rPr>
          <w:b/>
        </w:rPr>
        <w:t xml:space="preserve">Notes: </w:t>
      </w:r>
      <w:r>
        <w:t>abstract_source=crossref</w:t>
      </w:r>
    </w:p>
    <w:p>
      <w:pPr>
        <w:spacing w:before="0" w:after="200" w:lineRule="auto" w:line="276"/>
      </w:pPr>
      <w:r>
        <w:rPr>
          <w:b/>
        </w:rPr>
        <w:t xml:space="preserve">Abstract: </w:t>
      </w:r>
      <w:r>
        <w:t>Halide solid‐state electrolytes (SSEs) show exceptional promise for all‐solid‐state batteries (ASSBs), yet their dependence on prolonged ball milling to achieve required ionic conductivity critically compromises energy efficiency. Here, we report a novel Zr‐based oxyhalide SSE (oh‐LZC) synthesized via an ultrafast ball‐milling process (18 min)—a record for halide SSEs. Remarkably, extending processing to just 1.5 h boosts ionic conductivity from 0.11 to 1.09 mS cm</w:t>
      </w:r>
      <w:r>
        <w:t xml:space="preserve"> </w:t>
      </w:r>
      <w:r>
        <w:t>−1</w:t>
      </w:r>
      <w:r>
        <w:t xml:space="preserve"> </w:t>
      </w:r>
      <w:r>
        <w:t>—outperforming most reported Zr‐based halides at equivalent synthesis durations. Critical to this advance is the strategic substitution of expensive Li</w:t>
      </w:r>
      <w:r>
        <w:rPr>
          <w:vertAlign w:val="subscript"/>
        </w:rPr>
        <w:t>2</w:t>
      </w:r>
      <w:r>
        <w:t>O with cost‐effective Ta</w:t>
      </w:r>
      <w:r>
        <w:rPr>
          <w:vertAlign w:val="subscript"/>
        </w:rPr>
        <w:t>2</w:t>
      </w:r>
      <w:r>
        <w:t>O</w:t>
      </w:r>
      <w:r>
        <w:rPr>
          <w:vertAlign w:val="subscript"/>
        </w:rPr>
        <w:t>5</w:t>
      </w:r>
      <w:r>
        <w:t>as the oxygen source—which simultaneously acts as a core‐like pseudo‐catalyst. During ultrafast milling, this drives formation of a shell‐like conductive amorphous oxyhalide, directly enabling a novel interfacial conduction mechanism as confirmed by high‐resolution microscopy and spectroscopy. ASSBs assembled with oh‐LZC synthesized in 18 min exhibit excellent compatibility with uncoated LiCoO</w:t>
      </w:r>
      <w:r>
        <w:rPr>
          <w:vertAlign w:val="subscript"/>
        </w:rPr>
        <w:t>2</w:t>
      </w:r>
      <w:r>
        <w:t>, delivering robust cycling stability (&amp;gt;80% capacity retention after 450 cycles). Validated with alternative oxygen sources (Nb</w:t>
      </w:r>
      <w:r>
        <w:rPr>
          <w:vertAlign w:val="subscript"/>
        </w:rPr>
        <w:t>2</w:t>
      </w:r>
      <w:r>
        <w:t>O</w:t>
      </w:r>
      <w:r>
        <w:rPr>
          <w:vertAlign w:val="subscript"/>
        </w:rPr>
        <w:t>5</w:t>
      </w:r>
      <w:r>
        <w:t>), this pseudo‐catalyst approach demonstrates versatility, pioneering accelerated synthesis protocols for halide SSEs and beyond.</w:t>
      </w:r>
    </w:p>
    <w:p>
      <w:pPr>
        <w:spacing w:before="120" w:after="120"/>
      </w:pPr>
      <w:r>
        <w:rPr>
          <w:sz w:val="18"/>
        </w:rPr>
        <w:t>——————————————————————————————————————————————————————————————————————</w:t>
      </w:r>
    </w:p>
    <w:p>
      <w:pPr>
        <w:spacing w:before="160" w:after="80" w:line="240" w:lineRule="auto"/>
      </w:pPr>
      <w:r>
        <w:rPr>
          <w:b/>
        </w:rPr>
        <w:t xml:space="preserve">[729] </w:t>
      </w:r>
      <w:hyperlink r:id="rId1329">
        <w:r>
          <w:rPr>
            <w:color w:val="1155CC"/>
            <w:u w:val="single"/>
          </w:rPr>
          <w:t>Cryogenic Carbon Monoxide Oxidation on Cuprous Oxide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30">
        <w:r>
          <w:rPr>
            <w:color w:val="1155CC"/>
            <w:u w:val="single"/>
          </w:rPr>
          <w:t>10.1002/anie.202515673</w:t>
        </w:r>
      </w:hyperlink>
    </w:p>
    <w:p>
      <w:pPr>
        <w:spacing w:before="0" w:after="120"/>
      </w:pPr>
      <w:r>
        <w:rPr>
          <w:b/>
        </w:rPr>
        <w:t xml:space="preserve">Notes: </w:t>
      </w:r>
      <w:r>
        <w:t>abstract_source=crossref</w:t>
      </w:r>
    </w:p>
    <w:p>
      <w:pPr>
        <w:spacing w:before="0" w:after="200" w:lineRule="auto" w:line="276"/>
      </w:pPr>
      <w:r>
        <w:rPr>
          <w:b/>
        </w:rPr>
        <w:t xml:space="preserve">Abstract: </w:t>
      </w:r>
      <w:r>
        <w:t>Performing oxidation reactions at low temperatures using earth‐abundant materials is crucial for advancing solutions for sustainable chemistry. CO oxidation serves as a benchmark reaction to characterize oxidation and to advance fundamental concepts in surface chemistry. While there are several examples of CO oxidation occurring on metal oxides at low temperatures, from 300 K to ∼200 K, reactivity in the cryogenic temperature regime typically requires a metal nanoparticle on a metal oxide. Here, we show oxygen atoms on the (111) facet of Cu</w:t>
      </w:r>
      <w:r>
        <w:rPr>
          <w:vertAlign w:val="subscript"/>
        </w:rPr>
        <w:t>2</w:t>
      </w:r>
      <w:r>
        <w:t>O react with CO to form CO</w:t>
      </w:r>
      <w:r>
        <w:rPr>
          <w:vertAlign w:val="subscript"/>
        </w:rPr>
        <w:t>2</w:t>
      </w:r>
      <w:r>
        <w:t>at temperatures below 100 K. Combining spectroscopic experimental evidence with calculations, we propose a low barrier path for CO oxidation at reconstructed surface sites on Cu</w:t>
      </w:r>
      <w:r>
        <w:rPr>
          <w:vertAlign w:val="subscript"/>
        </w:rPr>
        <w:t>2</w:t>
      </w:r>
      <w:r>
        <w:t>O(111). This finding is a rare example of an earth‐abundant metal oxide, in this case copper, that can provide highly reactive multifunctional sites, enabling both adsorption and reaction fundamental steps toward the efficient heterogeneous oxidation of chemicals.</w:t>
      </w:r>
    </w:p>
    <w:p>
      <w:pPr>
        <w:spacing w:before="120" w:after="120"/>
      </w:pPr>
      <w:r>
        <w:rPr>
          <w:sz w:val="18"/>
        </w:rPr>
        <w:t>——————————————————————————————————————————————————————————————————————</w:t>
      </w:r>
    </w:p>
    <w:p>
      <w:pPr>
        <w:spacing w:before="160" w:after="80" w:line="240" w:lineRule="auto"/>
      </w:pPr>
      <w:r>
        <w:rPr>
          <w:b/>
        </w:rPr>
        <w:t xml:space="preserve">[730] </w:t>
      </w:r>
      <w:hyperlink r:id="rId1331">
        <w:r>
          <w:rPr>
            <w:color w:val="1155CC"/>
            <w:u w:val="single"/>
          </w:rPr>
          <w:t>Reliable Determination of Photoreaction Kinetics and Cyclization/Cycloreversion Quantum Yields for Dithienylethene Switches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32">
        <w:r>
          <w:rPr>
            <w:color w:val="1155CC"/>
            <w:u w:val="single"/>
          </w:rPr>
          <w:t>10.1002/anie.202514591</w:t>
        </w:r>
      </w:hyperlink>
    </w:p>
    <w:p>
      <w:pPr>
        <w:spacing w:before="0" w:after="120"/>
      </w:pPr>
      <w:r>
        <w:rPr>
          <w:b/>
        </w:rPr>
        <w:t xml:space="preserve">Notes: </w:t>
      </w:r>
      <w:r>
        <w:t>abstract_source=crossref</w:t>
      </w:r>
    </w:p>
    <w:p>
      <w:pPr>
        <w:spacing w:before="0" w:after="200" w:lineRule="auto" w:line="276"/>
      </w:pPr>
      <w:r>
        <w:rPr>
          <w:b/>
        </w:rPr>
        <w:t xml:space="preserve">Abstract: </w:t>
      </w:r>
      <w:r>
        <w:t>A universal and flexible model fully describing photoreaction kinetics in dithienylethene (DTE) systems is presented. The proposed method enables reliable determination of photocyclization and photocycloreversion quantum yields at various conditions. Most importantly, it is applicable to a broad range of photoswitch concentrations and accounts for competitive reactions, such as annulation of the closed form. By employing both analytical and numerical solutions to the kinetic equations, we achieve consistent results: the numerical method ensures high accuracy in quantum yield determination, while the analytical method allows for the prediction of DTE photoreaction behavior. The robustness of the model was validated across four distinct DTE photoswitches under varying concentrations, solvents, excitation wavelengths conditions, demonstrating its broad applicability and reliability.</w:t>
      </w:r>
    </w:p>
    <w:p>
      <w:pPr>
        <w:spacing w:before="120" w:after="120"/>
      </w:pPr>
      <w:r>
        <w:rPr>
          <w:sz w:val="18"/>
        </w:rPr>
        <w:t>——————————————————————————————————————————————————————————————————————</w:t>
      </w:r>
    </w:p>
    <w:p>
      <w:pPr>
        <w:spacing w:before="160" w:after="80" w:line="240" w:lineRule="auto"/>
      </w:pPr>
      <w:r>
        <w:rPr>
          <w:b/>
        </w:rPr>
        <w:t xml:space="preserve">[731] </w:t>
      </w:r>
      <w:hyperlink r:id="rId1333">
        <w:r>
          <w:rPr>
            <w:color w:val="1155CC"/>
            <w:u w:val="single"/>
          </w:rPr>
          <w:t>Harnessing Colloidal Dispersion for Laccase‐Driven Enzymatic Depolymerization of Polystyrene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34">
        <w:r>
          <w:rPr>
            <w:color w:val="1155CC"/>
            <w:u w:val="single"/>
          </w:rPr>
          <w:t>10.1002/anie.202513937</w:t>
        </w:r>
      </w:hyperlink>
    </w:p>
    <w:p>
      <w:pPr>
        <w:spacing w:before="0" w:after="120"/>
      </w:pPr>
      <w:r>
        <w:rPr>
          <w:b/>
        </w:rPr>
        <w:t xml:space="preserve">Notes: </w:t>
      </w:r>
      <w:r>
        <w:t>abstract_source=crossref</w:t>
      </w:r>
    </w:p>
    <w:p>
      <w:pPr>
        <w:spacing w:before="0" w:after="200" w:lineRule="auto" w:line="276"/>
      </w:pPr>
      <w:r>
        <w:rPr>
          <w:b/>
        </w:rPr>
        <w:t xml:space="preserve">Abstract: </w:t>
      </w:r>
      <w:r>
        <w:t>Polystyrene (PS) is one of the most widely used synthetic polymers, with annual global production of around 20 million tons. However, its robust C─C backbone renders it highly recalcitrant to (bio)chemical depolymerization, and no sustainable re‐/up‐cycling method has yet been developed. Here, we establish a proof‐of‐concept for the efficient depolymerization of PS under mild aqueous conditions, using a laccase–mediator system (LMS) composed of</w:t>
      </w:r>
      <w:r>
        <w:t xml:space="preserve"> </w:t>
      </w:r>
      <w:r>
        <w:t>Trametes versicolor</w:t>
      </w:r>
      <w:r>
        <w:t xml:space="preserve"> </w:t>
      </w:r>
      <w:r>
        <w:t>laccase, 1‐hydroxybenzotriazole (HBT), and ambient oxygen. To overcome substrate accessibility issues, PS is formulated into colloidally stable nanoparticles, promoting interfacial remote biocatalysis. Under such conditions, up to 99.9% decrease in molar mass is achieved from an initial PS of over 2 million g mol</w:t>
      </w:r>
      <w:r>
        <w:t xml:space="preserve"> </w:t>
      </w:r>
      <w:r>
        <w:t>−1</w:t>
      </w:r>
      <w:r>
        <w:t xml:space="preserve"> </w:t>
      </w:r>
      <w:r>
        <w:t>, synthesized by ab initio free‐radical emulsion polymerization. This colloidal dispersion strategy is also effective for commercial PS and expanded PS waste processed by post‐dispersion in surfactant‐containing aqueous media. Mechanistic studies suggest that LMS‐mediated depolymerization proceeds via HBT radical diffusion into PS nanoparticles, triggering hydrogen atom transfer (HAT)‐based oxidation and β‐scissions of PS chains. This approach provides an efficient method for PS depolymerization using aqueous conditions, ambient O</w:t>
      </w:r>
      <w:r>
        <w:rPr>
          <w:vertAlign w:val="subscript"/>
        </w:rPr>
        <w:t>2</w:t>
      </w:r>
      <w:r>
        <w:t>and a native enzyme without harsh solvents or experimental conditions.</w:t>
      </w:r>
    </w:p>
    <w:p>
      <w:pPr>
        <w:spacing w:before="120" w:after="120"/>
      </w:pPr>
      <w:r>
        <w:rPr>
          <w:sz w:val="18"/>
        </w:rPr>
        <w:t>——————————————————————————————————————————————————————————————————————</w:t>
      </w:r>
    </w:p>
    <w:p>
      <w:pPr>
        <w:spacing w:before="160" w:after="80" w:line="240" w:lineRule="auto"/>
      </w:pPr>
      <w:r>
        <w:rPr>
          <w:b/>
        </w:rPr>
        <w:t xml:space="preserve">[732] </w:t>
      </w:r>
      <w:hyperlink r:id="rId1335">
        <w:r>
          <w:rPr>
            <w:color w:val="1155CC"/>
            <w:u w:val="single"/>
          </w:rPr>
          <w:t>Sequential Heterolytic Carbon‐Halide and Carbon–Carbon Bond Activation in Unactivated Piperidines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36">
        <w:r>
          <w:rPr>
            <w:color w:val="1155CC"/>
            <w:u w:val="single"/>
          </w:rPr>
          <w:t>10.1002/anie.202512579</w:t>
        </w:r>
      </w:hyperlink>
    </w:p>
    <w:p>
      <w:pPr>
        <w:spacing w:before="0" w:after="120"/>
      </w:pPr>
      <w:r>
        <w:rPr>
          <w:b/>
        </w:rPr>
        <w:t xml:space="preserve">Notes: </w:t>
      </w:r>
      <w:r>
        <w:t>abstract_source=crossref</w:t>
      </w:r>
    </w:p>
    <w:p>
      <w:pPr>
        <w:spacing w:before="0" w:after="200" w:lineRule="auto" w:line="276"/>
      </w:pPr>
      <w:r>
        <w:rPr>
          <w:b/>
        </w:rPr>
        <w:t xml:space="preserve">Abstract: </w:t>
      </w:r>
      <w:r>
        <w:t>The thermodynamic stability of unactivated Csp</w:t>
      </w:r>
      <w:r>
        <w:rPr>
          <w:vertAlign w:val="subscript"/>
        </w:rPr>
        <w:t>3</w:t>
      </w:r>
      <w:r>
        <w:t>─F and Csp</w:t>
      </w:r>
      <w:r>
        <w:rPr>
          <w:vertAlign w:val="subscript"/>
        </w:rPr>
        <w:t>3</w:t>
      </w:r>
      <w:r>
        <w:t>─Csp</w:t>
      </w:r>
      <w:r>
        <w:rPr>
          <w:vertAlign w:val="subscript"/>
        </w:rPr>
        <w:t>3</w:t>
      </w:r>
      <w:r>
        <w:t>bonds remains a major challenge in organic synthesis as methods that achieve effective cleavage and high‐yielding functionalization under mild conditions are rare. Herein, we introduce a cascade reaction involving heterolytic activation of 4‐halopiperidines with organoaluminum reagents which is followed by fast ring opening toward a thermodynamically favored iminium ion that undergoes C─C bond formation via aryl or alkyl transfer from a concomitantly generated fluoroaluminate counteranion. Fluoropiperidines were found to be more reactive than other halides and are smoothly transformed into tertiary homoallyl amines with good to excellent yields. This reaction occurs at room temperature with high functional group tolerance and without noticeable by‐product formation. Similarly, Csp</w:t>
      </w:r>
      <w:r>
        <w:rPr>
          <w:vertAlign w:val="subscript"/>
        </w:rPr>
        <w:t>3</w:t>
      </w:r>
      <w:r>
        <w:t>─F bond scission is observed with 4,4‐difluoropiperidines, giving rise to monofluorinated alkene products as the Csp</w:t>
      </w:r>
      <w:r>
        <w:rPr>
          <w:vertAlign w:val="subscript"/>
        </w:rPr>
        <w:t>2</w:t>
      </w:r>
      <w:r>
        <w:t>─F bond generated during this process does not react. X‐ray crystallographic analysis of two cationic reaction intermediates simultaneously isolated in a single crystal provides a snapshot of the ring‐opening process and together with chemical trapping and control experiments is in agreement with an ionic mechanism and a three‐step reaction sequence. By contrast, defluorinative halide exchange leaving the piperidinyl ring intact prevails when 4‐fluoro‐ and 4,4‐difluoropiperidines are treated with aluminum trihalide Lewis acids.</w:t>
      </w:r>
    </w:p>
    <w:p>
      <w:pPr>
        <w:spacing w:before="120" w:after="120"/>
      </w:pPr>
      <w:r>
        <w:rPr>
          <w:sz w:val="18"/>
        </w:rPr>
        <w:t>——————————————————————————————————————————————————————————————————————</w:t>
      </w:r>
    </w:p>
    <w:p>
      <w:pPr>
        <w:spacing w:before="160" w:after="80" w:line="240" w:lineRule="auto"/>
      </w:pPr>
      <w:r>
        <w:rPr>
          <w:b/>
        </w:rPr>
        <w:t xml:space="preserve">[733] </w:t>
      </w:r>
      <w:hyperlink r:id="rId1337">
        <w:r>
          <w:rPr>
            <w:color w:val="1155CC"/>
            <w:u w:val="single"/>
          </w:rPr>
          <w:t>Oxalate‐Bridged Binuclear Fe(II) Drives Concerted Two‐Electron Reduction of NO2 by Substantial Spin Interactions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38">
        <w:r>
          <w:rPr>
            <w:color w:val="1155CC"/>
            <w:u w:val="single"/>
          </w:rPr>
          <w:t>10.1002/anie.202512391</w:t>
        </w:r>
      </w:hyperlink>
    </w:p>
    <w:p>
      <w:pPr>
        <w:spacing w:before="0" w:after="120"/>
      </w:pPr>
      <w:r>
        <w:rPr>
          <w:b/>
        </w:rPr>
        <w:t xml:space="preserve">Notes: </w:t>
      </w:r>
      <w:r>
        <w:t>abstract_source=crossref</w:t>
      </w:r>
    </w:p>
    <w:p>
      <w:pPr>
        <w:spacing w:before="0" w:after="200" w:lineRule="auto" w:line="276"/>
      </w:pPr>
      <w:r>
        <w:rPr>
          <w:b/>
        </w:rPr>
        <w:t xml:space="preserve">Abstract: </w:t>
      </w:r>
      <w:r>
        <w:t>NO</w:t>
      </w:r>
      <w:r>
        <w:rPr>
          <w:vertAlign w:val="subscript"/>
        </w:rPr>
        <w:t>2</w:t>
      </w:r>
      <w:r>
        <w:t>reduction plays a key role in the active nitrogen cycle, influencing atmospheric oxidation capacity and secondary aerosol formation. NO</w:t>
      </w:r>
      <w:r>
        <w:rPr>
          <w:vertAlign w:val="subscript"/>
        </w:rPr>
        <w:t>2</w:t>
      </w:r>
      <w:r>
        <w:t>reduction is commonly believed to proceed via a single‐electron reduction pathway, yielding NO</w:t>
      </w:r>
      <w:r>
        <w:rPr>
          <w:vertAlign w:val="subscript"/>
        </w:rPr>
        <w:t>2</w:t>
      </w:r>
      <w:r>
        <w:t>−</w:t>
      </w:r>
      <w:r>
        <w:t>or HONO as primary products. Here, we report that oxalate‐bridged binuclear Fe(II) complex can lead to the two‐electron reduction of NO</w:t>
      </w:r>
      <w:r>
        <w:rPr>
          <w:vertAlign w:val="subscript"/>
        </w:rPr>
        <w:t>2</w:t>
      </w:r>
      <w:r>
        <w:t>directly to NO, while the citrate‐coordinated Fe(II) primarily reduces NO</w:t>
      </w:r>
      <w:r>
        <w:rPr>
          <w:vertAlign w:val="subscript"/>
        </w:rPr>
        <w:t>2</w:t>
      </w:r>
      <w:r>
        <w:t>to HONO through the common single‐electron reduction pathway. We systematically compare the coordination and magnetic properties between this oxalate‐bridged Fe(II) complex with the citrate‐coordinated one. Unlike the paramagnetic Fe(II) citrate complex with disordered Fe spin alignments, the oxalate‐bridged binuclear Fe(II) complex exhibits antiferromagnetic interactions with antiparallel spin alignments of the unpaired electrons between the two Fe(II) centers. We propose that such antiferromagnetic interactions facilitate the concerted transfer of the two electrons with antiparallel spin alignments from each Fe(II) centers in the oxalate‐bridged Fe(II) complex to the empty lowest unoccupied molecular orbital (LUMO) of NO</w:t>
      </w:r>
      <w:r>
        <w:rPr>
          <w:vertAlign w:val="subscript"/>
        </w:rPr>
        <w:t>2</w:t>
      </w:r>
      <w:r>
        <w:t>, leading to NO formation. Our findings reveal, for the first time, a two‐electron reduction pathway of NO</w:t>
      </w:r>
      <w:r>
        <w:rPr>
          <w:vertAlign w:val="subscript"/>
        </w:rPr>
        <w:t>2</w:t>
      </w:r>
      <w:r>
        <w:t>by the oxalate‐bridged binuclear Fe(II) complex formed from environmentally abundant iron oxides and oxalic acid, providing new insights into the active nitrogen cycling.</w:t>
      </w:r>
    </w:p>
    <w:p>
      <w:pPr>
        <w:spacing w:before="120" w:after="120"/>
      </w:pPr>
      <w:r>
        <w:rPr>
          <w:sz w:val="18"/>
        </w:rPr>
        <w:t>——————————————————————————————————————————————————————————————————————</w:t>
      </w:r>
    </w:p>
    <w:p>
      <w:pPr>
        <w:spacing w:before="160" w:after="80" w:line="240" w:lineRule="auto"/>
      </w:pPr>
      <w:r>
        <w:rPr>
          <w:b/>
        </w:rPr>
        <w:t xml:space="preserve">[734] </w:t>
      </w:r>
      <w:hyperlink r:id="rId1339">
        <w:r>
          <w:rPr>
            <w:color w:val="1155CC"/>
            <w:u w:val="single"/>
          </w:rPr>
          <w:t>Regulating Promiscuous Catalysis via Substrate‐Induced Transient Assembly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40">
        <w:r>
          <w:rPr>
            <w:color w:val="1155CC"/>
            <w:u w:val="single"/>
          </w:rPr>
          <w:t>10.1002/anie.202511352</w:t>
        </w:r>
      </w:hyperlink>
    </w:p>
    <w:p>
      <w:pPr>
        <w:spacing w:before="0" w:after="120"/>
      </w:pPr>
      <w:r>
        <w:rPr>
          <w:b/>
        </w:rPr>
        <w:t xml:space="preserve">Notes: </w:t>
      </w:r>
      <w:r>
        <w:t>abstract_source=crossref</w:t>
      </w:r>
    </w:p>
    <w:p>
      <w:pPr>
        <w:spacing w:before="0" w:after="200" w:lineRule="auto" w:line="276"/>
      </w:pPr>
      <w:r>
        <w:rPr>
          <w:b/>
        </w:rPr>
        <w:t xml:space="preserve">Abstract: </w:t>
      </w:r>
      <w:r>
        <w:t>In nature, substrate‐induced assembly is a fundamental requirement for a wide range of enzyme‐driven chemical transformations. Systems chemists have introduced synthetic substrate analogues that have proven effective in enhancing catalytic activities of assembling peptide folds, and mimic primitive enzymes. However, how catalytic promiscuity, the ability of one catalyst to catalyse multiple orthogonal reactions, might have shaped the diversification of prebiotic chemistry, remains largely unaddressed. Herein, we report a novel transient, substrate‐induced co‐assembly between a lysine‐rich pre‐assembling peptide and Fmoc‐glycine. The nanostructure formed under nonequilibrium conditions provides the suitable microenvironment to promote the potential of catalytically active amino acids, performing orthogonal hydrolysis and C═N condensation reactions. Simultaneously, carbamate bond cleavage of the labile Fmoc group destabilises the co‐assembly in the activated state, causing the structure to collapse gradually. By encoding catalytic promiscuity into assembling building blocks under kinetic control, we shed light on the emergence of primitive catalysis with broad substrate scope at the origin of life.</w:t>
      </w:r>
    </w:p>
    <w:p>
      <w:pPr>
        <w:spacing w:before="120" w:after="120"/>
      </w:pPr>
      <w:r>
        <w:rPr>
          <w:sz w:val="18"/>
        </w:rPr>
        <w:t>——————————————————————————————————————————————————————————————————————</w:t>
      </w:r>
    </w:p>
    <w:p>
      <w:pPr>
        <w:spacing w:before="160" w:after="80" w:line="240" w:lineRule="auto"/>
      </w:pPr>
      <w:r>
        <w:rPr>
          <w:b/>
        </w:rPr>
        <w:t xml:space="preserve">[735] </w:t>
      </w:r>
      <w:hyperlink r:id="rId1341">
        <w:r>
          <w:rPr>
            <w:color w:val="1155CC"/>
            <w:u w:val="single"/>
          </w:rPr>
          <w:t>Bright Circularly Polarized Electrochemiluminescence from Heterobinuclear IrIII–AuI Enantiomers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42">
        <w:r>
          <w:rPr>
            <w:color w:val="1155CC"/>
            <w:u w:val="single"/>
          </w:rPr>
          <w:t>10.1002/anie.202510787</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efficient circularly polarized electrochemiluminescence (CP‐ECL) probes is still at its infancy and examples are still very limited. Yet, their achievement would enable gathering a readout that carries privileged information on the probe's chiral environment by monitoring luminescence polarization bias with high signal‐to‐noise ratio. Notwithstanding, this is a highly challenging task and requires judicious chemical engineering of chiral ECL‐active emitters. Herein, we aim at expanding the palette of CP‐ECL luminophores by presenting a novel class of enantiopure heterobinuclear Ir(III)–Au(I) complexes, which are investigated thoroughly by means of chemical, structural, and (chiro‐)optical techniques. The ground and excited state properties are also elucidated by using density functional theory (DFT) approaches including spin‐orbital coupling (SOC) perturbation. The chiral‐at‐metal complexes display luminescence with a polarization bias of the emitted light that is function of the helical arrangement of the coordination sphere around the Ir(III) center. Overall, the photo‐ and electro‐active complexes unraveled in this work combine unparallelly high photoluminescence quantum yield in the orange region, excellent circularly polarized luminescence (CPL) brightness up to 4.5 M</w:t>
      </w:r>
      <w:r>
        <w:t xml:space="preserve"> </w:t>
      </w:r>
      <w:r>
        <w:t>−1</w:t>
      </w:r>
      <w:r>
        <w:t xml:space="preserve"> </w:t>
      </w:r>
      <w:r>
        <w:t>cm</w:t>
      </w:r>
      <w:r>
        <w:t xml:space="preserve"> </w:t>
      </w:r>
      <w:r>
        <w:t>−1</w:t>
      </w:r>
      <w:r>
        <w:t xml:space="preserve"> </w:t>
      </w:r>
      <w:r>
        <w:t>with a notable ECL activity. Finally, these features provide emitters with CP‐ECL efficiency that encompass remarkably by a factor 3.5 that of the well‐known benchmark</w:t>
      </w:r>
      <w:r>
        <w:t xml:space="preserve"> </w:t>
      </w:r>
      <w:r>
        <w:t>tris</w:t>
      </w:r>
      <w:r>
        <w:t xml:space="preserve"> </w:t>
      </w:r>
      <w:r>
        <w:t>‐(2,2′‐bipyridyl)ruthenium(II).</w:t>
      </w:r>
    </w:p>
    <w:p>
      <w:pPr>
        <w:spacing w:before="120" w:after="120"/>
      </w:pPr>
      <w:r>
        <w:rPr>
          <w:sz w:val="18"/>
        </w:rPr>
        <w:t>——————————————————————————————————————————————————————————————————————</w:t>
      </w:r>
    </w:p>
    <w:p>
      <w:pPr>
        <w:spacing w:before="160" w:after="80" w:line="240" w:lineRule="auto"/>
      </w:pPr>
      <w:r>
        <w:rPr>
          <w:b/>
        </w:rPr>
        <w:t xml:space="preserve">[736] </w:t>
      </w:r>
      <w:hyperlink r:id="rId1343">
        <w:r>
          <w:rPr>
            <w:color w:val="1155CC"/>
            <w:u w:val="single"/>
          </w:rPr>
          <w:t>Absolute Configuration Determination with Electronically Enhanced Vibrational Circular Dichroism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44">
        <w:r>
          <w:rPr>
            <w:color w:val="1155CC"/>
            <w:u w:val="single"/>
          </w:rPr>
          <w:t>10.1002/anie.202517979</w:t>
        </w:r>
      </w:hyperlink>
    </w:p>
    <w:p>
      <w:pPr>
        <w:spacing w:before="0" w:after="120"/>
      </w:pPr>
      <w:r>
        <w:rPr>
          <w:b/>
        </w:rPr>
        <w:t xml:space="preserve">Notes: </w:t>
      </w:r>
      <w:r>
        <w:t>abstract_source=crossref</w:t>
      </w:r>
    </w:p>
    <w:p>
      <w:pPr>
        <w:spacing w:before="0" w:after="200" w:lineRule="auto" w:line="276"/>
      </w:pPr>
      <w:r>
        <w:rPr>
          <w:b/>
        </w:rPr>
        <w:t xml:space="preserve">Abstract: </w:t>
      </w:r>
      <w:r>
        <w:t>Intensity enhancement in vibrational circular dichroism (VCD) arises in open‐shell transition metal complexes from coupling between ground‐state vibrational transitions and magnetic dipole‐allowed transitions to low‐lying excited states (LLESs). In this work, we apply Nafie's vibronic coupling theory to Me(II)‐(‐)‐sparteine‐ (Me = Zn, Co, Ni) complexes to investigate these enhancement effects. We show that the VCD intensity is extremely sensitive to the excitation energies that neither time‐dependent density functional theory (TDDFT) nor state‐averaged complete active space self‐consistent field (SA‐CASSCF) calculations can predict with sufficient accuracy. We argue that instead of using more accurate quantum chemistry methods these excitation energies can be treated as parameters and optimized against experimental spectra. With this approach, we obtain simulated VCD similarity scores above 0.4, a threshold considered reliable for absolute configuration assignment. The ability to quantitatively reproduce enhanced experimental spectra with computations opens up new research areas, offering amongst else unique possibilities for the study of the chiral structure of systems such as transition metal complexes and metalloproteins that so far have remained intractable.</w:t>
      </w:r>
    </w:p>
    <w:p>
      <w:pPr>
        <w:spacing w:before="120" w:after="120"/>
      </w:pPr>
      <w:r>
        <w:rPr>
          <w:sz w:val="18"/>
        </w:rPr>
        <w:t>——————————————————————————————————————————————————————————————————————</w:t>
      </w:r>
    </w:p>
    <w:p>
      <w:pPr>
        <w:spacing w:before="160" w:after="80" w:line="240" w:lineRule="auto"/>
      </w:pPr>
      <w:r>
        <w:rPr>
          <w:b/>
        </w:rPr>
        <w:t xml:space="preserve">[737] </w:t>
      </w:r>
      <w:hyperlink r:id="rId1345">
        <w:r>
          <w:rPr>
            <w:color w:val="1155CC"/>
            <w:u w:val="single"/>
          </w:rPr>
          <w:t>Dynamic Bonding Enabled Ambient‐Driven Motors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46">
        <w:r>
          <w:rPr>
            <w:color w:val="1155CC"/>
            <w:u w:val="single"/>
          </w:rPr>
          <w:t>10.1002/anie.202518011</w:t>
        </w:r>
      </w:hyperlink>
    </w:p>
    <w:p>
      <w:pPr>
        <w:spacing w:before="0" w:after="120"/>
      </w:pPr>
      <w:r>
        <w:rPr>
          <w:b/>
        </w:rPr>
        <w:t xml:space="preserve">Notes: </w:t>
      </w:r>
      <w:r>
        <w:t>abstract_source=crossref</w:t>
      </w:r>
    </w:p>
    <w:p>
      <w:pPr>
        <w:spacing w:before="0" w:after="200" w:lineRule="auto" w:line="276"/>
      </w:pPr>
      <w:r>
        <w:rPr>
          <w:b/>
        </w:rPr>
        <w:t xml:space="preserve">Abstract: </w:t>
      </w:r>
      <w:r>
        <w:t>Harnessing ambient low‐density energy and converting it into macroscopic motion is a hallmark of living systems. However, artificial systems are often limited by high energy requirements and intricate control mechanisms. Inspired by Salmonella, which uses dynamic ion‐binding coordination for continuous motion, we proposed a novel concept of self‐oscillating motors leveraging molecular‐level dynamic bonding to harvest trivial ambient energy and power macroscopic, self‐sustained behavior. Specifically, we developed a coordination motorized oscillator (CoMO) based on novel supramolecular PDMS material with 25‐fold thermo‐inflation ability of normal PDMS and nearly 2000‐fold that of the passive layer. CoMO can harvest ambient energy as low as body temperature to reversibly dissociate coordination crosslinks, transforming molecular transitions into sustained macroscopic oscillation. Its universality facilitates the amplification of macroscopic motion via the collective behaviors of CoMOs. Moreover, this principle empowers the development of ambient‐driven coordination motored robots (CoMbot) with multi‐modal locomotion and adaptability across diverse terrains. Such dynamic chemical transitions enabled chemo‐mechanical coupling for self‐sustained systems, paving new avenues for robust transition‐mechanical transducing material systems and soft machineries with unprecedented capabilities.</w:t>
      </w:r>
    </w:p>
    <w:p>
      <w:pPr>
        <w:spacing w:before="120" w:after="120"/>
      </w:pPr>
      <w:r>
        <w:rPr>
          <w:sz w:val="18"/>
        </w:rPr>
        <w:t>——————————————————————————————————————————————————————————————————————</w:t>
      </w:r>
    </w:p>
    <w:p>
      <w:pPr>
        <w:spacing w:before="160" w:after="80" w:line="240" w:lineRule="auto"/>
      </w:pPr>
      <w:r>
        <w:rPr>
          <w:b/>
        </w:rPr>
        <w:t xml:space="preserve">[738] </w:t>
      </w:r>
      <w:hyperlink r:id="rId1347">
        <w:r>
          <w:rPr>
            <w:color w:val="1155CC"/>
            <w:u w:val="single"/>
          </w:rPr>
          <w:t>Contact Electrification via Redox‐Active Molecules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48">
        <w:r>
          <w:rPr>
            <w:color w:val="1155CC"/>
            <w:u w:val="single"/>
          </w:rPr>
          <w:t>10.1002/anie.202510031</w:t>
        </w:r>
      </w:hyperlink>
    </w:p>
    <w:p>
      <w:pPr>
        <w:spacing w:before="0" w:after="120"/>
      </w:pPr>
      <w:r>
        <w:rPr>
          <w:b/>
        </w:rPr>
        <w:t xml:space="preserve">Notes: </w:t>
      </w:r>
      <w:r>
        <w:t>abstract_source=crossref</w:t>
      </w:r>
    </w:p>
    <w:p>
      <w:pPr>
        <w:spacing w:before="0" w:after="200" w:lineRule="auto" w:line="276"/>
      </w:pPr>
      <w:r>
        <w:rPr>
          <w:b/>
        </w:rPr>
        <w:t xml:space="preserve">Abstract: </w:t>
      </w:r>
      <w:r>
        <w:t>Contact electrification, as the transfer of charge upon the contact of two (dis)similar materials, is strongly influenced by surface chemistry, which governs the efficiency of charge separation. For harvesting electrical energy from mechanical energy, material pairs with high electron‐transfer efficiency are essential. Here, we introduce a strategy to use electronic charge transfer in contact electrification via surface functionalization with redox‐active organic molecules. Specifically, we functionalize Au(111) surfaces with mercaptomethyl‐terminated redox‐active molecules, namely triphenylamine and tetrathiafulvalene as donors and 11,11,12,12‐tetracyano‐9,10‐anthraquinodimethane as an acceptor, achieving stable and covalent immobilization, as confirmed by X‐ray photoelectron spectroscopy, electrochemical characterization, and density functional theory calculations, and enabling molecular‐level electron‐transfer. To quantify charge transfer at the micrometer scale, we introduce a contact electrification assay combining atomic force microscopy‐based force spectroscopy and Kelvin probe force microscopy. This approach allows for a precise measurement of charge transfer between Au(111) surfaces functionalized with redox‐active molecules, revealing an electron‐driven mechanism capable of achieving surface charge densities of (120 ± 17) µC m</w:t>
      </w:r>
      <w:r>
        <w:t xml:space="preserve"> </w:t>
      </w:r>
      <w:r>
        <w:t>−2</w:t>
      </w:r>
      <w:r>
        <w:t xml:space="preserve"> </w:t>
      </w:r>
      <w:r>
        <w:t>. Our findings deepen the fundamental understanding of contact electrification by demonstrating that electron transfer—depending on the choice of materials—can indeed be its origin, and pave the way for the development of more efficient triboelectric devices.</w:t>
      </w:r>
    </w:p>
    <w:p>
      <w:pPr>
        <w:spacing w:before="120" w:after="120"/>
      </w:pPr>
      <w:r>
        <w:rPr>
          <w:sz w:val="18"/>
        </w:rPr>
        <w:t>——————————————————————————————————————————————————————————————————————</w:t>
      </w:r>
    </w:p>
    <w:p>
      <w:pPr>
        <w:spacing w:before="160" w:after="80" w:line="240" w:lineRule="auto"/>
      </w:pPr>
      <w:r>
        <w:rPr>
          <w:b/>
        </w:rPr>
        <w:t xml:space="preserve">[739] </w:t>
      </w:r>
      <w:hyperlink r:id="rId1349">
        <w:r>
          <w:rPr>
            <w:color w:val="1155CC"/>
            <w:u w:val="single"/>
          </w:rPr>
          <w:t>The Combination of Chiral Assembly and Chiral Template Effects Boosts Circularly Polarized Luminescence of Perovskite Nanocrystals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50">
        <w:r>
          <w:rPr>
            <w:color w:val="1155CC"/>
            <w:u w:val="single"/>
          </w:rPr>
          <w:t>10.1002/anie.202507812</w:t>
        </w:r>
      </w:hyperlink>
    </w:p>
    <w:p>
      <w:pPr>
        <w:spacing w:before="0" w:after="120"/>
      </w:pPr>
      <w:r>
        <w:rPr>
          <w:b/>
        </w:rPr>
        <w:t xml:space="preserve">Notes: </w:t>
      </w:r>
      <w:r>
        <w:t>abstract_source=crossref</w:t>
      </w:r>
    </w:p>
    <w:p>
      <w:pPr>
        <w:spacing w:before="0" w:after="200" w:lineRule="auto" w:line="276"/>
      </w:pPr>
      <w:r>
        <w:rPr>
          <w:b/>
        </w:rPr>
        <w:t xml:space="preserve">Abstract: </w:t>
      </w:r>
      <w:r>
        <w:t>Perovskite nanocrystals (PNCs) exhibiting circularly polarized luminescence (CPL) represent a promising class of materials for display and light communication technologies, owing to their emission covering the entire visible range with near‐unity photoluminescence efficiency. However, these materials suffer from low selectivity in the handedness of the emitted light, with most studies focusing on green emission. We address these issues by exploiting and broadening the scope of interactions between achiral PNCs and chiral organic templates. For this purpose, we select three types of PNCs with red, green, and blue emissions and introduce them into a chiral liquid‐crystalline matrix in the form of composite thin films. Electron microscopy confirmed the assembly of PNCs within nanoscale gaps formed by supramolecular, liquid crystalline structures. The obtained composites displayed a CPL dissymmetry factor</w:t>
      </w:r>
      <w:r>
        <w:t xml:space="preserve"> </w:t>
      </w:r>
      <w:r>
        <w:t>g</w:t>
      </w:r>
      <w:r>
        <w:t xml:space="preserve"> </w:t>
      </w:r>
      <w:r>
        <w:t>lum</w:t>
      </w:r>
      <w:r>
        <w:t xml:space="preserve"> </w:t>
      </w:r>
      <w:r>
        <w:t>up to ≈ 0.24. The highly dissymmetric CPL properties were found to result from an interplay between two effects:</w:t>
      </w:r>
      <w:r>
        <w:t xml:space="preserve"> </w:t>
      </w:r>
      <w:r>
        <w:t>chiral assembly</w:t>
      </w:r>
      <w:r>
        <w:t xml:space="preserve"> </w:t>
      </w:r>
      <w:r>
        <w:t>of PNCs within a chiral environment (intrinsic) and the</w:t>
      </w:r>
      <w:r>
        <w:t xml:space="preserve"> </w:t>
      </w:r>
      <w:r>
        <w:t>selective filtering</w:t>
      </w:r>
      <w:r>
        <w:t xml:space="preserve"> </w:t>
      </w:r>
      <w:r>
        <w:t>by the chiral matrix. This system enables control over the dominant factors by adjusting the CPL spectral region and type of particle assembly, providing thin film materials with highly dissymmetric and spectrally tunable CPL responses.</w:t>
      </w:r>
    </w:p>
    <w:p>
      <w:pPr>
        <w:spacing w:before="120" w:after="120"/>
      </w:pPr>
      <w:r>
        <w:rPr>
          <w:sz w:val="18"/>
        </w:rPr>
        <w:t>——————————————————————————————————————————————————————————————————————</w:t>
      </w:r>
    </w:p>
    <w:p>
      <w:pPr>
        <w:spacing w:before="160" w:after="80" w:line="240" w:lineRule="auto"/>
      </w:pPr>
      <w:r>
        <w:rPr>
          <w:b/>
        </w:rPr>
        <w:t xml:space="preserve">[740] </w:t>
      </w:r>
      <w:hyperlink r:id="rId1351">
        <w:r>
          <w:rPr>
            <w:color w:val="1155CC"/>
            <w:u w:val="single"/>
          </w:rPr>
          <w:t>Dynamics and Mechanism of Off‐ to On‐Switching in Dreiklang a Decoupled Reversibly Switchable Fluorescent Protein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52">
        <w:r>
          <w:rPr>
            <w:color w:val="1155CC"/>
            <w:u w:val="single"/>
          </w:rPr>
          <w:t>10.1002/anie.202518264</w:t>
        </w:r>
      </w:hyperlink>
    </w:p>
    <w:p>
      <w:pPr>
        <w:spacing w:before="0" w:after="120"/>
      </w:pPr>
      <w:r>
        <w:rPr>
          <w:b/>
        </w:rPr>
        <w:t xml:space="preserve">Notes: </w:t>
      </w:r>
      <w:r>
        <w:t>abstract_source=crossref</w:t>
      </w:r>
    </w:p>
    <w:p>
      <w:pPr>
        <w:spacing w:before="0" w:after="200" w:lineRule="auto" w:line="276"/>
      </w:pPr>
      <w:r>
        <w:rPr>
          <w:b/>
        </w:rPr>
        <w:t xml:space="preserve">Abstract: </w:t>
      </w:r>
      <w:r>
        <w:t>Dreiklang is a reversibly switchable (rs) fluorescent protein (FP) with a unique off‐state, a UV absorbing hydrated form of the typical FP chromophore. Here we report ultrafast dynamics of the off‐ to on‐state transition in Dreiklang using complementary ultrafast optical and vibrational transient absorption to resolve chromophore driven protein structural dynamics. This approach allows observation of the real‐time response in a protein to bond breaking and forming events. The excited electronic state decays in a nonsingle exponential fashion in tens to hundreds of picoseconds, undergoing photodehydration with a yield of several per‐cent. The primary photoproduct formed is identified as the cis protonated form of the FP chromophore, initially in a perturbed H‐bonded environment. This primary product relaxes on a few microseconds timescale by a mechanism involving changes to a glutamic acid residue and modifications of the amide backbone, possibly involving a carbonyl to imine tautomerization. The temporal and spectral resolution of Dreiklang's photodehydration provides data against which to test quantum chemical calculations of reaction dynamics in proteins and suggests a route to modifying and potentially enhancing its photoswitching properties.</w:t>
      </w:r>
    </w:p>
    <w:p>
      <w:pPr>
        <w:spacing w:before="120" w:after="120"/>
      </w:pPr>
      <w:r>
        <w:rPr>
          <w:sz w:val="18"/>
        </w:rPr>
        <w:t>——————————————————————————————————————————————————————————————————————</w:t>
      </w:r>
    </w:p>
    <w:p>
      <w:pPr>
        <w:spacing w:before="160" w:after="80" w:line="240" w:lineRule="auto"/>
      </w:pPr>
      <w:r>
        <w:rPr>
          <w:b/>
        </w:rPr>
        <w:t xml:space="preserve">[741] </w:t>
      </w:r>
      <w:hyperlink r:id="rId1353">
        <w:r>
          <w:rPr>
            <w:color w:val="1155CC"/>
            <w:u w:val="single"/>
          </w:rPr>
          <w:t>Stereodivergent Access to C‐N Atropisomers via Phosphonium Salt‐Enabled Desymmetrizing Remote Cyclization/Aromatization Cascade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54">
        <w:r>
          <w:rPr>
            <w:color w:val="1155CC"/>
            <w:u w:val="single"/>
          </w:rPr>
          <w:t>10.1002/anie.202518310</w:t>
        </w:r>
      </w:hyperlink>
    </w:p>
    <w:p>
      <w:pPr>
        <w:spacing w:before="0" w:after="120"/>
      </w:pPr>
      <w:r>
        <w:rPr>
          <w:b/>
        </w:rPr>
        <w:t xml:space="preserve">Notes: </w:t>
      </w:r>
      <w:r>
        <w:t>abstract_source=crossref</w:t>
      </w:r>
    </w:p>
    <w:p>
      <w:pPr>
        <w:spacing w:before="0" w:after="200" w:lineRule="auto" w:line="276"/>
      </w:pPr>
      <w:r>
        <w:rPr>
          <w:b/>
        </w:rPr>
        <w:t xml:space="preserve">Abstract: </w:t>
      </w:r>
      <w:r>
        <w:t>In this study, we describe a highly efficient organocatalytic enantiodivergent method for synthesizing C‐N axially chiral compounds via remote asymmetric cycloaddition/aromatization cascade. By leveraging formally remote stereocontrol from two classes of chiral phosphonium salts sharing identical stereogenic elements, prochiral</w:t>
      </w:r>
      <w:r>
        <w:t xml:space="preserve"> </w:t>
      </w:r>
      <w:r>
        <w:t>N</w:t>
      </w:r>
      <w:r>
        <w:t xml:space="preserve"> </w:t>
      </w:r>
      <w:r>
        <w:t>‐aryl maleimides undergo asymmetric formal [4 + 2] cycloaddition/aromatization in an atropodivergent manner, affording structurally diverse C‐N axially chiral products. This approach features broad substrate scope and enables practical, atom‐economical synthesis of both enantiomeric configurations of C‐N atropisomers under mild conditions, with high efficiency and excellent enantioselectivity. Notably, an unexpected synergistic desymmetrization/dynamic kinetic resolution process was observed in this transformation. Mechanistic studies elucidated the origin of stereochemical induction. Furthermore, the utility of enantioenriched products is demonstrated through downstream transformations and, specifically, in constructing circularly polarized luminescence (CPL)‐active C‐N axially chiral organic small molecules, which may hold significant potential for chiral optoelectronic applications.</w:t>
      </w:r>
    </w:p>
    <w:p>
      <w:pPr>
        <w:spacing w:before="120" w:after="120"/>
      </w:pPr>
      <w:r>
        <w:rPr>
          <w:sz w:val="18"/>
        </w:rPr>
        <w:t>——————————————————————————————————————————————————————————————————————</w:t>
      </w:r>
    </w:p>
    <w:p>
      <w:pPr>
        <w:spacing w:before="160" w:after="80" w:line="240" w:lineRule="auto"/>
      </w:pPr>
      <w:r>
        <w:rPr>
          <w:b/>
        </w:rPr>
        <w:t xml:space="preserve">[742] </w:t>
      </w:r>
      <w:hyperlink r:id="rId1355">
        <w:r>
          <w:rPr>
            <w:color w:val="1155CC"/>
            <w:u w:val="single"/>
          </w:rPr>
          <w:t>High‐Efficient Raman Enhancement on Organic Semiconductor‐Stabilized Perovskite Heterostructures for Guiding Early Theranostics of Alzheimer's Disease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56">
        <w:r>
          <w:rPr>
            <w:color w:val="1155CC"/>
            <w:u w:val="single"/>
          </w:rPr>
          <w:t>10.1002/anie.202518319</w:t>
        </w:r>
      </w:hyperlink>
    </w:p>
    <w:p>
      <w:pPr>
        <w:spacing w:before="0" w:after="120"/>
      </w:pPr>
      <w:r>
        <w:rPr>
          <w:b/>
        </w:rPr>
        <w:t xml:space="preserve">Notes: </w:t>
      </w:r>
      <w:r>
        <w:t>abstract_source=crossref</w:t>
      </w:r>
    </w:p>
    <w:p>
      <w:pPr>
        <w:spacing w:before="0" w:after="200" w:lineRule="auto" w:line="276"/>
      </w:pPr>
      <w:r>
        <w:rPr>
          <w:b/>
        </w:rPr>
        <w:t xml:space="preserve">Abstract: </w:t>
      </w:r>
      <w:r>
        <w:t>Perovskites have recently emerged as attractive optoelectronic semiconductors due to tunable bandgap, large absorption coefficient, and long carrier lifetime, making it ideal as a kind of chemical‐mechanism based surface‐enhanced Raman scattering (SERS) substrates. However, perovskites generally demonstrate poor stability at ambient conditions, limiting their applications for SERS bioanalysis. Herein, we created a perovskite‐based heterostructure through effectively passivating defects at the interface with hydrophobic organic semiconductors, which simultaneously enhanced the stability and efficiency of perovskite SERS substrate. The significant enhancement factor of 10</w:t>
      </w:r>
      <w:r>
        <w:rPr>
          <w:vertAlign w:val="subscript"/>
        </w:rPr>
        <w:t>7</w:t>
      </w:r>
      <w:r>
        <w:t>was mainly stemmed from the resonance Raman effect and the highly‐efficient charge transfer process driven by a novel light‐induced hot electron transfer mechanism in plasmon‐free substrates previously never reported. This system was subsequently developed as an integrated theranostic SERS platform for miR‐146a monitoring with a detection limit down to 0.2 fM, successfully guiding the early theranostics to enhance the therapeutic efficiency for Alzheimer's disease (AD). This work brings new light into the design of efficient and stable semiconductor SERS substrate and opens novel diagnosis and treatment options for AD.</w:t>
      </w:r>
    </w:p>
    <w:p>
      <w:pPr>
        <w:spacing w:before="120" w:after="120"/>
      </w:pPr>
      <w:r>
        <w:rPr>
          <w:sz w:val="18"/>
        </w:rPr>
        <w:t>——————————————————————————————————————————————————————————————————————</w:t>
      </w:r>
    </w:p>
    <w:p>
      <w:pPr>
        <w:spacing w:before="160" w:after="80" w:line="240" w:lineRule="auto"/>
      </w:pPr>
      <w:r>
        <w:rPr>
          <w:b/>
        </w:rPr>
        <w:t xml:space="preserve">[743] </w:t>
      </w:r>
      <w:hyperlink r:id="rId1357">
        <w:r>
          <w:rPr>
            <w:color w:val="1155CC"/>
            <w:u w:val="single"/>
          </w:rPr>
          <w:t>Two‐in‐One Strategy for Photoinduced Atom Transfer Radical Polymerization Using Cu(I)‐Phenothiazine Integrated Covalent 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58">
        <w:r>
          <w:rPr>
            <w:color w:val="1155CC"/>
            <w:u w:val="single"/>
          </w:rPr>
          <w:t>10.1002/anie.202518707</w:t>
        </w:r>
      </w:hyperlink>
    </w:p>
    <w:p>
      <w:pPr>
        <w:spacing w:before="0" w:after="120"/>
      </w:pPr>
      <w:r>
        <w:rPr>
          <w:b/>
        </w:rPr>
        <w:t xml:space="preserve">Notes: </w:t>
      </w:r>
      <w:r>
        <w:t>abstract_source=crossref</w:t>
      </w:r>
    </w:p>
    <w:p>
      <w:pPr>
        <w:spacing w:before="0" w:after="200" w:lineRule="auto" w:line="276"/>
      </w:pPr>
      <w:r>
        <w:rPr>
          <w:b/>
        </w:rPr>
        <w:t xml:space="preserve">Abstract: </w:t>
      </w:r>
      <w:r>
        <w:t>The concurrent development of innovative photocatalysts (PCs) that achieve fast reaction rates while ensuring efficient catalyst recycling remains a significant challenge for large‐scale polymer production. Herein, we present a “two‐in‐one” strategy that combines a photoactive component with a cyclic trinuclear Cu(I)‐incorporated triangular complex as the intrinsic copper source within three imine‐linked covalent organic frameworks (COFs). As‐synthesized photoactive Cu(I)‐containing COFs demonstrated exceptional performance in aqueous photoinduced atom transfer radical polymerization (photo‐ATRP), achieving a record‐breaking turnover number (TON) of 1640 and turnover frequency (TOF) of 82 min</w:t>
      </w:r>
      <w:r>
        <w:t xml:space="preserve"> </w:t>
      </w:r>
      <w:r>
        <w:t>−1</w:t>
      </w:r>
      <w:r>
        <w:t xml:space="preserve"> </w:t>
      </w:r>
      <w:r>
        <w:t>, while maintaining narrow polymer dispersity of 1.20. Such performance surpasses previously reported heterogeneous PCs designed for photo‐ATRP. Notably, the COF‐encapsulated “two‐in‐one” catalytic design endows the system with remarkable operational stability and near‐quantitative catalyst recovery. More importantly, such new COFs demonstrate outstanding process compatibility, enabling scalable production of well‐defined block copolymers in a single microreactor, without intermediate purification.</w:t>
      </w:r>
    </w:p>
    <w:p>
      <w:pPr>
        <w:spacing w:before="120" w:after="120"/>
      </w:pPr>
      <w:r>
        <w:rPr>
          <w:sz w:val="18"/>
        </w:rPr>
        <w:t>——————————————————————————————————————————————————————————————————————</w:t>
      </w:r>
    </w:p>
    <w:p>
      <w:pPr>
        <w:spacing w:before="160" w:after="80" w:line="240" w:lineRule="auto"/>
      </w:pPr>
      <w:r>
        <w:rPr>
          <w:b/>
        </w:rPr>
        <w:t xml:space="preserve">[744] </w:t>
      </w:r>
      <w:hyperlink r:id="rId1359">
        <w:r>
          <w:rPr>
            <w:color w:val="1155CC"/>
            <w:u w:val="single"/>
          </w:rPr>
          <w:t>Achieving Combined Photoluminescence and SHG in a New Polar Hybrid Glass‐Ceramic with Square‐Pyramidal [SbBr5] Units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60">
        <w:r>
          <w:rPr>
            <w:color w:val="1155CC"/>
            <w:u w:val="single"/>
          </w:rPr>
          <w:t>10.1002/anie.202518787</w:t>
        </w:r>
      </w:hyperlink>
    </w:p>
    <w:p>
      <w:pPr>
        <w:spacing w:before="0" w:after="120"/>
      </w:pPr>
      <w:r>
        <w:rPr>
          <w:b/>
        </w:rPr>
        <w:t xml:space="preserve">Notes: </w:t>
      </w:r>
      <w:r>
        <w:t>abstract_source=crossref</w:t>
      </w:r>
    </w:p>
    <w:p>
      <w:pPr>
        <w:spacing w:before="0" w:after="200" w:lineRule="auto" w:line="276"/>
      </w:pPr>
      <w:r>
        <w:rPr>
          <w:b/>
        </w:rPr>
        <w:t xml:space="preserve">Abstract: </w:t>
      </w:r>
      <w:r>
        <w:t>Hybrid glass‐ceramics have garnered extensive research interest due to their exceptional optical properties. Integrating luminescence and second harmonic generation (SHG) in hybrid glass‐ceramics is of particular interest for designing advanced devices, but is challenging owing to the lack of design principles. In this study, we present two textbook‐style comparative examples of hybrid antimony(III) bromides, (PPTPP)</w:t>
      </w:r>
      <w:r>
        <w:rPr>
          <w:vertAlign w:val="subscript"/>
        </w:rPr>
        <w:t>2</w:t>
      </w:r>
      <w:r>
        <w:t>[Sb</w:t>
      </w:r>
      <w:r>
        <w:rPr>
          <w:vertAlign w:val="subscript"/>
        </w:rPr>
        <w:t>2</w:t>
      </w:r>
      <w:r>
        <w:t>Br</w:t>
      </w:r>
      <w:r>
        <w:rPr>
          <w:vertAlign w:val="subscript"/>
        </w:rPr>
        <w:t>8</w:t>
      </w:r>
      <w:r>
        <w:t>] (</w:t>
      </w:r>
      <w:r>
        <w:rPr>
          <w:vertAlign w:val="subscript"/>
        </w:rPr>
        <w:t>1</w:t>
      </w:r>
      <w:r>
        <w:t>) and (PPTPP)</w:t>
      </w:r>
      <w:r>
        <w:rPr>
          <w:vertAlign w:val="subscript"/>
        </w:rPr>
        <w:t>2</w:t>
      </w:r>
      <w:r>
        <w:t>[SbBr</w:t>
      </w:r>
      <w:r>
        <w:rPr>
          <w:vertAlign w:val="subscript"/>
        </w:rPr>
        <w:t>5</w:t>
      </w:r>
      <w:r>
        <w:t>] (</w:t>
      </w:r>
      <w:r>
        <w:rPr>
          <w:vertAlign w:val="subscript"/>
        </w:rPr>
        <w:t>2</w:t>
      </w:r>
      <w:r>
        <w:t>), where PPTPP</w:t>
      </w:r>
      <w:r>
        <w:t xml:space="preserve"> </w:t>
      </w:r>
      <w:r>
        <w:t>+</w:t>
      </w:r>
      <w:r>
        <w:t xml:space="preserve"> </w:t>
      </w:r>
      <w:r>
        <w:t>= (3‐phenylpropyl)(triphenyl)phosphonium. Compound</w:t>
      </w:r>
      <w:r>
        <w:rPr>
          <w:vertAlign w:val="subscript"/>
        </w:rPr>
        <w:t>1</w:t>
      </w:r>
      <w:r>
        <w:t>with centrosymmetric seesaw [Sb</w:t>
      </w:r>
      <w:r>
        <w:rPr>
          <w:vertAlign w:val="subscript"/>
        </w:rPr>
        <w:t>2</w:t>
      </w:r>
      <w:r>
        <w:t>Br</w:t>
      </w:r>
      <w:r>
        <w:rPr>
          <w:vertAlign w:val="subscript"/>
        </w:rPr>
        <w:t>8</w:t>
      </w:r>
      <w:r>
        <w:t>] dimers crystallizes in</w:t>
      </w:r>
      <w:r>
        <w:t xml:space="preserve"> </w:t>
      </w:r>
      <w:r>
        <w:t>C</w:t>
      </w:r>
      <w:r>
        <w:t xml:space="preserve"> </w:t>
      </w:r>
      <w:r>
        <w:t>2/</w:t>
      </w:r>
      <w:r>
        <w:t>c</w:t>
      </w:r>
      <w:r>
        <w:t xml:space="preserve"> </w:t>
      </w:r>
      <w:r>
        <w:t>space group and is photoluminescently silent, whereas</w:t>
      </w:r>
      <w:r>
        <w:rPr>
          <w:vertAlign w:val="subscript"/>
        </w:rPr>
        <w:t>2</w:t>
      </w:r>
      <w:r>
        <w:t>with square‐pyramidal [SbBr</w:t>
      </w:r>
      <w:r>
        <w:rPr>
          <w:vertAlign w:val="subscript"/>
        </w:rPr>
        <w:t>5</w:t>
      </w:r>
      <w:r>
        <w:t>] monomers crystallizes in polar</w:t>
      </w:r>
      <w:r>
        <w:t xml:space="preserve"> </w:t>
      </w:r>
      <w:r>
        <w:t>P</w:t>
      </w:r>
      <w:r>
        <w:rPr>
          <w:vertAlign w:val="subscript"/>
        </w:rPr>
        <w:t>2</w:t>
      </w:r>
      <w:r>
        <w:rPr>
          <w:vertAlign w:val="subscript"/>
        </w:rPr>
        <w:t>1</w:t>
      </w:r>
      <w:r>
        <w:t>space group and exhibits photoluminescence under excitation at 416 nm. Both</w:t>
      </w:r>
      <w:r>
        <w:rPr>
          <w:vertAlign w:val="subscript"/>
        </w:rPr>
        <w:t>1</w:t>
      </w:r>
      <w:r>
        <w:t>and</w:t>
      </w:r>
      <w:r>
        <w:rPr>
          <w:vertAlign w:val="subscript"/>
        </w:rPr>
        <w:t>2</w:t>
      </w:r>
      <w:r>
        <w:t>have higher thermostability with decomposition temperatures of 552 K, and undergo crystal‐liquid‐glass transitions upon heating and natural cooling, with melting temperatures of 445 and 484 K and vitrification temperatures of 331 and 340 K, respectively. Notably, the glassy sample of</w:t>
      </w:r>
      <w:r>
        <w:rPr>
          <w:vertAlign w:val="subscript"/>
        </w:rPr>
        <w:t>2</w:t>
      </w:r>
      <w:r>
        <w:t>exhibits an onset recrystallization temperature of 383 K, enabling the facile fabrication of a polar glass‐ceramic (</w:t>
      </w:r>
      <w:r>
        <w:t xml:space="preserve"> </w:t>
      </w:r>
      <w:r>
        <w:t>2‐GC</w:t>
      </w:r>
      <w:r>
        <w:t xml:space="preserve"> </w:t>
      </w:r>
      <w:r>
        <w:t>) thin film under ambient conditions. Crucially,</w:t>
      </w:r>
      <w:r>
        <w:t xml:space="preserve"> </w:t>
      </w:r>
      <w:r>
        <w:t>2‐GC</w:t>
      </w:r>
      <w:r>
        <w:t xml:space="preserve"> </w:t>
      </w:r>
      <w:r>
        <w:t>present the first example of a hybrid glass‐ceramic system integrating luminescence (centered at 691 nm) and SHG (12.8 times stronger than that of its polycrystalline counterpart), pioneering an innovative route for designing multichannel materials.</w:t>
      </w:r>
    </w:p>
    <w:p>
      <w:pPr>
        <w:spacing w:before="120" w:after="120"/>
      </w:pPr>
      <w:r>
        <w:rPr>
          <w:sz w:val="18"/>
        </w:rPr>
        <w:t>——————————————————————————————————————————————————————————————————————</w:t>
      </w:r>
    </w:p>
    <w:p>
      <w:pPr>
        <w:spacing w:before="160" w:after="80" w:line="240" w:lineRule="auto"/>
      </w:pPr>
      <w:r>
        <w:rPr>
          <w:b/>
        </w:rPr>
        <w:t xml:space="preserve">[745] </w:t>
      </w:r>
      <w:hyperlink r:id="rId1361">
        <w:r>
          <w:rPr>
            <w:color w:val="1155CC"/>
            <w:u w:val="single"/>
          </w:rPr>
          <w:t>Genetic Encoding of Pentafluorophosphato‐Phenylalanine Provides PF5‐Proteins as Phosphoprotein Mimetics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62">
        <w:r>
          <w:rPr>
            <w:color w:val="1155CC"/>
            <w:u w:val="single"/>
          </w:rPr>
          <w:t>10.1002/anie.202518789</w:t>
        </w:r>
      </w:hyperlink>
    </w:p>
    <w:p>
      <w:pPr>
        <w:spacing w:before="0" w:after="120"/>
      </w:pPr>
      <w:r>
        <w:rPr>
          <w:b/>
        </w:rPr>
        <w:t xml:space="preserve">Notes: </w:t>
      </w:r>
      <w:r>
        <w:t>abstract_source=crossref</w:t>
      </w:r>
    </w:p>
    <w:p>
      <w:pPr>
        <w:spacing w:before="0" w:after="200" w:lineRule="auto" w:line="276"/>
      </w:pPr>
      <w:r>
        <w:rPr>
          <w:b/>
        </w:rPr>
        <w:t xml:space="preserve">Abstract: </w:t>
      </w:r>
      <w:r>
        <w:t>Protein phosphorylation is one of the most important posttranslational modifications altering the structure, stability, and activity of more than 13 000 human proteins. In this work, the phosphotyrosine mimetic pentafluorophosphato‐difluoromethyl‐phenylalanine (PF</w:t>
      </w:r>
      <w:r>
        <w:rPr>
          <w:vertAlign w:val="subscript"/>
        </w:rPr>
        <w:t>5</w:t>
      </w:r>
      <w:r>
        <w:t>CF</w:t>
      </w:r>
      <w:r>
        <w:rPr>
          <w:vertAlign w:val="subscript"/>
        </w:rPr>
        <w:t>2</w:t>
      </w:r>
      <w:r>
        <w:t>Phe) was genetically encoded and incorporated into three different proteins. Screening two libraries of orthogonal aminoacyl‐tRNA synthetases identified enzymes enabling the efficient and specific incorporation of PF</w:t>
      </w:r>
      <w:r>
        <w:rPr>
          <w:vertAlign w:val="subscript"/>
        </w:rPr>
        <w:t>5</w:t>
      </w:r>
      <w:r>
        <w:t>CF</w:t>
      </w:r>
      <w:r>
        <w:rPr>
          <w:vertAlign w:val="subscript"/>
        </w:rPr>
        <w:t>2</w:t>
      </w:r>
      <w:r>
        <w:t>Phe into red fluorescent protein (RFP) via amber stop codon suppression. Two model proteins, human ubiquitin (Ubq) and the B1 immunoglobulin‐binding domain of streptococcal protein G (GB1), were prepared with PF</w:t>
      </w:r>
      <w:r>
        <w:rPr>
          <w:vertAlign w:val="subscript"/>
        </w:rPr>
        <w:t>5</w:t>
      </w:r>
      <w:r>
        <w:t>CF</w:t>
      </w:r>
      <w:r>
        <w:rPr>
          <w:vertAlign w:val="subscript"/>
        </w:rPr>
        <w:t>2</w:t>
      </w:r>
      <w:r>
        <w:t>Phe mutations and investigated for potential interaction partners. While native GB1 showed no binding to protein tyrosine phosphatases (PTP), PF</w:t>
      </w:r>
      <w:r>
        <w:rPr>
          <w:vertAlign w:val="subscript"/>
        </w:rPr>
        <w:t>5</w:t>
      </w:r>
      <w:r>
        <w:t>‐GB1, with PF</w:t>
      </w:r>
      <w:r>
        <w:rPr>
          <w:vertAlign w:val="subscript"/>
        </w:rPr>
        <w:t>5</w:t>
      </w:r>
      <w:r>
        <w:t>CF</w:t>
      </w:r>
      <w:r>
        <w:rPr>
          <w:vertAlign w:val="subscript"/>
        </w:rPr>
        <w:t>2</w:t>
      </w:r>
      <w:r>
        <w:t>Phe at position 17, was a strong inhibitor of the phosphatases PTP1B and SHP2. PF</w:t>
      </w:r>
      <w:r>
        <w:rPr>
          <w:vertAlign w:val="subscript"/>
        </w:rPr>
        <w:t>5</w:t>
      </w:r>
      <w:r>
        <w:t>‐Ubq was produced and converted into the first example of a protein carrying the most prominent phosphotyrosine mimetic, phosphono‐difluoromethyl phenylalanine (PO</w:t>
      </w:r>
      <w:r>
        <w:rPr>
          <w:vertAlign w:val="subscript"/>
        </w:rPr>
        <w:t>3</w:t>
      </w:r>
      <w:r>
        <w:t>CF</w:t>
      </w:r>
      <w:r>
        <w:rPr>
          <w:vertAlign w:val="subscript"/>
        </w:rPr>
        <w:t>2</w:t>
      </w:r>
      <w:r>
        <w:t>Phe). With increasing need in the biosciences to delineate the functions of complex phosphorylation patterns, genetic encoding of PF</w:t>
      </w:r>
      <w:r>
        <w:rPr>
          <w:vertAlign w:val="subscript"/>
        </w:rPr>
        <w:t>5</w:t>
      </w:r>
      <w:r>
        <w:t>CF</w:t>
      </w:r>
      <w:r>
        <w:rPr>
          <w:vertAlign w:val="subscript"/>
        </w:rPr>
        <w:t>2</w:t>
      </w:r>
      <w:r>
        <w:t>Phe yielding phosphoprotein mimetics opens unique opportunities for precise functional studies where site‐specific and homogeneous protein modifications are required.</w:t>
      </w:r>
    </w:p>
    <w:p>
      <w:pPr>
        <w:spacing w:before="120" w:after="120"/>
      </w:pPr>
      <w:r>
        <w:rPr>
          <w:sz w:val="18"/>
        </w:rPr>
        <w:t>——————————————————————————————————————————————————————————————————————</w:t>
      </w:r>
    </w:p>
    <w:p>
      <w:pPr>
        <w:spacing w:before="160" w:after="80" w:line="240" w:lineRule="auto"/>
      </w:pPr>
      <w:r>
        <w:rPr>
          <w:b/>
        </w:rPr>
        <w:t xml:space="preserve">[746] </w:t>
      </w:r>
      <w:hyperlink r:id="rId1363">
        <w:r>
          <w:rPr>
            <w:color w:val="1155CC"/>
            <w:u w:val="single"/>
          </w:rPr>
          <w:t>Activate 1‐TM Channel of Disordered Rock Salts via Electrostatic Repulsion Regulation for Enhanced Lithium Storage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64">
        <w:r>
          <w:rPr>
            <w:color w:val="1155CC"/>
            <w:u w:val="single"/>
          </w:rPr>
          <w:t>10.1002/anie.202518797</w:t>
        </w:r>
      </w:hyperlink>
    </w:p>
    <w:p>
      <w:pPr>
        <w:spacing w:before="0" w:after="120"/>
      </w:pPr>
      <w:r>
        <w:rPr>
          <w:b/>
        </w:rPr>
        <w:t xml:space="preserve">Notes: </w:t>
      </w:r>
      <w:r>
        <w:t>abstract_source=crossref</w:t>
      </w:r>
    </w:p>
    <w:p>
      <w:pPr>
        <w:spacing w:before="0" w:after="200" w:lineRule="auto" w:line="276"/>
      </w:pPr>
      <w:r>
        <w:rPr>
          <w:b/>
        </w:rPr>
        <w:t xml:space="preserve">Abstract: </w:t>
      </w:r>
      <w:r>
        <w:t>Cation‐disordered rock‐salt (DRX) has emerged as a promising high‐capacity cathode material for next‐generation high‐energy‐density Li‐ion batteries. However, its practical deployment is hindered by intrinsic Li</w:t>
      </w:r>
      <w:r>
        <w:t xml:space="preserve"> </w:t>
      </w:r>
      <w:r>
        <w:t>+</w:t>
      </w:r>
      <w:r>
        <w:t xml:space="preserve"> </w:t>
      </w:r>
      <w:r>
        <w:t>diffusion mechanism, where only 0‐transition metal (0‐TM) channels permit feasible Li⁺ migration while 1‐TM and 2/3/4‐TM channels exhibit prohibitively high Li</w:t>
      </w:r>
      <w:r>
        <w:t xml:space="preserve"> </w:t>
      </w:r>
      <w:r>
        <w:t>+</w:t>
      </w:r>
      <w:r>
        <w:t xml:space="preserve"> </w:t>
      </w:r>
      <w:r>
        <w:t>diffusion energy barriers. Here, we leverage electrostatic repulsion regulation to activate the 1‐TM channel, which holds the highest potential for activation while constrained by restrictive tetrahedral site geometries, thereby introducing more Li</w:t>
      </w:r>
      <w:r>
        <w:t xml:space="preserve"> </w:t>
      </w:r>
      <w:r>
        <w:t>+</w:t>
      </w:r>
      <w:r>
        <w:t xml:space="preserve"> </w:t>
      </w:r>
      <w:r>
        <w:t>diffusion pathways and establishing a well‐connected percolating 3D Li</w:t>
      </w:r>
      <w:r>
        <w:t xml:space="preserve"> </w:t>
      </w:r>
      <w:r>
        <w:t>+</w:t>
      </w:r>
      <w:r>
        <w:t xml:space="preserve"> </w:t>
      </w:r>
      <w:r>
        <w:t>diffusion network within the DRX lattice to fundamentally addressing the kinetic limitations of DRX. Systematic investigations reveal that in the optimized sample, the tetrahedral height of 1‐TM channels increased significantly from 2.525 to 2.613 Å, concomitant with a volumetric expansion from 3.254 to 4.010 Å</w:t>
      </w:r>
      <w:r>
        <w:rPr>
          <w:vertAlign w:val="subscript"/>
        </w:rPr>
        <w:t>3</w:t>
      </w:r>
      <w:r>
        <w:t>, along with the Li</w:t>
      </w:r>
      <w:r>
        <w:t xml:space="preserve"> </w:t>
      </w:r>
      <w:r>
        <w:t>+</w:t>
      </w:r>
      <w:r>
        <w:t xml:space="preserve"> </w:t>
      </w:r>
      <w:r>
        <w:t>migration energy barrier significantly reduced from 1.48 to 0.26 eV. The enhanced Li</w:t>
      </w:r>
      <w:r>
        <w:t xml:space="preserve"> </w:t>
      </w:r>
      <w:r>
        <w:t>+</w:t>
      </w:r>
      <w:r>
        <w:t xml:space="preserve"> </w:t>
      </w:r>
      <w:r>
        <w:t>transport kinetics yield enhanced capacity (306 mAh g</w:t>
      </w:r>
      <w:r>
        <w:t xml:space="preserve"> </w:t>
      </w:r>
      <w:r>
        <w:t>−1</w:t>
      </w:r>
      <w:r>
        <w:t xml:space="preserve"> </w:t>
      </w:r>
      <w:r>
        <w:t>at 10 mA g</w:t>
      </w:r>
      <w:r>
        <w:t xml:space="preserve"> </w:t>
      </w:r>
      <w:r>
        <w:t>−1</w:t>
      </w:r>
      <w:r>
        <w:t xml:space="preserve"> </w:t>
      </w:r>
      <w:r>
        <w:t>), alongside superior rate capability (∼200 mAh g</w:t>
      </w:r>
      <w:r>
        <w:t xml:space="preserve"> </w:t>
      </w:r>
      <w:r>
        <w:t>−1</w:t>
      </w:r>
      <w:r>
        <w:t xml:space="preserve"> </w:t>
      </w:r>
      <w:r>
        <w:t>at 100 mA g</w:t>
      </w:r>
      <w:r>
        <w:t xml:space="preserve"> </w:t>
      </w:r>
      <w:r>
        <w:t>−1</w:t>
      </w:r>
      <w:r>
        <w:t xml:space="preserve"> </w:t>
      </w:r>
      <w:r>
        <w:t>). This work establishes a material design paradigm overcome transport bottlenecks in disordered cathode architectures.</w:t>
      </w:r>
    </w:p>
    <w:p>
      <w:pPr>
        <w:spacing w:before="120" w:after="120"/>
      </w:pPr>
      <w:r>
        <w:rPr>
          <w:sz w:val="18"/>
        </w:rPr>
        <w:t>——————————————————————————————————————————————————————————————————————</w:t>
      </w:r>
    </w:p>
    <w:p>
      <w:pPr>
        <w:spacing w:before="160" w:after="80" w:line="240" w:lineRule="auto"/>
      </w:pPr>
      <w:r>
        <w:rPr>
          <w:b/>
        </w:rPr>
        <w:t xml:space="preserve">[747] </w:t>
      </w:r>
      <w:hyperlink r:id="rId1365">
        <w:r>
          <w:rPr>
            <w:color w:val="1155CC"/>
            <w:u w:val="single"/>
          </w:rPr>
          <w:t>Iridium Porphyrin‐Catalyzed Asymmetric Rearrangement of Oxindoles with Aryl Diazoesters: Enantioselective Synthesis of Chiral Tertiary 2‐Indolyl Alcohols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66">
        <w:r>
          <w:rPr>
            <w:color w:val="1155CC"/>
            <w:u w:val="single"/>
          </w:rPr>
          <w:t>10.1002/anie.202519102</w:t>
        </w:r>
      </w:hyperlink>
    </w:p>
    <w:p>
      <w:pPr>
        <w:spacing w:before="0" w:after="120"/>
      </w:pPr>
      <w:r>
        <w:rPr>
          <w:b/>
        </w:rPr>
        <w:t xml:space="preserve">Notes: </w:t>
      </w:r>
      <w:r>
        <w:t>abstract_source=crossref</w:t>
      </w:r>
    </w:p>
    <w:p>
      <w:pPr>
        <w:spacing w:before="0" w:after="200" w:lineRule="auto" w:line="276"/>
      </w:pPr>
      <w:r>
        <w:rPr>
          <w:b/>
        </w:rPr>
        <w:t xml:space="preserve">Abstract: </w:t>
      </w:r>
      <w:r>
        <w:t>The asymmetric functionalization of indoles at the C2 position to afford chiral tertiary alcohols poses a formidable challenge in organic synthesis, primarily due to the inherent preference for C3 reactivity. Herein, we report the asymmetric generation and transformation of carbonyl ylides from oxindoles using a β‐aryl axially chiral iridium porphyrin complex. This system enables a highly site‐selective and enantioselective reaction between oxindoles and aryl diazoesters, involving enantioselective carbonyl ylide formation, tandem epoxidation, and rearrangement. The process efficiently provides a series of chiral tertiary 2‐indolyl alcohols that are difficult to access via direct Friedel–Crafts alkylation of indoles.</w:t>
      </w:r>
    </w:p>
    <w:p>
      <w:pPr>
        <w:spacing w:before="120" w:after="120"/>
      </w:pPr>
      <w:r>
        <w:rPr>
          <w:sz w:val="18"/>
        </w:rPr>
        <w:t>——————————————————————————————————————————————————————————————————————</w:t>
      </w:r>
    </w:p>
    <w:p>
      <w:pPr>
        <w:spacing w:before="160" w:after="80" w:line="240" w:lineRule="auto"/>
      </w:pPr>
      <w:r>
        <w:rPr>
          <w:b/>
        </w:rPr>
        <w:t xml:space="preserve">[748] </w:t>
      </w:r>
      <w:hyperlink r:id="rId1367">
        <w:r>
          <w:rPr>
            <w:color w:val="1155CC"/>
            <w:u w:val="single"/>
          </w:rPr>
          <w:t>Acinetobacter baumannii α2–6‐Legionaminyltransferase‐Catalyzed Synthesis Reveals Legionaminic Acid Form Selectivity by Antibodies in Pooled Human IgGs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1368">
        <w:r>
          <w:rPr>
            <w:color w:val="1155CC"/>
            <w:u w:val="single"/>
          </w:rPr>
          <w:t>10.1002/anie.202519750</w:t>
        </w:r>
      </w:hyperlink>
    </w:p>
    <w:p>
      <w:pPr>
        <w:spacing w:before="0" w:after="120"/>
      </w:pPr>
      <w:r>
        <w:rPr>
          <w:b/>
        </w:rPr>
        <w:t xml:space="preserve">Notes: </w:t>
      </w:r>
      <w:r>
        <w:t>abstract_source=crossref</w:t>
      </w:r>
    </w:p>
    <w:p>
      <w:pPr>
        <w:spacing w:before="0" w:after="200" w:lineRule="auto" w:line="276"/>
      </w:pPr>
      <w:r>
        <w:rPr>
          <w:b/>
        </w:rPr>
        <w:t xml:space="preserve">Abstract: </w:t>
      </w:r>
      <w:r>
        <w:t>Legionaminic acids (Legs) are prokaryote‐specific nine‐carbon acidic monosaccharides belonging to the nonulosonic acid (NulO) family. Various Leg forms are found in the polysaccharides or glycoproteins produced by numerous pathogenic bacteria, including capsular polysaccharides of carbapenem‐resistant</w:t>
      </w:r>
      <w:r>
        <w:t xml:space="preserve"> </w:t>
      </w:r>
      <w:r>
        <w:t>Acinetobacter baumannii</w:t>
      </w:r>
      <w:r>
        <w:t xml:space="preserve"> </w:t>
      </w:r>
      <w:r>
        <w:t>. Hypothetic legionaminyltransferases have been predicted from gene sequences but none has been biochemically validated. In this study we report the first biochemical characterization of a legionaminyltransferase. We demonstrate that AbGtr18 from an</w:t>
      </w:r>
      <w:r>
        <w:t xml:space="preserve"> </w:t>
      </w:r>
      <w:r>
        <w:t>A. baumannii</w:t>
      </w:r>
      <w:r>
        <w:t xml:space="preserve"> </w:t>
      </w:r>
      <w:r>
        <w:t>K8 strain is a donor promiscuous α2–6‐legionaminyltransferase selective for α‐</w:t>
      </w:r>
      <w:r>
        <w:t xml:space="preserve"> </w:t>
      </w:r>
      <w:r>
        <w:t>N</w:t>
      </w:r>
      <w:r>
        <w:t xml:space="preserve"> </w:t>
      </w:r>
      <w:r>
        <w:t>‐acetylgalactosamine‐glycoside (GalNAcαOR) acceptors. In addition, streamlined chemical synthetic routes, including regio‐selective triflylation and azide substitution processes, were developed to prepare precursors or chemoenzymatic synthons of various forms of Legs. Applying the novel α2–6‐legionaminyltransferase AbGtr18 in one‐pot multienzyme (OPME) synthesis with or without additional chemical derivatization enabled rapid construction of a focused library of NulO‐glycosides (NulOα2–6GalNAcαOR) containing nine NulO forms. Binding and inhibition studies with these compounds revealed selective Leg forms recognized by the antibodies in the pooled human immunoglobulin (IgGs), reflecting natural occurrence of these Leg forms and indicating their prior encounters by human immune systems. AbGtr18 thus emerges as both a potential target for antibiotic development and a powerful biocatalyst for accessing synthetically challenging NulO‐glycosides with therapeutical potentials.</w:t>
      </w:r>
    </w:p>
    <w:p>
      <w:pPr>
        <w:spacing w:before="120" w:after="120"/>
      </w:pPr>
      <w:r>
        <w:rPr>
          <w:sz w:val="18"/>
        </w:rPr>
        <w:t>——————————————————————————————————————————————————————————————————————</w:t>
      </w:r>
    </w:p>
    <w:p>
      <w:pPr>
        <w:spacing w:before="160" w:after="80" w:line="240" w:lineRule="auto"/>
      </w:pPr>
      <w:r>
        <w:rPr>
          <w:b/>
        </w:rPr>
        <w:t xml:space="preserve">[749] </w:t>
      </w:r>
      <w:hyperlink r:id="rId1369">
        <w:r>
          <w:rPr>
            <w:color w:val="1155CC"/>
            <w:u w:val="single"/>
          </w:rPr>
          <w:t>[ASAP] Computation-Guided Placement of Nonfullerene Acceptor Core Halogenation for High-Performance Organic Solar Cells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2026-01-03 14:07:11+00:00</w:t>
      </w:r>
      <w:r>
        <w:t xml:space="preserve">    </w:t>
      </w:r>
      <w:r>
        <w:rPr>
          <w:b/>
        </w:rPr>
        <w:t xml:space="preserve">DOI: </w:t>
      </w:r>
      <w:hyperlink r:id="rId1370">
        <w:r>
          <w:rPr>
            <w:color w:val="1155CC"/>
            <w:u w:val="single"/>
          </w:rPr>
          <w:t>10.1021/jacs.5c16058</w:t>
        </w:r>
      </w:hyperlink>
    </w:p>
    <w:p>
      <w:pPr>
        <w:spacing w:before="0" w:after="120"/>
      </w:pPr>
      <w:r>
        <w:rPr>
          <w:b/>
        </w:rPr>
        <w:t xml:space="preserve">Notes: </w:t>
      </w:r>
      <w:r>
        <w:t>abstract_source=pubmed</w:t>
      </w:r>
    </w:p>
    <w:p>
      <w:pPr>
        <w:spacing w:before="0" w:after="200" w:lineRule="auto" w:line="276"/>
      </w:pPr>
      <w:r>
        <w:rPr>
          <w:b/>
        </w:rPr>
        <w:t xml:space="preserve">Abstract: </w:t>
      </w:r>
      <w:r>
        <w:t>The strategic molecular design of nonfullerene acceptors (NFAs) plays a crucial role in enhancing the efficiency of organic solar cells (OSCs). Here, working from first-principles theoretical computation, we report a new series of quinoxaline-based NFAs (Qx-PhHal, where Hal = F, Cl, or Br) with varying halogen substitution on the central acceptor core of the molecules to investigate their impact on OSC performance. Notably, OSCs incorporating the brominated NFA demonstrate a significantly higher power conversion efficiency (PCE = 17.58%) than those with fluorinated or chlorinated NFAs (∼14%). Theoretical and experimental analyses reveal that bromination enhances electrostatic interactions, donor-acceptor miscibility, crystallinity, and fibrillar film morphology versus the other halogenated NFAs, thereby enhancing exciton dissociation efficiency, more balanced hole/electron mobility, and reduced exciton recombination rates in the corresponding OSCs. Additionally, ternary solar cells incorporating the brominated NFA as the third component achieve a very high PCE of 20.14%. These findings provide valuable insights into the molecular design of future high-performance NFAs for OSC applications.</w:t>
      </w:r>
    </w:p>
    <w:p>
      <w:pPr>
        <w:spacing w:before="120" w:after="120"/>
      </w:pPr>
      <w:r>
        <w:rPr>
          <w:sz w:val="18"/>
        </w:rPr>
        <w:t>——————————————————————————————————————————————————————————————————————</w:t>
      </w:r>
    </w:p>
    <w:p>
      <w:pPr>
        <w:spacing w:before="160" w:after="80" w:line="240" w:lineRule="auto"/>
      </w:pPr>
      <w:r>
        <w:rPr>
          <w:b/>
        </w:rPr>
        <w:t xml:space="preserve">[750] </w:t>
      </w:r>
      <w:hyperlink r:id="rId1371">
        <w:r>
          <w:rPr>
            <w:color w:val="1155CC"/>
            <w:u w:val="single"/>
          </w:rPr>
          <w:t>Author Correction: Repulsions instruct synaptic partner matching in an olfactory circuit</w:t>
        </w:r>
      </w:hyperlink>
    </w:p>
    <w:p>
      <w:pPr>
        <w:spacing w:before="0" w:after="120" w:line="240" w:lineRule="auto"/>
      </w:pPr>
      <w:r>
        <w:rPr>
          <w:b/>
        </w:rPr>
        <w:t xml:space="preserve">Source: </w:t>
      </w:r>
      <w:r>
        <w:t>Nature</w:t>
      </w:r>
      <w:r>
        <w:t xml:space="preserve">    </w:t>
      </w:r>
      <w:r>
        <w:rPr>
          <w:b/>
        </w:rPr>
        <w:t xml:space="preserve">Pub date: </w:t>
      </w:r>
      <w:r>
        <w:t>2026-01-04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[751] </w:t>
      </w:r>
      <w:hyperlink r:id="rId1372">
        <w:r>
          <w:rPr>
            <w:color w:val="1155CC"/>
            <w:u w:val="single"/>
          </w:rPr>
          <w:t>Inertia estimation for power grids: A review of methods, challenges, and future prospects</w:t>
        </w:r>
      </w:hyperlink>
    </w:p>
    <w:p>
      <w:pPr>
        <w:spacing w:before="0" w:after="120" w:line="240" w:lineRule="auto"/>
      </w:pPr>
      <w:r>
        <w:rPr>
          <w:b/>
        </w:rPr>
        <w:t xml:space="preserve">Source: </w:t>
      </w:r>
      <w:r>
        <w:t>ScienceDirect Publication: Applied Energy</w:t>
      </w:r>
      <w:r>
        <w:t xml:space="preserve">    </w:t>
      </w:r>
      <w:r>
        <w:rPr>
          <w:b/>
        </w:rPr>
        <w:t xml:space="preserve">Pub date: </w:t>
      </w:r>
      <w:r>
        <w:t>2026-01-04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[752] </w:t>
      </w:r>
      <w:hyperlink r:id="rId1373">
        <w:r>
          <w:rPr>
            <w:color w:val="1155CC"/>
            <w:u w:val="single"/>
          </w:rPr>
          <w:t>Adaptive home energy management based on PI-DRA-PPO for integrated electricity, hydrogen, and heat storage systems</w:t>
        </w:r>
      </w:hyperlink>
    </w:p>
    <w:p>
      <w:pPr>
        <w:spacing w:before="0" w:after="120" w:line="240" w:lineRule="auto"/>
      </w:pPr>
      <w:r>
        <w:rPr>
          <w:b/>
        </w:rPr>
        <w:t xml:space="preserve">Source: </w:t>
      </w:r>
      <w:r>
        <w:t>ScienceDirect Publication: Applied Energy</w:t>
      </w:r>
      <w:r>
        <w:t xml:space="preserve">    </w:t>
      </w:r>
      <w:r>
        <w:rPr>
          <w:b/>
        </w:rPr>
        <w:t xml:space="preserve">Pub date: </w:t>
      </w:r>
      <w:r>
        <w:t>2026-01-04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[753] </w:t>
      </w:r>
      <w:hyperlink r:id="rId1374">
        <w:r>
          <w:rPr>
            <w:color w:val="1155CC"/>
            <w:u w:val="single"/>
          </w:rPr>
          <w:t>Author Correction: Rewiring an olfactory circuit by altering cell-surface combinatorial code</w:t>
        </w:r>
      </w:hyperlink>
    </w:p>
    <w:p>
      <w:pPr>
        <w:spacing w:before="0" w:after="120" w:line="240" w:lineRule="auto"/>
      </w:pPr>
      <w:r>
        <w:rPr>
          <w:b/>
        </w:rPr>
        <w:t xml:space="preserve">Source: </w:t>
      </w:r>
      <w:r>
        <w:t>Nature</w:t>
      </w:r>
      <w:r>
        <w:t xml:space="preserve">    </w:t>
      </w:r>
      <w:r>
        <w:rPr>
          <w:b/>
        </w:rPr>
        <w:t xml:space="preserve">Pub date: </w:t>
      </w:r>
      <w:r>
        <w:t>2026-01-04 00:00:00+00:00</w:t>
      </w:r>
    </w:p>
    <w:p>
      <w:pPr>
        <w:spacing w:before="0" w:after="200" w:lineRule="auto" w:line="276"/>
      </w:pPr>
      <w:r>
        <w:rPr>
          <w:b/>
        </w:rPr>
        <w:t xml:space="preserve">Abstract: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ell.com/one-earth/fulltext/S2590-3322(25)00387-2?rss=yes" TargetMode="External"/><Relationship Id="rId10" Type="http://schemas.openxmlformats.org/officeDocument/2006/relationships/hyperlink" Target="https://www.nature.com/articles/s41565-025-02072-2" TargetMode="External"/><Relationship Id="rId11" Type="http://schemas.openxmlformats.org/officeDocument/2006/relationships/hyperlink" Target="https://www.nature.com/articles/s41565-025-02062-4" TargetMode="External"/><Relationship Id="rId12" Type="http://schemas.openxmlformats.org/officeDocument/2006/relationships/hyperlink" Target="https://www.nature.com/articles/s41565-025-02053-5" TargetMode="External"/><Relationship Id="rId13" Type="http://schemas.openxmlformats.org/officeDocument/2006/relationships/hyperlink" Target="https://www.nature.com/articles/s41467-025-68065-w" TargetMode="External"/><Relationship Id="rId14" Type="http://schemas.openxmlformats.org/officeDocument/2006/relationships/hyperlink" Target="https://www.nature.com/articles/s41467-025-68025-4" TargetMode="External"/><Relationship Id="rId15" Type="http://schemas.openxmlformats.org/officeDocument/2006/relationships/hyperlink" Target="https://www.nature.com/articles/s41467-025-67883-2" TargetMode="External"/><Relationship Id="rId16" Type="http://schemas.openxmlformats.org/officeDocument/2006/relationships/hyperlink" Target="https://www.sciencedirect.com/science/article/pii/S0306261925020124?dgcid=rss_sd_all" TargetMode="External"/><Relationship Id="rId17" Type="http://schemas.openxmlformats.org/officeDocument/2006/relationships/hyperlink" Target="https://www.sciencedirect.com/science/article/pii/S0306261925020112?dgcid=rss_sd_all" TargetMode="External"/><Relationship Id="rId18" Type="http://schemas.openxmlformats.org/officeDocument/2006/relationships/hyperlink" Target="https://www.sciencedirect.com/science/article/pii/S0306261925020100?dgcid=rss_sd_all" TargetMode="External"/><Relationship Id="rId19" Type="http://schemas.openxmlformats.org/officeDocument/2006/relationships/hyperlink" Target="https://www.sciencedirect.com/science/article/pii/S0301421525005166?dgcid=rss_sd_all" TargetMode="External"/><Relationship Id="rId20" Type="http://schemas.openxmlformats.org/officeDocument/2006/relationships/hyperlink" Target="https://www.sciencedirect.com/science/article/pii/S0306261925020082?dgcid=rss_sd_all" TargetMode="External"/><Relationship Id="rId21" Type="http://schemas.openxmlformats.org/officeDocument/2006/relationships/hyperlink" Target="https://www.nature.com/articles/s41467-025-67857-4" TargetMode="External"/><Relationship Id="rId22" Type="http://schemas.openxmlformats.org/officeDocument/2006/relationships/hyperlink" Target="https://www.nature.com/articles/s41467-025-67772-8" TargetMode="External"/><Relationship Id="rId23" Type="http://schemas.openxmlformats.org/officeDocument/2006/relationships/hyperlink" Target="https://www.nature.com/articles/s41467-025-67697-2" TargetMode="External"/><Relationship Id="rId24" Type="http://schemas.openxmlformats.org/officeDocument/2006/relationships/hyperlink" Target="https://www.nature.com/articles/s41467-025-67629-0" TargetMode="External"/><Relationship Id="rId25" Type="http://schemas.openxmlformats.org/officeDocument/2006/relationships/hyperlink" Target="https://www.sciencedirect.com/science/article/pii/S0306261925020070?dgcid=rss_sd_all" TargetMode="External"/><Relationship Id="rId26" Type="http://schemas.openxmlformats.org/officeDocument/2006/relationships/hyperlink" Target="https://www.sciencedirect.com/science/article/pii/S0301421525005567?dgcid=rss_sd_all" TargetMode="External"/><Relationship Id="rId27" Type="http://schemas.openxmlformats.org/officeDocument/2006/relationships/hyperlink" Target="https://www.nature.com/articles/d41586-025-04120-2" TargetMode="External"/><Relationship Id="rId28" Type="http://schemas.openxmlformats.org/officeDocument/2006/relationships/hyperlink" Target="https://www.nature.com/articles/d41586-025-04103-3" TargetMode="External"/><Relationship Id="rId29" Type="http://schemas.openxmlformats.org/officeDocument/2006/relationships/hyperlink" Target="https://www.nature.com/articles/d41586-025-03989-3" TargetMode="External"/><Relationship Id="rId30" Type="http://schemas.openxmlformats.org/officeDocument/2006/relationships/hyperlink" Target="https://www.nature.com/articles/d41586-025-04026-z" TargetMode="External"/><Relationship Id="rId31" Type="http://schemas.openxmlformats.org/officeDocument/2006/relationships/hyperlink" Target="https://www.sciencedirect.com/science/article/pii/S0306261925020008?dgcid=rss_sd_all" TargetMode="External"/><Relationship Id="rId32" Type="http://schemas.openxmlformats.org/officeDocument/2006/relationships/hyperlink" Target="https://www.nature.com/articles/d41586-025-04099-w" TargetMode="External"/><Relationship Id="rId33" Type="http://schemas.openxmlformats.org/officeDocument/2006/relationships/hyperlink" Target="https://www.sciencedirect.com/science/article/pii/S0306261925019968?dgcid=rss_sd_all" TargetMode="External"/><Relationship Id="rId34" Type="http://schemas.openxmlformats.org/officeDocument/2006/relationships/hyperlink" Target="https://www.nature.com/articles/d41586-025-04100-6" TargetMode="External"/><Relationship Id="rId35" Type="http://schemas.openxmlformats.org/officeDocument/2006/relationships/hyperlink" Target="https://www.sciencedirect.com/science/article/pii/S0306261925020264?dgcid=rss_sd_all" TargetMode="External"/><Relationship Id="rId36" Type="http://schemas.openxmlformats.org/officeDocument/2006/relationships/hyperlink" Target="https://www.sciencedirect.com/science/article/pii/S0306261925020276?dgcid=rss_sd_all" TargetMode="External"/><Relationship Id="rId37" Type="http://schemas.openxmlformats.org/officeDocument/2006/relationships/hyperlink" Target="https://www.sciencedirect.com/science/article/pii/S0306261925019403?dgcid=rss_sd_all" TargetMode="External"/><Relationship Id="rId38" Type="http://schemas.openxmlformats.org/officeDocument/2006/relationships/hyperlink" Target="https://www.nature.com/articles/s41565-025-02074-0" TargetMode="External"/><Relationship Id="rId39" Type="http://schemas.openxmlformats.org/officeDocument/2006/relationships/hyperlink" Target="https://www.sciencedirect.com/science/article/pii/S0306261925020641?dgcid=rss_sd_all" TargetMode="External"/><Relationship Id="rId40" Type="http://schemas.openxmlformats.org/officeDocument/2006/relationships/hyperlink" Target="https://www.sciencedirect.com/science/article/pii/S0306261925019907?dgcid=rss_sd_all" TargetMode="External"/><Relationship Id="rId41" Type="http://schemas.openxmlformats.org/officeDocument/2006/relationships/hyperlink" Target="https://academic.oup.com/nsr/advance-article/doi/10.1093/nsr/nwaf592/8407240?rss=1" TargetMode="External"/><Relationship Id="rId42" Type="http://schemas.openxmlformats.org/officeDocument/2006/relationships/hyperlink" Target="https://doi.org/10.1093/nsr/nwaf592/8407240" TargetMode="External"/><Relationship Id="rId43" Type="http://schemas.openxmlformats.org/officeDocument/2006/relationships/hyperlink" Target="https://academic.oup.com/nsr/advance-article/doi/10.1093/nsr/nwaf589/8407247?rss=1" TargetMode="External"/><Relationship Id="rId44" Type="http://schemas.openxmlformats.org/officeDocument/2006/relationships/hyperlink" Target="https://doi.org/10.1093/nsr/nwaf589/8407247" TargetMode="External"/><Relationship Id="rId45" Type="http://schemas.openxmlformats.org/officeDocument/2006/relationships/hyperlink" Target="http://pubs.rsc.org/en/Content/ArticleLanding/2026/EE/D5EE06488K" TargetMode="External"/><Relationship Id="rId46" Type="http://schemas.openxmlformats.org/officeDocument/2006/relationships/hyperlink" Target="https://www.sciencedirect.com/science/article/pii/S136970212500536X?dgcid=rss_sd_all" TargetMode="External"/><Relationship Id="rId47" Type="http://schemas.openxmlformats.org/officeDocument/2006/relationships/hyperlink" Target="https://www.sciencedirect.com/science/article/pii/S0306261925020380?dgcid=rss_sd_all" TargetMode="External"/><Relationship Id="rId48" Type="http://schemas.openxmlformats.org/officeDocument/2006/relationships/hyperlink" Target="https://www.sciencedirect.com/science/article/pii/S0306261925020367?dgcid=rss_sd_all" TargetMode="External"/><Relationship Id="rId49" Type="http://schemas.openxmlformats.org/officeDocument/2006/relationships/hyperlink" Target="https://www.sciencedirect.com/science/article/pii/S1369702125005504?dgcid=rss_sd_all" TargetMode="External"/><Relationship Id="rId50" Type="http://schemas.openxmlformats.org/officeDocument/2006/relationships/hyperlink" Target="http://pubs.rsc.org/en/Content/ArticleLanding/2026/EE/D5EE05398F" TargetMode="External"/><Relationship Id="rId51" Type="http://schemas.openxmlformats.org/officeDocument/2006/relationships/hyperlink" Target="https://www.sciencedirect.com/science/article/pii/S1369702125005541?dgcid=rss_sd_all" TargetMode="External"/><Relationship Id="rId52" Type="http://schemas.openxmlformats.org/officeDocument/2006/relationships/hyperlink" Target="https://www.sciencedirect.com/science/article/pii/S030626192502032X?dgcid=rss_sd_all" TargetMode="External"/><Relationship Id="rId53" Type="http://schemas.openxmlformats.org/officeDocument/2006/relationships/hyperlink" Target="https://www.sciencedirect.com/science/article/pii/S0306261925020306?dgcid=rss_sd_all" TargetMode="External"/><Relationship Id="rId54" Type="http://schemas.openxmlformats.org/officeDocument/2006/relationships/hyperlink" Target="https://www.nature.com/articles/s41893-025-01716-4" TargetMode="External"/><Relationship Id="rId55" Type="http://schemas.openxmlformats.org/officeDocument/2006/relationships/hyperlink" Target="https://www.nature.com/articles/s41893-025-01715-5" TargetMode="External"/><Relationship Id="rId56" Type="http://schemas.openxmlformats.org/officeDocument/2006/relationships/hyperlink" Target="https://www.sciencedirect.com/science/article/pii/S0306261925020598?dgcid=rss_sd_all" TargetMode="External"/><Relationship Id="rId57" Type="http://schemas.openxmlformats.org/officeDocument/2006/relationships/hyperlink" Target="https://www.sciencedirect.com/science/article/pii/S0306261925020616?dgcid=rss_sd_all" TargetMode="External"/><Relationship Id="rId58" Type="http://schemas.openxmlformats.org/officeDocument/2006/relationships/hyperlink" Target="https://advanced.onlinelibrary.wiley.com/doi/10.1002/adma.202516221?af=R" TargetMode="External"/><Relationship Id="rId59" Type="http://schemas.openxmlformats.org/officeDocument/2006/relationships/hyperlink" Target="https://doi.org/10.1002/adma.202516221" TargetMode="External"/><Relationship Id="rId60" Type="http://schemas.openxmlformats.org/officeDocument/2006/relationships/hyperlink" Target="https://advanced.onlinelibrary.wiley.com/doi/10.1002/adma.202519418?af=R" TargetMode="External"/><Relationship Id="rId61" Type="http://schemas.openxmlformats.org/officeDocument/2006/relationships/hyperlink" Target="https://doi.org/10.1002/adma.202519418" TargetMode="External"/><Relationship Id="rId62" Type="http://schemas.openxmlformats.org/officeDocument/2006/relationships/hyperlink" Target="https://www.pnas.org/doi/abs/10.1073/pnas.2509560123?mi=eymic2&amp;af=R&amp;access=on&amp;content=articlesChapters&amp;publication=pnas&amp;sortBy=Earliest&amp;target=default" TargetMode="External"/><Relationship Id="rId63" Type="http://schemas.openxmlformats.org/officeDocument/2006/relationships/hyperlink" Target="https://doi.org/10.1073/pnas.2509560123" TargetMode="External"/><Relationship Id="rId64" Type="http://schemas.openxmlformats.org/officeDocument/2006/relationships/hyperlink" Target="https://www.pnas.org/doi/abs/10.1073/pnas.2520855122?mi=eymic2&amp;af=R&amp;access=on&amp;content=articlesChapters&amp;publication=pnas&amp;sortBy=Earliest&amp;target=default" TargetMode="External"/><Relationship Id="rId65" Type="http://schemas.openxmlformats.org/officeDocument/2006/relationships/hyperlink" Target="https://doi.org/10.1073/pnas.2520855122" TargetMode="External"/><Relationship Id="rId66" Type="http://schemas.openxmlformats.org/officeDocument/2006/relationships/hyperlink" Target="https://www.pnas.org/doi/abs/10.1073/pnas.2517995123?mi=eymic2&amp;af=R&amp;access=on&amp;content=articlesChapters&amp;publication=pnas&amp;sortBy=Earliest&amp;target=default" TargetMode="External"/><Relationship Id="rId67" Type="http://schemas.openxmlformats.org/officeDocument/2006/relationships/hyperlink" Target="https://doi.org/10.1073/pnas.2517995123" TargetMode="External"/><Relationship Id="rId68" Type="http://schemas.openxmlformats.org/officeDocument/2006/relationships/hyperlink" Target="https://www.pnas.org/doi/abs/10.1073/pnas.2517547123?mi=eymic2&amp;af=R&amp;access=on&amp;content=articlesChapters&amp;publication=pnas&amp;sortBy=Earliest&amp;target=default" TargetMode="External"/><Relationship Id="rId69" Type="http://schemas.openxmlformats.org/officeDocument/2006/relationships/hyperlink" Target="https://doi.org/10.1073/pnas.2517547123" TargetMode="External"/><Relationship Id="rId70" Type="http://schemas.openxmlformats.org/officeDocument/2006/relationships/hyperlink" Target="https://www.pnas.org/doi/abs/10.1073/pnas.2517195123?mi=eymic2&amp;af=R&amp;access=on&amp;content=articlesChapters&amp;publication=pnas&amp;sortBy=Earliest&amp;target=default" TargetMode="External"/><Relationship Id="rId71" Type="http://schemas.openxmlformats.org/officeDocument/2006/relationships/hyperlink" Target="https://doi.org/10.1073/pnas.2517195123" TargetMode="External"/><Relationship Id="rId72" Type="http://schemas.openxmlformats.org/officeDocument/2006/relationships/hyperlink" Target="https://www.pnas.org/doi/abs/10.1073/pnas.2508911123?mi=eymic2&amp;af=R&amp;access=on&amp;content=articlesChapters&amp;publication=pnas&amp;sortBy=Earliest&amp;target=default" TargetMode="External"/><Relationship Id="rId73" Type="http://schemas.openxmlformats.org/officeDocument/2006/relationships/hyperlink" Target="https://doi.org/10.1073/pnas.2508911123" TargetMode="External"/><Relationship Id="rId74" Type="http://schemas.openxmlformats.org/officeDocument/2006/relationships/hyperlink" Target="https://www.pnas.org/doi/abs/10.1073/pnas.2504904123?mi=eymic2&amp;af=R&amp;access=on&amp;content=articlesChapters&amp;publication=pnas&amp;sortBy=Earliest&amp;target=default" TargetMode="External"/><Relationship Id="rId75" Type="http://schemas.openxmlformats.org/officeDocument/2006/relationships/hyperlink" Target="https://doi.org/10.1073/pnas.2504904123" TargetMode="External"/><Relationship Id="rId76" Type="http://schemas.openxmlformats.org/officeDocument/2006/relationships/hyperlink" Target="https://www.pnas.org/doi/abs/10.1073/iti5225122?mi=eymic2&amp;af=R&amp;access=on&amp;content=articlesChapters&amp;publication=pnas&amp;sortBy=Earliest&amp;target=default" TargetMode="External"/><Relationship Id="rId77" Type="http://schemas.openxmlformats.org/officeDocument/2006/relationships/hyperlink" Target="https://doi.org/10.1073/iti5225122" TargetMode="External"/><Relationship Id="rId78" Type="http://schemas.openxmlformats.org/officeDocument/2006/relationships/hyperlink" Target="https://www.pnas.org/doi/abs/10.1073/pnas.2520123123?mi=eymic2&amp;af=R&amp;access=on&amp;content=articlesChapters&amp;publication=pnas&amp;sortBy=Earliest&amp;target=default" TargetMode="External"/><Relationship Id="rId79" Type="http://schemas.openxmlformats.org/officeDocument/2006/relationships/hyperlink" Target="https://doi.org/10.1073/pnas.2520123123" TargetMode="External"/><Relationship Id="rId80" Type="http://schemas.openxmlformats.org/officeDocument/2006/relationships/hyperlink" Target="https://www.pnas.org/doi/abs/10.1073/pnas.2517926123?mi=eymic2&amp;af=R&amp;access=on&amp;content=articlesChapters&amp;publication=pnas&amp;sortBy=Earliest&amp;target=default" TargetMode="External"/><Relationship Id="rId81" Type="http://schemas.openxmlformats.org/officeDocument/2006/relationships/hyperlink" Target="https://doi.org/10.1073/pnas.2517926123" TargetMode="External"/><Relationship Id="rId82" Type="http://schemas.openxmlformats.org/officeDocument/2006/relationships/hyperlink" Target="https://www.pnas.org/doi/abs/10.1073/pnas.2514328122?mi=eymic2&amp;af=R&amp;access=on&amp;content=articlesChapters&amp;publication=pnas&amp;sortBy=Earliest&amp;target=default" TargetMode="External"/><Relationship Id="rId83" Type="http://schemas.openxmlformats.org/officeDocument/2006/relationships/hyperlink" Target="https://doi.org/10.1073/pnas.2514328122" TargetMode="External"/><Relationship Id="rId84" Type="http://schemas.openxmlformats.org/officeDocument/2006/relationships/hyperlink" Target="https://www.pnas.org/doi/abs/10.1073/pnas.2511126123?mi=eymic2&amp;af=R&amp;access=on&amp;content=articlesChapters&amp;publication=pnas&amp;sortBy=Earliest&amp;target=default" TargetMode="External"/><Relationship Id="rId85" Type="http://schemas.openxmlformats.org/officeDocument/2006/relationships/hyperlink" Target="https://doi.org/10.1073/pnas.2511126123" TargetMode="External"/><Relationship Id="rId86" Type="http://schemas.openxmlformats.org/officeDocument/2006/relationships/hyperlink" Target="http://dx.doi.org/10.1021/jacs.5c15506" TargetMode="External"/><Relationship Id="rId87" Type="http://schemas.openxmlformats.org/officeDocument/2006/relationships/hyperlink" Target="https://doi.org/10.1021/jacs.5c15506" TargetMode="External"/><Relationship Id="rId88" Type="http://schemas.openxmlformats.org/officeDocument/2006/relationships/hyperlink" Target="http://dx.doi.org/10.1021/jacs.5c17112" TargetMode="External"/><Relationship Id="rId89" Type="http://schemas.openxmlformats.org/officeDocument/2006/relationships/hyperlink" Target="https://doi.org/10.1021/jacs.5c17112" TargetMode="External"/><Relationship Id="rId90" Type="http://schemas.openxmlformats.org/officeDocument/2006/relationships/hyperlink" Target="http://dx.doi.org/10.1021/jacs.5c21749" TargetMode="External"/><Relationship Id="rId91" Type="http://schemas.openxmlformats.org/officeDocument/2006/relationships/hyperlink" Target="https://doi.org/10.1021/jacs.5c21749" TargetMode="External"/><Relationship Id="rId92" Type="http://schemas.openxmlformats.org/officeDocument/2006/relationships/hyperlink" Target="https://onlinelibrary.wiley.com/doi/10.1002/anie.202520739?af=R" TargetMode="External"/><Relationship Id="rId93" Type="http://schemas.openxmlformats.org/officeDocument/2006/relationships/hyperlink" Target="https://doi.org/10.1002/anie.202520739" TargetMode="External"/><Relationship Id="rId94" Type="http://schemas.openxmlformats.org/officeDocument/2006/relationships/hyperlink" Target="https://advanced.onlinelibrary.wiley.com/doi/10.1002/aenm.202505914?af=R" TargetMode="External"/><Relationship Id="rId95" Type="http://schemas.openxmlformats.org/officeDocument/2006/relationships/hyperlink" Target="https://doi.org/10.1002/aenm.202505914" TargetMode="External"/><Relationship Id="rId96" Type="http://schemas.openxmlformats.org/officeDocument/2006/relationships/hyperlink" Target="https://advanced.onlinelibrary.wiley.com/doi/10.1002/adma.202522098?af=R" TargetMode="External"/><Relationship Id="rId97" Type="http://schemas.openxmlformats.org/officeDocument/2006/relationships/hyperlink" Target="https://doi.org/10.1002/adma.202522098" TargetMode="External"/><Relationship Id="rId98" Type="http://schemas.openxmlformats.org/officeDocument/2006/relationships/hyperlink" Target="https://advanced.onlinelibrary.wiley.com/doi/10.1002/adma.202519133?af=R" TargetMode="External"/><Relationship Id="rId99" Type="http://schemas.openxmlformats.org/officeDocument/2006/relationships/hyperlink" Target="https://doi.org/10.1002/adma.202519133" TargetMode="External"/><Relationship Id="rId100" Type="http://schemas.openxmlformats.org/officeDocument/2006/relationships/hyperlink" Target="https://advanced.onlinelibrary.wiley.com/doi/10.1002/adma.202518706?af=R" TargetMode="External"/><Relationship Id="rId101" Type="http://schemas.openxmlformats.org/officeDocument/2006/relationships/hyperlink" Target="https://doi.org/10.1002/adma.202518706" TargetMode="External"/><Relationship Id="rId102" Type="http://schemas.openxmlformats.org/officeDocument/2006/relationships/hyperlink" Target="https://advanced.onlinelibrary.wiley.com/doi/10.1002/adma.202515457?af=R" TargetMode="External"/><Relationship Id="rId103" Type="http://schemas.openxmlformats.org/officeDocument/2006/relationships/hyperlink" Target="https://doi.org/10.1002/adma.202515457" TargetMode="External"/><Relationship Id="rId104" Type="http://schemas.openxmlformats.org/officeDocument/2006/relationships/hyperlink" Target="https://advanced.onlinelibrary.wiley.com/doi/10.1002/aenm.202505305?af=R" TargetMode="External"/><Relationship Id="rId105" Type="http://schemas.openxmlformats.org/officeDocument/2006/relationships/hyperlink" Target="https://doi.org/10.1002/aenm.202505305" TargetMode="External"/><Relationship Id="rId106" Type="http://schemas.openxmlformats.org/officeDocument/2006/relationships/hyperlink" Target="https://advanced.onlinelibrary.wiley.com/doi/10.1002/adma.202521626?af=R" TargetMode="External"/><Relationship Id="rId107" Type="http://schemas.openxmlformats.org/officeDocument/2006/relationships/hyperlink" Target="https://doi.org/10.1002/adma.202521626" TargetMode="External"/><Relationship Id="rId108" Type="http://schemas.openxmlformats.org/officeDocument/2006/relationships/hyperlink" Target="https://advanced.onlinelibrary.wiley.com/doi/10.1002/aenm.202506585?af=R" TargetMode="External"/><Relationship Id="rId109" Type="http://schemas.openxmlformats.org/officeDocument/2006/relationships/hyperlink" Target="https://doi.org/10.1002/aenm.202506585" TargetMode="External"/><Relationship Id="rId110" Type="http://schemas.openxmlformats.org/officeDocument/2006/relationships/hyperlink" Target="https://advanced.onlinelibrary.wiley.com/doi/10.1002/adma.202515988?af=R" TargetMode="External"/><Relationship Id="rId111" Type="http://schemas.openxmlformats.org/officeDocument/2006/relationships/hyperlink" Target="https://doi.org/10.1002/adma.202515988" TargetMode="External"/><Relationship Id="rId112" Type="http://schemas.openxmlformats.org/officeDocument/2006/relationships/hyperlink" Target="https://advanced.onlinelibrary.wiley.com/doi/10.1002/adma.202510141?af=R" TargetMode="External"/><Relationship Id="rId113" Type="http://schemas.openxmlformats.org/officeDocument/2006/relationships/hyperlink" Target="https://doi.org/10.1002/adma.202510141" TargetMode="External"/><Relationship Id="rId114" Type="http://schemas.openxmlformats.org/officeDocument/2006/relationships/hyperlink" Target="https://advanced.onlinelibrary.wiley.com/doi/10.1002/adma.202515700?af=R" TargetMode="External"/><Relationship Id="rId115" Type="http://schemas.openxmlformats.org/officeDocument/2006/relationships/hyperlink" Target="https://doi.org/10.1002/adma.202515700" TargetMode="External"/><Relationship Id="rId116" Type="http://schemas.openxmlformats.org/officeDocument/2006/relationships/hyperlink" Target="https://advanced.onlinelibrary.wiley.com/doi/10.1002/adma.202518810?af=R" TargetMode="External"/><Relationship Id="rId117" Type="http://schemas.openxmlformats.org/officeDocument/2006/relationships/hyperlink" Target="https://doi.org/10.1002/adma.202518810" TargetMode="External"/><Relationship Id="rId118" Type="http://schemas.openxmlformats.org/officeDocument/2006/relationships/hyperlink" Target="https://advanced.onlinelibrary.wiley.com/doi/10.1002/adma.202515843?af=R" TargetMode="External"/><Relationship Id="rId119" Type="http://schemas.openxmlformats.org/officeDocument/2006/relationships/hyperlink" Target="https://doi.org/10.1002/adma.202515843" TargetMode="External"/><Relationship Id="rId120" Type="http://schemas.openxmlformats.org/officeDocument/2006/relationships/hyperlink" Target="http://dx.doi.org/10.1021/jacs.5c17834" TargetMode="External"/><Relationship Id="rId121" Type="http://schemas.openxmlformats.org/officeDocument/2006/relationships/hyperlink" Target="https://doi.org/10.1021/jacs.5c17834" TargetMode="External"/><Relationship Id="rId122" Type="http://schemas.openxmlformats.org/officeDocument/2006/relationships/hyperlink" Target="https://advanced.onlinelibrary.wiley.com/doi/10.1002/adma.202516911?af=R" TargetMode="External"/><Relationship Id="rId123" Type="http://schemas.openxmlformats.org/officeDocument/2006/relationships/hyperlink" Target="https://doi.org/10.1002/adma.202516911" TargetMode="External"/><Relationship Id="rId124" Type="http://schemas.openxmlformats.org/officeDocument/2006/relationships/hyperlink" Target="https://advanced.onlinelibrary.wiley.com/doi/10.1002/adma.202519014?af=R" TargetMode="External"/><Relationship Id="rId125" Type="http://schemas.openxmlformats.org/officeDocument/2006/relationships/hyperlink" Target="https://doi.org/10.1002/adma.202519014" TargetMode="External"/><Relationship Id="rId126" Type="http://schemas.openxmlformats.org/officeDocument/2006/relationships/hyperlink" Target="https://advanced.onlinelibrary.wiley.com/doi/10.1002/adma.202521627?af=R" TargetMode="External"/><Relationship Id="rId127" Type="http://schemas.openxmlformats.org/officeDocument/2006/relationships/hyperlink" Target="https://doi.org/10.1002/adma.202521627" TargetMode="External"/><Relationship Id="rId128" Type="http://schemas.openxmlformats.org/officeDocument/2006/relationships/hyperlink" Target="http://dx.doi.org/10.1021/jacs.5c12981" TargetMode="External"/><Relationship Id="rId129" Type="http://schemas.openxmlformats.org/officeDocument/2006/relationships/hyperlink" Target="https://doi.org/10.1021/jacs.5c12981" TargetMode="External"/><Relationship Id="rId130" Type="http://schemas.openxmlformats.org/officeDocument/2006/relationships/hyperlink" Target="http://dx.doi.org/10.1021/jacs.5c19112" TargetMode="External"/><Relationship Id="rId131" Type="http://schemas.openxmlformats.org/officeDocument/2006/relationships/hyperlink" Target="https://doi.org/10.1021/jacs.5c19112" TargetMode="External"/><Relationship Id="rId132" Type="http://schemas.openxmlformats.org/officeDocument/2006/relationships/hyperlink" Target="http://dx.doi.org/10.1021/acsenergylett.5c01740" TargetMode="External"/><Relationship Id="rId133" Type="http://schemas.openxmlformats.org/officeDocument/2006/relationships/hyperlink" Target="https://doi.org/10.1021/acsenergylett.5c01740" TargetMode="External"/><Relationship Id="rId134" Type="http://schemas.openxmlformats.org/officeDocument/2006/relationships/hyperlink" Target="http://dx.doi.org/10.1021/acsenergylett.5c03596" TargetMode="External"/><Relationship Id="rId135" Type="http://schemas.openxmlformats.org/officeDocument/2006/relationships/hyperlink" Target="https://doi.org/10.1021/acsenergylett.5c03596" TargetMode="External"/><Relationship Id="rId136" Type="http://schemas.openxmlformats.org/officeDocument/2006/relationships/hyperlink" Target="http://dx.doi.org/10.1021/jacs.5c14589" TargetMode="External"/><Relationship Id="rId137" Type="http://schemas.openxmlformats.org/officeDocument/2006/relationships/hyperlink" Target="https://doi.org/10.1021/jacs.5c14589" TargetMode="External"/><Relationship Id="rId138" Type="http://schemas.openxmlformats.org/officeDocument/2006/relationships/hyperlink" Target="http://dx.doi.org/10.1021/jacs.5c14722" TargetMode="External"/><Relationship Id="rId139" Type="http://schemas.openxmlformats.org/officeDocument/2006/relationships/hyperlink" Target="https://doi.org/10.1021/jacs.5c14722" TargetMode="External"/><Relationship Id="rId140" Type="http://schemas.openxmlformats.org/officeDocument/2006/relationships/hyperlink" Target="http://dx.doi.org/10.1021/jacs.5c19877" TargetMode="External"/><Relationship Id="rId141" Type="http://schemas.openxmlformats.org/officeDocument/2006/relationships/hyperlink" Target="https://doi.org/10.1021/jacs.5c19877" TargetMode="External"/><Relationship Id="rId142" Type="http://schemas.openxmlformats.org/officeDocument/2006/relationships/hyperlink" Target="http://dx.doi.org/10.1021/jacs.5c17931" TargetMode="External"/><Relationship Id="rId143" Type="http://schemas.openxmlformats.org/officeDocument/2006/relationships/hyperlink" Target="https://doi.org/10.1021/jacs.5c17931" TargetMode="External"/><Relationship Id="rId144" Type="http://schemas.openxmlformats.org/officeDocument/2006/relationships/hyperlink" Target="http://dx.doi.org/10.1021/jacs.5c19654" TargetMode="External"/><Relationship Id="rId145" Type="http://schemas.openxmlformats.org/officeDocument/2006/relationships/hyperlink" Target="https://doi.org/10.1021/jacs.5c19654" TargetMode="External"/><Relationship Id="rId146" Type="http://schemas.openxmlformats.org/officeDocument/2006/relationships/hyperlink" Target="http://dx.doi.org/10.1021/jacs.5c21238" TargetMode="External"/><Relationship Id="rId147" Type="http://schemas.openxmlformats.org/officeDocument/2006/relationships/hyperlink" Target="https://doi.org/10.1021/jacs.5c21238" TargetMode="External"/><Relationship Id="rId148" Type="http://schemas.openxmlformats.org/officeDocument/2006/relationships/hyperlink" Target="http://dx.doi.org/10.1021/jacs.5c15376" TargetMode="External"/><Relationship Id="rId149" Type="http://schemas.openxmlformats.org/officeDocument/2006/relationships/hyperlink" Target="https://doi.org/10.1021/jacs.5c15376" TargetMode="External"/><Relationship Id="rId150" Type="http://schemas.openxmlformats.org/officeDocument/2006/relationships/hyperlink" Target="http://dx.doi.org/10.1021/jacs.5c18083" TargetMode="External"/><Relationship Id="rId151" Type="http://schemas.openxmlformats.org/officeDocument/2006/relationships/hyperlink" Target="https://doi.org/10.1021/jacs.5c18083" TargetMode="External"/><Relationship Id="rId152" Type="http://schemas.openxmlformats.org/officeDocument/2006/relationships/hyperlink" Target="http://dx.doi.org/10.1021/jacs.5c17977" TargetMode="External"/><Relationship Id="rId153" Type="http://schemas.openxmlformats.org/officeDocument/2006/relationships/hyperlink" Target="https://doi.org/10.1021/jacs.5c17977" TargetMode="External"/><Relationship Id="rId154" Type="http://schemas.openxmlformats.org/officeDocument/2006/relationships/hyperlink" Target="http://dx.doi.org/10.1021/jacs.5c17886" TargetMode="External"/><Relationship Id="rId155" Type="http://schemas.openxmlformats.org/officeDocument/2006/relationships/hyperlink" Target="https://doi.org/10.1021/jacs.5c17886" TargetMode="External"/><Relationship Id="rId156" Type="http://schemas.openxmlformats.org/officeDocument/2006/relationships/hyperlink" Target="http://dx.doi.org/10.1021/acsenergylett.5c03284" TargetMode="External"/><Relationship Id="rId157" Type="http://schemas.openxmlformats.org/officeDocument/2006/relationships/hyperlink" Target="https://doi.org/10.1021/acsenergylett.5c03284" TargetMode="External"/><Relationship Id="rId158" Type="http://schemas.openxmlformats.org/officeDocument/2006/relationships/hyperlink" Target="http://dx.doi.org/10.1021/acs.chemrev.4c00711" TargetMode="External"/><Relationship Id="rId159" Type="http://schemas.openxmlformats.org/officeDocument/2006/relationships/hyperlink" Target="https://doi.org/10.1021/acs.chemrev.4c00711" TargetMode="External"/><Relationship Id="rId160" Type="http://schemas.openxmlformats.org/officeDocument/2006/relationships/hyperlink" Target="https://www.sciencedirect.com/science/article/pii/S0306261925020045?dgcid=rss_sd_all" TargetMode="External"/><Relationship Id="rId161" Type="http://schemas.openxmlformats.org/officeDocument/2006/relationships/hyperlink" Target="https://www.nature.com/articles/s41467-025-67711-7" TargetMode="External"/><Relationship Id="rId162" Type="http://schemas.openxmlformats.org/officeDocument/2006/relationships/hyperlink" Target="https://www.sciencedirect.com/science/article/pii/S030142152500552X?dgcid=rss_sd_all" TargetMode="External"/><Relationship Id="rId163" Type="http://schemas.openxmlformats.org/officeDocument/2006/relationships/hyperlink" Target="https://www.sciencedirect.com/science/article/pii/S0301421525005555?dgcid=rss_sd_all" TargetMode="External"/><Relationship Id="rId164" Type="http://schemas.openxmlformats.org/officeDocument/2006/relationships/hyperlink" Target="https://www.nature.com/articles/s41467-025-66961-9" TargetMode="External"/><Relationship Id="rId165" Type="http://schemas.openxmlformats.org/officeDocument/2006/relationships/hyperlink" Target="https://www.sciencedirect.com/science/article/pii/S0306261925017805?dgcid=rss_sd_all" TargetMode="External"/><Relationship Id="rId166" Type="http://schemas.openxmlformats.org/officeDocument/2006/relationships/hyperlink" Target="https://www.sciencedirect.com/science/article/pii/S030626192501863X?dgcid=rss_sd_all" TargetMode="External"/><Relationship Id="rId167" Type="http://schemas.openxmlformats.org/officeDocument/2006/relationships/hyperlink" Target="https://www.sciencedirect.com/science/article/pii/S0306261925020148?dgcid=rss_sd_all" TargetMode="External"/><Relationship Id="rId168" Type="http://schemas.openxmlformats.org/officeDocument/2006/relationships/hyperlink" Target="https://www.nature.com/articles/d41586-025-04102-4" TargetMode="External"/><Relationship Id="rId169" Type="http://schemas.openxmlformats.org/officeDocument/2006/relationships/hyperlink" Target="https://www.sciencedirect.com/science/article/pii/S0306261925019920?dgcid=rss_sd_all" TargetMode="External"/><Relationship Id="rId170" Type="http://schemas.openxmlformats.org/officeDocument/2006/relationships/hyperlink" Target="https://www.sciencedirect.com/science/article/pii/S0306261925019981?dgcid=rss_sd_all" TargetMode="External"/><Relationship Id="rId171" Type="http://schemas.openxmlformats.org/officeDocument/2006/relationships/hyperlink" Target="https://www.sciencedirect.com/science/article/pii/S030626192502001X?dgcid=rss_sd_all" TargetMode="External"/><Relationship Id="rId172" Type="http://schemas.openxmlformats.org/officeDocument/2006/relationships/hyperlink" Target="https://www.nature.com/articles/d41586-025-04021-4" TargetMode="External"/><Relationship Id="rId173" Type="http://schemas.openxmlformats.org/officeDocument/2006/relationships/hyperlink" Target="https://www.nature.com/articles/d41586-025-04007-2" TargetMode="External"/><Relationship Id="rId174" Type="http://schemas.openxmlformats.org/officeDocument/2006/relationships/hyperlink" Target="https://www.sciencedirect.com/science/article/pii/S0306261925020033?dgcid=rss_sd_all" TargetMode="External"/><Relationship Id="rId175" Type="http://schemas.openxmlformats.org/officeDocument/2006/relationships/hyperlink" Target="https://www.nature.com/articles/d41586-025-03982-w" TargetMode="External"/><Relationship Id="rId176" Type="http://schemas.openxmlformats.org/officeDocument/2006/relationships/hyperlink" Target="https://www.nature.com/articles/d41586-025-03833-8" TargetMode="External"/><Relationship Id="rId177" Type="http://schemas.openxmlformats.org/officeDocument/2006/relationships/hyperlink" Target="https://www.cell.com/joule/fulltext/S2542-4351(25)00417-9?rss=yes" TargetMode="External"/><Relationship Id="rId178" Type="http://schemas.openxmlformats.org/officeDocument/2006/relationships/hyperlink" Target="https://www.sciencedirect.com/science/article/pii/S0306261925020239?dgcid=rss_sd_all" TargetMode="External"/><Relationship Id="rId179" Type="http://schemas.openxmlformats.org/officeDocument/2006/relationships/hyperlink" Target="https://www.sciencedirect.com/science/article/pii/S1369702125005565?dgcid=rss_sd_all" TargetMode="External"/><Relationship Id="rId180" Type="http://schemas.openxmlformats.org/officeDocument/2006/relationships/hyperlink" Target="https://www.sciencedirect.com/science/article/pii/S0306261925020197?dgcid=rss_sd_all" TargetMode="External"/><Relationship Id="rId181" Type="http://schemas.openxmlformats.org/officeDocument/2006/relationships/hyperlink" Target="https://www.sciencedirect.com/science/article/pii/S0306261925020173?dgcid=rss_sd_all" TargetMode="External"/><Relationship Id="rId182" Type="http://schemas.openxmlformats.org/officeDocument/2006/relationships/hyperlink" Target="https://www.nature.com/articles/s41467-025-67732-2" TargetMode="External"/><Relationship Id="rId183" Type="http://schemas.openxmlformats.org/officeDocument/2006/relationships/hyperlink" Target="https://www.sciencedirect.com/science/article/pii/S0301421525005440?dgcid=rss_sd_all" TargetMode="External"/><Relationship Id="rId184" Type="http://schemas.openxmlformats.org/officeDocument/2006/relationships/hyperlink" Target="https://www.sciencedirect.com/science/article/pii/S0306261925019373?dgcid=rss_sd_all" TargetMode="External"/><Relationship Id="rId185" Type="http://schemas.openxmlformats.org/officeDocument/2006/relationships/hyperlink" Target="https://www.sciencedirect.com/science/article/pii/S0301421525005129?dgcid=rss_sd_all" TargetMode="External"/><Relationship Id="rId186" Type="http://schemas.openxmlformats.org/officeDocument/2006/relationships/hyperlink" Target="https://www.sciencedirect.com/science/article/pii/S0306261925020653?dgcid=rss_sd_all" TargetMode="External"/><Relationship Id="rId187" Type="http://schemas.openxmlformats.org/officeDocument/2006/relationships/hyperlink" Target="http://pubs.rsc.org/en/Content/ArticleLanding/2026/EE/D5EE06342F" TargetMode="External"/><Relationship Id="rId188" Type="http://schemas.openxmlformats.org/officeDocument/2006/relationships/hyperlink" Target="http://pubs.rsc.org/en/Content/ArticleLanding/2026/EE/D5EE06208J" TargetMode="External"/><Relationship Id="rId189" Type="http://schemas.openxmlformats.org/officeDocument/2006/relationships/hyperlink" Target="https://www.sciencedirect.com/science/article/pii/S0301421525005178?dgcid=rss_sd_all" TargetMode="External"/><Relationship Id="rId190" Type="http://schemas.openxmlformats.org/officeDocument/2006/relationships/hyperlink" Target="http://pubs.rsc.org/en/Content/ArticleLanding/2026/EE/D5EE04672F" TargetMode="External"/><Relationship Id="rId191" Type="http://schemas.openxmlformats.org/officeDocument/2006/relationships/hyperlink" Target="https://www.nature.com/articles/s41586-025-09864-5" TargetMode="External"/><Relationship Id="rId192" Type="http://schemas.openxmlformats.org/officeDocument/2006/relationships/hyperlink" Target="https://www.nature.com/articles/s41586-025-09860-9" TargetMode="External"/><Relationship Id="rId193" Type="http://schemas.openxmlformats.org/officeDocument/2006/relationships/hyperlink" Target="https://www.nature.com/articles/s41586-025-09819-w" TargetMode="External"/><Relationship Id="rId194" Type="http://schemas.openxmlformats.org/officeDocument/2006/relationships/hyperlink" Target="https://www.sciencedirect.com/science/article/pii/S0306261925020525?dgcid=rss_sd_all" TargetMode="External"/><Relationship Id="rId195" Type="http://schemas.openxmlformats.org/officeDocument/2006/relationships/hyperlink" Target="https://www.sciencedirect.com/science/article/pii/S0306261925020483?dgcid=rss_sd_all" TargetMode="External"/><Relationship Id="rId196" Type="http://schemas.openxmlformats.org/officeDocument/2006/relationships/hyperlink" Target="https://www.sciencedirect.com/science/article/pii/S0306261925020549?dgcid=rss_sd_all" TargetMode="External"/><Relationship Id="rId197" Type="http://schemas.openxmlformats.org/officeDocument/2006/relationships/hyperlink" Target="https://www.sciencedirect.com/science/article/pii/S0306261925020343?dgcid=rss_sd_all" TargetMode="External"/><Relationship Id="rId198" Type="http://schemas.openxmlformats.org/officeDocument/2006/relationships/hyperlink" Target="https://www.nature.com/articles/s41467-025-67954-4" TargetMode="External"/><Relationship Id="rId199" Type="http://schemas.openxmlformats.org/officeDocument/2006/relationships/hyperlink" Target="https://www.nature.com/articles/s41467-025-67963-3" TargetMode="External"/><Relationship Id="rId200" Type="http://schemas.openxmlformats.org/officeDocument/2006/relationships/hyperlink" Target="https://www.nature.com/articles/s41467-025-67982-0" TargetMode="External"/><Relationship Id="rId201" Type="http://schemas.openxmlformats.org/officeDocument/2006/relationships/hyperlink" Target="https://www.sciencedirect.com/science/article/pii/S030626192502046X?dgcid=rss_sd_all" TargetMode="External"/><Relationship Id="rId202" Type="http://schemas.openxmlformats.org/officeDocument/2006/relationships/hyperlink" Target="https://www.sciencedirect.com/science/article/pii/S0306261925020288?dgcid=rss_sd_all" TargetMode="External"/><Relationship Id="rId203" Type="http://schemas.openxmlformats.org/officeDocument/2006/relationships/hyperlink" Target="https://www.nature.com/articles/s41467-025-68037-0" TargetMode="External"/><Relationship Id="rId204" Type="http://schemas.openxmlformats.org/officeDocument/2006/relationships/hyperlink" Target="https://www.sciencedirect.com/science/article/pii/S0306261925020136?dgcid=rss_sd_all" TargetMode="External"/><Relationship Id="rId205" Type="http://schemas.openxmlformats.org/officeDocument/2006/relationships/hyperlink" Target="https://www.nature.com/articles/s41560-025-01930-6" TargetMode="External"/><Relationship Id="rId206" Type="http://schemas.openxmlformats.org/officeDocument/2006/relationships/hyperlink" Target="https://www.nature.com/articles/s41560-025-01903-9" TargetMode="External"/><Relationship Id="rId207" Type="http://schemas.openxmlformats.org/officeDocument/2006/relationships/hyperlink" Target="https://www.nature.com/articles/s41467-025-68157-7" TargetMode="External"/><Relationship Id="rId208" Type="http://schemas.openxmlformats.org/officeDocument/2006/relationships/hyperlink" Target="https://www.sciencedirect.com/science/article/pii/S030626192502029X?dgcid=rss_sd_all" TargetMode="External"/><Relationship Id="rId209" Type="http://schemas.openxmlformats.org/officeDocument/2006/relationships/hyperlink" Target="https://advanced.onlinelibrary.wiley.com/doi/10.1002/adma.202516698?af=R" TargetMode="External"/><Relationship Id="rId210" Type="http://schemas.openxmlformats.org/officeDocument/2006/relationships/hyperlink" Target="https://doi.org/10.1002/adma.202516698" TargetMode="External"/><Relationship Id="rId211" Type="http://schemas.openxmlformats.org/officeDocument/2006/relationships/hyperlink" Target="https://advanced.onlinelibrary.wiley.com/doi/10.1002/adma.202512334?af=R" TargetMode="External"/><Relationship Id="rId212" Type="http://schemas.openxmlformats.org/officeDocument/2006/relationships/hyperlink" Target="https://doi.org/10.1002/adma.202512334" TargetMode="External"/><Relationship Id="rId213" Type="http://schemas.openxmlformats.org/officeDocument/2006/relationships/hyperlink" Target="https://onlinelibrary.wiley.com/doi/10.1002/anie.202522442?af=R" TargetMode="External"/><Relationship Id="rId214" Type="http://schemas.openxmlformats.org/officeDocument/2006/relationships/hyperlink" Target="https://doi.org/10.1002/anie.202522442" TargetMode="External"/><Relationship Id="rId215" Type="http://schemas.openxmlformats.org/officeDocument/2006/relationships/hyperlink" Target="https://onlinelibrary.wiley.com/doi/10.1002/anie.202521921?af=R" TargetMode="External"/><Relationship Id="rId216" Type="http://schemas.openxmlformats.org/officeDocument/2006/relationships/hyperlink" Target="https://doi.org/10.1002/anie.202521921" TargetMode="External"/><Relationship Id="rId217" Type="http://schemas.openxmlformats.org/officeDocument/2006/relationships/hyperlink" Target="https://onlinelibrary.wiley.com/doi/10.1002/anie.202521583?af=R" TargetMode="External"/><Relationship Id="rId218" Type="http://schemas.openxmlformats.org/officeDocument/2006/relationships/hyperlink" Target="https://doi.org/10.1002/anie.202521583" TargetMode="External"/><Relationship Id="rId219" Type="http://schemas.openxmlformats.org/officeDocument/2006/relationships/hyperlink" Target="https://onlinelibrary.wiley.com/doi/10.1002/anie.202519668?af=R" TargetMode="External"/><Relationship Id="rId220" Type="http://schemas.openxmlformats.org/officeDocument/2006/relationships/hyperlink" Target="https://doi.org/10.1002/anie.202519668" TargetMode="External"/><Relationship Id="rId221" Type="http://schemas.openxmlformats.org/officeDocument/2006/relationships/hyperlink" Target="https://onlinelibrary.wiley.com/doi/10.1002/anie.202520934?af=R" TargetMode="External"/><Relationship Id="rId222" Type="http://schemas.openxmlformats.org/officeDocument/2006/relationships/hyperlink" Target="https://doi.org/10.1002/anie.202520934" TargetMode="External"/><Relationship Id="rId223" Type="http://schemas.openxmlformats.org/officeDocument/2006/relationships/hyperlink" Target="https://onlinelibrary.wiley.com/doi/10.1002/anie.202523247?af=R" TargetMode="External"/><Relationship Id="rId224" Type="http://schemas.openxmlformats.org/officeDocument/2006/relationships/hyperlink" Target="https://doi.org/10.1002/anie.202523247" TargetMode="External"/><Relationship Id="rId225" Type="http://schemas.openxmlformats.org/officeDocument/2006/relationships/hyperlink" Target="https://onlinelibrary.wiley.com/doi/10.1002/anie.202525108?af=R" TargetMode="External"/><Relationship Id="rId226" Type="http://schemas.openxmlformats.org/officeDocument/2006/relationships/hyperlink" Target="https://doi.org/10.1002/anie.202525108" TargetMode="External"/><Relationship Id="rId227" Type="http://schemas.openxmlformats.org/officeDocument/2006/relationships/hyperlink" Target="https://onlinelibrary.wiley.com/doi/10.1002/anie.202524093?af=R" TargetMode="External"/><Relationship Id="rId228" Type="http://schemas.openxmlformats.org/officeDocument/2006/relationships/hyperlink" Target="https://doi.org/10.1002/anie.202524093" TargetMode="External"/><Relationship Id="rId229" Type="http://schemas.openxmlformats.org/officeDocument/2006/relationships/hyperlink" Target="https://onlinelibrary.wiley.com/doi/10.1002/anie.202523881?af=R" TargetMode="External"/><Relationship Id="rId230" Type="http://schemas.openxmlformats.org/officeDocument/2006/relationships/hyperlink" Target="https://doi.org/10.1002/anie.202523881" TargetMode="External"/><Relationship Id="rId231" Type="http://schemas.openxmlformats.org/officeDocument/2006/relationships/hyperlink" Target="https://onlinelibrary.wiley.com/doi/10.1002/anie.202525782?af=R" TargetMode="External"/><Relationship Id="rId232" Type="http://schemas.openxmlformats.org/officeDocument/2006/relationships/hyperlink" Target="https://doi.org/10.1002/anie.202525782" TargetMode="External"/><Relationship Id="rId233" Type="http://schemas.openxmlformats.org/officeDocument/2006/relationships/hyperlink" Target="https://onlinelibrary.wiley.com/doi/10.1002/anie.202509121?af=R" TargetMode="External"/><Relationship Id="rId234" Type="http://schemas.openxmlformats.org/officeDocument/2006/relationships/hyperlink" Target="https://doi.org/10.1002/anie.202509121" TargetMode="External"/><Relationship Id="rId235" Type="http://schemas.openxmlformats.org/officeDocument/2006/relationships/hyperlink" Target="https://onlinelibrary.wiley.com/doi/10.1002/anie.202523528?af=R" TargetMode="External"/><Relationship Id="rId236" Type="http://schemas.openxmlformats.org/officeDocument/2006/relationships/hyperlink" Target="https://doi.org/10.1002/anie.202523528" TargetMode="External"/><Relationship Id="rId237" Type="http://schemas.openxmlformats.org/officeDocument/2006/relationships/hyperlink" Target="https://onlinelibrary.wiley.com/doi/10.1002/anie.202525369?af=R" TargetMode="External"/><Relationship Id="rId238" Type="http://schemas.openxmlformats.org/officeDocument/2006/relationships/hyperlink" Target="https://doi.org/10.1002/anie.202525369" TargetMode="External"/><Relationship Id="rId239" Type="http://schemas.openxmlformats.org/officeDocument/2006/relationships/hyperlink" Target="https://onlinelibrary.wiley.com/doi/10.1002/anie.202520601?af=R" TargetMode="External"/><Relationship Id="rId240" Type="http://schemas.openxmlformats.org/officeDocument/2006/relationships/hyperlink" Target="https://doi.org/10.1002/anie.202520601" TargetMode="External"/><Relationship Id="rId241" Type="http://schemas.openxmlformats.org/officeDocument/2006/relationships/hyperlink" Target="https://advanced.onlinelibrary.wiley.com/doi/10.1002/adma.202519565?af=R" TargetMode="External"/><Relationship Id="rId242" Type="http://schemas.openxmlformats.org/officeDocument/2006/relationships/hyperlink" Target="https://doi.org/10.1002/adma.202519565" TargetMode="External"/><Relationship Id="rId243" Type="http://schemas.openxmlformats.org/officeDocument/2006/relationships/hyperlink" Target="https://onlinelibrary.wiley.com/doi/10.1002/anie.202525825?af=R" TargetMode="External"/><Relationship Id="rId244" Type="http://schemas.openxmlformats.org/officeDocument/2006/relationships/hyperlink" Target="https://doi.org/10.1002/anie.202525825" TargetMode="External"/><Relationship Id="rId245" Type="http://schemas.openxmlformats.org/officeDocument/2006/relationships/hyperlink" Target="https://advanced.onlinelibrary.wiley.com/doi/10.1002/adma.202514460?af=R" TargetMode="External"/><Relationship Id="rId246" Type="http://schemas.openxmlformats.org/officeDocument/2006/relationships/hyperlink" Target="https://doi.org/10.1002/adma.202514460" TargetMode="External"/><Relationship Id="rId247" Type="http://schemas.openxmlformats.org/officeDocument/2006/relationships/hyperlink" Target="https://onlinelibrary.wiley.com/doi/10.1002/anie.202525868?af=R" TargetMode="External"/><Relationship Id="rId248" Type="http://schemas.openxmlformats.org/officeDocument/2006/relationships/hyperlink" Target="https://doi.org/10.1002/anie.202525868" TargetMode="External"/><Relationship Id="rId249" Type="http://schemas.openxmlformats.org/officeDocument/2006/relationships/hyperlink" Target="https://advanced.onlinelibrary.wiley.com/doi/10.1002/adma.202519444?af=R" TargetMode="External"/><Relationship Id="rId250" Type="http://schemas.openxmlformats.org/officeDocument/2006/relationships/hyperlink" Target="https://doi.org/10.1002/adma.202519444" TargetMode="External"/><Relationship Id="rId251" Type="http://schemas.openxmlformats.org/officeDocument/2006/relationships/hyperlink" Target="https://advanced.onlinelibrary.wiley.com/doi/10.1002/adma.202517585?af=R" TargetMode="External"/><Relationship Id="rId252" Type="http://schemas.openxmlformats.org/officeDocument/2006/relationships/hyperlink" Target="https://doi.org/10.1002/adma.202517585" TargetMode="External"/><Relationship Id="rId253" Type="http://schemas.openxmlformats.org/officeDocument/2006/relationships/hyperlink" Target="https://advanced.onlinelibrary.wiley.com/doi/10.1002/aenm.202506366?af=R" TargetMode="External"/><Relationship Id="rId254" Type="http://schemas.openxmlformats.org/officeDocument/2006/relationships/hyperlink" Target="https://doi.org/10.1002/aenm.202506366" TargetMode="External"/><Relationship Id="rId255" Type="http://schemas.openxmlformats.org/officeDocument/2006/relationships/hyperlink" Target="https://advanced.onlinelibrary.wiley.com/doi/10.1002/aenm.202505192?af=R" TargetMode="External"/><Relationship Id="rId256" Type="http://schemas.openxmlformats.org/officeDocument/2006/relationships/hyperlink" Target="https://doi.org/10.1002/aenm.202505192" TargetMode="External"/><Relationship Id="rId257" Type="http://schemas.openxmlformats.org/officeDocument/2006/relationships/hyperlink" Target="https://www.pnas.org/doi/abs/10.1073/pnas.2519908122?mi=eymic2&amp;af=R&amp;access=on&amp;content=articlesChapters&amp;publication=pnas&amp;sortBy=Earliest&amp;target=default" TargetMode="External"/><Relationship Id="rId258" Type="http://schemas.openxmlformats.org/officeDocument/2006/relationships/hyperlink" Target="https://doi.org/10.1073/pnas.2519908122" TargetMode="External"/><Relationship Id="rId259" Type="http://schemas.openxmlformats.org/officeDocument/2006/relationships/hyperlink" Target="https://www.pnas.org/doi/abs/10.1073/pnas.2522293123?mi=eymic2&amp;af=R&amp;access=on&amp;content=articlesChapters&amp;publication=pnas&amp;sortBy=Earliest&amp;target=default" TargetMode="External"/><Relationship Id="rId260" Type="http://schemas.openxmlformats.org/officeDocument/2006/relationships/hyperlink" Target="https://doi.org/10.1073/pnas.2522293123" TargetMode="External"/><Relationship Id="rId261" Type="http://schemas.openxmlformats.org/officeDocument/2006/relationships/hyperlink" Target="https://www.pnas.org/doi/abs/10.1073/pnas.2525043123?mi=eymic2&amp;af=R&amp;access=on&amp;content=articlesChapters&amp;publication=pnas&amp;sortBy=Earliest&amp;target=default" TargetMode="External"/><Relationship Id="rId262" Type="http://schemas.openxmlformats.org/officeDocument/2006/relationships/hyperlink" Target="https://doi.org/10.1073/pnas.2525043123" TargetMode="External"/><Relationship Id="rId263" Type="http://schemas.openxmlformats.org/officeDocument/2006/relationships/hyperlink" Target="https://www.pnas.org/doi/abs/10.1073/pnas.2530588122?mi=eymic2&amp;af=R&amp;access=on&amp;content=articlesChapters&amp;publication=pnas&amp;sortBy=Earliest&amp;target=default" TargetMode="External"/><Relationship Id="rId264" Type="http://schemas.openxmlformats.org/officeDocument/2006/relationships/hyperlink" Target="https://doi.org/10.1073/pnas.2530588122" TargetMode="External"/><Relationship Id="rId265" Type="http://schemas.openxmlformats.org/officeDocument/2006/relationships/hyperlink" Target="https://www.pnas.org/doi/abs/10.1073/pnas.2530591122?mi=eymic2&amp;af=R&amp;access=on&amp;content=articlesChapters&amp;publication=pnas&amp;sortBy=Earliest&amp;target=default" TargetMode="External"/><Relationship Id="rId266" Type="http://schemas.openxmlformats.org/officeDocument/2006/relationships/hyperlink" Target="https://doi.org/10.1073/pnas.2530591122" TargetMode="External"/><Relationship Id="rId267" Type="http://schemas.openxmlformats.org/officeDocument/2006/relationships/hyperlink" Target="https://www.pnas.org/doi/abs/10.1073/pnas.2530824122?mi=eymic2&amp;af=R&amp;access=on&amp;content=articlesChapters&amp;publication=pnas&amp;sortBy=Earliest&amp;target=default" TargetMode="External"/><Relationship Id="rId268" Type="http://schemas.openxmlformats.org/officeDocument/2006/relationships/hyperlink" Target="https://doi.org/10.1073/pnas.2530824122" TargetMode="External"/><Relationship Id="rId269" Type="http://schemas.openxmlformats.org/officeDocument/2006/relationships/hyperlink" Target="https://www.pnas.org/doi/abs/10.1073/pnas.2532417123?mi=eymic2&amp;af=R&amp;access=on&amp;content=articlesChapters&amp;publication=pnas&amp;sortBy=Earliest&amp;target=default" TargetMode="External"/><Relationship Id="rId270" Type="http://schemas.openxmlformats.org/officeDocument/2006/relationships/hyperlink" Target="https://doi.org/10.1073/pnas.2532417123" TargetMode="External"/><Relationship Id="rId271" Type="http://schemas.openxmlformats.org/officeDocument/2006/relationships/hyperlink" Target="https://www.pnas.org/doi/abs/10.1073/pnas.2535719123?mi=eymic2&amp;af=R&amp;access=on&amp;content=articlesChapters&amp;publication=pnas&amp;sortBy=Earliest&amp;target=default" TargetMode="External"/><Relationship Id="rId272" Type="http://schemas.openxmlformats.org/officeDocument/2006/relationships/hyperlink" Target="https://doi.org/10.1073/pnas.2535719123" TargetMode="External"/><Relationship Id="rId273" Type="http://schemas.openxmlformats.org/officeDocument/2006/relationships/hyperlink" Target="https://www.pnas.org/doi/abs/10.1073/pnas.2514990123?mi=eymic2&amp;af=R&amp;access=on&amp;content=articlesChapters&amp;publication=pnas&amp;sortBy=Earliest&amp;target=default" TargetMode="External"/><Relationship Id="rId274" Type="http://schemas.openxmlformats.org/officeDocument/2006/relationships/hyperlink" Target="https://doi.org/10.1073/pnas.2514990123" TargetMode="External"/><Relationship Id="rId275" Type="http://schemas.openxmlformats.org/officeDocument/2006/relationships/hyperlink" Target="https://www.pnas.org/doi/abs/10.1073/pnas.2532187123?mi=eymic2&amp;af=R&amp;access=on&amp;content=articlesChapters&amp;publication=pnas&amp;sortBy=Earliest&amp;target=default" TargetMode="External"/><Relationship Id="rId276" Type="http://schemas.openxmlformats.org/officeDocument/2006/relationships/hyperlink" Target="https://doi.org/10.1073/pnas.2532187123" TargetMode="External"/><Relationship Id="rId277" Type="http://schemas.openxmlformats.org/officeDocument/2006/relationships/hyperlink" Target="https://www.pnas.org/doi/abs/10.1073/pnas.2516425123?mi=eymic2&amp;af=R&amp;access=on&amp;content=articlesChapters&amp;publication=pnas&amp;sortBy=Earliest&amp;target=default" TargetMode="External"/><Relationship Id="rId278" Type="http://schemas.openxmlformats.org/officeDocument/2006/relationships/hyperlink" Target="https://doi.org/10.1073/pnas.2516425123" TargetMode="External"/><Relationship Id="rId279" Type="http://schemas.openxmlformats.org/officeDocument/2006/relationships/hyperlink" Target="http://dx.doi.org/10.1021/jacs.5c17503" TargetMode="External"/><Relationship Id="rId280" Type="http://schemas.openxmlformats.org/officeDocument/2006/relationships/hyperlink" Target="https://doi.org/10.1021/jacs.5c17503" TargetMode="External"/><Relationship Id="rId281" Type="http://schemas.openxmlformats.org/officeDocument/2006/relationships/hyperlink" Target="http://dx.doi.org/10.1021/acsenergylett.5c03660" TargetMode="External"/><Relationship Id="rId282" Type="http://schemas.openxmlformats.org/officeDocument/2006/relationships/hyperlink" Target="https://doi.org/10.1021/acsenergylett.5c03660" TargetMode="External"/><Relationship Id="rId283" Type="http://schemas.openxmlformats.org/officeDocument/2006/relationships/hyperlink" Target="http://dx.doi.org/10.1021/jacs.5c17861" TargetMode="External"/><Relationship Id="rId284" Type="http://schemas.openxmlformats.org/officeDocument/2006/relationships/hyperlink" Target="https://doi.org/10.1021/jacs.5c17861" TargetMode="External"/><Relationship Id="rId285" Type="http://schemas.openxmlformats.org/officeDocument/2006/relationships/hyperlink" Target="http://dx.doi.org/10.1021/acsenergylett.5c03368" TargetMode="External"/><Relationship Id="rId286" Type="http://schemas.openxmlformats.org/officeDocument/2006/relationships/hyperlink" Target="https://doi.org/10.1021/acsenergylett.5c03368" TargetMode="External"/><Relationship Id="rId287" Type="http://schemas.openxmlformats.org/officeDocument/2006/relationships/hyperlink" Target="https://onlinelibrary.wiley.com/doi/10.1002/anie.202520887?af=R" TargetMode="External"/><Relationship Id="rId288" Type="http://schemas.openxmlformats.org/officeDocument/2006/relationships/hyperlink" Target="https://doi.org/10.1002/anie.202520887" TargetMode="External"/><Relationship Id="rId289" Type="http://schemas.openxmlformats.org/officeDocument/2006/relationships/hyperlink" Target="https://onlinelibrary.wiley.com/doi/10.1002/anie.202519912?af=R" TargetMode="External"/><Relationship Id="rId290" Type="http://schemas.openxmlformats.org/officeDocument/2006/relationships/hyperlink" Target="https://doi.org/10.1002/anie.202519912" TargetMode="External"/><Relationship Id="rId291" Type="http://schemas.openxmlformats.org/officeDocument/2006/relationships/hyperlink" Target="https://onlinelibrary.wiley.com/doi/10.1002/anie.202524441?af=R" TargetMode="External"/><Relationship Id="rId292" Type="http://schemas.openxmlformats.org/officeDocument/2006/relationships/hyperlink" Target="https://doi.org/10.1002/anie.202524441" TargetMode="External"/><Relationship Id="rId293" Type="http://schemas.openxmlformats.org/officeDocument/2006/relationships/hyperlink" Target="https://advanced.onlinelibrary.wiley.com/doi/10.1002/adma.202518830?af=R" TargetMode="External"/><Relationship Id="rId294" Type="http://schemas.openxmlformats.org/officeDocument/2006/relationships/hyperlink" Target="https://doi.org/10.1002/adma.202518830" TargetMode="External"/><Relationship Id="rId295" Type="http://schemas.openxmlformats.org/officeDocument/2006/relationships/hyperlink" Target="https://advanced.onlinelibrary.wiley.com/doi/10.1002/adma.202514281?af=R" TargetMode="External"/><Relationship Id="rId296" Type="http://schemas.openxmlformats.org/officeDocument/2006/relationships/hyperlink" Target="https://doi.org/10.1002/adma.202514281" TargetMode="External"/><Relationship Id="rId297" Type="http://schemas.openxmlformats.org/officeDocument/2006/relationships/hyperlink" Target="https://onlinelibrary.wiley.com/doi/10.1002/anie.202519710?af=R" TargetMode="External"/><Relationship Id="rId298" Type="http://schemas.openxmlformats.org/officeDocument/2006/relationships/hyperlink" Target="https://doi.org/10.1002/anie.202519710" TargetMode="External"/><Relationship Id="rId299" Type="http://schemas.openxmlformats.org/officeDocument/2006/relationships/hyperlink" Target="https://advanced.onlinelibrary.wiley.com/doi/10.1002/aenm.202505311?af=R" TargetMode="External"/><Relationship Id="rId300" Type="http://schemas.openxmlformats.org/officeDocument/2006/relationships/hyperlink" Target="https://doi.org/10.1002/aenm.202505311" TargetMode="External"/><Relationship Id="rId301" Type="http://schemas.openxmlformats.org/officeDocument/2006/relationships/hyperlink" Target="https://advanced.onlinelibrary.wiley.com/doi/10.1002/adma.202521954?af=R" TargetMode="External"/><Relationship Id="rId302" Type="http://schemas.openxmlformats.org/officeDocument/2006/relationships/hyperlink" Target="https://doi.org/10.1002/adma.202521954" TargetMode="External"/><Relationship Id="rId303" Type="http://schemas.openxmlformats.org/officeDocument/2006/relationships/hyperlink" Target="https://onlinelibrary.wiley.com/doi/10.1002/anie.202515533?af=R" TargetMode="External"/><Relationship Id="rId304" Type="http://schemas.openxmlformats.org/officeDocument/2006/relationships/hyperlink" Target="https://doi.org/10.1002/anie.202515533" TargetMode="External"/><Relationship Id="rId305" Type="http://schemas.openxmlformats.org/officeDocument/2006/relationships/hyperlink" Target="https://onlinelibrary.wiley.com/doi/10.1002/anie.202515463?af=R" TargetMode="External"/><Relationship Id="rId306" Type="http://schemas.openxmlformats.org/officeDocument/2006/relationships/hyperlink" Target="https://doi.org/10.1002/anie.202515463" TargetMode="External"/><Relationship Id="rId307" Type="http://schemas.openxmlformats.org/officeDocument/2006/relationships/hyperlink" Target="http://dx.doi.org/10.1021/jacs.5c15251" TargetMode="External"/><Relationship Id="rId308" Type="http://schemas.openxmlformats.org/officeDocument/2006/relationships/hyperlink" Target="https://doi.org/10.1021/jacs.5c15251" TargetMode="External"/><Relationship Id="rId309" Type="http://schemas.openxmlformats.org/officeDocument/2006/relationships/hyperlink" Target="http://dx.doi.org/10.1021/acsenergylett.5c03775" TargetMode="External"/><Relationship Id="rId310" Type="http://schemas.openxmlformats.org/officeDocument/2006/relationships/hyperlink" Target="https://doi.org/10.1021/acsenergylett.5c03775" TargetMode="External"/><Relationship Id="rId311" Type="http://schemas.openxmlformats.org/officeDocument/2006/relationships/hyperlink" Target="http://dx.doi.org/10.1021/jacs.5c18369" TargetMode="External"/><Relationship Id="rId312" Type="http://schemas.openxmlformats.org/officeDocument/2006/relationships/hyperlink" Target="https://doi.org/10.1021/jacs.5c18369" TargetMode="External"/><Relationship Id="rId313" Type="http://schemas.openxmlformats.org/officeDocument/2006/relationships/hyperlink" Target="http://dx.doi.org/10.1021/jacs.5c18290" TargetMode="External"/><Relationship Id="rId314" Type="http://schemas.openxmlformats.org/officeDocument/2006/relationships/hyperlink" Target="https://doi.org/10.1021/jacs.5c18290" TargetMode="External"/><Relationship Id="rId315" Type="http://schemas.openxmlformats.org/officeDocument/2006/relationships/hyperlink" Target="http://dx.doi.org/10.1021/jacs.5c18112" TargetMode="External"/><Relationship Id="rId316" Type="http://schemas.openxmlformats.org/officeDocument/2006/relationships/hyperlink" Target="https://doi.org/10.1021/jacs.5c18112" TargetMode="External"/><Relationship Id="rId317" Type="http://schemas.openxmlformats.org/officeDocument/2006/relationships/hyperlink" Target="http://dx.doi.org/10.1021/jacs.5c18000" TargetMode="External"/><Relationship Id="rId318" Type="http://schemas.openxmlformats.org/officeDocument/2006/relationships/hyperlink" Target="https://doi.org/10.1021/jacs.5c18000" TargetMode="External"/><Relationship Id="rId319" Type="http://schemas.openxmlformats.org/officeDocument/2006/relationships/hyperlink" Target="http://dx.doi.org/10.1021/acsenergylett.5c03759" TargetMode="External"/><Relationship Id="rId320" Type="http://schemas.openxmlformats.org/officeDocument/2006/relationships/hyperlink" Target="https://doi.org/10.1021/acsenergylett.5c03759" TargetMode="External"/><Relationship Id="rId321" Type="http://schemas.openxmlformats.org/officeDocument/2006/relationships/hyperlink" Target="http://dx.doi.org/10.1021/jacs.5c17207" TargetMode="External"/><Relationship Id="rId322" Type="http://schemas.openxmlformats.org/officeDocument/2006/relationships/hyperlink" Target="https://doi.org/10.1021/jacs.5c17207" TargetMode="External"/><Relationship Id="rId323" Type="http://schemas.openxmlformats.org/officeDocument/2006/relationships/hyperlink" Target="http://dx.doi.org/10.1021/acsenergylett.5c03896" TargetMode="External"/><Relationship Id="rId324" Type="http://schemas.openxmlformats.org/officeDocument/2006/relationships/hyperlink" Target="https://doi.org/10.1021/acsenergylett.5c03896" TargetMode="External"/><Relationship Id="rId325" Type="http://schemas.openxmlformats.org/officeDocument/2006/relationships/hyperlink" Target="http://dx.doi.org/10.1021/jacs.5c18736" TargetMode="External"/><Relationship Id="rId326" Type="http://schemas.openxmlformats.org/officeDocument/2006/relationships/hyperlink" Target="https://doi.org/10.1021/jacs.5c18736" TargetMode="External"/><Relationship Id="rId327" Type="http://schemas.openxmlformats.org/officeDocument/2006/relationships/hyperlink" Target="http://dx.doi.org/10.1021/jacs.5c19135" TargetMode="External"/><Relationship Id="rId328" Type="http://schemas.openxmlformats.org/officeDocument/2006/relationships/hyperlink" Target="https://doi.org/10.1021/jacs.5c19135" TargetMode="External"/><Relationship Id="rId329" Type="http://schemas.openxmlformats.org/officeDocument/2006/relationships/hyperlink" Target="http://dx.doi.org/10.1021/jacs.5c15763" TargetMode="External"/><Relationship Id="rId330" Type="http://schemas.openxmlformats.org/officeDocument/2006/relationships/hyperlink" Target="https://doi.org/10.1021/jacs.5c15763" TargetMode="External"/><Relationship Id="rId331" Type="http://schemas.openxmlformats.org/officeDocument/2006/relationships/hyperlink" Target="http://dx.doi.org/10.1021/jacs.5c16382" TargetMode="External"/><Relationship Id="rId332" Type="http://schemas.openxmlformats.org/officeDocument/2006/relationships/hyperlink" Target="https://doi.org/10.1021/jacs.5c16382" TargetMode="External"/><Relationship Id="rId333" Type="http://schemas.openxmlformats.org/officeDocument/2006/relationships/hyperlink" Target="https://www.nature.com/articles/d41586-025-04114-0" TargetMode="External"/><Relationship Id="rId334" Type="http://schemas.openxmlformats.org/officeDocument/2006/relationships/hyperlink" Target="https://www.science.org/doi/abs/10.1126/science.aed5244?af=R" TargetMode="External"/><Relationship Id="rId335" Type="http://schemas.openxmlformats.org/officeDocument/2006/relationships/hyperlink" Target="https://doi.org/10.1126/science.aed5244" TargetMode="External"/><Relationship Id="rId336" Type="http://schemas.openxmlformats.org/officeDocument/2006/relationships/hyperlink" Target="https://www.science.org/doi/abs/10.1126/science.adv9266?af=R" TargetMode="External"/><Relationship Id="rId337" Type="http://schemas.openxmlformats.org/officeDocument/2006/relationships/hyperlink" Target="https://doi.org/10.1126/science.adv9266" TargetMode="External"/><Relationship Id="rId338" Type="http://schemas.openxmlformats.org/officeDocument/2006/relationships/hyperlink" Target="https://www.science.org/doi/abs/10.1126/science.aed5209?af=R" TargetMode="External"/><Relationship Id="rId339" Type="http://schemas.openxmlformats.org/officeDocument/2006/relationships/hyperlink" Target="https://doi.org/10.1126/science.aed5209" TargetMode="External"/><Relationship Id="rId340" Type="http://schemas.openxmlformats.org/officeDocument/2006/relationships/hyperlink" Target="https://www.science.org/doi/abs/10.1126/science.aef0584?af=R" TargetMode="External"/><Relationship Id="rId341" Type="http://schemas.openxmlformats.org/officeDocument/2006/relationships/hyperlink" Target="https://doi.org/10.1126/science.aef0584" TargetMode="External"/><Relationship Id="rId342" Type="http://schemas.openxmlformats.org/officeDocument/2006/relationships/hyperlink" Target="https://www.science.org/doi/abs/10.1126/science.adw8265?af=R" TargetMode="External"/><Relationship Id="rId343" Type="http://schemas.openxmlformats.org/officeDocument/2006/relationships/hyperlink" Target="https://doi.org/10.1126/science.adw8265" TargetMode="External"/><Relationship Id="rId344" Type="http://schemas.openxmlformats.org/officeDocument/2006/relationships/hyperlink" Target="https://www.science.org/doi/abs/10.1126/science.adx3708?af=R" TargetMode="External"/><Relationship Id="rId345" Type="http://schemas.openxmlformats.org/officeDocument/2006/relationships/hyperlink" Target="https://doi.org/10.1126/science.adx3708" TargetMode="External"/><Relationship Id="rId346" Type="http://schemas.openxmlformats.org/officeDocument/2006/relationships/hyperlink" Target="https://www.science.org/doi/abs/10.1126/science.aec9287?af=R" TargetMode="External"/><Relationship Id="rId347" Type="http://schemas.openxmlformats.org/officeDocument/2006/relationships/hyperlink" Target="https://doi.org/10.1126/science.aec9287" TargetMode="External"/><Relationship Id="rId348" Type="http://schemas.openxmlformats.org/officeDocument/2006/relationships/hyperlink" Target="https://www.science.org/doi/abs/10.1126/science.adx4174?af=R" TargetMode="External"/><Relationship Id="rId349" Type="http://schemas.openxmlformats.org/officeDocument/2006/relationships/hyperlink" Target="https://doi.org/10.1126/science.adx4174" TargetMode="External"/><Relationship Id="rId350" Type="http://schemas.openxmlformats.org/officeDocument/2006/relationships/hyperlink" Target="https://www.science.org/doi/abs/10.1126/science.adx5362?af=R" TargetMode="External"/><Relationship Id="rId351" Type="http://schemas.openxmlformats.org/officeDocument/2006/relationships/hyperlink" Target="https://doi.org/10.1126/science.adx5362" TargetMode="External"/><Relationship Id="rId352" Type="http://schemas.openxmlformats.org/officeDocument/2006/relationships/hyperlink" Target="https://www.science.org/doi/abs/10.1126/science.aec4094?af=R" TargetMode="External"/><Relationship Id="rId353" Type="http://schemas.openxmlformats.org/officeDocument/2006/relationships/hyperlink" Target="https://doi.org/10.1126/science.aec4094" TargetMode="External"/><Relationship Id="rId354" Type="http://schemas.openxmlformats.org/officeDocument/2006/relationships/hyperlink" Target="https://www.science.org/doi/abs/10.1126/science.aef0583?af=R" TargetMode="External"/><Relationship Id="rId355" Type="http://schemas.openxmlformats.org/officeDocument/2006/relationships/hyperlink" Target="https://doi.org/10.1126/science.aef0583" TargetMode="External"/><Relationship Id="rId356" Type="http://schemas.openxmlformats.org/officeDocument/2006/relationships/hyperlink" Target="https://www.science.org/doi/abs/10.1126/science.adz4857?af=R" TargetMode="External"/><Relationship Id="rId357" Type="http://schemas.openxmlformats.org/officeDocument/2006/relationships/hyperlink" Target="https://doi.org/10.1126/science.adz4857" TargetMode="External"/><Relationship Id="rId358" Type="http://schemas.openxmlformats.org/officeDocument/2006/relationships/hyperlink" Target="https://www.science.org/doi/abs/10.1126/science.aea1523?af=R" TargetMode="External"/><Relationship Id="rId359" Type="http://schemas.openxmlformats.org/officeDocument/2006/relationships/hyperlink" Target="https://doi.org/10.1126/science.aea1523" TargetMode="External"/><Relationship Id="rId360" Type="http://schemas.openxmlformats.org/officeDocument/2006/relationships/hyperlink" Target="https://www.science.org/doi/abs/10.1126/science.aed4903?af=R" TargetMode="External"/><Relationship Id="rId361" Type="http://schemas.openxmlformats.org/officeDocument/2006/relationships/hyperlink" Target="https://doi.org/10.1126/science.aed4903" TargetMode="External"/><Relationship Id="rId362" Type="http://schemas.openxmlformats.org/officeDocument/2006/relationships/hyperlink" Target="https://www.science.org/doi/abs/10.1126/science.aed6777?af=R" TargetMode="External"/><Relationship Id="rId363" Type="http://schemas.openxmlformats.org/officeDocument/2006/relationships/hyperlink" Target="https://doi.org/10.1126/science.aed6777" TargetMode="External"/><Relationship Id="rId364" Type="http://schemas.openxmlformats.org/officeDocument/2006/relationships/hyperlink" Target="https://www.science.org/doi/abs/10.1126/science.aeb1702?af=R" TargetMode="External"/><Relationship Id="rId365" Type="http://schemas.openxmlformats.org/officeDocument/2006/relationships/hyperlink" Target="https://doi.org/10.1126/science.aeb1702" TargetMode="External"/><Relationship Id="rId366" Type="http://schemas.openxmlformats.org/officeDocument/2006/relationships/hyperlink" Target="https://www.science.org/doi/abs/10.1126/science.aee8267?af=R" TargetMode="External"/><Relationship Id="rId367" Type="http://schemas.openxmlformats.org/officeDocument/2006/relationships/hyperlink" Target="https://doi.org/10.1126/science.aee8267" TargetMode="External"/><Relationship Id="rId368" Type="http://schemas.openxmlformats.org/officeDocument/2006/relationships/hyperlink" Target="https://www.science.org/doi/abs/10.1126/science.aee9317?af=R" TargetMode="External"/><Relationship Id="rId369" Type="http://schemas.openxmlformats.org/officeDocument/2006/relationships/hyperlink" Target="https://doi.org/10.1126/science.aee9317" TargetMode="External"/><Relationship Id="rId370" Type="http://schemas.openxmlformats.org/officeDocument/2006/relationships/hyperlink" Target="https://www.science.org/doi/abs/10.1126/science.aee9318?af=R" TargetMode="External"/><Relationship Id="rId371" Type="http://schemas.openxmlformats.org/officeDocument/2006/relationships/hyperlink" Target="https://doi.org/10.1126/science.aee9318" TargetMode="External"/><Relationship Id="rId372" Type="http://schemas.openxmlformats.org/officeDocument/2006/relationships/hyperlink" Target="https://www.science.org/doi/abs/10.1126/science.aee9316?af=R" TargetMode="External"/><Relationship Id="rId373" Type="http://schemas.openxmlformats.org/officeDocument/2006/relationships/hyperlink" Target="https://doi.org/10.1126/science.aee9316" TargetMode="External"/><Relationship Id="rId374" Type="http://schemas.openxmlformats.org/officeDocument/2006/relationships/hyperlink" Target="https://www.science.org/doi/abs/10.1126/science.aef0579?af=R" TargetMode="External"/><Relationship Id="rId375" Type="http://schemas.openxmlformats.org/officeDocument/2006/relationships/hyperlink" Target="https://doi.org/10.1126/science.aef0579" TargetMode="External"/><Relationship Id="rId376" Type="http://schemas.openxmlformats.org/officeDocument/2006/relationships/hyperlink" Target="https://www.science.org/doi/abs/10.1126/science.aed7274?af=R" TargetMode="External"/><Relationship Id="rId377" Type="http://schemas.openxmlformats.org/officeDocument/2006/relationships/hyperlink" Target="https://doi.org/10.1126/science.aed7274" TargetMode="External"/><Relationship Id="rId378" Type="http://schemas.openxmlformats.org/officeDocument/2006/relationships/hyperlink" Target="https://www.science.org/doi/abs/10.1126/science.aee9886?af=R" TargetMode="External"/><Relationship Id="rId379" Type="http://schemas.openxmlformats.org/officeDocument/2006/relationships/hyperlink" Target="https://doi.org/10.1126/science.aee9886" TargetMode="External"/><Relationship Id="rId380" Type="http://schemas.openxmlformats.org/officeDocument/2006/relationships/hyperlink" Target="https://www.science.org/doi/abs/10.1126/science.aed7259?af=R" TargetMode="External"/><Relationship Id="rId381" Type="http://schemas.openxmlformats.org/officeDocument/2006/relationships/hyperlink" Target="https://doi.org/10.1126/science.aed7259" TargetMode="External"/><Relationship Id="rId382" Type="http://schemas.openxmlformats.org/officeDocument/2006/relationships/hyperlink" Target="https://www.science.org/doi/abs/10.1126/science.aef0581?af=R" TargetMode="External"/><Relationship Id="rId383" Type="http://schemas.openxmlformats.org/officeDocument/2006/relationships/hyperlink" Target="https://doi.org/10.1126/science.aef0581" TargetMode="External"/><Relationship Id="rId384" Type="http://schemas.openxmlformats.org/officeDocument/2006/relationships/hyperlink" Target="https://www.science.org/doi/abs/10.1126/science.aef0582?af=R" TargetMode="External"/><Relationship Id="rId385" Type="http://schemas.openxmlformats.org/officeDocument/2006/relationships/hyperlink" Target="https://doi.org/10.1126/science.aef0582" TargetMode="External"/><Relationship Id="rId386" Type="http://schemas.openxmlformats.org/officeDocument/2006/relationships/hyperlink" Target="https://www.science.org/doi/abs/10.1126/science.aef0580?af=R" TargetMode="External"/><Relationship Id="rId387" Type="http://schemas.openxmlformats.org/officeDocument/2006/relationships/hyperlink" Target="https://doi.org/10.1126/science.aef0580" TargetMode="External"/><Relationship Id="rId388" Type="http://schemas.openxmlformats.org/officeDocument/2006/relationships/hyperlink" Target="https://www.science.org/doi/abs/10.1126/science.aeb5814?af=R" TargetMode="External"/><Relationship Id="rId389" Type="http://schemas.openxmlformats.org/officeDocument/2006/relationships/hyperlink" Target="https://doi.org/10.1126/science.aeb5814" TargetMode="External"/><Relationship Id="rId390" Type="http://schemas.openxmlformats.org/officeDocument/2006/relationships/hyperlink" Target="https://www.science.org/doi/abs/10.1126/sciadv.adx5490?af=R" TargetMode="External"/><Relationship Id="rId391" Type="http://schemas.openxmlformats.org/officeDocument/2006/relationships/hyperlink" Target="https://doi.org/10.1126/sciadv.adx5490" TargetMode="External"/><Relationship Id="rId392" Type="http://schemas.openxmlformats.org/officeDocument/2006/relationships/hyperlink" Target="https://www.science.org/doi/abs/10.1126/sciadv.adx6348?af=R" TargetMode="External"/><Relationship Id="rId393" Type="http://schemas.openxmlformats.org/officeDocument/2006/relationships/hyperlink" Target="https://doi.org/10.1126/sciadv.adx6348" TargetMode="External"/><Relationship Id="rId394" Type="http://schemas.openxmlformats.org/officeDocument/2006/relationships/hyperlink" Target="https://www.science.org/doi/abs/10.1126/sciadv.adx4089?af=R" TargetMode="External"/><Relationship Id="rId395" Type="http://schemas.openxmlformats.org/officeDocument/2006/relationships/hyperlink" Target="https://doi.org/10.1126/sciadv.adx4089" TargetMode="External"/><Relationship Id="rId396" Type="http://schemas.openxmlformats.org/officeDocument/2006/relationships/hyperlink" Target="https://www.science.org/doi/abs/10.1126/sciadv.adz4301?af=R" TargetMode="External"/><Relationship Id="rId397" Type="http://schemas.openxmlformats.org/officeDocument/2006/relationships/hyperlink" Target="https://doi.org/10.1126/sciadv.adz4301" TargetMode="External"/><Relationship Id="rId398" Type="http://schemas.openxmlformats.org/officeDocument/2006/relationships/hyperlink" Target="https://www.science.org/doi/abs/10.1126/sciadv.adx3842?af=R" TargetMode="External"/><Relationship Id="rId399" Type="http://schemas.openxmlformats.org/officeDocument/2006/relationships/hyperlink" Target="https://doi.org/10.1126/sciadv.adx3842" TargetMode="External"/><Relationship Id="rId400" Type="http://schemas.openxmlformats.org/officeDocument/2006/relationships/hyperlink" Target="https://www.science.org/doi/abs/10.1126/sciadv.adz4623?af=R" TargetMode="External"/><Relationship Id="rId401" Type="http://schemas.openxmlformats.org/officeDocument/2006/relationships/hyperlink" Target="https://doi.org/10.1126/sciadv.adz4623" TargetMode="External"/><Relationship Id="rId402" Type="http://schemas.openxmlformats.org/officeDocument/2006/relationships/hyperlink" Target="https://www.science.org/doi/abs/10.1126/sciadv.adz4856?af=R" TargetMode="External"/><Relationship Id="rId403" Type="http://schemas.openxmlformats.org/officeDocument/2006/relationships/hyperlink" Target="https://doi.org/10.1126/sciadv.adz4856" TargetMode="External"/><Relationship Id="rId404" Type="http://schemas.openxmlformats.org/officeDocument/2006/relationships/hyperlink" Target="https://www.science.org/doi/abs/10.1126/sciadv.adz7173?af=R" TargetMode="External"/><Relationship Id="rId405" Type="http://schemas.openxmlformats.org/officeDocument/2006/relationships/hyperlink" Target="https://doi.org/10.1126/sciadv.adz7173" TargetMode="External"/><Relationship Id="rId406" Type="http://schemas.openxmlformats.org/officeDocument/2006/relationships/hyperlink" Target="https://www.science.org/doi/abs/10.1126/sciadv.adz9554?af=R" TargetMode="External"/><Relationship Id="rId407" Type="http://schemas.openxmlformats.org/officeDocument/2006/relationships/hyperlink" Target="https://doi.org/10.1126/sciadv.adz9554" TargetMode="External"/><Relationship Id="rId408" Type="http://schemas.openxmlformats.org/officeDocument/2006/relationships/hyperlink" Target="https://www.science.org/doi/abs/10.1126/sciadv.ads2734?af=R" TargetMode="External"/><Relationship Id="rId409" Type="http://schemas.openxmlformats.org/officeDocument/2006/relationships/hyperlink" Target="https://doi.org/10.1126/sciadv.ads2734" TargetMode="External"/><Relationship Id="rId410" Type="http://schemas.openxmlformats.org/officeDocument/2006/relationships/hyperlink" Target="https://www.science.org/doi/abs/10.1126/sciadv.adw4654?af=R" TargetMode="External"/><Relationship Id="rId411" Type="http://schemas.openxmlformats.org/officeDocument/2006/relationships/hyperlink" Target="https://doi.org/10.1126/sciadv.adw4654" TargetMode="External"/><Relationship Id="rId412" Type="http://schemas.openxmlformats.org/officeDocument/2006/relationships/hyperlink" Target="https://www.science.org/doi/abs/10.1126/sciadv.adv9396?af=R" TargetMode="External"/><Relationship Id="rId413" Type="http://schemas.openxmlformats.org/officeDocument/2006/relationships/hyperlink" Target="https://doi.org/10.1126/sciadv.adv9396" TargetMode="External"/><Relationship Id="rId414" Type="http://schemas.openxmlformats.org/officeDocument/2006/relationships/hyperlink" Target="https://www.science.org/doi/abs/10.1126/sciadv.adw6496?af=R" TargetMode="External"/><Relationship Id="rId415" Type="http://schemas.openxmlformats.org/officeDocument/2006/relationships/hyperlink" Target="https://doi.org/10.1126/sciadv.adw6496" TargetMode="External"/><Relationship Id="rId416" Type="http://schemas.openxmlformats.org/officeDocument/2006/relationships/hyperlink" Target="https://www.science.org/doi/abs/10.1126/sciadv.adv6220?af=R" TargetMode="External"/><Relationship Id="rId417" Type="http://schemas.openxmlformats.org/officeDocument/2006/relationships/hyperlink" Target="https://doi.org/10.1126/sciadv.adv6220" TargetMode="External"/><Relationship Id="rId418" Type="http://schemas.openxmlformats.org/officeDocument/2006/relationships/hyperlink" Target="https://www.science.org/doi/abs/10.1126/sciadv.adv0588?af=R" TargetMode="External"/><Relationship Id="rId419" Type="http://schemas.openxmlformats.org/officeDocument/2006/relationships/hyperlink" Target="https://doi.org/10.1126/sciadv.adv0588" TargetMode="External"/><Relationship Id="rId420" Type="http://schemas.openxmlformats.org/officeDocument/2006/relationships/hyperlink" Target="https://www.science.org/doi/abs/10.1126/science.aee2611?af=R" TargetMode="External"/><Relationship Id="rId421" Type="http://schemas.openxmlformats.org/officeDocument/2006/relationships/hyperlink" Target="https://doi.org/10.1126/science.aee2611" TargetMode="External"/><Relationship Id="rId422" Type="http://schemas.openxmlformats.org/officeDocument/2006/relationships/hyperlink" Target="https://www.science.org/doi/abs/10.1126/sciadv.adw7768?af=R" TargetMode="External"/><Relationship Id="rId423" Type="http://schemas.openxmlformats.org/officeDocument/2006/relationships/hyperlink" Target="https://doi.org/10.1126/sciadv.adw7768" TargetMode="External"/><Relationship Id="rId424" Type="http://schemas.openxmlformats.org/officeDocument/2006/relationships/hyperlink" Target="https://www.science.org/doi/abs/10.1126/science.aee5274?af=R" TargetMode="External"/><Relationship Id="rId425" Type="http://schemas.openxmlformats.org/officeDocument/2006/relationships/hyperlink" Target="https://doi.org/10.1126/science.aee5274" TargetMode="External"/><Relationship Id="rId426" Type="http://schemas.openxmlformats.org/officeDocument/2006/relationships/hyperlink" Target="https://www.science.org/doi/abs/10.1126/sciadv.adz8174?af=R" TargetMode="External"/><Relationship Id="rId427" Type="http://schemas.openxmlformats.org/officeDocument/2006/relationships/hyperlink" Target="https://doi.org/10.1126/sciadv.adz8174" TargetMode="External"/><Relationship Id="rId428" Type="http://schemas.openxmlformats.org/officeDocument/2006/relationships/hyperlink" Target="https://www.science.org/doi/abs/10.1126/sciadv.adu6025?af=R" TargetMode="External"/><Relationship Id="rId429" Type="http://schemas.openxmlformats.org/officeDocument/2006/relationships/hyperlink" Target="https://doi.org/10.1126/sciadv.adu6025" TargetMode="External"/><Relationship Id="rId430" Type="http://schemas.openxmlformats.org/officeDocument/2006/relationships/hyperlink" Target="https://www.science.org/doi/abs/10.1126/sciadv.adu0292?af=R" TargetMode="External"/><Relationship Id="rId431" Type="http://schemas.openxmlformats.org/officeDocument/2006/relationships/hyperlink" Target="https://doi.org/10.1126/sciadv.adu0292" TargetMode="External"/><Relationship Id="rId432" Type="http://schemas.openxmlformats.org/officeDocument/2006/relationships/hyperlink" Target="https://www.science.org/doi/abs/10.1126/sciadv.adz2113?af=R" TargetMode="External"/><Relationship Id="rId433" Type="http://schemas.openxmlformats.org/officeDocument/2006/relationships/hyperlink" Target="https://doi.org/10.1126/sciadv.adz2113" TargetMode="External"/><Relationship Id="rId434" Type="http://schemas.openxmlformats.org/officeDocument/2006/relationships/hyperlink" Target="https://www.science.org/doi/abs/10.1126/sciadv.adx2768?af=R" TargetMode="External"/><Relationship Id="rId435" Type="http://schemas.openxmlformats.org/officeDocument/2006/relationships/hyperlink" Target="https://doi.org/10.1126/sciadv.adx2768" TargetMode="External"/><Relationship Id="rId436" Type="http://schemas.openxmlformats.org/officeDocument/2006/relationships/hyperlink" Target="https://www.science.org/doi/abs/10.1126/sciadv.adt7125?af=R" TargetMode="External"/><Relationship Id="rId437" Type="http://schemas.openxmlformats.org/officeDocument/2006/relationships/hyperlink" Target="https://doi.org/10.1126/sciadv.adt7125" TargetMode="External"/><Relationship Id="rId438" Type="http://schemas.openxmlformats.org/officeDocument/2006/relationships/hyperlink" Target="https://www.science.org/doi/abs/10.1126/sciadv.adz7916?af=R" TargetMode="External"/><Relationship Id="rId439" Type="http://schemas.openxmlformats.org/officeDocument/2006/relationships/hyperlink" Target="https://doi.org/10.1126/sciadv.adz7916" TargetMode="External"/><Relationship Id="rId440" Type="http://schemas.openxmlformats.org/officeDocument/2006/relationships/hyperlink" Target="https://www.science.org/doi/abs/10.1126/sciadv.adx2988?af=R" TargetMode="External"/><Relationship Id="rId441" Type="http://schemas.openxmlformats.org/officeDocument/2006/relationships/hyperlink" Target="https://doi.org/10.1126/sciadv.adx2988" TargetMode="External"/><Relationship Id="rId442" Type="http://schemas.openxmlformats.org/officeDocument/2006/relationships/hyperlink" Target="https://www.science.org/doi/abs/10.1126/sciadv.adw4951?af=R" TargetMode="External"/><Relationship Id="rId443" Type="http://schemas.openxmlformats.org/officeDocument/2006/relationships/hyperlink" Target="https://doi.org/10.1126/sciadv.adw4951" TargetMode="External"/><Relationship Id="rId444" Type="http://schemas.openxmlformats.org/officeDocument/2006/relationships/hyperlink" Target="https://www.science.org/doi/abs/10.1126/sciadv.adz3040?af=R" TargetMode="External"/><Relationship Id="rId445" Type="http://schemas.openxmlformats.org/officeDocument/2006/relationships/hyperlink" Target="https://doi.org/10.1126/sciadv.adz3040" TargetMode="External"/><Relationship Id="rId446" Type="http://schemas.openxmlformats.org/officeDocument/2006/relationships/hyperlink" Target="https://www.science.org/doi/abs/10.1126/science.adz7969?af=R" TargetMode="External"/><Relationship Id="rId447" Type="http://schemas.openxmlformats.org/officeDocument/2006/relationships/hyperlink" Target="https://doi.org/10.1126/science.adz7969" TargetMode="External"/><Relationship Id="rId448" Type="http://schemas.openxmlformats.org/officeDocument/2006/relationships/hyperlink" Target="https://www.science.org/doi/abs/10.1126/sciadv.aeb0821?af=R" TargetMode="External"/><Relationship Id="rId449" Type="http://schemas.openxmlformats.org/officeDocument/2006/relationships/hyperlink" Target="https://doi.org/10.1126/sciadv.aeb0821" TargetMode="External"/><Relationship Id="rId450" Type="http://schemas.openxmlformats.org/officeDocument/2006/relationships/hyperlink" Target="https://www.science.org/doi/abs/10.1126/sciadv.aea9874?af=R" TargetMode="External"/><Relationship Id="rId451" Type="http://schemas.openxmlformats.org/officeDocument/2006/relationships/hyperlink" Target="https://doi.org/10.1126/sciadv.aea9874" TargetMode="External"/><Relationship Id="rId452" Type="http://schemas.openxmlformats.org/officeDocument/2006/relationships/hyperlink" Target="https://www.science.org/doi/abs/10.1126/sciadv.aea9302?af=R" TargetMode="External"/><Relationship Id="rId453" Type="http://schemas.openxmlformats.org/officeDocument/2006/relationships/hyperlink" Target="https://doi.org/10.1126/sciadv.aea9302" TargetMode="External"/><Relationship Id="rId454" Type="http://schemas.openxmlformats.org/officeDocument/2006/relationships/hyperlink" Target="https://www.science.org/doi/abs/10.1126/sciadv.aea2450?af=R" TargetMode="External"/><Relationship Id="rId455" Type="http://schemas.openxmlformats.org/officeDocument/2006/relationships/hyperlink" Target="https://doi.org/10.1126/sciadv.aea2450" TargetMode="External"/><Relationship Id="rId456" Type="http://schemas.openxmlformats.org/officeDocument/2006/relationships/hyperlink" Target="https://www.science.org/doi/abs/10.1126/sciadv.adx8112?af=R" TargetMode="External"/><Relationship Id="rId457" Type="http://schemas.openxmlformats.org/officeDocument/2006/relationships/hyperlink" Target="https://doi.org/10.1126/sciadv.adx8112" TargetMode="External"/><Relationship Id="rId458" Type="http://schemas.openxmlformats.org/officeDocument/2006/relationships/hyperlink" Target="https://www.science.org/doi/abs/10.1126/sciadv.ady4863?af=R" TargetMode="External"/><Relationship Id="rId459" Type="http://schemas.openxmlformats.org/officeDocument/2006/relationships/hyperlink" Target="https://doi.org/10.1126/sciadv.ady4863" TargetMode="External"/><Relationship Id="rId460" Type="http://schemas.openxmlformats.org/officeDocument/2006/relationships/hyperlink" Target="https://www.science.org/doi/abs/10.1126/sciadv.ady8957?af=R" TargetMode="External"/><Relationship Id="rId461" Type="http://schemas.openxmlformats.org/officeDocument/2006/relationships/hyperlink" Target="https://doi.org/10.1126/sciadv.ady8957" TargetMode="External"/><Relationship Id="rId462" Type="http://schemas.openxmlformats.org/officeDocument/2006/relationships/hyperlink" Target="https://www.science.org/doi/abs/10.1126/sciadv.ady2745?af=R" TargetMode="External"/><Relationship Id="rId463" Type="http://schemas.openxmlformats.org/officeDocument/2006/relationships/hyperlink" Target="https://doi.org/10.1126/sciadv.ady2745" TargetMode="External"/><Relationship Id="rId464" Type="http://schemas.openxmlformats.org/officeDocument/2006/relationships/hyperlink" Target="https://www.science.org/doi/abs/10.1126/sciadv.ady9534?af=R" TargetMode="External"/><Relationship Id="rId465" Type="http://schemas.openxmlformats.org/officeDocument/2006/relationships/hyperlink" Target="https://doi.org/10.1126/sciadv.ady9534" TargetMode="External"/><Relationship Id="rId466" Type="http://schemas.openxmlformats.org/officeDocument/2006/relationships/hyperlink" Target="https://www.science.org/doi/abs/10.1126/sciadv.aea8462?af=R" TargetMode="External"/><Relationship Id="rId467" Type="http://schemas.openxmlformats.org/officeDocument/2006/relationships/hyperlink" Target="https://doi.org/10.1126/sciadv.aea8462" TargetMode="External"/><Relationship Id="rId468" Type="http://schemas.openxmlformats.org/officeDocument/2006/relationships/hyperlink" Target="https://www.science.org/doi/abs/10.1126/sciadv.aea8453?af=R" TargetMode="External"/><Relationship Id="rId469" Type="http://schemas.openxmlformats.org/officeDocument/2006/relationships/hyperlink" Target="https://doi.org/10.1126/sciadv.aea8453" TargetMode="External"/><Relationship Id="rId470" Type="http://schemas.openxmlformats.org/officeDocument/2006/relationships/hyperlink" Target="https://www.science.org/doi/abs/10.1126/sciadv.adz0460?af=R" TargetMode="External"/><Relationship Id="rId471" Type="http://schemas.openxmlformats.org/officeDocument/2006/relationships/hyperlink" Target="https://doi.org/10.1126/sciadv.adz0460" TargetMode="External"/><Relationship Id="rId472" Type="http://schemas.openxmlformats.org/officeDocument/2006/relationships/hyperlink" Target="https://www.science.org/doi/abs/10.1126/sciadv.aea6329?af=R" TargetMode="External"/><Relationship Id="rId473" Type="http://schemas.openxmlformats.org/officeDocument/2006/relationships/hyperlink" Target="https://doi.org/10.1126/sciadv.aea6329" TargetMode="External"/><Relationship Id="rId474" Type="http://schemas.openxmlformats.org/officeDocument/2006/relationships/hyperlink" Target="https://www.science.org/doi/abs/10.1126/sciadv.aea5126?af=R" TargetMode="External"/><Relationship Id="rId475" Type="http://schemas.openxmlformats.org/officeDocument/2006/relationships/hyperlink" Target="https://doi.org/10.1126/sciadv.aea5126" TargetMode="External"/><Relationship Id="rId476" Type="http://schemas.openxmlformats.org/officeDocument/2006/relationships/hyperlink" Target="https://www.science.org/doi/abs/10.1126/sciadv.aea4248?af=R" TargetMode="External"/><Relationship Id="rId477" Type="http://schemas.openxmlformats.org/officeDocument/2006/relationships/hyperlink" Target="https://doi.org/10.1126/sciadv.aea4248" TargetMode="External"/><Relationship Id="rId478" Type="http://schemas.openxmlformats.org/officeDocument/2006/relationships/hyperlink" Target="https://www.science.org/doi/abs/10.1126/sciadv.adz0645?af=R" TargetMode="External"/><Relationship Id="rId479" Type="http://schemas.openxmlformats.org/officeDocument/2006/relationships/hyperlink" Target="https://doi.org/10.1126/sciadv.adz0645" TargetMode="External"/><Relationship Id="rId480" Type="http://schemas.openxmlformats.org/officeDocument/2006/relationships/hyperlink" Target="https://www.science.org/doi/abs/10.1126/sciadv.ady9664?af=R" TargetMode="External"/><Relationship Id="rId481" Type="http://schemas.openxmlformats.org/officeDocument/2006/relationships/hyperlink" Target="https://doi.org/10.1126/sciadv.ady9664" TargetMode="External"/><Relationship Id="rId482" Type="http://schemas.openxmlformats.org/officeDocument/2006/relationships/hyperlink" Target="https://www.science.org/doi/abs/10.1126/sciadv.aeb2571?af=R" TargetMode="External"/><Relationship Id="rId483" Type="http://schemas.openxmlformats.org/officeDocument/2006/relationships/hyperlink" Target="https://doi.org/10.1126/sciadv.aeb2571" TargetMode="External"/><Relationship Id="rId484" Type="http://schemas.openxmlformats.org/officeDocument/2006/relationships/hyperlink" Target="https://www.science.org/doi/abs/10.1126/sciadv.ady0812?af=R" TargetMode="External"/><Relationship Id="rId485" Type="http://schemas.openxmlformats.org/officeDocument/2006/relationships/hyperlink" Target="https://doi.org/10.1126/sciadv.ady0812" TargetMode="External"/><Relationship Id="rId486" Type="http://schemas.openxmlformats.org/officeDocument/2006/relationships/hyperlink" Target="https://www.science.org/doi/abs/10.1126/science.adw3536?af=R" TargetMode="External"/><Relationship Id="rId487" Type="http://schemas.openxmlformats.org/officeDocument/2006/relationships/hyperlink" Target="https://doi.org/10.1126/science.adw3536" TargetMode="External"/><Relationship Id="rId488" Type="http://schemas.openxmlformats.org/officeDocument/2006/relationships/hyperlink" Target="https://www.science.org/doi/abs/10.1126/sciadv.aea1429?af=R" TargetMode="External"/><Relationship Id="rId489" Type="http://schemas.openxmlformats.org/officeDocument/2006/relationships/hyperlink" Target="https://doi.org/10.1126/sciadv.aea1429" TargetMode="External"/><Relationship Id="rId490" Type="http://schemas.openxmlformats.org/officeDocument/2006/relationships/hyperlink" Target="https://www.science.org/doi/abs/10.1126/sciadv.aeb3991?af=R" TargetMode="External"/><Relationship Id="rId491" Type="http://schemas.openxmlformats.org/officeDocument/2006/relationships/hyperlink" Target="https://doi.org/10.1126/sciadv.aeb3991" TargetMode="External"/><Relationship Id="rId492" Type="http://schemas.openxmlformats.org/officeDocument/2006/relationships/hyperlink" Target="https://www.science.org/doi/abs/10.1126/sciadv.aeb8865?af=R" TargetMode="External"/><Relationship Id="rId493" Type="http://schemas.openxmlformats.org/officeDocument/2006/relationships/hyperlink" Target="https://doi.org/10.1126/sciadv.aeb8865" TargetMode="External"/><Relationship Id="rId494" Type="http://schemas.openxmlformats.org/officeDocument/2006/relationships/hyperlink" Target="https://www.science.org/doi/abs/10.1126/sciadv.aeb9059?af=R" TargetMode="External"/><Relationship Id="rId495" Type="http://schemas.openxmlformats.org/officeDocument/2006/relationships/hyperlink" Target="https://doi.org/10.1126/sciadv.aeb9059" TargetMode="External"/><Relationship Id="rId496" Type="http://schemas.openxmlformats.org/officeDocument/2006/relationships/hyperlink" Target="https://www.science.org/doi/abs/10.1126/sciadv.aee3841?af=R" TargetMode="External"/><Relationship Id="rId497" Type="http://schemas.openxmlformats.org/officeDocument/2006/relationships/hyperlink" Target="https://doi.org/10.1126/sciadv.aee3841" TargetMode="External"/><Relationship Id="rId498" Type="http://schemas.openxmlformats.org/officeDocument/2006/relationships/hyperlink" Target="https://www.science.org/doi/abs/10.1126/science.ady6017?af=R" TargetMode="External"/><Relationship Id="rId499" Type="http://schemas.openxmlformats.org/officeDocument/2006/relationships/hyperlink" Target="https://doi.org/10.1126/science.ady6017" TargetMode="External"/><Relationship Id="rId500" Type="http://schemas.openxmlformats.org/officeDocument/2006/relationships/hyperlink" Target="https://www.science.org/doi/abs/10.1126/sciadv.ady2539?af=R" TargetMode="External"/><Relationship Id="rId501" Type="http://schemas.openxmlformats.org/officeDocument/2006/relationships/hyperlink" Target="https://doi.org/10.1126/sciadv.ady2539" TargetMode="External"/><Relationship Id="rId502" Type="http://schemas.openxmlformats.org/officeDocument/2006/relationships/hyperlink" Target="https://www.science.org/doi/abs/10.1126/science.adv4963?af=R" TargetMode="External"/><Relationship Id="rId503" Type="http://schemas.openxmlformats.org/officeDocument/2006/relationships/hyperlink" Target="https://doi.org/10.1126/science.adv4963" TargetMode="External"/><Relationship Id="rId504" Type="http://schemas.openxmlformats.org/officeDocument/2006/relationships/hyperlink" Target="https://www.science.org/doi/abs/10.1126/science.adw1264?af=R" TargetMode="External"/><Relationship Id="rId505" Type="http://schemas.openxmlformats.org/officeDocument/2006/relationships/hyperlink" Target="https://doi.org/10.1126/science.adw1264" TargetMode="External"/><Relationship Id="rId506" Type="http://schemas.openxmlformats.org/officeDocument/2006/relationships/hyperlink" Target="https://www.science.org/doi/abs/10.1126/science.adw8151?af=R" TargetMode="External"/><Relationship Id="rId507" Type="http://schemas.openxmlformats.org/officeDocument/2006/relationships/hyperlink" Target="https://doi.org/10.1126/science.adw8151" TargetMode="External"/><Relationship Id="rId508" Type="http://schemas.openxmlformats.org/officeDocument/2006/relationships/hyperlink" Target="http://dx.doi.org/10.1021/jacs.5c18265" TargetMode="External"/><Relationship Id="rId509" Type="http://schemas.openxmlformats.org/officeDocument/2006/relationships/hyperlink" Target="https://doi.org/10.1021/jacs.5c18265" TargetMode="External"/><Relationship Id="rId510" Type="http://schemas.openxmlformats.org/officeDocument/2006/relationships/hyperlink" Target="http://dx.doi.org/10.1021/jacs.5c18589" TargetMode="External"/><Relationship Id="rId511" Type="http://schemas.openxmlformats.org/officeDocument/2006/relationships/hyperlink" Target="https://doi.org/10.1021/jacs.5c18589" TargetMode="External"/><Relationship Id="rId512" Type="http://schemas.openxmlformats.org/officeDocument/2006/relationships/hyperlink" Target="http://dx.doi.org/10.1021/jacs.5c20893" TargetMode="External"/><Relationship Id="rId513" Type="http://schemas.openxmlformats.org/officeDocument/2006/relationships/hyperlink" Target="https://doi.org/10.1021/jacs.5c20893" TargetMode="External"/><Relationship Id="rId514" Type="http://schemas.openxmlformats.org/officeDocument/2006/relationships/hyperlink" Target="http://dx.doi.org/10.1021/jacs.5c18368" TargetMode="External"/><Relationship Id="rId515" Type="http://schemas.openxmlformats.org/officeDocument/2006/relationships/hyperlink" Target="https://doi.org/10.1021/jacs.5c18368" TargetMode="External"/><Relationship Id="rId516" Type="http://schemas.openxmlformats.org/officeDocument/2006/relationships/hyperlink" Target="http://dx.doi.org/10.1021/acsenergylett.5c03333" TargetMode="External"/><Relationship Id="rId517" Type="http://schemas.openxmlformats.org/officeDocument/2006/relationships/hyperlink" Target="https://doi.org/10.1021/acsenergylett.5c03333" TargetMode="External"/><Relationship Id="rId518" Type="http://schemas.openxmlformats.org/officeDocument/2006/relationships/hyperlink" Target="http://dx.doi.org/10.1021/jacs.5c18188" TargetMode="External"/><Relationship Id="rId519" Type="http://schemas.openxmlformats.org/officeDocument/2006/relationships/hyperlink" Target="https://doi.org/10.1021/jacs.5c18188" TargetMode="External"/><Relationship Id="rId520" Type="http://schemas.openxmlformats.org/officeDocument/2006/relationships/hyperlink" Target="http://dx.doi.org/10.1021/jacs.5c15456" TargetMode="External"/><Relationship Id="rId521" Type="http://schemas.openxmlformats.org/officeDocument/2006/relationships/hyperlink" Target="https://doi.org/10.1021/jacs.5c15456" TargetMode="External"/><Relationship Id="rId522" Type="http://schemas.openxmlformats.org/officeDocument/2006/relationships/hyperlink" Target="http://dx.doi.org/10.1021/jacs.5c20844" TargetMode="External"/><Relationship Id="rId523" Type="http://schemas.openxmlformats.org/officeDocument/2006/relationships/hyperlink" Target="https://doi.org/10.1021/jacs.5c20844" TargetMode="External"/><Relationship Id="rId524" Type="http://schemas.openxmlformats.org/officeDocument/2006/relationships/hyperlink" Target="https://www.nature.com/articles/s41560-025-01909-3" TargetMode="External"/><Relationship Id="rId525" Type="http://schemas.openxmlformats.org/officeDocument/2006/relationships/hyperlink" Target="https://www.nature.com/articles/s44359-025-00123-4" TargetMode="External"/><Relationship Id="rId526" Type="http://schemas.openxmlformats.org/officeDocument/2006/relationships/hyperlink" Target="https://www.nature.com/articles/s41893-025-01721-7" TargetMode="External"/><Relationship Id="rId527" Type="http://schemas.openxmlformats.org/officeDocument/2006/relationships/hyperlink" Target="http://pubs.rsc.org/en/Content/ArticleLanding/2026/CS/D5CS00938C" TargetMode="External"/><Relationship Id="rId528" Type="http://schemas.openxmlformats.org/officeDocument/2006/relationships/hyperlink" Target="https://www.nature.com/articles/s41928-025-01505-z" TargetMode="External"/><Relationship Id="rId529" Type="http://schemas.openxmlformats.org/officeDocument/2006/relationships/hyperlink" Target="http://pubs.rsc.org/en/Content/ArticleLanding/2026/EE/D5EE05078B" TargetMode="External"/><Relationship Id="rId530" Type="http://schemas.openxmlformats.org/officeDocument/2006/relationships/hyperlink" Target="https://www.nature.com/articles/s41557-025-02012-6" TargetMode="External"/><Relationship Id="rId531" Type="http://schemas.openxmlformats.org/officeDocument/2006/relationships/hyperlink" Target="https://academic.oup.com/nsr/advance-article/doi/10.1093/nsr/nwaf595/8408467?rss=1" TargetMode="External"/><Relationship Id="rId532" Type="http://schemas.openxmlformats.org/officeDocument/2006/relationships/hyperlink" Target="https://doi.org/10.1093/nsr/nwaf595/8408467" TargetMode="External"/><Relationship Id="rId533" Type="http://schemas.openxmlformats.org/officeDocument/2006/relationships/hyperlink" Target="https://www.nature.com/articles/s41893-025-01712-8" TargetMode="External"/><Relationship Id="rId534" Type="http://schemas.openxmlformats.org/officeDocument/2006/relationships/hyperlink" Target="https://www.nature.com/articles/s41557-025-02025-1" TargetMode="External"/><Relationship Id="rId535" Type="http://schemas.openxmlformats.org/officeDocument/2006/relationships/hyperlink" Target="https://www.cell.com/chem/fulltext/S2451-9294(25)00506-6?rss=yes" TargetMode="External"/><Relationship Id="rId536" Type="http://schemas.openxmlformats.org/officeDocument/2006/relationships/hyperlink" Target="https://www.cell.com/joule/fulltext/S2542-4351(25)00453-2?rss=yes" TargetMode="External"/><Relationship Id="rId537" Type="http://schemas.openxmlformats.org/officeDocument/2006/relationships/hyperlink" Target="https://academic.oup.com/nsr/advance-article/doi/10.1093/nsr/nwaf596/8408452?rss=1" TargetMode="External"/><Relationship Id="rId538" Type="http://schemas.openxmlformats.org/officeDocument/2006/relationships/hyperlink" Target="https://doi.org/10.1093/nsr/nwaf596/8408452" TargetMode="External"/><Relationship Id="rId539" Type="http://schemas.openxmlformats.org/officeDocument/2006/relationships/hyperlink" Target="https://www.nature.com/articles/s41557-025-02027-z" TargetMode="External"/><Relationship Id="rId540" Type="http://schemas.openxmlformats.org/officeDocument/2006/relationships/hyperlink" Target="https://www.cell.com/one-earth/fulltext/S2590-3322(25)00388-4?rss=yes" TargetMode="External"/><Relationship Id="rId541" Type="http://schemas.openxmlformats.org/officeDocument/2006/relationships/hyperlink" Target="https://www.nature.com/articles/s41563-025-02422-4" TargetMode="External"/><Relationship Id="rId542" Type="http://schemas.openxmlformats.org/officeDocument/2006/relationships/hyperlink" Target="https://www.nature.com/articles/s41560-025-01928-0" TargetMode="External"/><Relationship Id="rId543" Type="http://schemas.openxmlformats.org/officeDocument/2006/relationships/hyperlink" Target="https://www.nature.com/articles/s41557-025-02030-4" TargetMode="External"/><Relationship Id="rId544" Type="http://schemas.openxmlformats.org/officeDocument/2006/relationships/hyperlink" Target="https://www.nature.com/articles/s41557-025-02032-2" TargetMode="External"/><Relationship Id="rId545" Type="http://schemas.openxmlformats.org/officeDocument/2006/relationships/hyperlink" Target="https://www.cell.com/chem/fulltext/S2451-9294(25)00507-8?rss=yes" TargetMode="External"/><Relationship Id="rId546" Type="http://schemas.openxmlformats.org/officeDocument/2006/relationships/hyperlink" Target="https://www.nature.com/articles/s41928-025-01503-1" TargetMode="External"/><Relationship Id="rId547" Type="http://schemas.openxmlformats.org/officeDocument/2006/relationships/hyperlink" Target="https://www.nature.com/articles/s41893-025-01723-5" TargetMode="External"/><Relationship Id="rId548" Type="http://schemas.openxmlformats.org/officeDocument/2006/relationships/hyperlink" Target="https://www.sciencedirect.com/science/article/pii/S0301421525005579?dgcid=rss_sd_all" TargetMode="External"/><Relationship Id="rId549" Type="http://schemas.openxmlformats.org/officeDocument/2006/relationships/hyperlink" Target="https://www.sciencedirect.com/science/article/pii/S1369702125005528?dgcid=rss_sd_all" TargetMode="External"/><Relationship Id="rId550" Type="http://schemas.openxmlformats.org/officeDocument/2006/relationships/hyperlink" Target="http://pubs.rsc.org/en/Content/ArticleLanding/2026/CS/D4CS00479E" TargetMode="External"/><Relationship Id="rId551" Type="http://schemas.openxmlformats.org/officeDocument/2006/relationships/hyperlink" Target="https://advanced.onlinelibrary.wiley.com/doi/10.1002/adma.202521458?af=R" TargetMode="External"/><Relationship Id="rId552" Type="http://schemas.openxmlformats.org/officeDocument/2006/relationships/hyperlink" Target="https://doi.org/10.1002/adma.202521458" TargetMode="External"/><Relationship Id="rId553" Type="http://schemas.openxmlformats.org/officeDocument/2006/relationships/hyperlink" Target="https://advanced.onlinelibrary.wiley.com/doi/10.1002/aenm.202505223?af=R" TargetMode="External"/><Relationship Id="rId554" Type="http://schemas.openxmlformats.org/officeDocument/2006/relationships/hyperlink" Target="https://doi.org/10.1002/aenm.202505223" TargetMode="External"/><Relationship Id="rId555" Type="http://schemas.openxmlformats.org/officeDocument/2006/relationships/hyperlink" Target="https://advanced.onlinelibrary.wiley.com/doi/10.1002/aenm.202505287?af=R" TargetMode="External"/><Relationship Id="rId556" Type="http://schemas.openxmlformats.org/officeDocument/2006/relationships/hyperlink" Target="https://doi.org/10.1002/aenm.202505287" TargetMode="External"/><Relationship Id="rId557" Type="http://schemas.openxmlformats.org/officeDocument/2006/relationships/hyperlink" Target="https://onlinelibrary.wiley.com/doi/10.1002/anie.202523745?af=R" TargetMode="External"/><Relationship Id="rId558" Type="http://schemas.openxmlformats.org/officeDocument/2006/relationships/hyperlink" Target="https://doi.org/10.1002/anie.202523745" TargetMode="External"/><Relationship Id="rId559" Type="http://schemas.openxmlformats.org/officeDocument/2006/relationships/hyperlink" Target="https://onlinelibrary.wiley.com/doi/10.1002/anie.202522238?af=R" TargetMode="External"/><Relationship Id="rId560" Type="http://schemas.openxmlformats.org/officeDocument/2006/relationships/hyperlink" Target="https://doi.org/10.1002/anie.202522238" TargetMode="External"/><Relationship Id="rId561" Type="http://schemas.openxmlformats.org/officeDocument/2006/relationships/hyperlink" Target="https://onlinelibrary.wiley.com/doi/10.1002/anie.202522056?af=R" TargetMode="External"/><Relationship Id="rId562" Type="http://schemas.openxmlformats.org/officeDocument/2006/relationships/hyperlink" Target="https://doi.org/10.1002/anie.202522056" TargetMode="External"/><Relationship Id="rId563" Type="http://schemas.openxmlformats.org/officeDocument/2006/relationships/hyperlink" Target="https://onlinelibrary.wiley.com/doi/10.1002/anie.202523778?af=R" TargetMode="External"/><Relationship Id="rId564" Type="http://schemas.openxmlformats.org/officeDocument/2006/relationships/hyperlink" Target="https://doi.org/10.1002/anie.202523778" TargetMode="External"/><Relationship Id="rId565" Type="http://schemas.openxmlformats.org/officeDocument/2006/relationships/hyperlink" Target="https://onlinelibrary.wiley.com/doi/10.1002/anie.202512791?af=R" TargetMode="External"/><Relationship Id="rId566" Type="http://schemas.openxmlformats.org/officeDocument/2006/relationships/hyperlink" Target="https://doi.org/10.1002/anie.202512791" TargetMode="External"/><Relationship Id="rId567" Type="http://schemas.openxmlformats.org/officeDocument/2006/relationships/hyperlink" Target="https://onlinelibrary.wiley.com/doi/10.1002/anie.202516157?af=R" TargetMode="External"/><Relationship Id="rId568" Type="http://schemas.openxmlformats.org/officeDocument/2006/relationships/hyperlink" Target="https://doi.org/10.1002/anie.202516157" TargetMode="External"/><Relationship Id="rId569" Type="http://schemas.openxmlformats.org/officeDocument/2006/relationships/hyperlink" Target="https://onlinelibrary.wiley.com/doi/10.1002/anie.202522652?af=R" TargetMode="External"/><Relationship Id="rId570" Type="http://schemas.openxmlformats.org/officeDocument/2006/relationships/hyperlink" Target="https://doi.org/10.1002/anie.202522652" TargetMode="External"/><Relationship Id="rId571" Type="http://schemas.openxmlformats.org/officeDocument/2006/relationships/hyperlink" Target="https://advanced.onlinelibrary.wiley.com/doi/10.1002/aenm.202505745?af=R" TargetMode="External"/><Relationship Id="rId572" Type="http://schemas.openxmlformats.org/officeDocument/2006/relationships/hyperlink" Target="https://doi.org/10.1002/aenm.202505745" TargetMode="External"/><Relationship Id="rId573" Type="http://schemas.openxmlformats.org/officeDocument/2006/relationships/hyperlink" Target="https://onlinelibrary.wiley.com/doi/10.1002/anie.202512913?af=R" TargetMode="External"/><Relationship Id="rId574" Type="http://schemas.openxmlformats.org/officeDocument/2006/relationships/hyperlink" Target="https://doi.org/10.1002/anie.202512913" TargetMode="External"/><Relationship Id="rId575" Type="http://schemas.openxmlformats.org/officeDocument/2006/relationships/hyperlink" Target="https://onlinelibrary.wiley.com/doi/10.1002/anie.202522699?af=R" TargetMode="External"/><Relationship Id="rId576" Type="http://schemas.openxmlformats.org/officeDocument/2006/relationships/hyperlink" Target="https://doi.org/10.1002/anie.202522699" TargetMode="External"/><Relationship Id="rId577" Type="http://schemas.openxmlformats.org/officeDocument/2006/relationships/hyperlink" Target="https://advanced.onlinelibrary.wiley.com/doi/10.1002/adma.202507931?af=R" TargetMode="External"/><Relationship Id="rId578" Type="http://schemas.openxmlformats.org/officeDocument/2006/relationships/hyperlink" Target="https://doi.org/10.1002/adma.202507931" TargetMode="External"/><Relationship Id="rId579" Type="http://schemas.openxmlformats.org/officeDocument/2006/relationships/hyperlink" Target="https://advanced.onlinelibrary.wiley.com/doi/10.1002/adma.202517222?af=R" TargetMode="External"/><Relationship Id="rId580" Type="http://schemas.openxmlformats.org/officeDocument/2006/relationships/hyperlink" Target="https://doi.org/10.1002/adma.202517222" TargetMode="External"/><Relationship Id="rId581" Type="http://schemas.openxmlformats.org/officeDocument/2006/relationships/hyperlink" Target="https://advanced.onlinelibrary.wiley.com/doi/10.1002/adma.202520313?af=R" TargetMode="External"/><Relationship Id="rId582" Type="http://schemas.openxmlformats.org/officeDocument/2006/relationships/hyperlink" Target="https://doi.org/10.1002/adma.202520313" TargetMode="External"/><Relationship Id="rId583" Type="http://schemas.openxmlformats.org/officeDocument/2006/relationships/hyperlink" Target="https://advanced.onlinelibrary.wiley.com/doi/10.1002/adma.202517678?af=R" TargetMode="External"/><Relationship Id="rId584" Type="http://schemas.openxmlformats.org/officeDocument/2006/relationships/hyperlink" Target="https://doi.org/10.1002/adma.202517678" TargetMode="External"/><Relationship Id="rId585" Type="http://schemas.openxmlformats.org/officeDocument/2006/relationships/hyperlink" Target="https://advanced.onlinelibrary.wiley.com/doi/10.1002/adma.202518526?af=R" TargetMode="External"/><Relationship Id="rId586" Type="http://schemas.openxmlformats.org/officeDocument/2006/relationships/hyperlink" Target="https://doi.org/10.1002/adma.202518526" TargetMode="External"/><Relationship Id="rId587" Type="http://schemas.openxmlformats.org/officeDocument/2006/relationships/hyperlink" Target="https://www.science.org/doi/abs/10.1126/sciadv.ady1030?af=R" TargetMode="External"/><Relationship Id="rId588" Type="http://schemas.openxmlformats.org/officeDocument/2006/relationships/hyperlink" Target="https://doi.org/10.1126/sciadv.ady1030" TargetMode="External"/><Relationship Id="rId589" Type="http://schemas.openxmlformats.org/officeDocument/2006/relationships/hyperlink" Target="https://www.science.org/doi/abs/10.1126/sciadv.ady1136?af=R" TargetMode="External"/><Relationship Id="rId590" Type="http://schemas.openxmlformats.org/officeDocument/2006/relationships/hyperlink" Target="https://doi.org/10.1126/sciadv.ady1136" TargetMode="External"/><Relationship Id="rId591" Type="http://schemas.openxmlformats.org/officeDocument/2006/relationships/hyperlink" Target="https://www.science.org/doi/abs/10.1126/sciadv.aee9299?af=R" TargetMode="External"/><Relationship Id="rId592" Type="http://schemas.openxmlformats.org/officeDocument/2006/relationships/hyperlink" Target="https://doi.org/10.1126/sciadv.aee9299" TargetMode="External"/><Relationship Id="rId593" Type="http://schemas.openxmlformats.org/officeDocument/2006/relationships/hyperlink" Target="https://www.pnas.org/doi/abs/10.1073/pnas.2525795122?mi=eymic2&amp;af=R&amp;access=on&amp;content=articlesChapters&amp;publication=pnas&amp;sortBy=Earliest&amp;target=default" TargetMode="External"/><Relationship Id="rId594" Type="http://schemas.openxmlformats.org/officeDocument/2006/relationships/hyperlink" Target="https://doi.org/10.1073/pnas.2525795122" TargetMode="External"/><Relationship Id="rId595" Type="http://schemas.openxmlformats.org/officeDocument/2006/relationships/hyperlink" Target="https://www.science.org/doi/abs/10.1126/sciadv.adx7389?af=R" TargetMode="External"/><Relationship Id="rId596" Type="http://schemas.openxmlformats.org/officeDocument/2006/relationships/hyperlink" Target="https://doi.org/10.1126/sciadv.adx7389" TargetMode="External"/><Relationship Id="rId597" Type="http://schemas.openxmlformats.org/officeDocument/2006/relationships/hyperlink" Target="https://www.science.org/doi/abs/10.1126/sciadv.adx9616?af=R" TargetMode="External"/><Relationship Id="rId598" Type="http://schemas.openxmlformats.org/officeDocument/2006/relationships/hyperlink" Target="https://doi.org/10.1126/sciadv.adx9616" TargetMode="External"/><Relationship Id="rId599" Type="http://schemas.openxmlformats.org/officeDocument/2006/relationships/hyperlink" Target="https://www.pnas.org/doi/abs/10.1073/pnas.2505932123?mi=eymic2&amp;af=R&amp;access=on&amp;content=articlesChapters&amp;publication=pnas&amp;sortBy=Earliest&amp;target=default" TargetMode="External"/><Relationship Id="rId600" Type="http://schemas.openxmlformats.org/officeDocument/2006/relationships/hyperlink" Target="https://doi.org/10.1073/pnas.2505932123" TargetMode="External"/><Relationship Id="rId601" Type="http://schemas.openxmlformats.org/officeDocument/2006/relationships/hyperlink" Target="https://www.science.org/doi/abs/10.1126/sciadv.adx8352?af=R" TargetMode="External"/><Relationship Id="rId602" Type="http://schemas.openxmlformats.org/officeDocument/2006/relationships/hyperlink" Target="https://doi.org/10.1126/sciadv.adx8352" TargetMode="External"/><Relationship Id="rId603" Type="http://schemas.openxmlformats.org/officeDocument/2006/relationships/hyperlink" Target="https://www.science.org/doi/abs/10.1126/sciadv.adx6477?af=R" TargetMode="External"/><Relationship Id="rId604" Type="http://schemas.openxmlformats.org/officeDocument/2006/relationships/hyperlink" Target="https://doi.org/10.1126/sciadv.adx6477" TargetMode="External"/><Relationship Id="rId605" Type="http://schemas.openxmlformats.org/officeDocument/2006/relationships/hyperlink" Target="https://www.pnas.org/doi/abs/10.1073/pnas.2525975123?mi=eymic2&amp;af=R&amp;access=on&amp;content=articlesChapters&amp;publication=pnas&amp;sortBy=Earliest&amp;target=default" TargetMode="External"/><Relationship Id="rId606" Type="http://schemas.openxmlformats.org/officeDocument/2006/relationships/hyperlink" Target="https://doi.org/10.1073/pnas.2525975123" TargetMode="External"/><Relationship Id="rId607" Type="http://schemas.openxmlformats.org/officeDocument/2006/relationships/hyperlink" Target="https://www.science.org/doi/abs/10.1126/sciadv.adx5460?af=R" TargetMode="External"/><Relationship Id="rId608" Type="http://schemas.openxmlformats.org/officeDocument/2006/relationships/hyperlink" Target="https://doi.org/10.1126/sciadv.adx5460" TargetMode="External"/><Relationship Id="rId609" Type="http://schemas.openxmlformats.org/officeDocument/2006/relationships/hyperlink" Target="https://www.science.org/doi/abs/10.1126/sciadv.aea1299?af=R" TargetMode="External"/><Relationship Id="rId610" Type="http://schemas.openxmlformats.org/officeDocument/2006/relationships/hyperlink" Target="https://doi.org/10.1126/sciadv.aea1299" TargetMode="External"/><Relationship Id="rId611" Type="http://schemas.openxmlformats.org/officeDocument/2006/relationships/hyperlink" Target="https://www.science.org/doi/abs/10.1126/sciadv.adw9912?af=R" TargetMode="External"/><Relationship Id="rId612" Type="http://schemas.openxmlformats.org/officeDocument/2006/relationships/hyperlink" Target="https://doi.org/10.1126/sciadv.adw9912" TargetMode="External"/><Relationship Id="rId613" Type="http://schemas.openxmlformats.org/officeDocument/2006/relationships/hyperlink" Target="https://www.science.org/doi/abs/10.1126/sciadv.adz9934?af=R" TargetMode="External"/><Relationship Id="rId614" Type="http://schemas.openxmlformats.org/officeDocument/2006/relationships/hyperlink" Target="https://doi.org/10.1126/sciadv.adz9934" TargetMode="External"/><Relationship Id="rId615" Type="http://schemas.openxmlformats.org/officeDocument/2006/relationships/hyperlink" Target="https://www.science.org/doi/abs/10.1126/sciadv.ady0628?af=R" TargetMode="External"/><Relationship Id="rId616" Type="http://schemas.openxmlformats.org/officeDocument/2006/relationships/hyperlink" Target="https://doi.org/10.1126/sciadv.ady0628" TargetMode="External"/><Relationship Id="rId617" Type="http://schemas.openxmlformats.org/officeDocument/2006/relationships/hyperlink" Target="https://www.science.org/doi/abs/10.1126/sciadv.aec2776?af=R" TargetMode="External"/><Relationship Id="rId618" Type="http://schemas.openxmlformats.org/officeDocument/2006/relationships/hyperlink" Target="https://doi.org/10.1126/sciadv.aec2776" TargetMode="External"/><Relationship Id="rId619" Type="http://schemas.openxmlformats.org/officeDocument/2006/relationships/hyperlink" Target="https://www.science.org/doi/abs/10.1126/sciadv.aeb6424?af=R" TargetMode="External"/><Relationship Id="rId620" Type="http://schemas.openxmlformats.org/officeDocument/2006/relationships/hyperlink" Target="https://doi.org/10.1126/sciadv.aeb6424" TargetMode="External"/><Relationship Id="rId621" Type="http://schemas.openxmlformats.org/officeDocument/2006/relationships/hyperlink" Target="https://www.science.org/doi/abs/10.1126/sciadv.aec0915?af=R" TargetMode="External"/><Relationship Id="rId622" Type="http://schemas.openxmlformats.org/officeDocument/2006/relationships/hyperlink" Target="https://doi.org/10.1126/sciadv.aec0915" TargetMode="External"/><Relationship Id="rId623" Type="http://schemas.openxmlformats.org/officeDocument/2006/relationships/hyperlink" Target="https://www.science.org/doi/abs/10.1126/sciadv.aea5558?af=R" TargetMode="External"/><Relationship Id="rId624" Type="http://schemas.openxmlformats.org/officeDocument/2006/relationships/hyperlink" Target="https://doi.org/10.1126/sciadv.aea5558" TargetMode="External"/><Relationship Id="rId625" Type="http://schemas.openxmlformats.org/officeDocument/2006/relationships/hyperlink" Target="https://www.science.org/doi/abs/10.1126/sciadv.aea6228?af=R" TargetMode="External"/><Relationship Id="rId626" Type="http://schemas.openxmlformats.org/officeDocument/2006/relationships/hyperlink" Target="https://doi.org/10.1126/sciadv.aea6228" TargetMode="External"/><Relationship Id="rId627" Type="http://schemas.openxmlformats.org/officeDocument/2006/relationships/hyperlink" Target="https://www.science.org/doi/abs/10.1126/sciadv.aea7403?af=R" TargetMode="External"/><Relationship Id="rId628" Type="http://schemas.openxmlformats.org/officeDocument/2006/relationships/hyperlink" Target="https://doi.org/10.1126/sciadv.aea7403" TargetMode="External"/><Relationship Id="rId629" Type="http://schemas.openxmlformats.org/officeDocument/2006/relationships/hyperlink" Target="https://www.science.org/doi/abs/10.1126/sciadv.aea7735?af=R" TargetMode="External"/><Relationship Id="rId630" Type="http://schemas.openxmlformats.org/officeDocument/2006/relationships/hyperlink" Target="https://doi.org/10.1126/sciadv.aea7735" TargetMode="External"/><Relationship Id="rId631" Type="http://schemas.openxmlformats.org/officeDocument/2006/relationships/hyperlink" Target="https://www.science.org/doi/abs/10.1126/sciadv.adz0228?af=R" TargetMode="External"/><Relationship Id="rId632" Type="http://schemas.openxmlformats.org/officeDocument/2006/relationships/hyperlink" Target="https://doi.org/10.1126/sciadv.adz0228" TargetMode="External"/><Relationship Id="rId633" Type="http://schemas.openxmlformats.org/officeDocument/2006/relationships/hyperlink" Target="https://www.science.org/doi/abs/10.1126/sciadv.aea8588?af=R" TargetMode="External"/><Relationship Id="rId634" Type="http://schemas.openxmlformats.org/officeDocument/2006/relationships/hyperlink" Target="https://doi.org/10.1126/sciadv.aea8588" TargetMode="External"/><Relationship Id="rId635" Type="http://schemas.openxmlformats.org/officeDocument/2006/relationships/hyperlink" Target="https://www.science.org/doi/abs/10.1126/sciadv.aea8771?af=R" TargetMode="External"/><Relationship Id="rId636" Type="http://schemas.openxmlformats.org/officeDocument/2006/relationships/hyperlink" Target="https://doi.org/10.1126/sciadv.aea8771" TargetMode="External"/><Relationship Id="rId637" Type="http://schemas.openxmlformats.org/officeDocument/2006/relationships/hyperlink" Target="https://www.science.org/doi/abs/10.1126/sciadv.ady8646?af=R" TargetMode="External"/><Relationship Id="rId638" Type="http://schemas.openxmlformats.org/officeDocument/2006/relationships/hyperlink" Target="https://doi.org/10.1126/sciadv.ady8646" TargetMode="External"/><Relationship Id="rId639" Type="http://schemas.openxmlformats.org/officeDocument/2006/relationships/hyperlink" Target="https://www.science.org/doi/abs/10.1126/sciadv.aea8941?af=R" TargetMode="External"/><Relationship Id="rId640" Type="http://schemas.openxmlformats.org/officeDocument/2006/relationships/hyperlink" Target="https://doi.org/10.1126/sciadv.aea8941" TargetMode="External"/><Relationship Id="rId641" Type="http://schemas.openxmlformats.org/officeDocument/2006/relationships/hyperlink" Target="https://www.science.org/doi/abs/10.1126/sciadv.ady5905?af=R" TargetMode="External"/><Relationship Id="rId642" Type="http://schemas.openxmlformats.org/officeDocument/2006/relationships/hyperlink" Target="https://doi.org/10.1126/sciadv.ady5905" TargetMode="External"/><Relationship Id="rId643" Type="http://schemas.openxmlformats.org/officeDocument/2006/relationships/hyperlink" Target="https://www.science.org/doi/abs/10.1126/sciadv.ady5421?af=R" TargetMode="External"/><Relationship Id="rId644" Type="http://schemas.openxmlformats.org/officeDocument/2006/relationships/hyperlink" Target="https://doi.org/10.1126/sciadv.ady5421" TargetMode="External"/><Relationship Id="rId645" Type="http://schemas.openxmlformats.org/officeDocument/2006/relationships/hyperlink" Target="https://www.science.org/doi/abs/10.1126/sciadv.ady5416?af=R" TargetMode="External"/><Relationship Id="rId646" Type="http://schemas.openxmlformats.org/officeDocument/2006/relationships/hyperlink" Target="https://doi.org/10.1126/sciadv.ady5416" TargetMode="External"/><Relationship Id="rId647" Type="http://schemas.openxmlformats.org/officeDocument/2006/relationships/hyperlink" Target="https://www.science.org/doi/abs/10.1126/sciadv.ady4112?af=R" TargetMode="External"/><Relationship Id="rId648" Type="http://schemas.openxmlformats.org/officeDocument/2006/relationships/hyperlink" Target="https://doi.org/10.1126/sciadv.ady4112" TargetMode="External"/><Relationship Id="rId649" Type="http://schemas.openxmlformats.org/officeDocument/2006/relationships/hyperlink" Target="https://www.science.org/doi/abs/10.1126/sciadv.aea9165?af=R" TargetMode="External"/><Relationship Id="rId650" Type="http://schemas.openxmlformats.org/officeDocument/2006/relationships/hyperlink" Target="https://doi.org/10.1126/sciadv.aea9165" TargetMode="External"/><Relationship Id="rId651" Type="http://schemas.openxmlformats.org/officeDocument/2006/relationships/hyperlink" Target="https://www.pnas.org/doi/abs/10.1073/pnas.2419820122?mi=eymic2&amp;af=R&amp;access=on&amp;content=articlesChapters&amp;publication=pnas&amp;sortBy=Earliest&amp;target=default" TargetMode="External"/><Relationship Id="rId652" Type="http://schemas.openxmlformats.org/officeDocument/2006/relationships/hyperlink" Target="https://doi.org/10.1073/pnas.2419820122" TargetMode="External"/><Relationship Id="rId653" Type="http://schemas.openxmlformats.org/officeDocument/2006/relationships/hyperlink" Target="https://www.pnas.org/doi/abs/10.1073/pnas.2426754122?mi=eymic2&amp;af=R&amp;access=on&amp;content=articlesChapters&amp;publication=pnas&amp;sortBy=Earliest&amp;target=default" TargetMode="External"/><Relationship Id="rId654" Type="http://schemas.openxmlformats.org/officeDocument/2006/relationships/hyperlink" Target="https://doi.org/10.1073/pnas.2426754122" TargetMode="External"/><Relationship Id="rId655" Type="http://schemas.openxmlformats.org/officeDocument/2006/relationships/hyperlink" Target="https://www.science.org/doi/abs/10.1126/sciadv.aea9797?af=R" TargetMode="External"/><Relationship Id="rId656" Type="http://schemas.openxmlformats.org/officeDocument/2006/relationships/hyperlink" Target="https://doi.org/10.1126/sciadv.aea9797" TargetMode="External"/><Relationship Id="rId657" Type="http://schemas.openxmlformats.org/officeDocument/2006/relationships/hyperlink" Target="https://www.science.org/doi/abs/10.1126/sciadv.aeb0452?af=R" TargetMode="External"/><Relationship Id="rId658" Type="http://schemas.openxmlformats.org/officeDocument/2006/relationships/hyperlink" Target="https://doi.org/10.1126/sciadv.aeb0452" TargetMode="External"/><Relationship Id="rId659" Type="http://schemas.openxmlformats.org/officeDocument/2006/relationships/hyperlink" Target="https://www.pnas.org/doi/abs/10.1073/pnas.2503493122?mi=eymic2&amp;af=R&amp;access=on&amp;content=articlesChapters&amp;publication=pnas&amp;sortBy=Earliest&amp;target=default" TargetMode="External"/><Relationship Id="rId660" Type="http://schemas.openxmlformats.org/officeDocument/2006/relationships/hyperlink" Target="https://doi.org/10.1073/pnas.2503493122" TargetMode="External"/><Relationship Id="rId661" Type="http://schemas.openxmlformats.org/officeDocument/2006/relationships/hyperlink" Target="https://www.science.org/doi/abs/10.1126/sciadv.ady1930?af=R" TargetMode="External"/><Relationship Id="rId662" Type="http://schemas.openxmlformats.org/officeDocument/2006/relationships/hyperlink" Target="https://doi.org/10.1126/sciadv.ady1930" TargetMode="External"/><Relationship Id="rId663" Type="http://schemas.openxmlformats.org/officeDocument/2006/relationships/hyperlink" Target="https://www.science.org/doi/abs/10.1126/sciadv.aeb2700?af=R" TargetMode="External"/><Relationship Id="rId664" Type="http://schemas.openxmlformats.org/officeDocument/2006/relationships/hyperlink" Target="https://doi.org/10.1126/sciadv.aeb2700" TargetMode="External"/><Relationship Id="rId665" Type="http://schemas.openxmlformats.org/officeDocument/2006/relationships/hyperlink" Target="https://www.science.org/doi/abs/10.1126/sciadv.aeb3400?af=R" TargetMode="External"/><Relationship Id="rId666" Type="http://schemas.openxmlformats.org/officeDocument/2006/relationships/hyperlink" Target="https://doi.org/10.1126/sciadv.aeb3400" TargetMode="External"/><Relationship Id="rId667" Type="http://schemas.openxmlformats.org/officeDocument/2006/relationships/hyperlink" Target="https://www.science.org/doi/abs/10.1126/sciadv.aeb3720?af=R" TargetMode="External"/><Relationship Id="rId668" Type="http://schemas.openxmlformats.org/officeDocument/2006/relationships/hyperlink" Target="https://doi.org/10.1126/sciadv.aeb3720" TargetMode="External"/><Relationship Id="rId669" Type="http://schemas.openxmlformats.org/officeDocument/2006/relationships/hyperlink" Target="https://www.science.org/doi/abs/10.1126/sciadv.aec0523?af=R" TargetMode="External"/><Relationship Id="rId670" Type="http://schemas.openxmlformats.org/officeDocument/2006/relationships/hyperlink" Target="https://doi.org/10.1126/sciadv.aec0523" TargetMode="External"/><Relationship Id="rId671" Type="http://schemas.openxmlformats.org/officeDocument/2006/relationships/hyperlink" Target="https://www.science.org/doi/abs/10.1126/sciadv.ady1681?af=R" TargetMode="External"/><Relationship Id="rId672" Type="http://schemas.openxmlformats.org/officeDocument/2006/relationships/hyperlink" Target="https://doi.org/10.1126/sciadv.ady1681" TargetMode="External"/><Relationship Id="rId673" Type="http://schemas.openxmlformats.org/officeDocument/2006/relationships/hyperlink" Target="https://www.pnas.org/doi/abs/10.1073/pnas.2505818122?mi=eymic2&amp;af=R&amp;access=on&amp;content=articlesChapters&amp;publication=pnas&amp;sortBy=Earliest&amp;target=default" TargetMode="External"/><Relationship Id="rId674" Type="http://schemas.openxmlformats.org/officeDocument/2006/relationships/hyperlink" Target="https://doi.org/10.1073/pnas.2505818122" TargetMode="External"/><Relationship Id="rId675" Type="http://schemas.openxmlformats.org/officeDocument/2006/relationships/hyperlink" Target="https://www.pnas.org/doi/abs/10.1073/pnas.2509904122?mi=eymic2&amp;af=R&amp;access=on&amp;content=articlesChapters&amp;publication=pnas&amp;sortBy=Earliest&amp;target=default" TargetMode="External"/><Relationship Id="rId676" Type="http://schemas.openxmlformats.org/officeDocument/2006/relationships/hyperlink" Target="https://doi.org/10.1073/pnas.2509904122" TargetMode="External"/><Relationship Id="rId677" Type="http://schemas.openxmlformats.org/officeDocument/2006/relationships/hyperlink" Target="https://www.pnas.org/doi/abs/10.1073/pnas.2507708123?mi=eymic2&amp;af=R&amp;access=on&amp;content=articlesChapters&amp;publication=pnas&amp;sortBy=Earliest&amp;target=default" TargetMode="External"/><Relationship Id="rId678" Type="http://schemas.openxmlformats.org/officeDocument/2006/relationships/hyperlink" Target="https://doi.org/10.1073/pnas.2507708123" TargetMode="External"/><Relationship Id="rId679" Type="http://schemas.openxmlformats.org/officeDocument/2006/relationships/hyperlink" Target="https://www.science.org/doi/abs/10.1126/sciadv.adw7332?af=R" TargetMode="External"/><Relationship Id="rId680" Type="http://schemas.openxmlformats.org/officeDocument/2006/relationships/hyperlink" Target="https://doi.org/10.1126/sciadv.adw7332" TargetMode="External"/><Relationship Id="rId681" Type="http://schemas.openxmlformats.org/officeDocument/2006/relationships/hyperlink" Target="https://www.pnas.org/doi/abs/10.1073/pnas.2518978123?mi=eymic2&amp;af=R&amp;access=on&amp;content=articlesChapters&amp;publication=pnas&amp;sortBy=Earliest&amp;target=default" TargetMode="External"/><Relationship Id="rId682" Type="http://schemas.openxmlformats.org/officeDocument/2006/relationships/hyperlink" Target="https://doi.org/10.1073/pnas.2518978123" TargetMode="External"/><Relationship Id="rId683" Type="http://schemas.openxmlformats.org/officeDocument/2006/relationships/hyperlink" Target="https://www.pnas.org/doi/abs/10.1073/pnas.2519152123?mi=eymic2&amp;af=R&amp;access=on&amp;content=articlesChapters&amp;publication=pnas&amp;sortBy=Earliest&amp;target=default" TargetMode="External"/><Relationship Id="rId684" Type="http://schemas.openxmlformats.org/officeDocument/2006/relationships/hyperlink" Target="https://doi.org/10.1073/pnas.2519152123" TargetMode="External"/><Relationship Id="rId685" Type="http://schemas.openxmlformats.org/officeDocument/2006/relationships/hyperlink" Target="https://www.science.org/doi/abs/10.1126/sciadv.adw7832?af=R" TargetMode="External"/><Relationship Id="rId686" Type="http://schemas.openxmlformats.org/officeDocument/2006/relationships/hyperlink" Target="https://doi.org/10.1126/sciadv.adw7832" TargetMode="External"/><Relationship Id="rId687" Type="http://schemas.openxmlformats.org/officeDocument/2006/relationships/hyperlink" Target="https://www.pnas.org/doi/abs/10.1073/pnas.2519811122?mi=eymic2&amp;af=R&amp;access=on&amp;content=articlesChapters&amp;publication=pnas&amp;sortBy=Earliest&amp;target=default" TargetMode="External"/><Relationship Id="rId688" Type="http://schemas.openxmlformats.org/officeDocument/2006/relationships/hyperlink" Target="https://doi.org/10.1073/pnas.2519811122" TargetMode="External"/><Relationship Id="rId689" Type="http://schemas.openxmlformats.org/officeDocument/2006/relationships/hyperlink" Target="https://www.pnas.org/doi/abs/10.1073/pnas.2519939123?mi=eymic2&amp;af=R&amp;access=on&amp;content=articlesChapters&amp;publication=pnas&amp;sortBy=Earliest&amp;target=default" TargetMode="External"/><Relationship Id="rId690" Type="http://schemas.openxmlformats.org/officeDocument/2006/relationships/hyperlink" Target="https://doi.org/10.1073/pnas.2519939123" TargetMode="External"/><Relationship Id="rId691" Type="http://schemas.openxmlformats.org/officeDocument/2006/relationships/hyperlink" Target="https://www.pnas.org/doi/abs/10.1073/pnas.2530449123?mi=eymic2&amp;af=R&amp;access=on&amp;content=articlesChapters&amp;publication=pnas&amp;sortBy=Earliest&amp;target=default" TargetMode="External"/><Relationship Id="rId692" Type="http://schemas.openxmlformats.org/officeDocument/2006/relationships/hyperlink" Target="https://doi.org/10.1073/pnas.2530449123" TargetMode="External"/><Relationship Id="rId693" Type="http://schemas.openxmlformats.org/officeDocument/2006/relationships/hyperlink" Target="https://www.pnas.org/doi/abs/10.1073/pnas.2530367122?mi=eymic2&amp;af=R&amp;access=on&amp;content=articlesChapters&amp;publication=pnas&amp;sortBy=Earliest&amp;target=default" TargetMode="External"/><Relationship Id="rId694" Type="http://schemas.openxmlformats.org/officeDocument/2006/relationships/hyperlink" Target="https://doi.org/10.1073/pnas.2530367122" TargetMode="External"/><Relationship Id="rId695" Type="http://schemas.openxmlformats.org/officeDocument/2006/relationships/hyperlink" Target="https://www.pnas.org/doi/abs/10.1073/pnas.2530031122?mi=eymic2&amp;af=R&amp;access=on&amp;content=articlesChapters&amp;publication=pnas&amp;sortBy=Earliest&amp;target=default" TargetMode="External"/><Relationship Id="rId696" Type="http://schemas.openxmlformats.org/officeDocument/2006/relationships/hyperlink" Target="https://doi.org/10.1073/pnas.2530031122" TargetMode="External"/><Relationship Id="rId697" Type="http://schemas.openxmlformats.org/officeDocument/2006/relationships/hyperlink" Target="https://www.pnas.org/doi/abs/10.1073/pnas.2529762123?mi=eymic2&amp;af=R&amp;access=on&amp;content=articlesChapters&amp;publication=pnas&amp;sortBy=Earliest&amp;target=default" TargetMode="External"/><Relationship Id="rId698" Type="http://schemas.openxmlformats.org/officeDocument/2006/relationships/hyperlink" Target="https://doi.org/10.1073/pnas.2529762123" TargetMode="External"/><Relationship Id="rId699" Type="http://schemas.openxmlformats.org/officeDocument/2006/relationships/hyperlink" Target="https://www.pnas.org/doi/abs/10.1073/pnas.2520181123?mi=eymic2&amp;af=R&amp;access=on&amp;content=articlesChapters&amp;publication=pnas&amp;sortBy=Earliest&amp;target=default" TargetMode="External"/><Relationship Id="rId700" Type="http://schemas.openxmlformats.org/officeDocument/2006/relationships/hyperlink" Target="https://doi.org/10.1073/pnas.2520181123" TargetMode="External"/><Relationship Id="rId701" Type="http://schemas.openxmlformats.org/officeDocument/2006/relationships/hyperlink" Target="https://www.pnas.org/doi/abs/10.1073/pnas.2529140123?mi=eymic2&amp;af=R&amp;access=on&amp;content=articlesChapters&amp;publication=pnas&amp;sortBy=Earliest&amp;target=default" TargetMode="External"/><Relationship Id="rId702" Type="http://schemas.openxmlformats.org/officeDocument/2006/relationships/hyperlink" Target="https://doi.org/10.1073/pnas.2529140123" TargetMode="External"/><Relationship Id="rId703" Type="http://schemas.openxmlformats.org/officeDocument/2006/relationships/hyperlink" Target="https://www.pnas.org/doi/abs/10.1073/pnas.2528664123?mi=eymic2&amp;af=R&amp;access=on&amp;content=articlesChapters&amp;publication=pnas&amp;sortBy=Earliest&amp;target=default" TargetMode="External"/><Relationship Id="rId704" Type="http://schemas.openxmlformats.org/officeDocument/2006/relationships/hyperlink" Target="https://doi.org/10.1073/pnas.2528664123" TargetMode="External"/><Relationship Id="rId705" Type="http://schemas.openxmlformats.org/officeDocument/2006/relationships/hyperlink" Target="https://www.pnas.org/doi/abs/10.1073/pnas.2518384122?mi=eymic2&amp;af=R&amp;access=on&amp;content=articlesChapters&amp;publication=pnas&amp;sortBy=Earliest&amp;target=default" TargetMode="External"/><Relationship Id="rId706" Type="http://schemas.openxmlformats.org/officeDocument/2006/relationships/hyperlink" Target="https://doi.org/10.1073/pnas.2518384122" TargetMode="External"/><Relationship Id="rId707" Type="http://schemas.openxmlformats.org/officeDocument/2006/relationships/hyperlink" Target="https://www.pnas.org/doi/abs/10.1073/pnas.2528095123?mi=eymic2&amp;af=R&amp;access=on&amp;content=articlesChapters&amp;publication=pnas&amp;sortBy=Earliest&amp;target=default" TargetMode="External"/><Relationship Id="rId708" Type="http://schemas.openxmlformats.org/officeDocument/2006/relationships/hyperlink" Target="https://doi.org/10.1073/pnas.2528095123" TargetMode="External"/><Relationship Id="rId709" Type="http://schemas.openxmlformats.org/officeDocument/2006/relationships/hyperlink" Target="https://www.pnas.org/doi/abs/10.1073/pnas.2520867123?mi=eymic2&amp;af=R&amp;access=on&amp;content=articlesChapters&amp;publication=pnas&amp;sortBy=Earliest&amp;target=default" TargetMode="External"/><Relationship Id="rId710" Type="http://schemas.openxmlformats.org/officeDocument/2006/relationships/hyperlink" Target="https://doi.org/10.1073/pnas.2520867123" TargetMode="External"/><Relationship Id="rId711" Type="http://schemas.openxmlformats.org/officeDocument/2006/relationships/hyperlink" Target="https://www.pnas.org/doi/abs/10.1073/pnas.2521070123?mi=eymic2&amp;af=R&amp;access=on&amp;content=articlesChapters&amp;publication=pnas&amp;sortBy=Earliest&amp;target=default" TargetMode="External"/><Relationship Id="rId712" Type="http://schemas.openxmlformats.org/officeDocument/2006/relationships/hyperlink" Target="https://doi.org/10.1073/pnas.2521070123" TargetMode="External"/><Relationship Id="rId713" Type="http://schemas.openxmlformats.org/officeDocument/2006/relationships/hyperlink" Target="https://www.pnas.org/doi/abs/10.1073/pnas.2527869123?mi=eymic2&amp;af=R&amp;access=on&amp;content=articlesChapters&amp;publication=pnas&amp;sortBy=Earliest&amp;target=default" TargetMode="External"/><Relationship Id="rId714" Type="http://schemas.openxmlformats.org/officeDocument/2006/relationships/hyperlink" Target="https://doi.org/10.1073/pnas.2527869123" TargetMode="External"/><Relationship Id="rId715" Type="http://schemas.openxmlformats.org/officeDocument/2006/relationships/hyperlink" Target="https://www.pnas.org/doi/abs/10.1073/pnas.2522340122?mi=eymic2&amp;af=R&amp;access=on&amp;content=articlesChapters&amp;publication=pnas&amp;sortBy=Earliest&amp;target=default" TargetMode="External"/><Relationship Id="rId716" Type="http://schemas.openxmlformats.org/officeDocument/2006/relationships/hyperlink" Target="https://doi.org/10.1073/pnas.2522340122" TargetMode="External"/><Relationship Id="rId717" Type="http://schemas.openxmlformats.org/officeDocument/2006/relationships/hyperlink" Target="https://www.pnas.org/doi/abs/10.1073/pnas.2523996123?mi=eymic2&amp;af=R&amp;access=on&amp;content=articlesChapters&amp;publication=pnas&amp;sortBy=Earliest&amp;target=default" TargetMode="External"/><Relationship Id="rId718" Type="http://schemas.openxmlformats.org/officeDocument/2006/relationships/hyperlink" Target="https://doi.org/10.1073/pnas.2523996123" TargetMode="External"/><Relationship Id="rId719" Type="http://schemas.openxmlformats.org/officeDocument/2006/relationships/hyperlink" Target="https://www.pnas.org/doi/abs/10.1073/pnas.2524802122?mi=eymic2&amp;af=R&amp;access=on&amp;content=articlesChapters&amp;publication=pnas&amp;sortBy=Earliest&amp;target=default" TargetMode="External"/><Relationship Id="rId720" Type="http://schemas.openxmlformats.org/officeDocument/2006/relationships/hyperlink" Target="https://doi.org/10.1073/pnas.2524802122" TargetMode="External"/><Relationship Id="rId721" Type="http://schemas.openxmlformats.org/officeDocument/2006/relationships/hyperlink" Target="https://www.pnas.org/doi/abs/10.1073/pnas.2524899122?mi=eymic2&amp;af=R&amp;access=on&amp;content=articlesChapters&amp;publication=pnas&amp;sortBy=Earliest&amp;target=default" TargetMode="External"/><Relationship Id="rId722" Type="http://schemas.openxmlformats.org/officeDocument/2006/relationships/hyperlink" Target="https://doi.org/10.1073/pnas.2524899122" TargetMode="External"/><Relationship Id="rId723" Type="http://schemas.openxmlformats.org/officeDocument/2006/relationships/hyperlink" Target="https://www.pnas.org/doi/abs/10.1073/pnas.2524916123?mi=eymic2&amp;af=R&amp;access=on&amp;content=articlesChapters&amp;publication=pnas&amp;sortBy=Earliest&amp;target=default" TargetMode="External"/><Relationship Id="rId724" Type="http://schemas.openxmlformats.org/officeDocument/2006/relationships/hyperlink" Target="https://doi.org/10.1073/pnas.2524916123" TargetMode="External"/><Relationship Id="rId725" Type="http://schemas.openxmlformats.org/officeDocument/2006/relationships/hyperlink" Target="https://www.pnas.org/doi/abs/10.1073/pnas.2525144122?mi=eymic2&amp;af=R&amp;access=on&amp;content=articlesChapters&amp;publication=pnas&amp;sortBy=Earliest&amp;target=default" TargetMode="External"/><Relationship Id="rId726" Type="http://schemas.openxmlformats.org/officeDocument/2006/relationships/hyperlink" Target="https://doi.org/10.1073/pnas.2525144122" TargetMode="External"/><Relationship Id="rId727" Type="http://schemas.openxmlformats.org/officeDocument/2006/relationships/hyperlink" Target="https://www.pnas.org/doi/abs/10.1073/pnas.2527644123?mi=eymic2&amp;af=R&amp;access=on&amp;content=articlesChapters&amp;publication=pnas&amp;sortBy=Earliest&amp;target=default" TargetMode="External"/><Relationship Id="rId728" Type="http://schemas.openxmlformats.org/officeDocument/2006/relationships/hyperlink" Target="https://doi.org/10.1073/pnas.2527644123" TargetMode="External"/><Relationship Id="rId729" Type="http://schemas.openxmlformats.org/officeDocument/2006/relationships/hyperlink" Target="https://www.pnas.org/doi/abs/10.1073/pnas.2527425122?mi=eymic2&amp;af=R&amp;access=on&amp;content=articlesChapters&amp;publication=pnas&amp;sortBy=Earliest&amp;target=default" TargetMode="External"/><Relationship Id="rId730" Type="http://schemas.openxmlformats.org/officeDocument/2006/relationships/hyperlink" Target="https://doi.org/10.1073/pnas.2527425122" TargetMode="External"/><Relationship Id="rId731" Type="http://schemas.openxmlformats.org/officeDocument/2006/relationships/hyperlink" Target="https://www.pnas.org/doi/abs/10.1073/pnas.2526296123?mi=eymic2&amp;af=R&amp;access=on&amp;content=articlesChapters&amp;publication=pnas&amp;sortBy=Earliest&amp;target=default" TargetMode="External"/><Relationship Id="rId732" Type="http://schemas.openxmlformats.org/officeDocument/2006/relationships/hyperlink" Target="https://doi.org/10.1073/pnas.2526296123" TargetMode="External"/><Relationship Id="rId733" Type="http://schemas.openxmlformats.org/officeDocument/2006/relationships/hyperlink" Target="https://www.pnas.org/doi/abs/10.1073/pnas.2520865123?mi=eymic2&amp;af=R&amp;access=on&amp;content=articlesChapters&amp;publication=pnas&amp;sortBy=Earliest&amp;target=default" TargetMode="External"/><Relationship Id="rId734" Type="http://schemas.openxmlformats.org/officeDocument/2006/relationships/hyperlink" Target="https://doi.org/10.1073/pnas.2520865123" TargetMode="External"/><Relationship Id="rId735" Type="http://schemas.openxmlformats.org/officeDocument/2006/relationships/hyperlink" Target="https://www.pnas.org/doi/abs/10.1073/pnas.2517518122?mi=eymic2&amp;af=R&amp;access=on&amp;content=articlesChapters&amp;publication=pnas&amp;sortBy=Earliest&amp;target=default" TargetMode="External"/><Relationship Id="rId736" Type="http://schemas.openxmlformats.org/officeDocument/2006/relationships/hyperlink" Target="https://doi.org/10.1073/pnas.2517518122" TargetMode="External"/><Relationship Id="rId737" Type="http://schemas.openxmlformats.org/officeDocument/2006/relationships/hyperlink" Target="https://www.pnas.org/doi/abs/10.1073/pnas.2519761122?mi=eymic2&amp;af=R&amp;access=on&amp;content=articlesChapters&amp;publication=pnas&amp;sortBy=Earliest&amp;target=default" TargetMode="External"/><Relationship Id="rId738" Type="http://schemas.openxmlformats.org/officeDocument/2006/relationships/hyperlink" Target="https://doi.org/10.1073/pnas.2519761122" TargetMode="External"/><Relationship Id="rId739" Type="http://schemas.openxmlformats.org/officeDocument/2006/relationships/hyperlink" Target="https://www.pnas.org/doi/abs/10.1073/pnas.2525165123?mi=eymic2&amp;af=R&amp;access=on&amp;content=articlesChapters&amp;publication=pnas&amp;sortBy=Earliest&amp;target=default" TargetMode="External"/><Relationship Id="rId740" Type="http://schemas.openxmlformats.org/officeDocument/2006/relationships/hyperlink" Target="https://doi.org/10.1073/pnas.2525165123" TargetMode="External"/><Relationship Id="rId741" Type="http://schemas.openxmlformats.org/officeDocument/2006/relationships/hyperlink" Target="https://www.science.org/doi/abs/10.1126/sciadv.adu6505?af=R" TargetMode="External"/><Relationship Id="rId742" Type="http://schemas.openxmlformats.org/officeDocument/2006/relationships/hyperlink" Target="https://doi.org/10.1126/sciadv.adu6505" TargetMode="External"/><Relationship Id="rId743" Type="http://schemas.openxmlformats.org/officeDocument/2006/relationships/hyperlink" Target="https://www.pnas.org/doi/abs/10.1073/pnas.2514111123?mi=eymic2&amp;af=R&amp;access=on&amp;content=articlesChapters&amp;publication=pnas&amp;sortBy=Earliest&amp;target=default" TargetMode="External"/><Relationship Id="rId744" Type="http://schemas.openxmlformats.org/officeDocument/2006/relationships/hyperlink" Target="https://doi.org/10.1073/pnas.2514111123" TargetMode="External"/><Relationship Id="rId745" Type="http://schemas.openxmlformats.org/officeDocument/2006/relationships/hyperlink" Target="https://www.science.org/doi/abs/10.1126/sciadv.adu8292?af=R" TargetMode="External"/><Relationship Id="rId746" Type="http://schemas.openxmlformats.org/officeDocument/2006/relationships/hyperlink" Target="https://doi.org/10.1126/sciadv.adu8292" TargetMode="External"/><Relationship Id="rId747" Type="http://schemas.openxmlformats.org/officeDocument/2006/relationships/hyperlink" Target="https://www.pnas.org/doi/abs/10.1073/pnas.2513172122?mi=eymic2&amp;af=R&amp;access=on&amp;content=articlesChapters&amp;publication=pnas&amp;sortBy=Earliest&amp;target=default" TargetMode="External"/><Relationship Id="rId748" Type="http://schemas.openxmlformats.org/officeDocument/2006/relationships/hyperlink" Target="https://doi.org/10.1073/pnas.2513172122" TargetMode="External"/><Relationship Id="rId749" Type="http://schemas.openxmlformats.org/officeDocument/2006/relationships/hyperlink" Target="https://www.pnas.org/doi/abs/10.1073/pnas.2516365123?mi=eymic2&amp;af=R&amp;access=on&amp;content=articlesChapters&amp;publication=pnas&amp;sortBy=Earliest&amp;target=default" TargetMode="External"/><Relationship Id="rId750" Type="http://schemas.openxmlformats.org/officeDocument/2006/relationships/hyperlink" Target="https://doi.org/10.1073/pnas.2516365123" TargetMode="External"/><Relationship Id="rId751" Type="http://schemas.openxmlformats.org/officeDocument/2006/relationships/hyperlink" Target="https://www.science.org/doi/abs/10.1126/sciadv.adv0130?af=R" TargetMode="External"/><Relationship Id="rId752" Type="http://schemas.openxmlformats.org/officeDocument/2006/relationships/hyperlink" Target="https://doi.org/10.1126/sciadv.adv0130" TargetMode="External"/><Relationship Id="rId753" Type="http://schemas.openxmlformats.org/officeDocument/2006/relationships/hyperlink" Target="https://www.science.org/doi/abs/10.1126/sciadv.adt6577?af=R" TargetMode="External"/><Relationship Id="rId754" Type="http://schemas.openxmlformats.org/officeDocument/2006/relationships/hyperlink" Target="https://doi.org/10.1126/sciadv.adt6577" TargetMode="External"/><Relationship Id="rId755" Type="http://schemas.openxmlformats.org/officeDocument/2006/relationships/hyperlink" Target="https://www.pnas.org/doi/abs/10.1073/pnas.2513044123?mi=eymic2&amp;af=R&amp;access=on&amp;content=articlesChapters&amp;publication=pnas&amp;sortBy=Earliest&amp;target=default" TargetMode="External"/><Relationship Id="rId756" Type="http://schemas.openxmlformats.org/officeDocument/2006/relationships/hyperlink" Target="https://doi.org/10.1073/pnas.2513044123" TargetMode="External"/><Relationship Id="rId757" Type="http://schemas.openxmlformats.org/officeDocument/2006/relationships/hyperlink" Target="https://www.pnas.org/doi/abs/10.1073/pnas.2511839122?mi=eymic2&amp;af=R&amp;access=on&amp;content=articlesChapters&amp;publication=pnas&amp;sortBy=Earliest&amp;target=default" TargetMode="External"/><Relationship Id="rId758" Type="http://schemas.openxmlformats.org/officeDocument/2006/relationships/hyperlink" Target="https://doi.org/10.1073/pnas.2511839122" TargetMode="External"/><Relationship Id="rId759" Type="http://schemas.openxmlformats.org/officeDocument/2006/relationships/hyperlink" Target="https://www.science.org/doi/abs/10.1126/sciadv.adz7504?af=R" TargetMode="External"/><Relationship Id="rId760" Type="http://schemas.openxmlformats.org/officeDocument/2006/relationships/hyperlink" Target="https://doi.org/10.1126/sciadv.adz7504" TargetMode="External"/><Relationship Id="rId761" Type="http://schemas.openxmlformats.org/officeDocument/2006/relationships/hyperlink" Target="https://www.pnas.org/doi/abs/10.1073/pnas.2536034123?mi=eymic2&amp;af=R&amp;access=on&amp;content=articlesChapters&amp;publication=pnas&amp;sortBy=Earliest&amp;target=default" TargetMode="External"/><Relationship Id="rId762" Type="http://schemas.openxmlformats.org/officeDocument/2006/relationships/hyperlink" Target="https://doi.org/10.1073/pnas.2536034123" TargetMode="External"/><Relationship Id="rId763" Type="http://schemas.openxmlformats.org/officeDocument/2006/relationships/hyperlink" Target="https://www.pnas.org/doi/abs/10.1073/pnas.2517258123?mi=eymic2&amp;af=R&amp;access=on&amp;content=articlesChapters&amp;publication=pnas&amp;sortBy=Earliest&amp;target=default" TargetMode="External"/><Relationship Id="rId764" Type="http://schemas.openxmlformats.org/officeDocument/2006/relationships/hyperlink" Target="https://doi.org/10.1073/pnas.2517258123" TargetMode="External"/><Relationship Id="rId765" Type="http://schemas.openxmlformats.org/officeDocument/2006/relationships/hyperlink" Target="https://www.pnas.org/doi/abs/10.1073/pnas.2511401122?mi=eymic2&amp;af=R&amp;access=on&amp;content=articlesChapters&amp;publication=pnas&amp;sortBy=Earliest&amp;target=default" TargetMode="External"/><Relationship Id="rId766" Type="http://schemas.openxmlformats.org/officeDocument/2006/relationships/hyperlink" Target="https://doi.org/10.1073/pnas.2511401122" TargetMode="External"/><Relationship Id="rId767" Type="http://schemas.openxmlformats.org/officeDocument/2006/relationships/hyperlink" Target="https://www.pnas.org/doi/abs/10.1073/pnas.2511227122?mi=eymic2&amp;af=R&amp;access=on&amp;content=articlesChapters&amp;publication=pnas&amp;sortBy=Earliest&amp;target=default" TargetMode="External"/><Relationship Id="rId768" Type="http://schemas.openxmlformats.org/officeDocument/2006/relationships/hyperlink" Target="https://doi.org/10.1073/pnas.2511227122" TargetMode="External"/><Relationship Id="rId769" Type="http://schemas.openxmlformats.org/officeDocument/2006/relationships/hyperlink" Target="https://www.science.org/doi/abs/10.1126/sciadv.adv1856?af=R" TargetMode="External"/><Relationship Id="rId770" Type="http://schemas.openxmlformats.org/officeDocument/2006/relationships/hyperlink" Target="https://doi.org/10.1126/sciadv.adv1856" TargetMode="External"/><Relationship Id="rId771" Type="http://schemas.openxmlformats.org/officeDocument/2006/relationships/hyperlink" Target="https://www.science.org/doi/abs/10.1126/sciadv.adv8860?af=R" TargetMode="External"/><Relationship Id="rId772" Type="http://schemas.openxmlformats.org/officeDocument/2006/relationships/hyperlink" Target="https://doi.org/10.1126/sciadv.adv8860" TargetMode="External"/><Relationship Id="rId773" Type="http://schemas.openxmlformats.org/officeDocument/2006/relationships/hyperlink" Target="https://www.science.org/doi/abs/10.1126/sciadv.adw5022?af=R" TargetMode="External"/><Relationship Id="rId774" Type="http://schemas.openxmlformats.org/officeDocument/2006/relationships/hyperlink" Target="https://doi.org/10.1126/sciadv.adw5022" TargetMode="External"/><Relationship Id="rId775" Type="http://schemas.openxmlformats.org/officeDocument/2006/relationships/hyperlink" Target="https://www.pnas.org/doi/abs/10.1073/pnas.2510285122?mi=eymic2&amp;af=R&amp;access=on&amp;content=articlesChapters&amp;publication=pnas&amp;sortBy=Earliest&amp;target=default" TargetMode="External"/><Relationship Id="rId776" Type="http://schemas.openxmlformats.org/officeDocument/2006/relationships/hyperlink" Target="https://doi.org/10.1073/pnas.2510285122" TargetMode="External"/><Relationship Id="rId777" Type="http://schemas.openxmlformats.org/officeDocument/2006/relationships/hyperlink" Target="https://www.science.org/doi/abs/10.1126/sciadv.adz9069?af=R" TargetMode="External"/><Relationship Id="rId778" Type="http://schemas.openxmlformats.org/officeDocument/2006/relationships/hyperlink" Target="https://doi.org/10.1126/sciadv.adz9069" TargetMode="External"/><Relationship Id="rId779" Type="http://schemas.openxmlformats.org/officeDocument/2006/relationships/hyperlink" Target="https://www.pnas.org/doi/abs/10.1073/pnas.2514138122?mi=eymic2&amp;af=R&amp;access=on&amp;content=articlesChapters&amp;publication=pnas&amp;sortBy=Earliest&amp;target=default" TargetMode="External"/><Relationship Id="rId780" Type="http://schemas.openxmlformats.org/officeDocument/2006/relationships/hyperlink" Target="https://doi.org/10.1073/pnas.2514138122" TargetMode="External"/><Relationship Id="rId781" Type="http://schemas.openxmlformats.org/officeDocument/2006/relationships/hyperlink" Target="http://dx.doi.org/10.1021/jacs.5c19410" TargetMode="External"/><Relationship Id="rId782" Type="http://schemas.openxmlformats.org/officeDocument/2006/relationships/hyperlink" Target="https://doi.org/10.1021/jacs.5c19410" TargetMode="External"/><Relationship Id="rId783" Type="http://schemas.openxmlformats.org/officeDocument/2006/relationships/hyperlink" Target="https://advanced.onlinelibrary.wiley.com/doi/10.1002/aenm.202504060?af=R" TargetMode="External"/><Relationship Id="rId784" Type="http://schemas.openxmlformats.org/officeDocument/2006/relationships/hyperlink" Target="https://doi.org/10.1002/aenm.202504060" TargetMode="External"/><Relationship Id="rId785" Type="http://schemas.openxmlformats.org/officeDocument/2006/relationships/hyperlink" Target="http://dx.doi.org/10.1021/jacs.5c17396" TargetMode="External"/><Relationship Id="rId786" Type="http://schemas.openxmlformats.org/officeDocument/2006/relationships/hyperlink" Target="https://doi.org/10.1021/jacs.5c17396" TargetMode="External"/><Relationship Id="rId787" Type="http://schemas.openxmlformats.org/officeDocument/2006/relationships/hyperlink" Target="http://dx.doi.org/10.1021/jacs.5c16976" TargetMode="External"/><Relationship Id="rId788" Type="http://schemas.openxmlformats.org/officeDocument/2006/relationships/hyperlink" Target="https://doi.org/10.1021/jacs.5c16976" TargetMode="External"/><Relationship Id="rId789" Type="http://schemas.openxmlformats.org/officeDocument/2006/relationships/hyperlink" Target="http://dx.doi.org/10.1021/jacs.5c13642" TargetMode="External"/><Relationship Id="rId790" Type="http://schemas.openxmlformats.org/officeDocument/2006/relationships/hyperlink" Target="https://doi.org/10.1021/jacs.5c13642" TargetMode="External"/><Relationship Id="rId791" Type="http://schemas.openxmlformats.org/officeDocument/2006/relationships/hyperlink" Target="http://dx.doi.org/10.1021/jacs.5c18374" TargetMode="External"/><Relationship Id="rId792" Type="http://schemas.openxmlformats.org/officeDocument/2006/relationships/hyperlink" Target="https://doi.org/10.1021/jacs.5c18374" TargetMode="External"/><Relationship Id="rId793" Type="http://schemas.openxmlformats.org/officeDocument/2006/relationships/hyperlink" Target="http://dx.doi.org/10.1021/acsenergylett.5c03609" TargetMode="External"/><Relationship Id="rId794" Type="http://schemas.openxmlformats.org/officeDocument/2006/relationships/hyperlink" Target="https://doi.org/10.1021/acsenergylett.5c03609" TargetMode="External"/><Relationship Id="rId795" Type="http://schemas.openxmlformats.org/officeDocument/2006/relationships/hyperlink" Target="http://dx.doi.org/10.1021/jacs.5c18222" TargetMode="External"/><Relationship Id="rId796" Type="http://schemas.openxmlformats.org/officeDocument/2006/relationships/hyperlink" Target="https://doi.org/10.1021/jacs.5c18222" TargetMode="External"/><Relationship Id="rId797" Type="http://schemas.openxmlformats.org/officeDocument/2006/relationships/hyperlink" Target="http://dx.doi.org/10.1021/jacs.5c19144" TargetMode="External"/><Relationship Id="rId798" Type="http://schemas.openxmlformats.org/officeDocument/2006/relationships/hyperlink" Target="https://doi.org/10.1021/jacs.5c19144" TargetMode="External"/><Relationship Id="rId799" Type="http://schemas.openxmlformats.org/officeDocument/2006/relationships/hyperlink" Target="http://dx.doi.org/10.1021/acsenergylett.5c04013" TargetMode="External"/><Relationship Id="rId800" Type="http://schemas.openxmlformats.org/officeDocument/2006/relationships/hyperlink" Target="https://doi.org/10.1021/acsenergylett.5c04013" TargetMode="External"/><Relationship Id="rId801" Type="http://schemas.openxmlformats.org/officeDocument/2006/relationships/hyperlink" Target="http://dx.doi.org/10.1021/jacs.5c17958" TargetMode="External"/><Relationship Id="rId802" Type="http://schemas.openxmlformats.org/officeDocument/2006/relationships/hyperlink" Target="https://doi.org/10.1021/jacs.5c17958" TargetMode="External"/><Relationship Id="rId803" Type="http://schemas.openxmlformats.org/officeDocument/2006/relationships/hyperlink" Target="http://dx.doi.org/10.1021/jacs.5c14062" TargetMode="External"/><Relationship Id="rId804" Type="http://schemas.openxmlformats.org/officeDocument/2006/relationships/hyperlink" Target="https://doi.org/10.1021/jacs.5c14062" TargetMode="External"/><Relationship Id="rId805" Type="http://schemas.openxmlformats.org/officeDocument/2006/relationships/hyperlink" Target="http://dx.doi.org/10.1021/jacs.5c18839" TargetMode="External"/><Relationship Id="rId806" Type="http://schemas.openxmlformats.org/officeDocument/2006/relationships/hyperlink" Target="https://doi.org/10.1021/jacs.5c18839" TargetMode="External"/><Relationship Id="rId807" Type="http://schemas.openxmlformats.org/officeDocument/2006/relationships/hyperlink" Target="http://dx.doi.org/10.1021/acs.chemrev.5c00540" TargetMode="External"/><Relationship Id="rId808" Type="http://schemas.openxmlformats.org/officeDocument/2006/relationships/hyperlink" Target="https://doi.org/10.1021/acs.chemrev.5c00540" TargetMode="External"/><Relationship Id="rId809" Type="http://schemas.openxmlformats.org/officeDocument/2006/relationships/hyperlink" Target="http://dx.doi.org/10.1021/jacs.5c17080" TargetMode="External"/><Relationship Id="rId810" Type="http://schemas.openxmlformats.org/officeDocument/2006/relationships/hyperlink" Target="https://doi.org/10.1021/jacs.5c17080" TargetMode="External"/><Relationship Id="rId811" Type="http://schemas.openxmlformats.org/officeDocument/2006/relationships/hyperlink" Target="http://dx.doi.org/10.1021/jacs.5c16378" TargetMode="External"/><Relationship Id="rId812" Type="http://schemas.openxmlformats.org/officeDocument/2006/relationships/hyperlink" Target="https://doi.org/10.1021/jacs.5c16378" TargetMode="External"/><Relationship Id="rId813" Type="http://schemas.openxmlformats.org/officeDocument/2006/relationships/hyperlink" Target="http://dx.doi.org/10.1021/jacs.5c20376" TargetMode="External"/><Relationship Id="rId814" Type="http://schemas.openxmlformats.org/officeDocument/2006/relationships/hyperlink" Target="https://doi.org/10.1021/jacs.5c20376" TargetMode="External"/><Relationship Id="rId815" Type="http://schemas.openxmlformats.org/officeDocument/2006/relationships/hyperlink" Target="http://dx.doi.org/10.1021/jacs.5c17476" TargetMode="External"/><Relationship Id="rId816" Type="http://schemas.openxmlformats.org/officeDocument/2006/relationships/hyperlink" Target="https://doi.org/10.1021/jacs.5c17476" TargetMode="External"/><Relationship Id="rId817" Type="http://schemas.openxmlformats.org/officeDocument/2006/relationships/hyperlink" Target="http://dx.doi.org/10.1021/acsenergylett.5c03519" TargetMode="External"/><Relationship Id="rId818" Type="http://schemas.openxmlformats.org/officeDocument/2006/relationships/hyperlink" Target="https://doi.org/10.1021/acsenergylett.5c03519" TargetMode="External"/><Relationship Id="rId819" Type="http://schemas.openxmlformats.org/officeDocument/2006/relationships/hyperlink" Target="http://dx.doi.org/10.1021/jacs.5c17519" TargetMode="External"/><Relationship Id="rId820" Type="http://schemas.openxmlformats.org/officeDocument/2006/relationships/hyperlink" Target="https://doi.org/10.1021/jacs.5c17519" TargetMode="External"/><Relationship Id="rId821" Type="http://schemas.openxmlformats.org/officeDocument/2006/relationships/hyperlink" Target="http://dx.doi.org/10.1021/acsenergylett.5c02225" TargetMode="External"/><Relationship Id="rId822" Type="http://schemas.openxmlformats.org/officeDocument/2006/relationships/hyperlink" Target="https://doi.org/10.1021/acsenergylett.5c02225" TargetMode="External"/><Relationship Id="rId823" Type="http://schemas.openxmlformats.org/officeDocument/2006/relationships/hyperlink" Target="http://dx.doi.org/10.1021/acs.chemrev.5c00486" TargetMode="External"/><Relationship Id="rId824" Type="http://schemas.openxmlformats.org/officeDocument/2006/relationships/hyperlink" Target="https://doi.org/10.1021/acs.chemrev.5c00486" TargetMode="External"/><Relationship Id="rId825" Type="http://schemas.openxmlformats.org/officeDocument/2006/relationships/hyperlink" Target="http://dx.doi.org/10.1021/jacs.5c19840" TargetMode="External"/><Relationship Id="rId826" Type="http://schemas.openxmlformats.org/officeDocument/2006/relationships/hyperlink" Target="https://doi.org/10.1021/jacs.5c19840" TargetMode="External"/><Relationship Id="rId827" Type="http://schemas.openxmlformats.org/officeDocument/2006/relationships/hyperlink" Target="http://dx.doi.org/10.1021/jacs.5c15167" TargetMode="External"/><Relationship Id="rId828" Type="http://schemas.openxmlformats.org/officeDocument/2006/relationships/hyperlink" Target="https://doi.org/10.1021/jacs.5c15167" TargetMode="External"/><Relationship Id="rId829" Type="http://schemas.openxmlformats.org/officeDocument/2006/relationships/hyperlink" Target="http://dx.doi.org/10.1021/jacs.5c19789" TargetMode="External"/><Relationship Id="rId830" Type="http://schemas.openxmlformats.org/officeDocument/2006/relationships/hyperlink" Target="https://doi.org/10.1021/jacs.5c19789" TargetMode="External"/><Relationship Id="rId831" Type="http://schemas.openxmlformats.org/officeDocument/2006/relationships/hyperlink" Target="http://dx.doi.org/10.1021/jacs.5c21439" TargetMode="External"/><Relationship Id="rId832" Type="http://schemas.openxmlformats.org/officeDocument/2006/relationships/hyperlink" Target="https://doi.org/10.1021/jacs.5c21439" TargetMode="External"/><Relationship Id="rId833" Type="http://schemas.openxmlformats.org/officeDocument/2006/relationships/hyperlink" Target="http://dx.doi.org/10.1021/jacs.5c14431" TargetMode="External"/><Relationship Id="rId834" Type="http://schemas.openxmlformats.org/officeDocument/2006/relationships/hyperlink" Target="https://doi.org/10.1021/jacs.5c14431" TargetMode="External"/><Relationship Id="rId835" Type="http://schemas.openxmlformats.org/officeDocument/2006/relationships/hyperlink" Target="http://dx.doi.org/10.1021/jacs.5c16396" TargetMode="External"/><Relationship Id="rId836" Type="http://schemas.openxmlformats.org/officeDocument/2006/relationships/hyperlink" Target="https://doi.org/10.1021/jacs.5c16396" TargetMode="External"/><Relationship Id="rId837" Type="http://schemas.openxmlformats.org/officeDocument/2006/relationships/hyperlink" Target="http://dx.doi.org/10.1021/acs.chemrev.5c00828" TargetMode="External"/><Relationship Id="rId838" Type="http://schemas.openxmlformats.org/officeDocument/2006/relationships/hyperlink" Target="https://doi.org/10.1021/acs.chemrev.5c00828" TargetMode="External"/><Relationship Id="rId839" Type="http://schemas.openxmlformats.org/officeDocument/2006/relationships/hyperlink" Target="http://dx.doi.org/10.1021/jacs.5c18572" TargetMode="External"/><Relationship Id="rId840" Type="http://schemas.openxmlformats.org/officeDocument/2006/relationships/hyperlink" Target="https://doi.org/10.1021/jacs.5c18572" TargetMode="External"/><Relationship Id="rId841" Type="http://schemas.openxmlformats.org/officeDocument/2006/relationships/hyperlink" Target="http://dx.doi.org/10.1021/jacs.5c20900" TargetMode="External"/><Relationship Id="rId842" Type="http://schemas.openxmlformats.org/officeDocument/2006/relationships/hyperlink" Target="https://doi.org/10.1021/jacs.5c20900" TargetMode="External"/><Relationship Id="rId843" Type="http://schemas.openxmlformats.org/officeDocument/2006/relationships/hyperlink" Target="http://dx.doi.org/10.1021/jacs.5c16385" TargetMode="External"/><Relationship Id="rId844" Type="http://schemas.openxmlformats.org/officeDocument/2006/relationships/hyperlink" Target="https://doi.org/10.1021/jacs.5c16385" TargetMode="External"/><Relationship Id="rId845" Type="http://schemas.openxmlformats.org/officeDocument/2006/relationships/hyperlink" Target="http://dx.doi.org/10.1021/jacs.5c22551" TargetMode="External"/><Relationship Id="rId846" Type="http://schemas.openxmlformats.org/officeDocument/2006/relationships/hyperlink" Target="https://doi.org/10.1021/jacs.5c22551" TargetMode="External"/><Relationship Id="rId847" Type="http://schemas.openxmlformats.org/officeDocument/2006/relationships/hyperlink" Target="https://www.sciencedirect.com/science/article/pii/S1369702125005589?dgcid=rss_sd_all" TargetMode="External"/><Relationship Id="rId848" Type="http://schemas.openxmlformats.org/officeDocument/2006/relationships/hyperlink" Target="https://www.nature.com/articles/s41467-025-68193-3" TargetMode="External"/><Relationship Id="rId849" Type="http://schemas.openxmlformats.org/officeDocument/2006/relationships/hyperlink" Target="https://www.sciencedirect.com/science/article/pii/S030626192501966X?dgcid=rss_sd_all" TargetMode="External"/><Relationship Id="rId850" Type="http://schemas.openxmlformats.org/officeDocument/2006/relationships/hyperlink" Target="https://www.sciencedirect.com/science/article/pii/S0306261925019713?dgcid=rss_sd_all" TargetMode="External"/><Relationship Id="rId851" Type="http://schemas.openxmlformats.org/officeDocument/2006/relationships/hyperlink" Target="https://www.sciencedirect.com/science/article/pii/S0306261925020094?dgcid=rss_sd_all" TargetMode="External"/><Relationship Id="rId852" Type="http://schemas.openxmlformats.org/officeDocument/2006/relationships/hyperlink" Target="https://www.sciencedirect.com/science/article/pii/S0306261925020471?dgcid=rss_sd_all" TargetMode="External"/><Relationship Id="rId853" Type="http://schemas.openxmlformats.org/officeDocument/2006/relationships/hyperlink" Target="https://www.sciencedirect.com/science/article/pii/S0306261925020495?dgcid=rss_sd_all" TargetMode="External"/><Relationship Id="rId854" Type="http://schemas.openxmlformats.org/officeDocument/2006/relationships/hyperlink" Target="https://www.sciencedirect.com/science/article/pii/S0306261925020501?dgcid=rss_sd_all" TargetMode="External"/><Relationship Id="rId855" Type="http://schemas.openxmlformats.org/officeDocument/2006/relationships/hyperlink" Target="https://www.sciencedirect.com/science/article/pii/S0306261925020574?dgcid=rss_sd_all" TargetMode="External"/><Relationship Id="rId856" Type="http://schemas.openxmlformats.org/officeDocument/2006/relationships/hyperlink" Target="https://www.nature.com/articles/s41467-025-68268-1" TargetMode="External"/><Relationship Id="rId857" Type="http://schemas.openxmlformats.org/officeDocument/2006/relationships/hyperlink" Target="https://www.sciencedirect.com/science/article/pii/S0306261925020586?dgcid=rss_sd_all" TargetMode="External"/><Relationship Id="rId858" Type="http://schemas.openxmlformats.org/officeDocument/2006/relationships/hyperlink" Target="https://www.sciencedirect.com/science/article/pii/S0306261925020677?dgcid=rss_sd_all" TargetMode="External"/><Relationship Id="rId859" Type="http://schemas.openxmlformats.org/officeDocument/2006/relationships/hyperlink" Target="https://www.sciencedirect.com/science/article/pii/S1369702125005553?dgcid=rss_sd_all" TargetMode="External"/><Relationship Id="rId860" Type="http://schemas.openxmlformats.org/officeDocument/2006/relationships/hyperlink" Target="https://www.nature.com/articles/s41467-025-67945-5" TargetMode="External"/><Relationship Id="rId861" Type="http://schemas.openxmlformats.org/officeDocument/2006/relationships/hyperlink" Target="https://www.nature.com/articles/s41467-025-68047-y" TargetMode="External"/><Relationship Id="rId862" Type="http://schemas.openxmlformats.org/officeDocument/2006/relationships/hyperlink" Target="https://www.nature.com/articles/s41467-025-68074-9" TargetMode="External"/><Relationship Id="rId863" Type="http://schemas.openxmlformats.org/officeDocument/2006/relationships/hyperlink" Target="https://www.nature.com/articles/s41467-025-68125-1" TargetMode="External"/><Relationship Id="rId864" Type="http://schemas.openxmlformats.org/officeDocument/2006/relationships/hyperlink" Target="https://www.nature.com/articles/s41467-025-68179-1" TargetMode="External"/><Relationship Id="rId865" Type="http://schemas.openxmlformats.org/officeDocument/2006/relationships/hyperlink" Target="https://advanced.onlinelibrary.wiley.com/doi/10.1002/adma.202515482?af=R" TargetMode="External"/><Relationship Id="rId866" Type="http://schemas.openxmlformats.org/officeDocument/2006/relationships/hyperlink" Target="https://doi.org/10.1002/adma.202515482" TargetMode="External"/><Relationship Id="rId867" Type="http://schemas.openxmlformats.org/officeDocument/2006/relationships/hyperlink" Target="https://advanced.onlinelibrary.wiley.com/doi/10.1002/adma.202517514?af=R" TargetMode="External"/><Relationship Id="rId868" Type="http://schemas.openxmlformats.org/officeDocument/2006/relationships/hyperlink" Target="https://doi.org/10.1002/adma.202517514" TargetMode="External"/><Relationship Id="rId869" Type="http://schemas.openxmlformats.org/officeDocument/2006/relationships/hyperlink" Target="https://advanced.onlinelibrary.wiley.com/doi/10.1002/adma.202513610?af=R" TargetMode="External"/><Relationship Id="rId870" Type="http://schemas.openxmlformats.org/officeDocument/2006/relationships/hyperlink" Target="https://doi.org/10.1002/adma.202513610" TargetMode="External"/><Relationship Id="rId871" Type="http://schemas.openxmlformats.org/officeDocument/2006/relationships/hyperlink" Target="https://advanced.onlinelibrary.wiley.com/doi/10.1002/adma.202520865?af=R" TargetMode="External"/><Relationship Id="rId872" Type="http://schemas.openxmlformats.org/officeDocument/2006/relationships/hyperlink" Target="https://doi.org/10.1002/adma.202520865" TargetMode="External"/><Relationship Id="rId873" Type="http://schemas.openxmlformats.org/officeDocument/2006/relationships/hyperlink" Target="https://advanced.onlinelibrary.wiley.com/doi/10.1002/adma.202514708?af=R" TargetMode="External"/><Relationship Id="rId874" Type="http://schemas.openxmlformats.org/officeDocument/2006/relationships/hyperlink" Target="https://doi.org/10.1002/adma.202514708" TargetMode="External"/><Relationship Id="rId875" Type="http://schemas.openxmlformats.org/officeDocument/2006/relationships/hyperlink" Target="https://advanced.onlinelibrary.wiley.com/doi/10.1002/adma.202510404?af=R" TargetMode="External"/><Relationship Id="rId876" Type="http://schemas.openxmlformats.org/officeDocument/2006/relationships/hyperlink" Target="https://doi.org/10.1002/adma.202510404" TargetMode="External"/><Relationship Id="rId877" Type="http://schemas.openxmlformats.org/officeDocument/2006/relationships/hyperlink" Target="https://onlinelibrary.wiley.com/doi/10.1002/anie.202519077?af=R" TargetMode="External"/><Relationship Id="rId878" Type="http://schemas.openxmlformats.org/officeDocument/2006/relationships/hyperlink" Target="https://doi.org/10.1002/anie.202519077" TargetMode="External"/><Relationship Id="rId879" Type="http://schemas.openxmlformats.org/officeDocument/2006/relationships/hyperlink" Target="https://advanced.onlinelibrary.wiley.com/doi/10.1002/adma.202521229?af=R" TargetMode="External"/><Relationship Id="rId880" Type="http://schemas.openxmlformats.org/officeDocument/2006/relationships/hyperlink" Target="https://doi.org/10.1002/adma.202521229" TargetMode="External"/><Relationship Id="rId881" Type="http://schemas.openxmlformats.org/officeDocument/2006/relationships/hyperlink" Target="https://onlinelibrary.wiley.com/doi/10.1002/anie.202522940?af=R" TargetMode="External"/><Relationship Id="rId882" Type="http://schemas.openxmlformats.org/officeDocument/2006/relationships/hyperlink" Target="https://doi.org/10.1002/anie.202522940" TargetMode="External"/><Relationship Id="rId883" Type="http://schemas.openxmlformats.org/officeDocument/2006/relationships/hyperlink" Target="https://advanced.onlinelibrary.wiley.com/doi/10.1002/adma.202509630?af=R" TargetMode="External"/><Relationship Id="rId884" Type="http://schemas.openxmlformats.org/officeDocument/2006/relationships/hyperlink" Target="https://doi.org/10.1002/adma.202509630" TargetMode="External"/><Relationship Id="rId885" Type="http://schemas.openxmlformats.org/officeDocument/2006/relationships/hyperlink" Target="https://onlinelibrary.wiley.com/doi/10.1002/anie.202520866?af=R" TargetMode="External"/><Relationship Id="rId886" Type="http://schemas.openxmlformats.org/officeDocument/2006/relationships/hyperlink" Target="https://doi.org/10.1002/anie.202520866" TargetMode="External"/><Relationship Id="rId887" Type="http://schemas.openxmlformats.org/officeDocument/2006/relationships/hyperlink" Target="https://advanced.onlinelibrary.wiley.com/doi/10.1002/adma.202523371?af=R" TargetMode="External"/><Relationship Id="rId888" Type="http://schemas.openxmlformats.org/officeDocument/2006/relationships/hyperlink" Target="https://doi.org/10.1002/adma.202523371" TargetMode="External"/><Relationship Id="rId889" Type="http://schemas.openxmlformats.org/officeDocument/2006/relationships/hyperlink" Target="https://onlinelibrary.wiley.com/doi/10.1002/anie.202520766?af=R" TargetMode="External"/><Relationship Id="rId890" Type="http://schemas.openxmlformats.org/officeDocument/2006/relationships/hyperlink" Target="https://doi.org/10.1002/anie.202520766" TargetMode="External"/><Relationship Id="rId891" Type="http://schemas.openxmlformats.org/officeDocument/2006/relationships/hyperlink" Target="https://onlinelibrary.wiley.com/doi/10.1002/anie.202514392?af=R" TargetMode="External"/><Relationship Id="rId892" Type="http://schemas.openxmlformats.org/officeDocument/2006/relationships/hyperlink" Target="https://doi.org/10.1002/anie.202514392" TargetMode="External"/><Relationship Id="rId893" Type="http://schemas.openxmlformats.org/officeDocument/2006/relationships/hyperlink" Target="https://onlinelibrary.wiley.com/doi/10.1002/anie.202515058?af=R" TargetMode="External"/><Relationship Id="rId894" Type="http://schemas.openxmlformats.org/officeDocument/2006/relationships/hyperlink" Target="https://doi.org/10.1002/anie.202515058" TargetMode="External"/><Relationship Id="rId895" Type="http://schemas.openxmlformats.org/officeDocument/2006/relationships/hyperlink" Target="https://onlinelibrary.wiley.com/doi/10.1002/anie.202515469?af=R" TargetMode="External"/><Relationship Id="rId896" Type="http://schemas.openxmlformats.org/officeDocument/2006/relationships/hyperlink" Target="https://doi.org/10.1002/anie.202515469" TargetMode="External"/><Relationship Id="rId897" Type="http://schemas.openxmlformats.org/officeDocument/2006/relationships/hyperlink" Target="https://onlinelibrary.wiley.com/doi/10.1002/anie.202515515?af=R" TargetMode="External"/><Relationship Id="rId898" Type="http://schemas.openxmlformats.org/officeDocument/2006/relationships/hyperlink" Target="https://doi.org/10.1002/anie.202515515" TargetMode="External"/><Relationship Id="rId899" Type="http://schemas.openxmlformats.org/officeDocument/2006/relationships/hyperlink" Target="https://onlinelibrary.wiley.com/doi/10.1002/anie.202515517?af=R" TargetMode="External"/><Relationship Id="rId900" Type="http://schemas.openxmlformats.org/officeDocument/2006/relationships/hyperlink" Target="https://doi.org/10.1002/anie.202515517" TargetMode="External"/><Relationship Id="rId901" Type="http://schemas.openxmlformats.org/officeDocument/2006/relationships/hyperlink" Target="https://onlinelibrary.wiley.com/doi/10.1002/anie.202515582?af=R" TargetMode="External"/><Relationship Id="rId902" Type="http://schemas.openxmlformats.org/officeDocument/2006/relationships/hyperlink" Target="https://doi.org/10.1002/anie.202515582" TargetMode="External"/><Relationship Id="rId903" Type="http://schemas.openxmlformats.org/officeDocument/2006/relationships/hyperlink" Target="https://onlinelibrary.wiley.com/doi/10.1002/anie.202515665?af=R" TargetMode="External"/><Relationship Id="rId904" Type="http://schemas.openxmlformats.org/officeDocument/2006/relationships/hyperlink" Target="https://doi.org/10.1002/anie.202515665" TargetMode="External"/><Relationship Id="rId905" Type="http://schemas.openxmlformats.org/officeDocument/2006/relationships/hyperlink" Target="https://onlinelibrary.wiley.com/doi/10.1002/anie.202516032?af=R" TargetMode="External"/><Relationship Id="rId906" Type="http://schemas.openxmlformats.org/officeDocument/2006/relationships/hyperlink" Target="https://doi.org/10.1002/anie.202516032" TargetMode="External"/><Relationship Id="rId907" Type="http://schemas.openxmlformats.org/officeDocument/2006/relationships/hyperlink" Target="https://onlinelibrary.wiley.com/doi/10.1002/anie.202516140?af=R" TargetMode="External"/><Relationship Id="rId908" Type="http://schemas.openxmlformats.org/officeDocument/2006/relationships/hyperlink" Target="https://doi.org/10.1002/anie.202516140" TargetMode="External"/><Relationship Id="rId909" Type="http://schemas.openxmlformats.org/officeDocument/2006/relationships/hyperlink" Target="https://onlinelibrary.wiley.com/doi/10.1002/anie.202516163?af=R" TargetMode="External"/><Relationship Id="rId910" Type="http://schemas.openxmlformats.org/officeDocument/2006/relationships/hyperlink" Target="https://doi.org/10.1002/anie.202516163" TargetMode="External"/><Relationship Id="rId911" Type="http://schemas.openxmlformats.org/officeDocument/2006/relationships/hyperlink" Target="https://onlinelibrary.wiley.com/doi/10.1002/anie.202516178?af=R" TargetMode="External"/><Relationship Id="rId912" Type="http://schemas.openxmlformats.org/officeDocument/2006/relationships/hyperlink" Target="https://doi.org/10.1002/anie.202516178" TargetMode="External"/><Relationship Id="rId913" Type="http://schemas.openxmlformats.org/officeDocument/2006/relationships/hyperlink" Target="https://onlinelibrary.wiley.com/doi/10.1002/anie.202516207?af=R" TargetMode="External"/><Relationship Id="rId914" Type="http://schemas.openxmlformats.org/officeDocument/2006/relationships/hyperlink" Target="https://doi.org/10.1002/anie.202516207" TargetMode="External"/><Relationship Id="rId915" Type="http://schemas.openxmlformats.org/officeDocument/2006/relationships/hyperlink" Target="https://onlinelibrary.wiley.com/doi/10.1002/anie.202516235?af=R" TargetMode="External"/><Relationship Id="rId916" Type="http://schemas.openxmlformats.org/officeDocument/2006/relationships/hyperlink" Target="https://doi.org/10.1002/anie.202516235" TargetMode="External"/><Relationship Id="rId917" Type="http://schemas.openxmlformats.org/officeDocument/2006/relationships/hyperlink" Target="https://onlinelibrary.wiley.com/doi/10.1002/anie.202516299?af=R" TargetMode="External"/><Relationship Id="rId918" Type="http://schemas.openxmlformats.org/officeDocument/2006/relationships/hyperlink" Target="https://doi.org/10.1002/anie.202516299" TargetMode="External"/><Relationship Id="rId919" Type="http://schemas.openxmlformats.org/officeDocument/2006/relationships/hyperlink" Target="https://onlinelibrary.wiley.com/doi/10.1002/anie.202516381?af=R" TargetMode="External"/><Relationship Id="rId920" Type="http://schemas.openxmlformats.org/officeDocument/2006/relationships/hyperlink" Target="https://doi.org/10.1002/anie.202516381" TargetMode="External"/><Relationship Id="rId921" Type="http://schemas.openxmlformats.org/officeDocument/2006/relationships/hyperlink" Target="https://onlinelibrary.wiley.com/doi/10.1002/anie.202516556?af=R" TargetMode="External"/><Relationship Id="rId922" Type="http://schemas.openxmlformats.org/officeDocument/2006/relationships/hyperlink" Target="https://doi.org/10.1002/anie.202516556" TargetMode="External"/><Relationship Id="rId923" Type="http://schemas.openxmlformats.org/officeDocument/2006/relationships/hyperlink" Target="https://onlinelibrary.wiley.com/doi/10.1002/anie.202516581?af=R" TargetMode="External"/><Relationship Id="rId924" Type="http://schemas.openxmlformats.org/officeDocument/2006/relationships/hyperlink" Target="https://doi.org/10.1002/anie.202516581" TargetMode="External"/><Relationship Id="rId925" Type="http://schemas.openxmlformats.org/officeDocument/2006/relationships/hyperlink" Target="https://onlinelibrary.wiley.com/doi/10.1002/anie.202516598?af=R" TargetMode="External"/><Relationship Id="rId926" Type="http://schemas.openxmlformats.org/officeDocument/2006/relationships/hyperlink" Target="https://doi.org/10.1002/anie.202516598" TargetMode="External"/><Relationship Id="rId927" Type="http://schemas.openxmlformats.org/officeDocument/2006/relationships/hyperlink" Target="https://onlinelibrary.wiley.com/doi/10.1002/anie.202516629?af=R" TargetMode="External"/><Relationship Id="rId928" Type="http://schemas.openxmlformats.org/officeDocument/2006/relationships/hyperlink" Target="https://doi.org/10.1002/anie.202516629" TargetMode="External"/><Relationship Id="rId929" Type="http://schemas.openxmlformats.org/officeDocument/2006/relationships/hyperlink" Target="https://onlinelibrary.wiley.com/doi/10.1002/anie.202514136?af=R" TargetMode="External"/><Relationship Id="rId930" Type="http://schemas.openxmlformats.org/officeDocument/2006/relationships/hyperlink" Target="https://doi.org/10.1002/anie.202514136" TargetMode="External"/><Relationship Id="rId931" Type="http://schemas.openxmlformats.org/officeDocument/2006/relationships/hyperlink" Target="https://onlinelibrary.wiley.com/doi/10.1002/anie.202520839?af=R" TargetMode="External"/><Relationship Id="rId932" Type="http://schemas.openxmlformats.org/officeDocument/2006/relationships/hyperlink" Target="https://doi.org/10.1002/anie.202520839" TargetMode="External"/><Relationship Id="rId933" Type="http://schemas.openxmlformats.org/officeDocument/2006/relationships/hyperlink" Target="https://onlinelibrary.wiley.com/doi/10.1002/anie.202513808?af=R" TargetMode="External"/><Relationship Id="rId934" Type="http://schemas.openxmlformats.org/officeDocument/2006/relationships/hyperlink" Target="https://doi.org/10.1002/anie.202513808" TargetMode="External"/><Relationship Id="rId935" Type="http://schemas.openxmlformats.org/officeDocument/2006/relationships/hyperlink" Target="https://onlinelibrary.wiley.com/doi/10.1002/anie.202520814?af=R" TargetMode="External"/><Relationship Id="rId936" Type="http://schemas.openxmlformats.org/officeDocument/2006/relationships/hyperlink" Target="https://doi.org/10.1002/anie.202520814" TargetMode="External"/><Relationship Id="rId937" Type="http://schemas.openxmlformats.org/officeDocument/2006/relationships/hyperlink" Target="https://onlinelibrary.wiley.com/doi/10.1002/anie.202524764?af=R" TargetMode="External"/><Relationship Id="rId938" Type="http://schemas.openxmlformats.org/officeDocument/2006/relationships/hyperlink" Target="https://doi.org/10.1002/anie.202524764" TargetMode="External"/><Relationship Id="rId939" Type="http://schemas.openxmlformats.org/officeDocument/2006/relationships/hyperlink" Target="https://onlinelibrary.wiley.com/doi/10.1002/anie.202523766?af=R" TargetMode="External"/><Relationship Id="rId940" Type="http://schemas.openxmlformats.org/officeDocument/2006/relationships/hyperlink" Target="https://doi.org/10.1002/anie.202523766" TargetMode="External"/><Relationship Id="rId941" Type="http://schemas.openxmlformats.org/officeDocument/2006/relationships/hyperlink" Target="https://onlinelibrary.wiley.com/doi/10.1002/anie.202522979?af=R" TargetMode="External"/><Relationship Id="rId942" Type="http://schemas.openxmlformats.org/officeDocument/2006/relationships/hyperlink" Target="https://doi.org/10.1002/anie.202522979" TargetMode="External"/><Relationship Id="rId943" Type="http://schemas.openxmlformats.org/officeDocument/2006/relationships/hyperlink" Target="https://onlinelibrary.wiley.com/doi/10.1002/anie.202522719?af=R" TargetMode="External"/><Relationship Id="rId944" Type="http://schemas.openxmlformats.org/officeDocument/2006/relationships/hyperlink" Target="https://doi.org/10.1002/anie.202522719" TargetMode="External"/><Relationship Id="rId945" Type="http://schemas.openxmlformats.org/officeDocument/2006/relationships/hyperlink" Target="https://onlinelibrary.wiley.com/doi/10.1002/anie.202522461?af=R" TargetMode="External"/><Relationship Id="rId946" Type="http://schemas.openxmlformats.org/officeDocument/2006/relationships/hyperlink" Target="https://doi.org/10.1002/anie.202522461" TargetMode="External"/><Relationship Id="rId947" Type="http://schemas.openxmlformats.org/officeDocument/2006/relationships/hyperlink" Target="https://onlinelibrary.wiley.com/doi/10.1002/anie.202521747?af=R" TargetMode="External"/><Relationship Id="rId948" Type="http://schemas.openxmlformats.org/officeDocument/2006/relationships/hyperlink" Target="https://doi.org/10.1002/anie.202521747" TargetMode="External"/><Relationship Id="rId949" Type="http://schemas.openxmlformats.org/officeDocument/2006/relationships/hyperlink" Target="https://onlinelibrary.wiley.com/doi/10.1002/anie.202521455?af=R" TargetMode="External"/><Relationship Id="rId950" Type="http://schemas.openxmlformats.org/officeDocument/2006/relationships/hyperlink" Target="https://doi.org/10.1002/anie.202521455" TargetMode="External"/><Relationship Id="rId951" Type="http://schemas.openxmlformats.org/officeDocument/2006/relationships/hyperlink" Target="https://onlinelibrary.wiley.com/doi/10.1002/anie.202521182?af=R" TargetMode="External"/><Relationship Id="rId952" Type="http://schemas.openxmlformats.org/officeDocument/2006/relationships/hyperlink" Target="https://doi.org/10.1002/anie.202521182" TargetMode="External"/><Relationship Id="rId953" Type="http://schemas.openxmlformats.org/officeDocument/2006/relationships/hyperlink" Target="https://onlinelibrary.wiley.com/doi/10.1002/anie.202521171?af=R" TargetMode="External"/><Relationship Id="rId954" Type="http://schemas.openxmlformats.org/officeDocument/2006/relationships/hyperlink" Target="https://doi.org/10.1002/anie.202521171" TargetMode="External"/><Relationship Id="rId955" Type="http://schemas.openxmlformats.org/officeDocument/2006/relationships/hyperlink" Target="https://onlinelibrary.wiley.com/doi/10.1002/anie.202513921?af=R" TargetMode="External"/><Relationship Id="rId956" Type="http://schemas.openxmlformats.org/officeDocument/2006/relationships/hyperlink" Target="https://doi.org/10.1002/anie.202513921" TargetMode="External"/><Relationship Id="rId957" Type="http://schemas.openxmlformats.org/officeDocument/2006/relationships/hyperlink" Target="https://onlinelibrary.wiley.com/doi/10.1002/anie.202521029?af=R" TargetMode="External"/><Relationship Id="rId958" Type="http://schemas.openxmlformats.org/officeDocument/2006/relationships/hyperlink" Target="https://doi.org/10.1002/anie.202521029" TargetMode="External"/><Relationship Id="rId959" Type="http://schemas.openxmlformats.org/officeDocument/2006/relationships/hyperlink" Target="https://onlinelibrary.wiley.com/doi/10.1002/anie.202520932?af=R" TargetMode="External"/><Relationship Id="rId960" Type="http://schemas.openxmlformats.org/officeDocument/2006/relationships/hyperlink" Target="https://doi.org/10.1002/anie.202520932" TargetMode="External"/><Relationship Id="rId961" Type="http://schemas.openxmlformats.org/officeDocument/2006/relationships/hyperlink" Target="https://onlinelibrary.wiley.com/doi/10.1002/anie.202520880?af=R" TargetMode="External"/><Relationship Id="rId962" Type="http://schemas.openxmlformats.org/officeDocument/2006/relationships/hyperlink" Target="https://doi.org/10.1002/anie.202520880" TargetMode="External"/><Relationship Id="rId963" Type="http://schemas.openxmlformats.org/officeDocument/2006/relationships/hyperlink" Target="https://onlinelibrary.wiley.com/doi/10.1002/anie.202502611?af=R" TargetMode="External"/><Relationship Id="rId964" Type="http://schemas.openxmlformats.org/officeDocument/2006/relationships/hyperlink" Target="https://doi.org/10.1002/anie.202502611" TargetMode="External"/><Relationship Id="rId965" Type="http://schemas.openxmlformats.org/officeDocument/2006/relationships/hyperlink" Target="https://onlinelibrary.wiley.com/doi/10.1002/anie.202512139?af=R" TargetMode="External"/><Relationship Id="rId966" Type="http://schemas.openxmlformats.org/officeDocument/2006/relationships/hyperlink" Target="https://doi.org/10.1002/anie.202512139" TargetMode="External"/><Relationship Id="rId967" Type="http://schemas.openxmlformats.org/officeDocument/2006/relationships/hyperlink" Target="https://onlinelibrary.wiley.com/doi/10.1002/anie.202512620?af=R" TargetMode="External"/><Relationship Id="rId968" Type="http://schemas.openxmlformats.org/officeDocument/2006/relationships/hyperlink" Target="https://doi.org/10.1002/anie.202512620" TargetMode="External"/><Relationship Id="rId969" Type="http://schemas.openxmlformats.org/officeDocument/2006/relationships/hyperlink" Target="https://onlinelibrary.wiley.com/doi/10.1002/anie.202513104?af=R" TargetMode="External"/><Relationship Id="rId970" Type="http://schemas.openxmlformats.org/officeDocument/2006/relationships/hyperlink" Target="https://doi.org/10.1002/anie.202513104" TargetMode="External"/><Relationship Id="rId971" Type="http://schemas.openxmlformats.org/officeDocument/2006/relationships/hyperlink" Target="https://onlinelibrary.wiley.com/doi/10.1002/anie.202513456?af=R" TargetMode="External"/><Relationship Id="rId972" Type="http://schemas.openxmlformats.org/officeDocument/2006/relationships/hyperlink" Target="https://doi.org/10.1002/anie.202513456" TargetMode="External"/><Relationship Id="rId973" Type="http://schemas.openxmlformats.org/officeDocument/2006/relationships/hyperlink" Target="https://onlinelibrary.wiley.com/doi/10.1002/anie.202513466?af=R" TargetMode="External"/><Relationship Id="rId974" Type="http://schemas.openxmlformats.org/officeDocument/2006/relationships/hyperlink" Target="https://doi.org/10.1002/anie.202513466" TargetMode="External"/><Relationship Id="rId975" Type="http://schemas.openxmlformats.org/officeDocument/2006/relationships/hyperlink" Target="https://onlinelibrary.wiley.com/doi/10.1002/anie.202513687?af=R" TargetMode="External"/><Relationship Id="rId976" Type="http://schemas.openxmlformats.org/officeDocument/2006/relationships/hyperlink" Target="https://doi.org/10.1002/anie.202513687" TargetMode="External"/><Relationship Id="rId977" Type="http://schemas.openxmlformats.org/officeDocument/2006/relationships/hyperlink" Target="https://onlinelibrary.wiley.com/doi/10.1002/anie.202520955?af=R" TargetMode="External"/><Relationship Id="rId978" Type="http://schemas.openxmlformats.org/officeDocument/2006/relationships/hyperlink" Target="https://doi.org/10.1002/anie.202520955" TargetMode="External"/><Relationship Id="rId979" Type="http://schemas.openxmlformats.org/officeDocument/2006/relationships/hyperlink" Target="https://onlinelibrary.wiley.com/doi/10.1002/anie.202516745?af=R" TargetMode="External"/><Relationship Id="rId980" Type="http://schemas.openxmlformats.org/officeDocument/2006/relationships/hyperlink" Target="https://doi.org/10.1002/anie.202516745" TargetMode="External"/><Relationship Id="rId981" Type="http://schemas.openxmlformats.org/officeDocument/2006/relationships/hyperlink" Target="https://onlinelibrary.wiley.com/doi/10.1002/anie.202516712?af=R" TargetMode="External"/><Relationship Id="rId982" Type="http://schemas.openxmlformats.org/officeDocument/2006/relationships/hyperlink" Target="https://doi.org/10.1002/anie.202516712" TargetMode="External"/><Relationship Id="rId983" Type="http://schemas.openxmlformats.org/officeDocument/2006/relationships/hyperlink" Target="https://onlinelibrary.wiley.com/doi/10.1002/anie.202516826?af=R" TargetMode="External"/><Relationship Id="rId984" Type="http://schemas.openxmlformats.org/officeDocument/2006/relationships/hyperlink" Target="https://doi.org/10.1002/anie.202516826" TargetMode="External"/><Relationship Id="rId985" Type="http://schemas.openxmlformats.org/officeDocument/2006/relationships/hyperlink" Target="https://onlinelibrary.wiley.com/doi/10.1002/anie.202520816?af=R" TargetMode="External"/><Relationship Id="rId986" Type="http://schemas.openxmlformats.org/officeDocument/2006/relationships/hyperlink" Target="https://doi.org/10.1002/anie.202520816" TargetMode="External"/><Relationship Id="rId987" Type="http://schemas.openxmlformats.org/officeDocument/2006/relationships/hyperlink" Target="https://onlinelibrary.wiley.com/doi/10.1002/anie.202519108?af=R" TargetMode="External"/><Relationship Id="rId988" Type="http://schemas.openxmlformats.org/officeDocument/2006/relationships/hyperlink" Target="https://doi.org/10.1002/anie.202519108" TargetMode="External"/><Relationship Id="rId989" Type="http://schemas.openxmlformats.org/officeDocument/2006/relationships/hyperlink" Target="https://onlinelibrary.wiley.com/doi/10.1002/anie.202519324?af=R" TargetMode="External"/><Relationship Id="rId990" Type="http://schemas.openxmlformats.org/officeDocument/2006/relationships/hyperlink" Target="https://doi.org/10.1002/anie.202519324" TargetMode="External"/><Relationship Id="rId991" Type="http://schemas.openxmlformats.org/officeDocument/2006/relationships/hyperlink" Target="https://onlinelibrary.wiley.com/doi/10.1002/anie.202519425?af=R" TargetMode="External"/><Relationship Id="rId992" Type="http://schemas.openxmlformats.org/officeDocument/2006/relationships/hyperlink" Target="https://doi.org/10.1002/anie.202519425" TargetMode="External"/><Relationship Id="rId993" Type="http://schemas.openxmlformats.org/officeDocument/2006/relationships/hyperlink" Target="https://onlinelibrary.wiley.com/doi/10.1002/anie.202519571?af=R" TargetMode="External"/><Relationship Id="rId994" Type="http://schemas.openxmlformats.org/officeDocument/2006/relationships/hyperlink" Target="https://doi.org/10.1002/anie.202519571" TargetMode="External"/><Relationship Id="rId995" Type="http://schemas.openxmlformats.org/officeDocument/2006/relationships/hyperlink" Target="https://onlinelibrary.wiley.com/doi/10.1002/anie.202519577?af=R" TargetMode="External"/><Relationship Id="rId996" Type="http://schemas.openxmlformats.org/officeDocument/2006/relationships/hyperlink" Target="https://doi.org/10.1002/anie.202519577" TargetMode="External"/><Relationship Id="rId997" Type="http://schemas.openxmlformats.org/officeDocument/2006/relationships/hyperlink" Target="https://onlinelibrary.wiley.com/doi/10.1002/anie.202519659?af=R" TargetMode="External"/><Relationship Id="rId998" Type="http://schemas.openxmlformats.org/officeDocument/2006/relationships/hyperlink" Target="https://doi.org/10.1002/anie.202519659" TargetMode="External"/><Relationship Id="rId999" Type="http://schemas.openxmlformats.org/officeDocument/2006/relationships/hyperlink" Target="https://onlinelibrary.wiley.com/doi/10.1002/anie.202519695?af=R" TargetMode="External"/><Relationship Id="rId1000" Type="http://schemas.openxmlformats.org/officeDocument/2006/relationships/hyperlink" Target="https://doi.org/10.1002/anie.202519695" TargetMode="External"/><Relationship Id="rId1001" Type="http://schemas.openxmlformats.org/officeDocument/2006/relationships/hyperlink" Target="https://onlinelibrary.wiley.com/doi/10.1002/anie.202519826?af=R" TargetMode="External"/><Relationship Id="rId1002" Type="http://schemas.openxmlformats.org/officeDocument/2006/relationships/hyperlink" Target="https://doi.org/10.1002/anie.202519826" TargetMode="External"/><Relationship Id="rId1003" Type="http://schemas.openxmlformats.org/officeDocument/2006/relationships/hyperlink" Target="https://onlinelibrary.wiley.com/doi/10.1002/anie.202519905?af=R" TargetMode="External"/><Relationship Id="rId1004" Type="http://schemas.openxmlformats.org/officeDocument/2006/relationships/hyperlink" Target="https://doi.org/10.1002/anie.202519905" TargetMode="External"/><Relationship Id="rId1005" Type="http://schemas.openxmlformats.org/officeDocument/2006/relationships/hyperlink" Target="https://onlinelibrary.wiley.com/doi/10.1002/anie.202516790?af=R" TargetMode="External"/><Relationship Id="rId1006" Type="http://schemas.openxmlformats.org/officeDocument/2006/relationships/hyperlink" Target="https://doi.org/10.1002/anie.202516790" TargetMode="External"/><Relationship Id="rId1007" Type="http://schemas.openxmlformats.org/officeDocument/2006/relationships/hyperlink" Target="https://onlinelibrary.wiley.com/doi/10.1002/anie.202520021?af=R" TargetMode="External"/><Relationship Id="rId1008" Type="http://schemas.openxmlformats.org/officeDocument/2006/relationships/hyperlink" Target="https://doi.org/10.1002/anie.202520021" TargetMode="External"/><Relationship Id="rId1009" Type="http://schemas.openxmlformats.org/officeDocument/2006/relationships/hyperlink" Target="https://onlinelibrary.wiley.com/doi/10.1002/anie.202520085?af=R" TargetMode="External"/><Relationship Id="rId1010" Type="http://schemas.openxmlformats.org/officeDocument/2006/relationships/hyperlink" Target="https://doi.org/10.1002/anie.202520085" TargetMode="External"/><Relationship Id="rId1011" Type="http://schemas.openxmlformats.org/officeDocument/2006/relationships/hyperlink" Target="https://onlinelibrary.wiley.com/doi/10.1002/anie.202520212?af=R" TargetMode="External"/><Relationship Id="rId1012" Type="http://schemas.openxmlformats.org/officeDocument/2006/relationships/hyperlink" Target="https://doi.org/10.1002/anie.202520212" TargetMode="External"/><Relationship Id="rId1013" Type="http://schemas.openxmlformats.org/officeDocument/2006/relationships/hyperlink" Target="https://onlinelibrary.wiley.com/doi/10.1002/anie.202520253?af=R" TargetMode="External"/><Relationship Id="rId1014" Type="http://schemas.openxmlformats.org/officeDocument/2006/relationships/hyperlink" Target="https://doi.org/10.1002/anie.202520253" TargetMode="External"/><Relationship Id="rId1015" Type="http://schemas.openxmlformats.org/officeDocument/2006/relationships/hyperlink" Target="https://onlinelibrary.wiley.com/doi/10.1002/anie.202520365?af=R" TargetMode="External"/><Relationship Id="rId1016" Type="http://schemas.openxmlformats.org/officeDocument/2006/relationships/hyperlink" Target="https://doi.org/10.1002/anie.202520365" TargetMode="External"/><Relationship Id="rId1017" Type="http://schemas.openxmlformats.org/officeDocument/2006/relationships/hyperlink" Target="https://onlinelibrary.wiley.com/doi/10.1002/anie.202520385?af=R" TargetMode="External"/><Relationship Id="rId1018" Type="http://schemas.openxmlformats.org/officeDocument/2006/relationships/hyperlink" Target="https://doi.org/10.1002/anie.202520385" TargetMode="External"/><Relationship Id="rId1019" Type="http://schemas.openxmlformats.org/officeDocument/2006/relationships/hyperlink" Target="https://onlinelibrary.wiley.com/doi/10.1002/anie.202520547?af=R" TargetMode="External"/><Relationship Id="rId1020" Type="http://schemas.openxmlformats.org/officeDocument/2006/relationships/hyperlink" Target="https://doi.org/10.1002/anie.202520547" TargetMode="External"/><Relationship Id="rId1021" Type="http://schemas.openxmlformats.org/officeDocument/2006/relationships/hyperlink" Target="https://onlinelibrary.wiley.com/doi/10.1002/anie.202520549?af=R" TargetMode="External"/><Relationship Id="rId1022" Type="http://schemas.openxmlformats.org/officeDocument/2006/relationships/hyperlink" Target="https://doi.org/10.1002/anie.202520549" TargetMode="External"/><Relationship Id="rId1023" Type="http://schemas.openxmlformats.org/officeDocument/2006/relationships/hyperlink" Target="https://onlinelibrary.wiley.com/doi/10.1002/anie.202520553?af=R" TargetMode="External"/><Relationship Id="rId1024" Type="http://schemas.openxmlformats.org/officeDocument/2006/relationships/hyperlink" Target="https://doi.org/10.1002/anie.202520553" TargetMode="External"/><Relationship Id="rId1025" Type="http://schemas.openxmlformats.org/officeDocument/2006/relationships/hyperlink" Target="https://onlinelibrary.wiley.com/doi/10.1002/anie.202520663?af=R" TargetMode="External"/><Relationship Id="rId1026" Type="http://schemas.openxmlformats.org/officeDocument/2006/relationships/hyperlink" Target="https://doi.org/10.1002/anie.202520663" TargetMode="External"/><Relationship Id="rId1027" Type="http://schemas.openxmlformats.org/officeDocument/2006/relationships/hyperlink" Target="https://onlinelibrary.wiley.com/doi/10.1002/anie.202520673?af=R" TargetMode="External"/><Relationship Id="rId1028" Type="http://schemas.openxmlformats.org/officeDocument/2006/relationships/hyperlink" Target="https://doi.org/10.1002/anie.202520673" TargetMode="External"/><Relationship Id="rId1029" Type="http://schemas.openxmlformats.org/officeDocument/2006/relationships/hyperlink" Target="https://onlinelibrary.wiley.com/doi/10.1002/anie.202520084?af=R" TargetMode="External"/><Relationship Id="rId1030" Type="http://schemas.openxmlformats.org/officeDocument/2006/relationships/hyperlink" Target="https://doi.org/10.1002/anie.202520084" TargetMode="External"/><Relationship Id="rId1031" Type="http://schemas.openxmlformats.org/officeDocument/2006/relationships/hyperlink" Target="https://onlinelibrary.wiley.com/doi/10.1002/anie.202519031?af=R" TargetMode="External"/><Relationship Id="rId1032" Type="http://schemas.openxmlformats.org/officeDocument/2006/relationships/hyperlink" Target="https://doi.org/10.1002/anie.202519031" TargetMode="External"/><Relationship Id="rId1033" Type="http://schemas.openxmlformats.org/officeDocument/2006/relationships/hyperlink" Target="https://onlinelibrary.wiley.com/doi/10.1002/anie.202519037?af=R" TargetMode="External"/><Relationship Id="rId1034" Type="http://schemas.openxmlformats.org/officeDocument/2006/relationships/hyperlink" Target="https://doi.org/10.1002/anie.202519037" TargetMode="External"/><Relationship Id="rId1035" Type="http://schemas.openxmlformats.org/officeDocument/2006/relationships/hyperlink" Target="https://onlinelibrary.wiley.com/doi/10.1002/anie.202518966?af=R" TargetMode="External"/><Relationship Id="rId1036" Type="http://schemas.openxmlformats.org/officeDocument/2006/relationships/hyperlink" Target="https://doi.org/10.1002/anie.202518966" TargetMode="External"/><Relationship Id="rId1037" Type="http://schemas.openxmlformats.org/officeDocument/2006/relationships/hyperlink" Target="https://onlinelibrary.wiley.com/doi/10.1002/anie.202516917?af=R" TargetMode="External"/><Relationship Id="rId1038" Type="http://schemas.openxmlformats.org/officeDocument/2006/relationships/hyperlink" Target="https://doi.org/10.1002/anie.202516917" TargetMode="External"/><Relationship Id="rId1039" Type="http://schemas.openxmlformats.org/officeDocument/2006/relationships/hyperlink" Target="https://onlinelibrary.wiley.com/doi/10.1002/anie.202516964?af=R" TargetMode="External"/><Relationship Id="rId1040" Type="http://schemas.openxmlformats.org/officeDocument/2006/relationships/hyperlink" Target="https://doi.org/10.1002/anie.202516964" TargetMode="External"/><Relationship Id="rId1041" Type="http://schemas.openxmlformats.org/officeDocument/2006/relationships/hyperlink" Target="https://onlinelibrary.wiley.com/doi/10.1002/anie.202516987?af=R" TargetMode="External"/><Relationship Id="rId1042" Type="http://schemas.openxmlformats.org/officeDocument/2006/relationships/hyperlink" Target="https://doi.org/10.1002/anie.202516987" TargetMode="External"/><Relationship Id="rId1043" Type="http://schemas.openxmlformats.org/officeDocument/2006/relationships/hyperlink" Target="https://onlinelibrary.wiley.com/doi/10.1002/anie.202517120?af=R" TargetMode="External"/><Relationship Id="rId1044" Type="http://schemas.openxmlformats.org/officeDocument/2006/relationships/hyperlink" Target="https://doi.org/10.1002/anie.202517120" TargetMode="External"/><Relationship Id="rId1045" Type="http://schemas.openxmlformats.org/officeDocument/2006/relationships/hyperlink" Target="https://onlinelibrary.wiley.com/doi/10.1002/anie.202517142?af=R" TargetMode="External"/><Relationship Id="rId1046" Type="http://schemas.openxmlformats.org/officeDocument/2006/relationships/hyperlink" Target="https://doi.org/10.1002/anie.202517142" TargetMode="External"/><Relationship Id="rId1047" Type="http://schemas.openxmlformats.org/officeDocument/2006/relationships/hyperlink" Target="https://onlinelibrary.wiley.com/doi/10.1002/anie.202517155?af=R" TargetMode="External"/><Relationship Id="rId1048" Type="http://schemas.openxmlformats.org/officeDocument/2006/relationships/hyperlink" Target="https://doi.org/10.1002/anie.202517155" TargetMode="External"/><Relationship Id="rId1049" Type="http://schemas.openxmlformats.org/officeDocument/2006/relationships/hyperlink" Target="https://onlinelibrary.wiley.com/doi/10.1002/anie.202517516?af=R" TargetMode="External"/><Relationship Id="rId1050" Type="http://schemas.openxmlformats.org/officeDocument/2006/relationships/hyperlink" Target="https://doi.org/10.1002/anie.202517516" TargetMode="External"/><Relationship Id="rId1051" Type="http://schemas.openxmlformats.org/officeDocument/2006/relationships/hyperlink" Target="https://onlinelibrary.wiley.com/doi/10.1002/anie.202517523?af=R" TargetMode="External"/><Relationship Id="rId1052" Type="http://schemas.openxmlformats.org/officeDocument/2006/relationships/hyperlink" Target="https://doi.org/10.1002/anie.202517523" TargetMode="External"/><Relationship Id="rId1053" Type="http://schemas.openxmlformats.org/officeDocument/2006/relationships/hyperlink" Target="https://onlinelibrary.wiley.com/doi/10.1002/anie.202517656?af=R" TargetMode="External"/><Relationship Id="rId1054" Type="http://schemas.openxmlformats.org/officeDocument/2006/relationships/hyperlink" Target="https://doi.org/10.1002/anie.202517656" TargetMode="External"/><Relationship Id="rId1055" Type="http://schemas.openxmlformats.org/officeDocument/2006/relationships/hyperlink" Target="https://onlinelibrary.wiley.com/doi/10.1002/anie.202518997?af=R" TargetMode="External"/><Relationship Id="rId1056" Type="http://schemas.openxmlformats.org/officeDocument/2006/relationships/hyperlink" Target="https://doi.org/10.1002/anie.202518997" TargetMode="External"/><Relationship Id="rId1057" Type="http://schemas.openxmlformats.org/officeDocument/2006/relationships/hyperlink" Target="https://onlinelibrary.wiley.com/doi/10.1002/anie.202520825?af=R" TargetMode="External"/><Relationship Id="rId1058" Type="http://schemas.openxmlformats.org/officeDocument/2006/relationships/hyperlink" Target="https://doi.org/10.1002/anie.202520825" TargetMode="External"/><Relationship Id="rId1059" Type="http://schemas.openxmlformats.org/officeDocument/2006/relationships/hyperlink" Target="https://onlinelibrary.wiley.com/doi/10.1002/anie.202517934?af=R" TargetMode="External"/><Relationship Id="rId1060" Type="http://schemas.openxmlformats.org/officeDocument/2006/relationships/hyperlink" Target="https://doi.org/10.1002/anie.202517934" TargetMode="External"/><Relationship Id="rId1061" Type="http://schemas.openxmlformats.org/officeDocument/2006/relationships/hyperlink" Target="https://onlinelibrary.wiley.com/doi/10.1002/anie.202517958?af=R" TargetMode="External"/><Relationship Id="rId1062" Type="http://schemas.openxmlformats.org/officeDocument/2006/relationships/hyperlink" Target="https://doi.org/10.1002/anie.202517958" TargetMode="External"/><Relationship Id="rId1063" Type="http://schemas.openxmlformats.org/officeDocument/2006/relationships/hyperlink" Target="https://onlinelibrary.wiley.com/doi/10.1002/anie.202518092?af=R" TargetMode="External"/><Relationship Id="rId1064" Type="http://schemas.openxmlformats.org/officeDocument/2006/relationships/hyperlink" Target="https://doi.org/10.1002/anie.202518092" TargetMode="External"/><Relationship Id="rId1065" Type="http://schemas.openxmlformats.org/officeDocument/2006/relationships/hyperlink" Target="https://onlinelibrary.wiley.com/doi/10.1002/anie.202518107?af=R" TargetMode="External"/><Relationship Id="rId1066" Type="http://schemas.openxmlformats.org/officeDocument/2006/relationships/hyperlink" Target="https://doi.org/10.1002/anie.202518107" TargetMode="External"/><Relationship Id="rId1067" Type="http://schemas.openxmlformats.org/officeDocument/2006/relationships/hyperlink" Target="https://onlinelibrary.wiley.com/doi/10.1002/anie.202518341?af=R" TargetMode="External"/><Relationship Id="rId1068" Type="http://schemas.openxmlformats.org/officeDocument/2006/relationships/hyperlink" Target="https://doi.org/10.1002/anie.202518341" TargetMode="External"/><Relationship Id="rId1069" Type="http://schemas.openxmlformats.org/officeDocument/2006/relationships/hyperlink" Target="https://onlinelibrary.wiley.com/doi/10.1002/anie.202518367?af=R" TargetMode="External"/><Relationship Id="rId1070" Type="http://schemas.openxmlformats.org/officeDocument/2006/relationships/hyperlink" Target="https://doi.org/10.1002/anie.202518367" TargetMode="External"/><Relationship Id="rId1071" Type="http://schemas.openxmlformats.org/officeDocument/2006/relationships/hyperlink" Target="https://onlinelibrary.wiley.com/doi/10.1002/anie.202518508?af=R" TargetMode="External"/><Relationship Id="rId1072" Type="http://schemas.openxmlformats.org/officeDocument/2006/relationships/hyperlink" Target="https://doi.org/10.1002/anie.202518508" TargetMode="External"/><Relationship Id="rId1073" Type="http://schemas.openxmlformats.org/officeDocument/2006/relationships/hyperlink" Target="https://onlinelibrary.wiley.com/doi/10.1002/anie.202518534?af=R" TargetMode="External"/><Relationship Id="rId1074" Type="http://schemas.openxmlformats.org/officeDocument/2006/relationships/hyperlink" Target="https://doi.org/10.1002/anie.202518534" TargetMode="External"/><Relationship Id="rId1075" Type="http://schemas.openxmlformats.org/officeDocument/2006/relationships/hyperlink" Target="https://onlinelibrary.wiley.com/doi/10.1002/anie.202518599?af=R" TargetMode="External"/><Relationship Id="rId1076" Type="http://schemas.openxmlformats.org/officeDocument/2006/relationships/hyperlink" Target="https://doi.org/10.1002/anie.202518599" TargetMode="External"/><Relationship Id="rId1077" Type="http://schemas.openxmlformats.org/officeDocument/2006/relationships/hyperlink" Target="https://onlinelibrary.wiley.com/doi/10.1002/anie.202518861?af=R" TargetMode="External"/><Relationship Id="rId1078" Type="http://schemas.openxmlformats.org/officeDocument/2006/relationships/hyperlink" Target="https://doi.org/10.1002/anie.202518861" TargetMode="External"/><Relationship Id="rId1079" Type="http://schemas.openxmlformats.org/officeDocument/2006/relationships/hyperlink" Target="https://onlinelibrary.wiley.com/doi/10.1002/anie.202517720?af=R" TargetMode="External"/><Relationship Id="rId1080" Type="http://schemas.openxmlformats.org/officeDocument/2006/relationships/hyperlink" Target="https://doi.org/10.1002/anie.202517720" TargetMode="External"/><Relationship Id="rId1081" Type="http://schemas.openxmlformats.org/officeDocument/2006/relationships/hyperlink" Target="https://onlinelibrary.wiley.com/doi/10.1002/anie.202517715?af=R" TargetMode="External"/><Relationship Id="rId1082" Type="http://schemas.openxmlformats.org/officeDocument/2006/relationships/hyperlink" Target="https://doi.org/10.1002/anie.202517715" TargetMode="External"/><Relationship Id="rId1083" Type="http://schemas.openxmlformats.org/officeDocument/2006/relationships/hyperlink" Target="https://advanced.onlinelibrary.wiley.com/doi/10.1002/adma.202516778?af=R" TargetMode="External"/><Relationship Id="rId1084" Type="http://schemas.openxmlformats.org/officeDocument/2006/relationships/hyperlink" Target="https://doi.org/10.1002/adma.202516778" TargetMode="External"/><Relationship Id="rId1085" Type="http://schemas.openxmlformats.org/officeDocument/2006/relationships/hyperlink" Target="https://advanced.onlinelibrary.wiley.com/doi/10.1002/adma.202519934?af=R" TargetMode="External"/><Relationship Id="rId1086" Type="http://schemas.openxmlformats.org/officeDocument/2006/relationships/hyperlink" Target="https://doi.org/10.1002/adma.202519934" TargetMode="External"/><Relationship Id="rId1087" Type="http://schemas.openxmlformats.org/officeDocument/2006/relationships/hyperlink" Target="https://onlinelibrary.wiley.com/doi/10.1002/anie.202516352?af=R" TargetMode="External"/><Relationship Id="rId1088" Type="http://schemas.openxmlformats.org/officeDocument/2006/relationships/hyperlink" Target="https://doi.org/10.1002/anie.202516352" TargetMode="External"/><Relationship Id="rId1089" Type="http://schemas.openxmlformats.org/officeDocument/2006/relationships/hyperlink" Target="https://advanced.onlinelibrary.wiley.com/doi/10.1002/adma.202514164?af=R" TargetMode="External"/><Relationship Id="rId1090" Type="http://schemas.openxmlformats.org/officeDocument/2006/relationships/hyperlink" Target="https://doi.org/10.1002/adma.202514164" TargetMode="External"/><Relationship Id="rId1091" Type="http://schemas.openxmlformats.org/officeDocument/2006/relationships/hyperlink" Target="https://advanced.onlinelibrary.wiley.com/doi/10.1002/adma.202413353?af=R" TargetMode="External"/><Relationship Id="rId1092" Type="http://schemas.openxmlformats.org/officeDocument/2006/relationships/hyperlink" Target="https://doi.org/10.1002/adma.202413353" TargetMode="External"/><Relationship Id="rId1093" Type="http://schemas.openxmlformats.org/officeDocument/2006/relationships/hyperlink" Target="https://advanced.onlinelibrary.wiley.com/doi/10.1002/adma.71873?af=R" TargetMode="External"/><Relationship Id="rId1094" Type="http://schemas.openxmlformats.org/officeDocument/2006/relationships/hyperlink" Target="https://doi.org/10.1002/adma.71873" TargetMode="External"/><Relationship Id="rId1095" Type="http://schemas.openxmlformats.org/officeDocument/2006/relationships/hyperlink" Target="https://advanced.onlinelibrary.wiley.com/doi/10.1002/adma.71874?af=R" TargetMode="External"/><Relationship Id="rId1096" Type="http://schemas.openxmlformats.org/officeDocument/2006/relationships/hyperlink" Target="https://doi.org/10.1002/adma.71874" TargetMode="External"/><Relationship Id="rId1097" Type="http://schemas.openxmlformats.org/officeDocument/2006/relationships/hyperlink" Target="https://advanced.onlinelibrary.wiley.com/doi/10.1002/adma.71875?af=R" TargetMode="External"/><Relationship Id="rId1098" Type="http://schemas.openxmlformats.org/officeDocument/2006/relationships/hyperlink" Target="https://doi.org/10.1002/adma.71875" TargetMode="External"/><Relationship Id="rId1099" Type="http://schemas.openxmlformats.org/officeDocument/2006/relationships/hyperlink" Target="https://advanced.onlinelibrary.wiley.com/doi/10.1002/adma.71876?af=R" TargetMode="External"/><Relationship Id="rId1100" Type="http://schemas.openxmlformats.org/officeDocument/2006/relationships/hyperlink" Target="https://doi.org/10.1002/adma.71876" TargetMode="External"/><Relationship Id="rId1101" Type="http://schemas.openxmlformats.org/officeDocument/2006/relationships/hyperlink" Target="https://advanced.onlinelibrary.wiley.com/doi/10.1002/adma.71878?af=R" TargetMode="External"/><Relationship Id="rId1102" Type="http://schemas.openxmlformats.org/officeDocument/2006/relationships/hyperlink" Target="https://doi.org/10.1002/adma.71878" TargetMode="External"/><Relationship Id="rId1103" Type="http://schemas.openxmlformats.org/officeDocument/2006/relationships/hyperlink" Target="https://advanced.onlinelibrary.wiley.com/doi/10.1002/adma.202512554?af=R" TargetMode="External"/><Relationship Id="rId1104" Type="http://schemas.openxmlformats.org/officeDocument/2006/relationships/hyperlink" Target="https://doi.org/10.1002/adma.202512554" TargetMode="External"/><Relationship Id="rId1105" Type="http://schemas.openxmlformats.org/officeDocument/2006/relationships/hyperlink" Target="https://advanced.onlinelibrary.wiley.com/doi/10.1002/adma.202512523?af=R" TargetMode="External"/><Relationship Id="rId1106" Type="http://schemas.openxmlformats.org/officeDocument/2006/relationships/hyperlink" Target="https://doi.org/10.1002/adma.202512523" TargetMode="External"/><Relationship Id="rId1107" Type="http://schemas.openxmlformats.org/officeDocument/2006/relationships/hyperlink" Target="https://advanced.onlinelibrary.wiley.com/doi/10.1002/adma.202512417?af=R" TargetMode="External"/><Relationship Id="rId1108" Type="http://schemas.openxmlformats.org/officeDocument/2006/relationships/hyperlink" Target="https://doi.org/10.1002/adma.202512417" TargetMode="External"/><Relationship Id="rId1109" Type="http://schemas.openxmlformats.org/officeDocument/2006/relationships/hyperlink" Target="https://advanced.onlinelibrary.wiley.com/doi/10.1002/adma.202512274?af=R" TargetMode="External"/><Relationship Id="rId1110" Type="http://schemas.openxmlformats.org/officeDocument/2006/relationships/hyperlink" Target="https://doi.org/10.1002/adma.202512274" TargetMode="External"/><Relationship Id="rId1111" Type="http://schemas.openxmlformats.org/officeDocument/2006/relationships/hyperlink" Target="https://advanced.onlinelibrary.wiley.com/doi/10.1002/adma.202512221?af=R" TargetMode="External"/><Relationship Id="rId1112" Type="http://schemas.openxmlformats.org/officeDocument/2006/relationships/hyperlink" Target="https://doi.org/10.1002/adma.202512221" TargetMode="External"/><Relationship Id="rId1113" Type="http://schemas.openxmlformats.org/officeDocument/2006/relationships/hyperlink" Target="https://advanced.onlinelibrary.wiley.com/doi/10.1002/adma.71872?af=R" TargetMode="External"/><Relationship Id="rId1114" Type="http://schemas.openxmlformats.org/officeDocument/2006/relationships/hyperlink" Target="https://doi.org/10.1002/adma.71872" TargetMode="External"/><Relationship Id="rId1115" Type="http://schemas.openxmlformats.org/officeDocument/2006/relationships/hyperlink" Target="https://advanced.onlinelibrary.wiley.com/doi/10.1002/adma.202512209?af=R" TargetMode="External"/><Relationship Id="rId1116" Type="http://schemas.openxmlformats.org/officeDocument/2006/relationships/hyperlink" Target="https://doi.org/10.1002/adma.202512209" TargetMode="External"/><Relationship Id="rId1117" Type="http://schemas.openxmlformats.org/officeDocument/2006/relationships/hyperlink" Target="https://advanced.onlinelibrary.wiley.com/doi/10.1002/adma.202512171?af=R" TargetMode="External"/><Relationship Id="rId1118" Type="http://schemas.openxmlformats.org/officeDocument/2006/relationships/hyperlink" Target="https://doi.org/10.1002/adma.202512171" TargetMode="External"/><Relationship Id="rId1119" Type="http://schemas.openxmlformats.org/officeDocument/2006/relationships/hyperlink" Target="https://advanced.onlinelibrary.wiley.com/doi/10.1002/adma.202512075?af=R" TargetMode="External"/><Relationship Id="rId1120" Type="http://schemas.openxmlformats.org/officeDocument/2006/relationships/hyperlink" Target="https://doi.org/10.1002/adma.202512075" TargetMode="External"/><Relationship Id="rId1121" Type="http://schemas.openxmlformats.org/officeDocument/2006/relationships/hyperlink" Target="https://advanced.onlinelibrary.wiley.com/doi/10.1002/adma.202512066?af=R" TargetMode="External"/><Relationship Id="rId1122" Type="http://schemas.openxmlformats.org/officeDocument/2006/relationships/hyperlink" Target="https://doi.org/10.1002/adma.202512066" TargetMode="External"/><Relationship Id="rId1123" Type="http://schemas.openxmlformats.org/officeDocument/2006/relationships/hyperlink" Target="https://advanced.onlinelibrary.wiley.com/doi/10.1002/adma.202512029?af=R" TargetMode="External"/><Relationship Id="rId1124" Type="http://schemas.openxmlformats.org/officeDocument/2006/relationships/hyperlink" Target="https://doi.org/10.1002/adma.202512029" TargetMode="External"/><Relationship Id="rId1125" Type="http://schemas.openxmlformats.org/officeDocument/2006/relationships/hyperlink" Target="https://advanced.onlinelibrary.wiley.com/doi/10.1002/adma.202512001?af=R" TargetMode="External"/><Relationship Id="rId1126" Type="http://schemas.openxmlformats.org/officeDocument/2006/relationships/hyperlink" Target="https://doi.org/10.1002/adma.202512001" TargetMode="External"/><Relationship Id="rId1127" Type="http://schemas.openxmlformats.org/officeDocument/2006/relationships/hyperlink" Target="https://advanced.onlinelibrary.wiley.com/doi/10.1002/adma.202511943?af=R" TargetMode="External"/><Relationship Id="rId1128" Type="http://schemas.openxmlformats.org/officeDocument/2006/relationships/hyperlink" Target="https://doi.org/10.1002/adma.202511943" TargetMode="External"/><Relationship Id="rId1129" Type="http://schemas.openxmlformats.org/officeDocument/2006/relationships/hyperlink" Target="https://advanced.onlinelibrary.wiley.com/doi/10.1002/adma.202511882?af=R" TargetMode="External"/><Relationship Id="rId1130" Type="http://schemas.openxmlformats.org/officeDocument/2006/relationships/hyperlink" Target="https://doi.org/10.1002/adma.202511882" TargetMode="External"/><Relationship Id="rId1131" Type="http://schemas.openxmlformats.org/officeDocument/2006/relationships/hyperlink" Target="https://advanced.onlinelibrary.wiley.com/doi/10.1002/adma.202511852?af=R" TargetMode="External"/><Relationship Id="rId1132" Type="http://schemas.openxmlformats.org/officeDocument/2006/relationships/hyperlink" Target="https://doi.org/10.1002/adma.202511852" TargetMode="External"/><Relationship Id="rId1133" Type="http://schemas.openxmlformats.org/officeDocument/2006/relationships/hyperlink" Target="https://advanced.onlinelibrary.wiley.com/doi/10.1002/adma.202511754?af=R" TargetMode="External"/><Relationship Id="rId1134" Type="http://schemas.openxmlformats.org/officeDocument/2006/relationships/hyperlink" Target="https://doi.org/10.1002/adma.202511754" TargetMode="External"/><Relationship Id="rId1135" Type="http://schemas.openxmlformats.org/officeDocument/2006/relationships/hyperlink" Target="https://advanced.onlinelibrary.wiley.com/doi/10.1002/adma.202511648?af=R" TargetMode="External"/><Relationship Id="rId1136" Type="http://schemas.openxmlformats.org/officeDocument/2006/relationships/hyperlink" Target="https://doi.org/10.1002/adma.202511648" TargetMode="External"/><Relationship Id="rId1137" Type="http://schemas.openxmlformats.org/officeDocument/2006/relationships/hyperlink" Target="https://advanced.onlinelibrary.wiley.com/doi/10.1002/adma.202407831?af=R" TargetMode="External"/><Relationship Id="rId1138" Type="http://schemas.openxmlformats.org/officeDocument/2006/relationships/hyperlink" Target="https://doi.org/10.1002/adma.202407831" TargetMode="External"/><Relationship Id="rId1139" Type="http://schemas.openxmlformats.org/officeDocument/2006/relationships/hyperlink" Target="https://advanced.onlinelibrary.wiley.com/doi/10.1002/adma.202512712?af=R" TargetMode="External"/><Relationship Id="rId1140" Type="http://schemas.openxmlformats.org/officeDocument/2006/relationships/hyperlink" Target="https://doi.org/10.1002/adma.202512712" TargetMode="External"/><Relationship Id="rId1141" Type="http://schemas.openxmlformats.org/officeDocument/2006/relationships/hyperlink" Target="https://advanced.onlinelibrary.wiley.com/doi/10.1002/adma.202512788?af=R" TargetMode="External"/><Relationship Id="rId1142" Type="http://schemas.openxmlformats.org/officeDocument/2006/relationships/hyperlink" Target="https://doi.org/10.1002/adma.202512788" TargetMode="External"/><Relationship Id="rId1143" Type="http://schemas.openxmlformats.org/officeDocument/2006/relationships/hyperlink" Target="https://advanced.onlinelibrary.wiley.com/doi/10.1002/adma.202512793?af=R" TargetMode="External"/><Relationship Id="rId1144" Type="http://schemas.openxmlformats.org/officeDocument/2006/relationships/hyperlink" Target="https://doi.org/10.1002/adma.202512793" TargetMode="External"/><Relationship Id="rId1145" Type="http://schemas.openxmlformats.org/officeDocument/2006/relationships/hyperlink" Target="https://advanced.onlinelibrary.wiley.com/doi/10.1002/adma.202514166?af=R" TargetMode="External"/><Relationship Id="rId1146" Type="http://schemas.openxmlformats.org/officeDocument/2006/relationships/hyperlink" Target="https://doi.org/10.1002/adma.202514166" TargetMode="External"/><Relationship Id="rId1147" Type="http://schemas.openxmlformats.org/officeDocument/2006/relationships/hyperlink" Target="https://advanced.onlinelibrary.wiley.com/doi/10.1002/adma.202514184?af=R" TargetMode="External"/><Relationship Id="rId1148" Type="http://schemas.openxmlformats.org/officeDocument/2006/relationships/hyperlink" Target="https://doi.org/10.1002/adma.202514184" TargetMode="External"/><Relationship Id="rId1149" Type="http://schemas.openxmlformats.org/officeDocument/2006/relationships/hyperlink" Target="https://advanced.onlinelibrary.wiley.com/doi/10.1002/adma.202514202?af=R" TargetMode="External"/><Relationship Id="rId1150" Type="http://schemas.openxmlformats.org/officeDocument/2006/relationships/hyperlink" Target="https://doi.org/10.1002/adma.202514202" TargetMode="External"/><Relationship Id="rId1151" Type="http://schemas.openxmlformats.org/officeDocument/2006/relationships/hyperlink" Target="https://advanced.onlinelibrary.wiley.com/doi/10.1002/adma.202514266?af=R" TargetMode="External"/><Relationship Id="rId1152" Type="http://schemas.openxmlformats.org/officeDocument/2006/relationships/hyperlink" Target="https://doi.org/10.1002/adma.202514266" TargetMode="External"/><Relationship Id="rId1153" Type="http://schemas.openxmlformats.org/officeDocument/2006/relationships/hyperlink" Target="https://advanced.onlinelibrary.wiley.com/doi/10.1002/adma.202514268?af=R" TargetMode="External"/><Relationship Id="rId1154" Type="http://schemas.openxmlformats.org/officeDocument/2006/relationships/hyperlink" Target="https://doi.org/10.1002/adma.202514268" TargetMode="External"/><Relationship Id="rId1155" Type="http://schemas.openxmlformats.org/officeDocument/2006/relationships/hyperlink" Target="https://advanced.onlinelibrary.wiley.com/doi/10.1002/adma.202513876?af=R" TargetMode="External"/><Relationship Id="rId1156" Type="http://schemas.openxmlformats.org/officeDocument/2006/relationships/hyperlink" Target="https://doi.org/10.1002/adma.202513876" TargetMode="External"/><Relationship Id="rId1157" Type="http://schemas.openxmlformats.org/officeDocument/2006/relationships/hyperlink" Target="https://advanced.onlinelibrary.wiley.com/doi/10.1002/adma.202514719?af=R" TargetMode="External"/><Relationship Id="rId1158" Type="http://schemas.openxmlformats.org/officeDocument/2006/relationships/hyperlink" Target="https://doi.org/10.1002/adma.202514719" TargetMode="External"/><Relationship Id="rId1159" Type="http://schemas.openxmlformats.org/officeDocument/2006/relationships/hyperlink" Target="https://advanced.onlinelibrary.wiley.com/doi/10.1002/adma.202513868?af=R" TargetMode="External"/><Relationship Id="rId1160" Type="http://schemas.openxmlformats.org/officeDocument/2006/relationships/hyperlink" Target="https://doi.org/10.1002/adma.202513868" TargetMode="External"/><Relationship Id="rId1161" Type="http://schemas.openxmlformats.org/officeDocument/2006/relationships/hyperlink" Target="https://advanced.onlinelibrary.wiley.com/doi/10.1002/adma.202515697?af=R" TargetMode="External"/><Relationship Id="rId1162" Type="http://schemas.openxmlformats.org/officeDocument/2006/relationships/hyperlink" Target="https://doi.org/10.1002/adma.202515697" TargetMode="External"/><Relationship Id="rId1163" Type="http://schemas.openxmlformats.org/officeDocument/2006/relationships/hyperlink" Target="https://advanced.onlinelibrary.wiley.com/doi/10.1002/adma.202513684?af=R" TargetMode="External"/><Relationship Id="rId1164" Type="http://schemas.openxmlformats.org/officeDocument/2006/relationships/hyperlink" Target="https://doi.org/10.1002/adma.202513684" TargetMode="External"/><Relationship Id="rId1165" Type="http://schemas.openxmlformats.org/officeDocument/2006/relationships/hyperlink" Target="https://advanced.onlinelibrary.wiley.com/doi/10.1002/adma.202513609?af=R" TargetMode="External"/><Relationship Id="rId1166" Type="http://schemas.openxmlformats.org/officeDocument/2006/relationships/hyperlink" Target="https://doi.org/10.1002/adma.202513609" TargetMode="External"/><Relationship Id="rId1167" Type="http://schemas.openxmlformats.org/officeDocument/2006/relationships/hyperlink" Target="https://advanced.onlinelibrary.wiley.com/doi/10.1002/adma.202516069?af=R" TargetMode="External"/><Relationship Id="rId1168" Type="http://schemas.openxmlformats.org/officeDocument/2006/relationships/hyperlink" Target="https://doi.org/10.1002/adma.202516069" TargetMode="External"/><Relationship Id="rId1169" Type="http://schemas.openxmlformats.org/officeDocument/2006/relationships/hyperlink" Target="https://advanced.onlinelibrary.wiley.com/doi/10.1002/adma.202513600?af=R" TargetMode="External"/><Relationship Id="rId1170" Type="http://schemas.openxmlformats.org/officeDocument/2006/relationships/hyperlink" Target="https://doi.org/10.1002/adma.202513600" TargetMode="External"/><Relationship Id="rId1171" Type="http://schemas.openxmlformats.org/officeDocument/2006/relationships/hyperlink" Target="https://advanced.onlinelibrary.wiley.com/doi/10.1002/adma.202513548?af=R" TargetMode="External"/><Relationship Id="rId1172" Type="http://schemas.openxmlformats.org/officeDocument/2006/relationships/hyperlink" Target="https://doi.org/10.1002/adma.202513548" TargetMode="External"/><Relationship Id="rId1173" Type="http://schemas.openxmlformats.org/officeDocument/2006/relationships/hyperlink" Target="https://advanced.onlinelibrary.wiley.com/doi/10.1002/adma.202513547?af=R" TargetMode="External"/><Relationship Id="rId1174" Type="http://schemas.openxmlformats.org/officeDocument/2006/relationships/hyperlink" Target="https://doi.org/10.1002/adma.202513547" TargetMode="External"/><Relationship Id="rId1175" Type="http://schemas.openxmlformats.org/officeDocument/2006/relationships/hyperlink" Target="https://advanced.onlinelibrary.wiley.com/doi/10.1002/adma.202513526?af=R" TargetMode="External"/><Relationship Id="rId1176" Type="http://schemas.openxmlformats.org/officeDocument/2006/relationships/hyperlink" Target="https://doi.org/10.1002/adma.202513526" TargetMode="External"/><Relationship Id="rId1177" Type="http://schemas.openxmlformats.org/officeDocument/2006/relationships/hyperlink" Target="https://advanced.onlinelibrary.wiley.com/doi/10.1002/adma.202513457?af=R" TargetMode="External"/><Relationship Id="rId1178" Type="http://schemas.openxmlformats.org/officeDocument/2006/relationships/hyperlink" Target="https://doi.org/10.1002/adma.202513457" TargetMode="External"/><Relationship Id="rId1179" Type="http://schemas.openxmlformats.org/officeDocument/2006/relationships/hyperlink" Target="https://advanced.onlinelibrary.wiley.com/doi/10.1002/adma.202513405?af=R" TargetMode="External"/><Relationship Id="rId1180" Type="http://schemas.openxmlformats.org/officeDocument/2006/relationships/hyperlink" Target="https://doi.org/10.1002/adma.202513405" TargetMode="External"/><Relationship Id="rId1181" Type="http://schemas.openxmlformats.org/officeDocument/2006/relationships/hyperlink" Target="https://advanced.onlinelibrary.wiley.com/doi/10.1002/adma.202513365?af=R" TargetMode="External"/><Relationship Id="rId1182" Type="http://schemas.openxmlformats.org/officeDocument/2006/relationships/hyperlink" Target="https://doi.org/10.1002/adma.202513365" TargetMode="External"/><Relationship Id="rId1183" Type="http://schemas.openxmlformats.org/officeDocument/2006/relationships/hyperlink" Target="https://advanced.onlinelibrary.wiley.com/doi/10.1002/adma.202513080?af=R" TargetMode="External"/><Relationship Id="rId1184" Type="http://schemas.openxmlformats.org/officeDocument/2006/relationships/hyperlink" Target="https://doi.org/10.1002/adma.202513080" TargetMode="External"/><Relationship Id="rId1185" Type="http://schemas.openxmlformats.org/officeDocument/2006/relationships/hyperlink" Target="https://advanced.onlinelibrary.wiley.com/doi/10.1002/adma.202513056?af=R" TargetMode="External"/><Relationship Id="rId1186" Type="http://schemas.openxmlformats.org/officeDocument/2006/relationships/hyperlink" Target="https://doi.org/10.1002/adma.202513056" TargetMode="External"/><Relationship Id="rId1187" Type="http://schemas.openxmlformats.org/officeDocument/2006/relationships/hyperlink" Target="https://advanced.onlinelibrary.wiley.com/doi/10.1002/adma.202513003?af=R" TargetMode="External"/><Relationship Id="rId1188" Type="http://schemas.openxmlformats.org/officeDocument/2006/relationships/hyperlink" Target="https://doi.org/10.1002/adma.202513003" TargetMode="External"/><Relationship Id="rId1189" Type="http://schemas.openxmlformats.org/officeDocument/2006/relationships/hyperlink" Target="https://advanced.onlinelibrary.wiley.com/doi/10.1002/adma.202512998?af=R" TargetMode="External"/><Relationship Id="rId1190" Type="http://schemas.openxmlformats.org/officeDocument/2006/relationships/hyperlink" Target="https://doi.org/10.1002/adma.202512998" TargetMode="External"/><Relationship Id="rId1191" Type="http://schemas.openxmlformats.org/officeDocument/2006/relationships/hyperlink" Target="https://advanced.onlinelibrary.wiley.com/doi/10.1002/adma.202511620?af=R" TargetMode="External"/><Relationship Id="rId1192" Type="http://schemas.openxmlformats.org/officeDocument/2006/relationships/hyperlink" Target="https://doi.org/10.1002/adma.202511620" TargetMode="External"/><Relationship Id="rId1193" Type="http://schemas.openxmlformats.org/officeDocument/2006/relationships/hyperlink" Target="https://advanced.onlinelibrary.wiley.com/doi/10.1002/adma.202511560?af=R" TargetMode="External"/><Relationship Id="rId1194" Type="http://schemas.openxmlformats.org/officeDocument/2006/relationships/hyperlink" Target="https://doi.org/10.1002/adma.202511560" TargetMode="External"/><Relationship Id="rId1195" Type="http://schemas.openxmlformats.org/officeDocument/2006/relationships/hyperlink" Target="https://advanced.onlinelibrary.wiley.com/doi/10.1002/adma.202506128?af=R" TargetMode="External"/><Relationship Id="rId1196" Type="http://schemas.openxmlformats.org/officeDocument/2006/relationships/hyperlink" Target="https://doi.org/10.1002/adma.202506128" TargetMode="External"/><Relationship Id="rId1197" Type="http://schemas.openxmlformats.org/officeDocument/2006/relationships/hyperlink" Target="https://advanced.onlinelibrary.wiley.com/doi/10.1002/adma.202511497?af=R" TargetMode="External"/><Relationship Id="rId1198" Type="http://schemas.openxmlformats.org/officeDocument/2006/relationships/hyperlink" Target="https://doi.org/10.1002/adma.202511497" TargetMode="External"/><Relationship Id="rId1199" Type="http://schemas.openxmlformats.org/officeDocument/2006/relationships/hyperlink" Target="https://advanced.onlinelibrary.wiley.com/doi/10.1002/adma.202509989?af=R" TargetMode="External"/><Relationship Id="rId1200" Type="http://schemas.openxmlformats.org/officeDocument/2006/relationships/hyperlink" Target="https://doi.org/10.1002/adma.202509989" TargetMode="External"/><Relationship Id="rId1201" Type="http://schemas.openxmlformats.org/officeDocument/2006/relationships/hyperlink" Target="https://advanced.onlinelibrary.wiley.com/doi/10.1002/adma.202509954?af=R" TargetMode="External"/><Relationship Id="rId1202" Type="http://schemas.openxmlformats.org/officeDocument/2006/relationships/hyperlink" Target="https://doi.org/10.1002/adma.202509954" TargetMode="External"/><Relationship Id="rId1203" Type="http://schemas.openxmlformats.org/officeDocument/2006/relationships/hyperlink" Target="https://advanced.onlinelibrary.wiley.com/doi/10.1002/adma.202509842?af=R" TargetMode="External"/><Relationship Id="rId1204" Type="http://schemas.openxmlformats.org/officeDocument/2006/relationships/hyperlink" Target="https://doi.org/10.1002/adma.202509842" TargetMode="External"/><Relationship Id="rId1205" Type="http://schemas.openxmlformats.org/officeDocument/2006/relationships/hyperlink" Target="https://advanced.onlinelibrary.wiley.com/doi/10.1002/adma.202509686?af=R" TargetMode="External"/><Relationship Id="rId1206" Type="http://schemas.openxmlformats.org/officeDocument/2006/relationships/hyperlink" Target="https://doi.org/10.1002/adma.202509686" TargetMode="External"/><Relationship Id="rId1207" Type="http://schemas.openxmlformats.org/officeDocument/2006/relationships/hyperlink" Target="https://advanced.onlinelibrary.wiley.com/doi/10.1002/adma.202509425?af=R" TargetMode="External"/><Relationship Id="rId1208" Type="http://schemas.openxmlformats.org/officeDocument/2006/relationships/hyperlink" Target="https://doi.org/10.1002/adma.202509425" TargetMode="External"/><Relationship Id="rId1209" Type="http://schemas.openxmlformats.org/officeDocument/2006/relationships/hyperlink" Target="https://advanced.onlinelibrary.wiley.com/doi/10.1002/adma.202508500?af=R" TargetMode="External"/><Relationship Id="rId1210" Type="http://schemas.openxmlformats.org/officeDocument/2006/relationships/hyperlink" Target="https://doi.org/10.1002/adma.202508500" TargetMode="External"/><Relationship Id="rId1211" Type="http://schemas.openxmlformats.org/officeDocument/2006/relationships/hyperlink" Target="https://advanced.onlinelibrary.wiley.com/doi/10.1002/adma.202508413?af=R" TargetMode="External"/><Relationship Id="rId1212" Type="http://schemas.openxmlformats.org/officeDocument/2006/relationships/hyperlink" Target="https://doi.org/10.1002/adma.202508413" TargetMode="External"/><Relationship Id="rId1213" Type="http://schemas.openxmlformats.org/officeDocument/2006/relationships/hyperlink" Target="https://advanced.onlinelibrary.wiley.com/doi/10.1002/adma.202508347?af=R" TargetMode="External"/><Relationship Id="rId1214" Type="http://schemas.openxmlformats.org/officeDocument/2006/relationships/hyperlink" Target="https://doi.org/10.1002/adma.202508347" TargetMode="External"/><Relationship Id="rId1215" Type="http://schemas.openxmlformats.org/officeDocument/2006/relationships/hyperlink" Target="https://advanced.onlinelibrary.wiley.com/doi/10.1002/adma.202508137?af=R" TargetMode="External"/><Relationship Id="rId1216" Type="http://schemas.openxmlformats.org/officeDocument/2006/relationships/hyperlink" Target="https://doi.org/10.1002/adma.202508137" TargetMode="External"/><Relationship Id="rId1217" Type="http://schemas.openxmlformats.org/officeDocument/2006/relationships/hyperlink" Target="https://advanced.onlinelibrary.wiley.com/doi/10.1002/adma.202508022?af=R" TargetMode="External"/><Relationship Id="rId1218" Type="http://schemas.openxmlformats.org/officeDocument/2006/relationships/hyperlink" Target="https://doi.org/10.1002/adma.202508022" TargetMode="External"/><Relationship Id="rId1219" Type="http://schemas.openxmlformats.org/officeDocument/2006/relationships/hyperlink" Target="https://advanced.onlinelibrary.wiley.com/doi/10.1002/adma.202507979?af=R" TargetMode="External"/><Relationship Id="rId1220" Type="http://schemas.openxmlformats.org/officeDocument/2006/relationships/hyperlink" Target="https://doi.org/10.1002/adma.202507979" TargetMode="External"/><Relationship Id="rId1221" Type="http://schemas.openxmlformats.org/officeDocument/2006/relationships/hyperlink" Target="https://advanced.onlinelibrary.wiley.com/doi/10.1002/adma.202507961?af=R" TargetMode="External"/><Relationship Id="rId1222" Type="http://schemas.openxmlformats.org/officeDocument/2006/relationships/hyperlink" Target="https://doi.org/10.1002/adma.202507961" TargetMode="External"/><Relationship Id="rId1223" Type="http://schemas.openxmlformats.org/officeDocument/2006/relationships/hyperlink" Target="https://advanced.onlinelibrary.wiley.com/doi/10.1002/adma.202507536?af=R" TargetMode="External"/><Relationship Id="rId1224" Type="http://schemas.openxmlformats.org/officeDocument/2006/relationships/hyperlink" Target="https://doi.org/10.1002/adma.202507536" TargetMode="External"/><Relationship Id="rId1225" Type="http://schemas.openxmlformats.org/officeDocument/2006/relationships/hyperlink" Target="https://advanced.onlinelibrary.wiley.com/doi/10.1002/adma.202509997?af=R" TargetMode="External"/><Relationship Id="rId1226" Type="http://schemas.openxmlformats.org/officeDocument/2006/relationships/hyperlink" Target="https://doi.org/10.1002/adma.202509997" TargetMode="External"/><Relationship Id="rId1227" Type="http://schemas.openxmlformats.org/officeDocument/2006/relationships/hyperlink" Target="https://advanced.onlinelibrary.wiley.com/doi/10.1002/adma.202507233?af=R" TargetMode="External"/><Relationship Id="rId1228" Type="http://schemas.openxmlformats.org/officeDocument/2006/relationships/hyperlink" Target="https://doi.org/10.1002/adma.202507233" TargetMode="External"/><Relationship Id="rId1229" Type="http://schemas.openxmlformats.org/officeDocument/2006/relationships/hyperlink" Target="https://advanced.onlinelibrary.wiley.com/doi/10.1002/adma.202513884?af=R" TargetMode="External"/><Relationship Id="rId1230" Type="http://schemas.openxmlformats.org/officeDocument/2006/relationships/hyperlink" Target="https://doi.org/10.1002/adma.202513884" TargetMode="External"/><Relationship Id="rId1231" Type="http://schemas.openxmlformats.org/officeDocument/2006/relationships/hyperlink" Target="https://advanced.onlinelibrary.wiley.com/doi/10.1002/adma.202506031?af=R" TargetMode="External"/><Relationship Id="rId1232" Type="http://schemas.openxmlformats.org/officeDocument/2006/relationships/hyperlink" Target="https://doi.org/10.1002/adma.202506031" TargetMode="External"/><Relationship Id="rId1233" Type="http://schemas.openxmlformats.org/officeDocument/2006/relationships/hyperlink" Target="https://advanced.onlinelibrary.wiley.com/doi/10.1002/adma.202505959?af=R" TargetMode="External"/><Relationship Id="rId1234" Type="http://schemas.openxmlformats.org/officeDocument/2006/relationships/hyperlink" Target="https://doi.org/10.1002/adma.202505959" TargetMode="External"/><Relationship Id="rId1235" Type="http://schemas.openxmlformats.org/officeDocument/2006/relationships/hyperlink" Target="https://advanced.onlinelibrary.wiley.com/doi/10.1002/adma.202505360?af=R" TargetMode="External"/><Relationship Id="rId1236" Type="http://schemas.openxmlformats.org/officeDocument/2006/relationships/hyperlink" Target="https://doi.org/10.1002/adma.202505360" TargetMode="External"/><Relationship Id="rId1237" Type="http://schemas.openxmlformats.org/officeDocument/2006/relationships/hyperlink" Target="https://advanced.onlinelibrary.wiley.com/doi/10.1002/adma.202504455?af=R" TargetMode="External"/><Relationship Id="rId1238" Type="http://schemas.openxmlformats.org/officeDocument/2006/relationships/hyperlink" Target="https://doi.org/10.1002/adma.202504455" TargetMode="External"/><Relationship Id="rId1239" Type="http://schemas.openxmlformats.org/officeDocument/2006/relationships/hyperlink" Target="https://advanced.onlinelibrary.wiley.com/doi/10.1002/adma.202503524?af=R" TargetMode="External"/><Relationship Id="rId1240" Type="http://schemas.openxmlformats.org/officeDocument/2006/relationships/hyperlink" Target="https://doi.org/10.1002/adma.202503524" TargetMode="External"/><Relationship Id="rId1241" Type="http://schemas.openxmlformats.org/officeDocument/2006/relationships/hyperlink" Target="https://advanced.onlinelibrary.wiley.com/doi/10.1002/adma.202503479?af=R" TargetMode="External"/><Relationship Id="rId1242" Type="http://schemas.openxmlformats.org/officeDocument/2006/relationships/hyperlink" Target="https://doi.org/10.1002/adma.202503479" TargetMode="External"/><Relationship Id="rId1243" Type="http://schemas.openxmlformats.org/officeDocument/2006/relationships/hyperlink" Target="https://advanced.onlinelibrary.wiley.com/doi/10.1002/adma.202503475?af=R" TargetMode="External"/><Relationship Id="rId1244" Type="http://schemas.openxmlformats.org/officeDocument/2006/relationships/hyperlink" Target="https://doi.org/10.1002/adma.202503475" TargetMode="External"/><Relationship Id="rId1245" Type="http://schemas.openxmlformats.org/officeDocument/2006/relationships/hyperlink" Target="https://advanced.onlinelibrary.wiley.com/doi/10.1002/adma.202503218?af=R" TargetMode="External"/><Relationship Id="rId1246" Type="http://schemas.openxmlformats.org/officeDocument/2006/relationships/hyperlink" Target="https://doi.org/10.1002/adma.202503218" TargetMode="External"/><Relationship Id="rId1247" Type="http://schemas.openxmlformats.org/officeDocument/2006/relationships/hyperlink" Target="https://advanced.onlinelibrary.wiley.com/doi/10.1002/adma.202502427?af=R" TargetMode="External"/><Relationship Id="rId1248" Type="http://schemas.openxmlformats.org/officeDocument/2006/relationships/hyperlink" Target="https://doi.org/10.1002/adma.202502427" TargetMode="External"/><Relationship Id="rId1249" Type="http://schemas.openxmlformats.org/officeDocument/2006/relationships/hyperlink" Target="https://advanced.onlinelibrary.wiley.com/doi/10.1002/adma.202502362?af=R" TargetMode="External"/><Relationship Id="rId1250" Type="http://schemas.openxmlformats.org/officeDocument/2006/relationships/hyperlink" Target="https://doi.org/10.1002/adma.202502362" TargetMode="External"/><Relationship Id="rId1251" Type="http://schemas.openxmlformats.org/officeDocument/2006/relationships/hyperlink" Target="https://advanced.onlinelibrary.wiley.com/doi/10.1002/adma.202501894?af=R" TargetMode="External"/><Relationship Id="rId1252" Type="http://schemas.openxmlformats.org/officeDocument/2006/relationships/hyperlink" Target="https://doi.org/10.1002/adma.202501894" TargetMode="External"/><Relationship Id="rId1253" Type="http://schemas.openxmlformats.org/officeDocument/2006/relationships/hyperlink" Target="https://advanced.onlinelibrary.wiley.com/doi/10.1002/adma.202501779?af=R" TargetMode="External"/><Relationship Id="rId1254" Type="http://schemas.openxmlformats.org/officeDocument/2006/relationships/hyperlink" Target="https://doi.org/10.1002/adma.202501779" TargetMode="External"/><Relationship Id="rId1255" Type="http://schemas.openxmlformats.org/officeDocument/2006/relationships/hyperlink" Target="https://advanced.onlinelibrary.wiley.com/doi/10.1002/adma.202507054?af=R" TargetMode="External"/><Relationship Id="rId1256" Type="http://schemas.openxmlformats.org/officeDocument/2006/relationships/hyperlink" Target="https://doi.org/10.1002/adma.202507054" TargetMode="External"/><Relationship Id="rId1257" Type="http://schemas.openxmlformats.org/officeDocument/2006/relationships/hyperlink" Target="https://advanced.onlinelibrary.wiley.com/doi/10.1002/adma.202511556?af=R" TargetMode="External"/><Relationship Id="rId1258" Type="http://schemas.openxmlformats.org/officeDocument/2006/relationships/hyperlink" Target="https://doi.org/10.1002/adma.202511556" TargetMode="External"/><Relationship Id="rId1259" Type="http://schemas.openxmlformats.org/officeDocument/2006/relationships/hyperlink" Target="https://advanced.onlinelibrary.wiley.com/doi/10.1002/adma.202510031?af=R" TargetMode="External"/><Relationship Id="rId1260" Type="http://schemas.openxmlformats.org/officeDocument/2006/relationships/hyperlink" Target="https://doi.org/10.1002/adma.202510031" TargetMode="External"/><Relationship Id="rId1261" Type="http://schemas.openxmlformats.org/officeDocument/2006/relationships/hyperlink" Target="https://advanced.onlinelibrary.wiley.com/doi/10.1002/adma.202510402?af=R" TargetMode="External"/><Relationship Id="rId1262" Type="http://schemas.openxmlformats.org/officeDocument/2006/relationships/hyperlink" Target="https://doi.org/10.1002/adma.202510402" TargetMode="External"/><Relationship Id="rId1263" Type="http://schemas.openxmlformats.org/officeDocument/2006/relationships/hyperlink" Target="https://advanced.onlinelibrary.wiley.com/doi/10.1002/adma.202511097?af=R" TargetMode="External"/><Relationship Id="rId1264" Type="http://schemas.openxmlformats.org/officeDocument/2006/relationships/hyperlink" Target="https://doi.org/10.1002/adma.202511097" TargetMode="External"/><Relationship Id="rId1265" Type="http://schemas.openxmlformats.org/officeDocument/2006/relationships/hyperlink" Target="https://advanced.onlinelibrary.wiley.com/doi/10.1002/adma.202511117?af=R" TargetMode="External"/><Relationship Id="rId1266" Type="http://schemas.openxmlformats.org/officeDocument/2006/relationships/hyperlink" Target="https://doi.org/10.1002/adma.202511117" TargetMode="External"/><Relationship Id="rId1267" Type="http://schemas.openxmlformats.org/officeDocument/2006/relationships/hyperlink" Target="https://advanced.onlinelibrary.wiley.com/doi/10.1002/adma.202511138?af=R" TargetMode="External"/><Relationship Id="rId1268" Type="http://schemas.openxmlformats.org/officeDocument/2006/relationships/hyperlink" Target="https://doi.org/10.1002/adma.202511138" TargetMode="External"/><Relationship Id="rId1269" Type="http://schemas.openxmlformats.org/officeDocument/2006/relationships/hyperlink" Target="https://advanced.onlinelibrary.wiley.com/doi/10.1002/adma.202511037?af=R" TargetMode="External"/><Relationship Id="rId1270" Type="http://schemas.openxmlformats.org/officeDocument/2006/relationships/hyperlink" Target="https://doi.org/10.1002/adma.202511037" TargetMode="External"/><Relationship Id="rId1271" Type="http://schemas.openxmlformats.org/officeDocument/2006/relationships/hyperlink" Target="https://advanced.onlinelibrary.wiley.com/doi/10.1002/adma.202510083?af=R" TargetMode="External"/><Relationship Id="rId1272" Type="http://schemas.openxmlformats.org/officeDocument/2006/relationships/hyperlink" Target="https://doi.org/10.1002/adma.202510083" TargetMode="External"/><Relationship Id="rId1273" Type="http://schemas.openxmlformats.org/officeDocument/2006/relationships/hyperlink" Target="https://advanced.onlinelibrary.wiley.com/doi/10.1002/adma.202511233?af=R" TargetMode="External"/><Relationship Id="rId1274" Type="http://schemas.openxmlformats.org/officeDocument/2006/relationships/hyperlink" Target="https://doi.org/10.1002/adma.202511233" TargetMode="External"/><Relationship Id="rId1275" Type="http://schemas.openxmlformats.org/officeDocument/2006/relationships/hyperlink" Target="https://advanced.onlinelibrary.wiley.com/doi/10.1002/adma.202511246?af=R" TargetMode="External"/><Relationship Id="rId1276" Type="http://schemas.openxmlformats.org/officeDocument/2006/relationships/hyperlink" Target="https://doi.org/10.1002/adma.202511246" TargetMode="External"/><Relationship Id="rId1277" Type="http://schemas.openxmlformats.org/officeDocument/2006/relationships/hyperlink" Target="https://advanced.onlinelibrary.wiley.com/doi/10.1002/adma.202510614?af=R" TargetMode="External"/><Relationship Id="rId1278" Type="http://schemas.openxmlformats.org/officeDocument/2006/relationships/hyperlink" Target="https://doi.org/10.1002/adma.202510614" TargetMode="External"/><Relationship Id="rId1279" Type="http://schemas.openxmlformats.org/officeDocument/2006/relationships/hyperlink" Target="https://advanced.onlinelibrary.wiley.com/doi/10.1002/adma.202511348?af=R" TargetMode="External"/><Relationship Id="rId1280" Type="http://schemas.openxmlformats.org/officeDocument/2006/relationships/hyperlink" Target="https://doi.org/10.1002/adma.202511348" TargetMode="External"/><Relationship Id="rId1281" Type="http://schemas.openxmlformats.org/officeDocument/2006/relationships/hyperlink" Target="https://advanced.onlinelibrary.wiley.com/doi/10.1002/adma.202511351?af=R" TargetMode="External"/><Relationship Id="rId1282" Type="http://schemas.openxmlformats.org/officeDocument/2006/relationships/hyperlink" Target="https://doi.org/10.1002/adma.202511351" TargetMode="External"/><Relationship Id="rId1283" Type="http://schemas.openxmlformats.org/officeDocument/2006/relationships/hyperlink" Target="https://advanced.onlinelibrary.wiley.com/doi/10.1002/adma.202511411?af=R" TargetMode="External"/><Relationship Id="rId1284" Type="http://schemas.openxmlformats.org/officeDocument/2006/relationships/hyperlink" Target="https://doi.org/10.1002/adma.202511411" TargetMode="External"/><Relationship Id="rId1285" Type="http://schemas.openxmlformats.org/officeDocument/2006/relationships/hyperlink" Target="https://advanced.onlinelibrary.wiley.com/doi/10.1002/adma.202511275?af=R" TargetMode="External"/><Relationship Id="rId1286" Type="http://schemas.openxmlformats.org/officeDocument/2006/relationships/hyperlink" Target="https://doi.org/10.1002/adma.202511275" TargetMode="External"/><Relationship Id="rId1287" Type="http://schemas.openxmlformats.org/officeDocument/2006/relationships/hyperlink" Target="https://advanced.onlinelibrary.wiley.com/doi/10.1002/adma.202522976?af=R" TargetMode="External"/><Relationship Id="rId1288" Type="http://schemas.openxmlformats.org/officeDocument/2006/relationships/hyperlink" Target="https://doi.org/10.1002/adma.202522976" TargetMode="External"/><Relationship Id="rId1289" Type="http://schemas.openxmlformats.org/officeDocument/2006/relationships/hyperlink" Target="https://advanced.onlinelibrary.wiley.com/doi/10.1002/adma.202521215?af=R" TargetMode="External"/><Relationship Id="rId1290" Type="http://schemas.openxmlformats.org/officeDocument/2006/relationships/hyperlink" Target="https://doi.org/10.1002/adma.202521215" TargetMode="External"/><Relationship Id="rId1291" Type="http://schemas.openxmlformats.org/officeDocument/2006/relationships/hyperlink" Target="https://advanced.onlinelibrary.wiley.com/doi/10.1002/adma.202507071?af=R" TargetMode="External"/><Relationship Id="rId1292" Type="http://schemas.openxmlformats.org/officeDocument/2006/relationships/hyperlink" Target="https://doi.org/10.1002/adma.202507071" TargetMode="External"/><Relationship Id="rId1293" Type="http://schemas.openxmlformats.org/officeDocument/2006/relationships/hyperlink" Target="https://advanced.onlinelibrary.wiley.com/doi/10.1002/adma.202511719?af=R" TargetMode="External"/><Relationship Id="rId1294" Type="http://schemas.openxmlformats.org/officeDocument/2006/relationships/hyperlink" Target="https://doi.org/10.1002/adma.202511719" TargetMode="External"/><Relationship Id="rId1295" Type="http://schemas.openxmlformats.org/officeDocument/2006/relationships/hyperlink" Target="https://advanced.onlinelibrary.wiley.com/doi/10.1002/adma.202506934?af=R" TargetMode="External"/><Relationship Id="rId1296" Type="http://schemas.openxmlformats.org/officeDocument/2006/relationships/hyperlink" Target="https://doi.org/10.1002/adma.202506934" TargetMode="External"/><Relationship Id="rId1297" Type="http://schemas.openxmlformats.org/officeDocument/2006/relationships/hyperlink" Target="https://advanced.onlinelibrary.wiley.com/doi/10.1002/adma.202509920?af=R" TargetMode="External"/><Relationship Id="rId1298" Type="http://schemas.openxmlformats.org/officeDocument/2006/relationships/hyperlink" Target="https://doi.org/10.1002/adma.202509920" TargetMode="External"/><Relationship Id="rId1299" Type="http://schemas.openxmlformats.org/officeDocument/2006/relationships/hyperlink" Target="https://advanced.onlinelibrary.wiley.com/doi/10.1002/adma.202512654?af=R" TargetMode="External"/><Relationship Id="rId1300" Type="http://schemas.openxmlformats.org/officeDocument/2006/relationships/hyperlink" Target="https://doi.org/10.1002/adma.202512654" TargetMode="External"/><Relationship Id="rId1301" Type="http://schemas.openxmlformats.org/officeDocument/2006/relationships/hyperlink" Target="https://advanced.onlinelibrary.wiley.com/doi/10.1002/adma.202420447?af=R" TargetMode="External"/><Relationship Id="rId1302" Type="http://schemas.openxmlformats.org/officeDocument/2006/relationships/hyperlink" Target="https://doi.org/10.1002/adma.202420447" TargetMode="External"/><Relationship Id="rId1303" Type="http://schemas.openxmlformats.org/officeDocument/2006/relationships/hyperlink" Target="https://advanced.onlinelibrary.wiley.com/doi/10.1002/adma.202504590?af=R" TargetMode="External"/><Relationship Id="rId1304" Type="http://schemas.openxmlformats.org/officeDocument/2006/relationships/hyperlink" Target="https://doi.org/10.1002/adma.202504590" TargetMode="External"/><Relationship Id="rId1305" Type="http://schemas.openxmlformats.org/officeDocument/2006/relationships/hyperlink" Target="https://advanced.onlinelibrary.wiley.com/doi/10.1002/adma.202518202?af=R" TargetMode="External"/><Relationship Id="rId1306" Type="http://schemas.openxmlformats.org/officeDocument/2006/relationships/hyperlink" Target="https://doi.org/10.1002/adma.202518202" TargetMode="External"/><Relationship Id="rId1307" Type="http://schemas.openxmlformats.org/officeDocument/2006/relationships/hyperlink" Target="https://onlinelibrary.wiley.com/doi/10.1002/anie.202519990?af=R" TargetMode="External"/><Relationship Id="rId1308" Type="http://schemas.openxmlformats.org/officeDocument/2006/relationships/hyperlink" Target="https://doi.org/10.1002/anie.202519990" TargetMode="External"/><Relationship Id="rId1309" Type="http://schemas.openxmlformats.org/officeDocument/2006/relationships/hyperlink" Target="https://onlinelibrary.wiley.com/doi/10.1002/anie.202517462?af=R" TargetMode="External"/><Relationship Id="rId1310" Type="http://schemas.openxmlformats.org/officeDocument/2006/relationships/hyperlink" Target="https://doi.org/10.1002/anie.202517462" TargetMode="External"/><Relationship Id="rId1311" Type="http://schemas.openxmlformats.org/officeDocument/2006/relationships/hyperlink" Target="https://onlinelibrary.wiley.com/doi/10.1002/anie.202521715?af=R" TargetMode="External"/><Relationship Id="rId1312" Type="http://schemas.openxmlformats.org/officeDocument/2006/relationships/hyperlink" Target="https://doi.org/10.1002/anie.202521715" TargetMode="External"/><Relationship Id="rId1313" Type="http://schemas.openxmlformats.org/officeDocument/2006/relationships/hyperlink" Target="https://onlinelibrary.wiley.com/doi/10.1002/anie.202525219?af=R" TargetMode="External"/><Relationship Id="rId1314" Type="http://schemas.openxmlformats.org/officeDocument/2006/relationships/hyperlink" Target="https://doi.org/10.1002/anie.202525219" TargetMode="External"/><Relationship Id="rId1315" Type="http://schemas.openxmlformats.org/officeDocument/2006/relationships/hyperlink" Target="https://onlinelibrary.wiley.com/doi/10.1002/anie.202521324?af=R" TargetMode="External"/><Relationship Id="rId1316" Type="http://schemas.openxmlformats.org/officeDocument/2006/relationships/hyperlink" Target="https://doi.org/10.1002/anie.202521324" TargetMode="External"/><Relationship Id="rId1317" Type="http://schemas.openxmlformats.org/officeDocument/2006/relationships/hyperlink" Target="https://onlinelibrary.wiley.com/doi/10.1002/anie.202521209?af=R" TargetMode="External"/><Relationship Id="rId1318" Type="http://schemas.openxmlformats.org/officeDocument/2006/relationships/hyperlink" Target="https://doi.org/10.1002/anie.202521209" TargetMode="External"/><Relationship Id="rId1319" Type="http://schemas.openxmlformats.org/officeDocument/2006/relationships/hyperlink" Target="https://onlinelibrary.wiley.com/doi/10.1002/anie.202519875?af=R" TargetMode="External"/><Relationship Id="rId1320" Type="http://schemas.openxmlformats.org/officeDocument/2006/relationships/hyperlink" Target="https://doi.org/10.1002/anie.202519875" TargetMode="External"/><Relationship Id="rId1321" Type="http://schemas.openxmlformats.org/officeDocument/2006/relationships/hyperlink" Target="https://onlinelibrary.wiley.com/doi/10.1002/anie.202519874?af=R" TargetMode="External"/><Relationship Id="rId1322" Type="http://schemas.openxmlformats.org/officeDocument/2006/relationships/hyperlink" Target="https://doi.org/10.1002/anie.202519874" TargetMode="External"/><Relationship Id="rId1323" Type="http://schemas.openxmlformats.org/officeDocument/2006/relationships/hyperlink" Target="https://onlinelibrary.wiley.com/doi/10.1002/anie.202517229?af=R" TargetMode="External"/><Relationship Id="rId1324" Type="http://schemas.openxmlformats.org/officeDocument/2006/relationships/hyperlink" Target="https://doi.org/10.1002/anie.202517229" TargetMode="External"/><Relationship Id="rId1325" Type="http://schemas.openxmlformats.org/officeDocument/2006/relationships/hyperlink" Target="https://onlinelibrary.wiley.com/doi/10.1002/anie.202516929?af=R" TargetMode="External"/><Relationship Id="rId1326" Type="http://schemas.openxmlformats.org/officeDocument/2006/relationships/hyperlink" Target="https://doi.org/10.1002/anie.202516929" TargetMode="External"/><Relationship Id="rId1327" Type="http://schemas.openxmlformats.org/officeDocument/2006/relationships/hyperlink" Target="https://onlinelibrary.wiley.com/doi/10.1002/anie.202516259?af=R" TargetMode="External"/><Relationship Id="rId1328" Type="http://schemas.openxmlformats.org/officeDocument/2006/relationships/hyperlink" Target="https://doi.org/10.1002/anie.202516259" TargetMode="External"/><Relationship Id="rId1329" Type="http://schemas.openxmlformats.org/officeDocument/2006/relationships/hyperlink" Target="https://onlinelibrary.wiley.com/doi/10.1002/anie.202515673?af=R" TargetMode="External"/><Relationship Id="rId1330" Type="http://schemas.openxmlformats.org/officeDocument/2006/relationships/hyperlink" Target="https://doi.org/10.1002/anie.202515673" TargetMode="External"/><Relationship Id="rId1331" Type="http://schemas.openxmlformats.org/officeDocument/2006/relationships/hyperlink" Target="https://onlinelibrary.wiley.com/doi/10.1002/anie.202514591?af=R" TargetMode="External"/><Relationship Id="rId1332" Type="http://schemas.openxmlformats.org/officeDocument/2006/relationships/hyperlink" Target="https://doi.org/10.1002/anie.202514591" TargetMode="External"/><Relationship Id="rId1333" Type="http://schemas.openxmlformats.org/officeDocument/2006/relationships/hyperlink" Target="https://onlinelibrary.wiley.com/doi/10.1002/anie.202513937?af=R" TargetMode="External"/><Relationship Id="rId1334" Type="http://schemas.openxmlformats.org/officeDocument/2006/relationships/hyperlink" Target="https://doi.org/10.1002/anie.202513937" TargetMode="External"/><Relationship Id="rId1335" Type="http://schemas.openxmlformats.org/officeDocument/2006/relationships/hyperlink" Target="https://onlinelibrary.wiley.com/doi/10.1002/anie.202512579?af=R" TargetMode="External"/><Relationship Id="rId1336" Type="http://schemas.openxmlformats.org/officeDocument/2006/relationships/hyperlink" Target="https://doi.org/10.1002/anie.202512579" TargetMode="External"/><Relationship Id="rId1337" Type="http://schemas.openxmlformats.org/officeDocument/2006/relationships/hyperlink" Target="https://onlinelibrary.wiley.com/doi/10.1002/anie.202512391?af=R" TargetMode="External"/><Relationship Id="rId1338" Type="http://schemas.openxmlformats.org/officeDocument/2006/relationships/hyperlink" Target="https://doi.org/10.1002/anie.202512391" TargetMode="External"/><Relationship Id="rId1339" Type="http://schemas.openxmlformats.org/officeDocument/2006/relationships/hyperlink" Target="https://onlinelibrary.wiley.com/doi/10.1002/anie.202511352?af=R" TargetMode="External"/><Relationship Id="rId1340" Type="http://schemas.openxmlformats.org/officeDocument/2006/relationships/hyperlink" Target="https://doi.org/10.1002/anie.202511352" TargetMode="External"/><Relationship Id="rId1341" Type="http://schemas.openxmlformats.org/officeDocument/2006/relationships/hyperlink" Target="https://onlinelibrary.wiley.com/doi/10.1002/anie.202510787?af=R" TargetMode="External"/><Relationship Id="rId1342" Type="http://schemas.openxmlformats.org/officeDocument/2006/relationships/hyperlink" Target="https://doi.org/10.1002/anie.202510787" TargetMode="External"/><Relationship Id="rId1343" Type="http://schemas.openxmlformats.org/officeDocument/2006/relationships/hyperlink" Target="https://onlinelibrary.wiley.com/doi/10.1002/anie.202517979?af=R" TargetMode="External"/><Relationship Id="rId1344" Type="http://schemas.openxmlformats.org/officeDocument/2006/relationships/hyperlink" Target="https://doi.org/10.1002/anie.202517979" TargetMode="External"/><Relationship Id="rId1345" Type="http://schemas.openxmlformats.org/officeDocument/2006/relationships/hyperlink" Target="https://onlinelibrary.wiley.com/doi/10.1002/anie.202518011?af=R" TargetMode="External"/><Relationship Id="rId1346" Type="http://schemas.openxmlformats.org/officeDocument/2006/relationships/hyperlink" Target="https://doi.org/10.1002/anie.202518011" TargetMode="External"/><Relationship Id="rId1347" Type="http://schemas.openxmlformats.org/officeDocument/2006/relationships/hyperlink" Target="https://onlinelibrary.wiley.com/doi/10.1002/anie.202510031?af=R" TargetMode="External"/><Relationship Id="rId1348" Type="http://schemas.openxmlformats.org/officeDocument/2006/relationships/hyperlink" Target="https://doi.org/10.1002/anie.202510031" TargetMode="External"/><Relationship Id="rId1349" Type="http://schemas.openxmlformats.org/officeDocument/2006/relationships/hyperlink" Target="https://onlinelibrary.wiley.com/doi/10.1002/anie.202507812?af=R" TargetMode="External"/><Relationship Id="rId1350" Type="http://schemas.openxmlformats.org/officeDocument/2006/relationships/hyperlink" Target="https://doi.org/10.1002/anie.202507812" TargetMode="External"/><Relationship Id="rId1351" Type="http://schemas.openxmlformats.org/officeDocument/2006/relationships/hyperlink" Target="https://onlinelibrary.wiley.com/doi/10.1002/anie.202518264?af=R" TargetMode="External"/><Relationship Id="rId1352" Type="http://schemas.openxmlformats.org/officeDocument/2006/relationships/hyperlink" Target="https://doi.org/10.1002/anie.202518264" TargetMode="External"/><Relationship Id="rId1353" Type="http://schemas.openxmlformats.org/officeDocument/2006/relationships/hyperlink" Target="https://onlinelibrary.wiley.com/doi/10.1002/anie.202518310?af=R" TargetMode="External"/><Relationship Id="rId1354" Type="http://schemas.openxmlformats.org/officeDocument/2006/relationships/hyperlink" Target="https://doi.org/10.1002/anie.202518310" TargetMode="External"/><Relationship Id="rId1355" Type="http://schemas.openxmlformats.org/officeDocument/2006/relationships/hyperlink" Target="https://onlinelibrary.wiley.com/doi/10.1002/anie.202518319?af=R" TargetMode="External"/><Relationship Id="rId1356" Type="http://schemas.openxmlformats.org/officeDocument/2006/relationships/hyperlink" Target="https://doi.org/10.1002/anie.202518319" TargetMode="External"/><Relationship Id="rId1357" Type="http://schemas.openxmlformats.org/officeDocument/2006/relationships/hyperlink" Target="https://onlinelibrary.wiley.com/doi/10.1002/anie.202518707?af=R" TargetMode="External"/><Relationship Id="rId1358" Type="http://schemas.openxmlformats.org/officeDocument/2006/relationships/hyperlink" Target="https://doi.org/10.1002/anie.202518707" TargetMode="External"/><Relationship Id="rId1359" Type="http://schemas.openxmlformats.org/officeDocument/2006/relationships/hyperlink" Target="https://onlinelibrary.wiley.com/doi/10.1002/anie.202518787?af=R" TargetMode="External"/><Relationship Id="rId1360" Type="http://schemas.openxmlformats.org/officeDocument/2006/relationships/hyperlink" Target="https://doi.org/10.1002/anie.202518787" TargetMode="External"/><Relationship Id="rId1361" Type="http://schemas.openxmlformats.org/officeDocument/2006/relationships/hyperlink" Target="https://onlinelibrary.wiley.com/doi/10.1002/anie.202518789?af=R" TargetMode="External"/><Relationship Id="rId1362" Type="http://schemas.openxmlformats.org/officeDocument/2006/relationships/hyperlink" Target="https://doi.org/10.1002/anie.202518789" TargetMode="External"/><Relationship Id="rId1363" Type="http://schemas.openxmlformats.org/officeDocument/2006/relationships/hyperlink" Target="https://onlinelibrary.wiley.com/doi/10.1002/anie.202518797?af=R" TargetMode="External"/><Relationship Id="rId1364" Type="http://schemas.openxmlformats.org/officeDocument/2006/relationships/hyperlink" Target="https://doi.org/10.1002/anie.202518797" TargetMode="External"/><Relationship Id="rId1365" Type="http://schemas.openxmlformats.org/officeDocument/2006/relationships/hyperlink" Target="https://onlinelibrary.wiley.com/doi/10.1002/anie.202519102?af=R" TargetMode="External"/><Relationship Id="rId1366" Type="http://schemas.openxmlformats.org/officeDocument/2006/relationships/hyperlink" Target="https://doi.org/10.1002/anie.202519102" TargetMode="External"/><Relationship Id="rId1367" Type="http://schemas.openxmlformats.org/officeDocument/2006/relationships/hyperlink" Target="https://onlinelibrary.wiley.com/doi/10.1002/anie.202519750?af=R" TargetMode="External"/><Relationship Id="rId1368" Type="http://schemas.openxmlformats.org/officeDocument/2006/relationships/hyperlink" Target="https://doi.org/10.1002/anie.202519750" TargetMode="External"/><Relationship Id="rId1369" Type="http://schemas.openxmlformats.org/officeDocument/2006/relationships/hyperlink" Target="http://dx.doi.org/10.1021/jacs.5c16058" TargetMode="External"/><Relationship Id="rId1370" Type="http://schemas.openxmlformats.org/officeDocument/2006/relationships/hyperlink" Target="https://doi.org/10.1021/jacs.5c16058" TargetMode="External"/><Relationship Id="rId1371" Type="http://schemas.openxmlformats.org/officeDocument/2006/relationships/hyperlink" Target="https://www.nature.com/articles/s41586-025-10089-9" TargetMode="External"/><Relationship Id="rId1372" Type="http://schemas.openxmlformats.org/officeDocument/2006/relationships/hyperlink" Target="https://www.sciencedirect.com/science/article/pii/S030626192502063X?dgcid=rss_sd_all" TargetMode="External"/><Relationship Id="rId1373" Type="http://schemas.openxmlformats.org/officeDocument/2006/relationships/hyperlink" Target="https://www.sciencedirect.com/science/article/pii/S0306261925019877?dgcid=rss_sd_all" TargetMode="External"/><Relationship Id="rId1374" Type="http://schemas.openxmlformats.org/officeDocument/2006/relationships/hyperlink" Target="https://www.nature.com/articles/s41586-025-100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